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bookmarkStart w:name="Introduction" w:id="1"/>
      <w:bookmarkEnd w:id="1"/>
      <w:r>
        <w:rPr>
          <w:b w:val="0"/>
        </w:rPr>
      </w:r>
      <w:r>
        <w:rPr>
          <w:color w:val="009483"/>
        </w:rPr>
        <w:t>Inflation Report</w:t>
      </w:r>
    </w:p>
    <w:p>
      <w:pPr>
        <w:spacing w:before="711"/>
        <w:ind w:left="3780" w:right="0" w:firstLine="0"/>
        <w:jc w:val="left"/>
        <w:rPr>
          <w:b/>
          <w:sz w:val="40"/>
        </w:rPr>
      </w:pPr>
      <w:r>
        <w:rPr>
          <w:b/>
          <w:color w:val="009483"/>
          <w:sz w:val="40"/>
        </w:rPr>
        <w:t>May 1999</w:t>
      </w:r>
    </w:p>
    <w:p>
      <w:pPr>
        <w:pStyle w:val="BodyText"/>
        <w:rPr>
          <w:b/>
          <w:sz w:val="44"/>
        </w:rPr>
      </w:pPr>
    </w:p>
    <w:p>
      <w:pPr>
        <w:spacing w:line="242" w:lineRule="auto" w:before="303"/>
        <w:ind w:left="3779" w:right="1302" w:firstLine="0"/>
        <w:jc w:val="left"/>
        <w:rPr>
          <w:sz w:val="24"/>
        </w:rPr>
      </w:pPr>
      <w:r>
        <w:rPr>
          <w:color w:val="231F20"/>
          <w:sz w:val="24"/>
        </w:rPr>
        <w:t>The </w:t>
      </w:r>
      <w:r>
        <w:rPr>
          <w:i/>
          <w:color w:val="231F20"/>
          <w:sz w:val="24"/>
        </w:rPr>
        <w:t>Inflation Report </w:t>
      </w:r>
      <w:r>
        <w:rPr>
          <w:color w:val="231F20"/>
          <w:sz w:val="24"/>
        </w:rPr>
        <w:t>is produced quarterly by Bank </w:t>
      </w:r>
      <w:r>
        <w:rPr>
          <w:color w:val="231F20"/>
          <w:spacing w:val="-6"/>
          <w:sz w:val="24"/>
        </w:rPr>
        <w:t>staff </w:t>
      </w:r>
      <w:r>
        <w:rPr>
          <w:color w:val="231F20"/>
          <w:sz w:val="24"/>
        </w:rPr>
        <w:t>under the guidance of the members of the Monetary Policy Committee. It serves two purposes.</w:t>
      </w:r>
      <w:r>
        <w:rPr>
          <w:color w:val="231F20"/>
          <w:spacing w:val="55"/>
          <w:sz w:val="24"/>
        </w:rPr>
        <w:t> </w:t>
      </w:r>
      <w:r>
        <w:rPr>
          <w:color w:val="231F20"/>
          <w:sz w:val="24"/>
        </w:rPr>
        <w:t>First,</w:t>
      </w:r>
    </w:p>
    <w:p>
      <w:pPr>
        <w:spacing w:before="4"/>
        <w:ind w:left="3779" w:right="0" w:firstLine="0"/>
        <w:jc w:val="left"/>
        <w:rPr>
          <w:sz w:val="24"/>
        </w:rPr>
      </w:pPr>
      <w:r>
        <w:rPr>
          <w:color w:val="231F20"/>
          <w:sz w:val="24"/>
        </w:rPr>
        <w:t>its preparation provides a comprehensive and</w:t>
      </w:r>
    </w:p>
    <w:p>
      <w:pPr>
        <w:spacing w:line="242" w:lineRule="auto" w:before="4"/>
        <w:ind w:left="3779" w:right="1302" w:firstLine="0"/>
        <w:jc w:val="left"/>
        <w:rPr>
          <w:sz w:val="24"/>
        </w:rPr>
      </w:pPr>
      <w:r>
        <w:rPr>
          <w:color w:val="231F20"/>
          <w:sz w:val="24"/>
        </w:rPr>
        <w:t>forward-looking framework for discussion among MPC members as an aid to our decision making. Second, its publication allows us to share our thinking and explain the reasons for our decisions to those whom they affect.</w:t>
      </w:r>
    </w:p>
    <w:p>
      <w:pPr>
        <w:spacing w:line="249" w:lineRule="auto" w:before="225"/>
        <w:ind w:left="3779" w:right="1535" w:firstLine="0"/>
        <w:jc w:val="left"/>
        <w:rPr>
          <w:sz w:val="24"/>
        </w:rPr>
      </w:pPr>
      <w:r>
        <w:rPr>
          <w:color w:val="231F20"/>
          <w:sz w:val="24"/>
        </w:rPr>
        <w:t>Although not every member will agree with every assumption on which our projections are based, the fan charts represent the MPC’s best collective judgment</w:t>
      </w:r>
    </w:p>
    <w:p>
      <w:pPr>
        <w:spacing w:line="249" w:lineRule="auto" w:before="3"/>
        <w:ind w:left="3779" w:right="1215" w:firstLine="0"/>
        <w:jc w:val="left"/>
        <w:rPr>
          <w:sz w:val="24"/>
        </w:rPr>
      </w:pPr>
      <w:r>
        <w:rPr>
          <w:color w:val="231F20"/>
          <w:sz w:val="24"/>
        </w:rPr>
        <w:t>about the most likely path for inflation and output, and the uncertainties surrounding those central projections.</w:t>
      </w:r>
    </w:p>
    <w:p>
      <w:pPr>
        <w:pStyle w:val="BodyText"/>
        <w:rPr>
          <w:sz w:val="21"/>
        </w:rPr>
      </w:pPr>
    </w:p>
    <w:p>
      <w:pPr>
        <w:spacing w:line="249" w:lineRule="auto" w:before="1"/>
        <w:ind w:left="3779" w:right="1669" w:firstLine="0"/>
        <w:jc w:val="left"/>
        <w:rPr>
          <w:sz w:val="24"/>
        </w:rPr>
      </w:pPr>
      <w:r>
        <w:rPr>
          <w:color w:val="231F20"/>
          <w:sz w:val="24"/>
        </w:rPr>
        <w:t>This </w:t>
      </w:r>
      <w:r>
        <w:rPr>
          <w:i/>
          <w:color w:val="231F20"/>
          <w:sz w:val="24"/>
        </w:rPr>
        <w:t>Report </w:t>
      </w:r>
      <w:r>
        <w:rPr>
          <w:color w:val="231F20"/>
          <w:sz w:val="24"/>
        </w:rPr>
        <w:t>has been prepared and published by the Bank of England in accordance with section 18 of the Bank of England Act 1998.</w:t>
      </w:r>
    </w:p>
    <w:p>
      <w:pPr>
        <w:pStyle w:val="BodyText"/>
        <w:spacing w:before="3"/>
        <w:rPr>
          <w:sz w:val="25"/>
        </w:rPr>
      </w:pPr>
    </w:p>
    <w:p>
      <w:pPr>
        <w:spacing w:before="0"/>
        <w:ind w:left="3779" w:right="0" w:firstLine="0"/>
        <w:jc w:val="left"/>
        <w:rPr>
          <w:sz w:val="24"/>
        </w:rPr>
      </w:pPr>
      <w:r>
        <w:rPr>
          <w:b/>
          <w:color w:val="231F20"/>
          <w:sz w:val="24"/>
        </w:rPr>
        <w:t>The Monetary Policy Committee</w:t>
      </w:r>
      <w:r>
        <w:rPr>
          <w:color w:val="231F20"/>
          <w:sz w:val="24"/>
        </w:rPr>
        <w:t>:</w:t>
      </w:r>
    </w:p>
    <w:p>
      <w:pPr>
        <w:spacing w:before="12"/>
        <w:ind w:left="3780" w:right="0" w:firstLine="0"/>
        <w:jc w:val="left"/>
        <w:rPr>
          <w:sz w:val="24"/>
        </w:rPr>
      </w:pPr>
      <w:r>
        <w:rPr>
          <w:color w:val="231F20"/>
          <w:sz w:val="24"/>
        </w:rPr>
        <w:t>Eddie George, Governor</w:t>
      </w:r>
    </w:p>
    <w:p>
      <w:pPr>
        <w:spacing w:line="249" w:lineRule="auto" w:before="12"/>
        <w:ind w:left="3780" w:right="221" w:firstLine="0"/>
        <w:jc w:val="left"/>
        <w:rPr>
          <w:sz w:val="24"/>
        </w:rPr>
      </w:pPr>
      <w:r>
        <w:rPr>
          <w:color w:val="231F20"/>
          <w:sz w:val="24"/>
        </w:rPr>
        <w:t>Mervyn King, Deputy Governor responsible for monetary policy David Clementi, Deputy Governor responsible for financial stability Alan Budd</w:t>
      </w:r>
    </w:p>
    <w:p>
      <w:pPr>
        <w:spacing w:line="249" w:lineRule="auto" w:before="3"/>
        <w:ind w:left="3780" w:right="5120" w:firstLine="0"/>
        <w:jc w:val="left"/>
        <w:rPr>
          <w:sz w:val="24"/>
        </w:rPr>
      </w:pPr>
      <w:r>
        <w:rPr>
          <w:color w:val="231F20"/>
          <w:sz w:val="24"/>
        </w:rPr>
        <w:t>Willem Buiter Charles Goodhart DeAnne Julius Ian Plenderleith John Vickers</w:t>
      </w:r>
    </w:p>
    <w:p>
      <w:pPr>
        <w:pStyle w:val="BodyText"/>
        <w:rPr>
          <w:sz w:val="26"/>
        </w:rPr>
      </w:pPr>
    </w:p>
    <w:p>
      <w:pPr>
        <w:pStyle w:val="BodyText"/>
        <w:rPr>
          <w:sz w:val="26"/>
        </w:rPr>
      </w:pPr>
    </w:p>
    <w:p>
      <w:pPr>
        <w:pStyle w:val="BodyText"/>
        <w:rPr>
          <w:sz w:val="26"/>
        </w:rPr>
      </w:pPr>
    </w:p>
    <w:p>
      <w:pPr>
        <w:pStyle w:val="BodyText"/>
        <w:spacing w:before="10"/>
        <w:rPr>
          <w:sz w:val="25"/>
        </w:rPr>
      </w:pPr>
    </w:p>
    <w:p>
      <w:pPr>
        <w:pStyle w:val="Heading5"/>
        <w:spacing w:line="249" w:lineRule="auto" w:before="0"/>
        <w:ind w:left="3779" w:right="221"/>
      </w:pPr>
      <w:r>
        <w:rPr>
          <w:color w:val="231F20"/>
        </w:rPr>
        <w:t>The Overview of this </w:t>
      </w:r>
      <w:r>
        <w:rPr>
          <w:i/>
          <w:color w:val="231F20"/>
        </w:rPr>
        <w:t>Inflation Report </w:t>
      </w:r>
      <w:r>
        <w:rPr>
          <w:color w:val="231F20"/>
        </w:rPr>
        <w:t>is available on the Bank’s web site: </w:t>
      </w:r>
      <w:hyperlink r:id="rId5">
        <w:r>
          <w:rPr>
            <w:color w:val="231F20"/>
          </w:rPr>
          <w:t>www.bankofengland.co.uk/infrep.htm.</w:t>
        </w:r>
      </w:hyperlink>
      <w:r>
        <w:rPr>
          <w:color w:val="231F20"/>
        </w:rPr>
        <w:t> The entire </w:t>
      </w:r>
      <w:r>
        <w:rPr>
          <w:i/>
          <w:color w:val="231F20"/>
        </w:rPr>
        <w:t>Report </w:t>
      </w:r>
      <w:r>
        <w:rPr>
          <w:color w:val="231F20"/>
        </w:rPr>
        <w:t>is available in PDF format on </w:t>
      </w:r>
      <w:hyperlink r:id="rId6">
        <w:r>
          <w:rPr>
            <w:color w:val="231F20"/>
          </w:rPr>
          <w:t>www.bankofengland.co.uk/ir.htm.</w:t>
        </w:r>
      </w:hyperlink>
    </w:p>
    <w:p>
      <w:pPr>
        <w:pStyle w:val="BodyText"/>
        <w:rPr>
          <w:sz w:val="22"/>
        </w:rPr>
      </w:pPr>
    </w:p>
    <w:p>
      <w:pPr>
        <w:pStyle w:val="BodyText"/>
        <w:rPr>
          <w:sz w:val="22"/>
        </w:rPr>
      </w:pPr>
    </w:p>
    <w:p>
      <w:pPr>
        <w:spacing w:line="182" w:lineRule="exact" w:before="194"/>
        <w:ind w:left="3780" w:right="0" w:firstLine="0"/>
        <w:jc w:val="left"/>
        <w:rPr>
          <w:sz w:val="16"/>
        </w:rPr>
      </w:pPr>
      <w:r>
        <w:rPr>
          <w:color w:val="231F20"/>
          <w:sz w:val="16"/>
        </w:rPr>
        <w:t>Printed by Park Communications Ltd</w:t>
      </w:r>
    </w:p>
    <w:p>
      <w:pPr>
        <w:spacing w:line="235" w:lineRule="auto" w:before="1"/>
        <w:ind w:left="3780" w:right="5214" w:firstLine="0"/>
        <w:jc w:val="left"/>
        <w:rPr>
          <w:sz w:val="16"/>
        </w:rPr>
      </w:pPr>
      <w:r>
        <w:rPr>
          <w:color w:val="231F20"/>
          <w:sz w:val="16"/>
        </w:rPr>
        <w:t>© Bank of England 1999 ISBN 1 85730 117 X</w:t>
      </w:r>
    </w:p>
    <w:p>
      <w:pPr>
        <w:spacing w:line="180" w:lineRule="exact" w:before="0"/>
        <w:ind w:left="3780" w:right="0" w:firstLine="0"/>
        <w:jc w:val="left"/>
        <w:rPr>
          <w:sz w:val="16"/>
        </w:rPr>
      </w:pPr>
      <w:r>
        <w:rPr>
          <w:color w:val="231F20"/>
          <w:sz w:val="16"/>
        </w:rPr>
        <w:t>ISSN 1353–6737</w:t>
      </w:r>
    </w:p>
    <w:p>
      <w:pPr>
        <w:spacing w:after="0" w:line="180" w:lineRule="exact"/>
        <w:jc w:val="left"/>
        <w:rPr>
          <w:sz w:val="16"/>
        </w:rPr>
        <w:sectPr>
          <w:type w:val="continuous"/>
          <w:pgSz w:w="11900" w:h="16840"/>
          <w:pgMar w:top="122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1"/>
        </w:rPr>
      </w:pPr>
    </w:p>
    <w:p>
      <w:pPr>
        <w:spacing w:before="84"/>
        <w:ind w:left="4980" w:right="0" w:firstLine="0"/>
        <w:jc w:val="left"/>
        <w:rPr>
          <w:b/>
          <w:sz w:val="40"/>
        </w:rPr>
      </w:pPr>
      <w:bookmarkStart w:name="Overview" w:id="2"/>
      <w:bookmarkEnd w:id="2"/>
      <w:r>
        <w:rPr/>
      </w:r>
      <w:bookmarkStart w:name="_bookmark0" w:id="3"/>
      <w:bookmarkEnd w:id="3"/>
      <w:r>
        <w:rPr/>
      </w:r>
      <w:r>
        <w:rPr>
          <w:b/>
          <w:color w:val="009483"/>
          <w:sz w:val="40"/>
        </w:rPr>
        <w:t>Overview</w:t>
      </w:r>
    </w:p>
    <w:p>
      <w:pPr>
        <w:spacing w:line="242" w:lineRule="auto" w:before="377"/>
        <w:ind w:left="4980" w:right="95" w:firstLine="0"/>
        <w:jc w:val="left"/>
        <w:rPr>
          <w:sz w:val="24"/>
        </w:rPr>
      </w:pPr>
      <w:r>
        <w:rPr>
          <w:color w:val="231F20"/>
          <w:sz w:val="24"/>
        </w:rPr>
        <w:t>Prospects for the world economy, which deteriorated sharply in the second half of last year, have improved in recent months. But the immediate outlook is for modest growth of world output and trade. The expected slowdown in UK growth has occurred. Forward-looking survey measures, some of which had fallen precipitously, have now recovered to levels consistent with a pick-up in growth. Inflation on the RPIX measure has remained close to 2.5%, and future inflation expectations appear reasonably well anchored to the inflation target. Sterling has risen strongly, in particular relative to the euro, over the past three months.</w:t>
      </w:r>
    </w:p>
    <w:p>
      <w:pPr>
        <w:pStyle w:val="BodyText"/>
        <w:spacing w:before="2"/>
        <w:rPr>
          <w:sz w:val="29"/>
        </w:rPr>
      </w:pPr>
    </w:p>
    <w:p>
      <w:pPr>
        <w:spacing w:line="242" w:lineRule="auto" w:before="0"/>
        <w:ind w:left="4980" w:right="221" w:firstLine="0"/>
        <w:jc w:val="left"/>
        <w:rPr>
          <w:sz w:val="24"/>
        </w:rPr>
      </w:pPr>
      <w:r>
        <w:rPr>
          <w:color w:val="231F20"/>
          <w:sz w:val="24"/>
        </w:rPr>
        <w:t>In the world economy, the remarkable growth of domestic demand and output in the United States has continued, without evident inflationary pressure. In the euro area, growth and business confidence have weakened further, though the ECB’s sharp interest rate reduction in April should help to support activity. It is unclear when Japan will emerge from protracted recession. Spreads on emerging market debt have moderated, there are signs of renewed growth in some countries affected by the Asian crisis, and Brazil has made progress towards stability. Trade imbalances among the major industrialised countries have widened.</w:t>
      </w:r>
    </w:p>
    <w:p>
      <w:pPr>
        <w:pStyle w:val="BodyText"/>
        <w:spacing w:before="2"/>
        <w:rPr>
          <w:sz w:val="29"/>
        </w:rPr>
      </w:pPr>
    </w:p>
    <w:p>
      <w:pPr>
        <w:spacing w:line="242" w:lineRule="auto" w:before="0"/>
        <w:ind w:left="4980" w:right="181" w:firstLine="0"/>
        <w:jc w:val="left"/>
        <w:rPr>
          <w:sz w:val="24"/>
        </w:rPr>
      </w:pPr>
      <w:r>
        <w:rPr>
          <w:color w:val="231F20"/>
          <w:sz w:val="24"/>
        </w:rPr>
        <w:t>In the United Kingdom, aggregate output growth slowed slightly earlier than believed at the time of the February </w:t>
      </w:r>
      <w:r>
        <w:rPr>
          <w:i/>
          <w:color w:val="231F20"/>
          <w:sz w:val="24"/>
        </w:rPr>
        <w:t>Inflation Report</w:t>
      </w:r>
      <w:r>
        <w:rPr>
          <w:color w:val="231F20"/>
          <w:sz w:val="24"/>
        </w:rPr>
        <w:t>. Growth in the third and fourth quarters of 1998 was revised down to 0.3% and 0.1% respectively, and the preliminary estimate of growth in the first quarter of this year was 0.1%. Service sector growth stands in contrast to declining manufacturing production. Forward-looking business survey indicators have risen uniformly in recent months, and there are some signs—for example in the housing market—of restored consumer confidence.</w:t>
      </w:r>
    </w:p>
    <w:p>
      <w:pPr>
        <w:pStyle w:val="BodyText"/>
        <w:rPr>
          <w:sz w:val="29"/>
        </w:rPr>
      </w:pPr>
    </w:p>
    <w:p>
      <w:pPr>
        <w:spacing w:line="242" w:lineRule="auto" w:before="0"/>
        <w:ind w:left="4980" w:right="95" w:firstLine="0"/>
        <w:jc w:val="left"/>
        <w:rPr>
          <w:sz w:val="24"/>
        </w:rPr>
      </w:pPr>
      <w:r>
        <w:rPr>
          <w:color w:val="231F20"/>
          <w:sz w:val="24"/>
        </w:rPr>
        <w:t>Output continued to rise because domestic demand growth offset the weakening external position. The trade</w:t>
      </w:r>
    </w:p>
    <w:p>
      <w:pPr>
        <w:spacing w:after="0" w:line="242" w:lineRule="auto"/>
        <w:jc w:val="left"/>
        <w:rPr>
          <w:sz w:val="24"/>
        </w:rPr>
        <w:sectPr>
          <w:footerReference w:type="default" r:id="rId7"/>
          <w:footerReference w:type="even" r:id="rId8"/>
          <w:pgSz w:w="11900" w:h="16840"/>
          <w:pgMar w:footer="597" w:header="0" w:top="760" w:bottom="780" w:left="640" w:right="640"/>
          <w:pgNumType w:start="1"/>
        </w:sectPr>
      </w:pPr>
    </w:p>
    <w:p>
      <w:pPr>
        <w:pStyle w:val="BodyText"/>
        <w:rPr>
          <w:sz w:val="20"/>
        </w:rPr>
      </w:pPr>
    </w:p>
    <w:p>
      <w:pPr>
        <w:spacing w:line="242" w:lineRule="auto" w:before="227"/>
        <w:ind w:left="4960" w:right="217" w:firstLine="0"/>
        <w:jc w:val="left"/>
        <w:rPr>
          <w:sz w:val="24"/>
        </w:rPr>
      </w:pPr>
      <w:r>
        <w:rPr>
          <w:color w:val="231F20"/>
          <w:sz w:val="24"/>
        </w:rPr>
        <w:t>balance made a negative contribution to growth for the third successive year, equivalent to 1.8 percentage</w:t>
      </w:r>
      <w:r>
        <w:rPr>
          <w:color w:val="231F20"/>
          <w:spacing w:val="-30"/>
          <w:sz w:val="24"/>
        </w:rPr>
        <w:t> </w:t>
      </w:r>
      <w:r>
        <w:rPr>
          <w:color w:val="231F20"/>
          <w:spacing w:val="-3"/>
          <w:sz w:val="24"/>
        </w:rPr>
        <w:t>points </w:t>
      </w:r>
      <w:r>
        <w:rPr>
          <w:color w:val="231F20"/>
          <w:sz w:val="24"/>
        </w:rPr>
        <w:t>of GDP in 1998. Consumption growth picked up in the fourth quarter of last year, and investment demand has been stronger than expected. The extent of any inventory overhang seems to </w:t>
      </w:r>
      <w:r>
        <w:rPr>
          <w:color w:val="231F20"/>
          <w:spacing w:val="-3"/>
          <w:sz w:val="24"/>
        </w:rPr>
        <w:t>have </w:t>
      </w:r>
      <w:r>
        <w:rPr>
          <w:color w:val="231F20"/>
          <w:sz w:val="24"/>
        </w:rPr>
        <w:t>been reduced. The March Budget left public expenditure plans and the overall stance of fiscal policy broadly</w:t>
      </w:r>
      <w:r>
        <w:rPr>
          <w:color w:val="231F20"/>
          <w:spacing w:val="-6"/>
          <w:sz w:val="24"/>
        </w:rPr>
        <w:t> </w:t>
      </w:r>
      <w:r>
        <w:rPr>
          <w:color w:val="231F20"/>
          <w:sz w:val="24"/>
        </w:rPr>
        <w:t>unchanged.</w:t>
      </w:r>
    </w:p>
    <w:p>
      <w:pPr>
        <w:pStyle w:val="BodyText"/>
        <w:spacing w:before="8"/>
        <w:rPr>
          <w:sz w:val="28"/>
        </w:rPr>
      </w:pPr>
    </w:p>
    <w:p>
      <w:pPr>
        <w:spacing w:line="242" w:lineRule="auto" w:before="0"/>
        <w:ind w:left="4960" w:right="172" w:firstLine="0"/>
        <w:jc w:val="left"/>
        <w:rPr>
          <w:sz w:val="24"/>
        </w:rPr>
      </w:pPr>
      <w:r>
        <w:rPr>
          <w:color w:val="231F20"/>
          <w:sz w:val="24"/>
        </w:rPr>
        <w:t>In line with the slowdown in GDP growth, broad money growth continued to moderate in the first quarter, largely reflecting reduced money holdings by the non-bank financial sector. Personal sector borrowing has shown signs of more rapid growth, however. Consistent with other evidence of renewed strength in the housing market, there have recently been marked increases in secured lending and loan approvals.</w:t>
      </w:r>
    </w:p>
    <w:p>
      <w:pPr>
        <w:pStyle w:val="BodyText"/>
        <w:spacing w:before="8"/>
        <w:rPr>
          <w:sz w:val="28"/>
        </w:rPr>
      </w:pPr>
    </w:p>
    <w:p>
      <w:pPr>
        <w:spacing w:line="242" w:lineRule="auto" w:before="0"/>
        <w:ind w:left="4960" w:right="221" w:firstLine="0"/>
        <w:jc w:val="left"/>
        <w:rPr>
          <w:sz w:val="24"/>
        </w:rPr>
      </w:pPr>
      <w:r>
        <w:rPr>
          <w:color w:val="231F20"/>
          <w:sz w:val="24"/>
        </w:rPr>
        <w:t>The labour market remains tight on most measures, but is not currently tightening further. Unemployment has increased slightly over the past three months, but remains close to its lowest level for twenty years.</w:t>
      </w:r>
    </w:p>
    <w:p>
      <w:pPr>
        <w:spacing w:line="242" w:lineRule="auto" w:before="6"/>
        <w:ind w:left="4960" w:right="172" w:firstLine="0"/>
        <w:jc w:val="left"/>
        <w:rPr>
          <w:sz w:val="24"/>
        </w:rPr>
      </w:pPr>
      <w:r>
        <w:rPr>
          <w:color w:val="231F20"/>
          <w:sz w:val="24"/>
        </w:rPr>
        <w:t>Aggregate employment has continued to grow quite robustly despite slower output growth, so measured productivity growth has fallen. Service sector employment has risen; that in manufacturing has fallen. </w:t>
      </w:r>
      <w:r>
        <w:rPr>
          <w:color w:val="231F20"/>
          <w:spacing w:val="-4"/>
          <w:sz w:val="24"/>
        </w:rPr>
        <w:t>Total </w:t>
      </w:r>
      <w:r>
        <w:rPr>
          <w:color w:val="231F20"/>
          <w:sz w:val="24"/>
        </w:rPr>
        <w:t>hours worked </w:t>
      </w:r>
      <w:r>
        <w:rPr>
          <w:color w:val="231F20"/>
          <w:spacing w:val="-3"/>
          <w:sz w:val="24"/>
        </w:rPr>
        <w:t>have </w:t>
      </w:r>
      <w:r>
        <w:rPr>
          <w:color w:val="231F20"/>
          <w:sz w:val="24"/>
        </w:rPr>
        <w:t>been broadly flat, so hours worked per head </w:t>
      </w:r>
      <w:r>
        <w:rPr>
          <w:color w:val="231F20"/>
          <w:spacing w:val="-3"/>
          <w:sz w:val="24"/>
        </w:rPr>
        <w:t>have </w:t>
      </w:r>
      <w:r>
        <w:rPr>
          <w:color w:val="231F20"/>
          <w:sz w:val="24"/>
        </w:rPr>
        <w:t>fallen, reflecting less overtime </w:t>
      </w:r>
      <w:r>
        <w:rPr>
          <w:color w:val="231F20"/>
          <w:spacing w:val="-5"/>
          <w:sz w:val="24"/>
        </w:rPr>
        <w:t>and </w:t>
      </w:r>
      <w:r>
        <w:rPr>
          <w:color w:val="231F20"/>
          <w:sz w:val="24"/>
        </w:rPr>
        <w:t>a growing proportion of part-time workers in the labour force. </w:t>
      </w:r>
      <w:r>
        <w:rPr>
          <w:color w:val="231F20"/>
          <w:spacing w:val="-3"/>
          <w:sz w:val="24"/>
        </w:rPr>
        <w:t>Vacancies </w:t>
      </w:r>
      <w:r>
        <w:rPr>
          <w:color w:val="231F20"/>
          <w:sz w:val="24"/>
        </w:rPr>
        <w:t>remain high relative to unemployment. </w:t>
      </w:r>
      <w:r>
        <w:rPr>
          <w:color w:val="231F20"/>
          <w:spacing w:val="-4"/>
          <w:sz w:val="24"/>
        </w:rPr>
        <w:t>However, </w:t>
      </w:r>
      <w:r>
        <w:rPr>
          <w:color w:val="231F20"/>
          <w:sz w:val="24"/>
        </w:rPr>
        <w:t>skill shortages appear to </w:t>
      </w:r>
      <w:r>
        <w:rPr>
          <w:color w:val="231F20"/>
          <w:spacing w:val="-3"/>
          <w:sz w:val="24"/>
        </w:rPr>
        <w:t>have </w:t>
      </w:r>
      <w:r>
        <w:rPr>
          <w:color w:val="231F20"/>
          <w:sz w:val="24"/>
        </w:rPr>
        <w:t>eased, and survey data suggest that firms’ employment intentions are significantly weaker than a year ago.</w:t>
      </w:r>
    </w:p>
    <w:p>
      <w:pPr>
        <w:pStyle w:val="BodyText"/>
        <w:rPr>
          <w:sz w:val="29"/>
        </w:rPr>
      </w:pPr>
    </w:p>
    <w:p>
      <w:pPr>
        <w:spacing w:line="242" w:lineRule="auto" w:before="0"/>
        <w:ind w:left="4960" w:right="321" w:firstLine="0"/>
        <w:jc w:val="left"/>
        <w:rPr>
          <w:sz w:val="24"/>
        </w:rPr>
      </w:pPr>
      <w:r>
        <w:rPr>
          <w:color w:val="231F20"/>
          <w:sz w:val="24"/>
        </w:rPr>
        <w:t>Publication of the official Average Earnings Index was resumed in March. According to the new headline measure, nominal earnings growth reached a peak of 5.7% in the second quarter of 1998—higher than previously thought—before easing to about 4.5% at the turn of the year. Evidence on private sector wage settlements also points to lower inflationary pressure in the labour market. At the same time, the substantial reduction that has occurred in inflation expectations means that real earnings growth has fallen by less than nominal earnings growth, and, on some measures, may have risen. Most measures of expected inflation are now consistent with the 2</w:t>
      </w:r>
      <w:r>
        <w:rPr>
          <w:color w:val="231F20"/>
          <w:position w:val="8"/>
          <w:sz w:val="12"/>
        </w:rPr>
        <w:t>1</w:t>
      </w:r>
      <w:r>
        <w:rPr>
          <w:color w:val="231F20"/>
          <w:sz w:val="24"/>
        </w:rPr>
        <w:t>/</w:t>
      </w:r>
      <w:r>
        <w:rPr>
          <w:color w:val="231F20"/>
          <w:sz w:val="12"/>
        </w:rPr>
        <w:t>2</w:t>
      </w:r>
      <w:r>
        <w:rPr>
          <w:color w:val="231F20"/>
          <w:sz w:val="24"/>
        </w:rPr>
        <w:t>% inflation target.</w:t>
      </w:r>
    </w:p>
    <w:p>
      <w:pPr>
        <w:pStyle w:val="BodyText"/>
        <w:spacing w:before="3"/>
        <w:rPr>
          <w:sz w:val="29"/>
        </w:rPr>
      </w:pPr>
    </w:p>
    <w:p>
      <w:pPr>
        <w:spacing w:line="242" w:lineRule="auto" w:before="0"/>
        <w:ind w:left="4960" w:right="0" w:firstLine="0"/>
        <w:jc w:val="left"/>
        <w:rPr>
          <w:sz w:val="24"/>
        </w:rPr>
      </w:pPr>
      <w:r>
        <w:rPr>
          <w:color w:val="231F20"/>
          <w:sz w:val="24"/>
        </w:rPr>
        <w:t>The implications for prospective inflation of reduced pay pressure and stronger sterling were the main factors that</w:t>
      </w:r>
    </w:p>
    <w:p>
      <w:pPr>
        <w:spacing w:after="0" w:line="242" w:lineRule="auto"/>
        <w:jc w:val="left"/>
        <w:rPr>
          <w:sz w:val="24"/>
        </w:rPr>
        <w:sectPr>
          <w:headerReference w:type="default" r:id="rId9"/>
          <w:pgSz w:w="11900" w:h="16840"/>
          <w:pgMar w:header="566" w:footer="597" w:top="760" w:bottom="780" w:left="640" w:right="640"/>
        </w:sectPr>
      </w:pPr>
    </w:p>
    <w:p>
      <w:pPr>
        <w:spacing w:before="82"/>
        <w:ind w:left="0" w:right="157" w:firstLine="0"/>
        <w:jc w:val="right"/>
        <w:rPr>
          <w:i/>
          <w:sz w:val="16"/>
        </w:rPr>
      </w:pPr>
      <w:bookmarkStart w:name="_bookmark1" w:id="4"/>
      <w:bookmarkEnd w:id="4"/>
      <w:r>
        <w:rPr/>
      </w:r>
      <w:r>
        <w:rPr>
          <w:i/>
          <w:color w:val="231F20"/>
          <w:sz w:val="16"/>
        </w:rPr>
        <w:t>Overview</w:t>
      </w: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i/>
          <w:sz w:val="20"/>
        </w:rPr>
      </w:pPr>
    </w:p>
    <w:p>
      <w:pPr>
        <w:spacing w:after="0"/>
        <w:rPr>
          <w:sz w:val="20"/>
        </w:rPr>
        <w:sectPr>
          <w:headerReference w:type="even" r:id="rId10"/>
          <w:pgSz w:w="11900" w:h="16840"/>
          <w:pgMar w:header="0" w:footer="597" w:top="500" w:bottom="780" w:left="640" w:right="640"/>
        </w:sectPr>
      </w:pPr>
    </w:p>
    <w:p>
      <w:pPr>
        <w:pStyle w:val="BodyText"/>
        <w:rPr>
          <w:i/>
        </w:rPr>
      </w:pPr>
    </w:p>
    <w:p>
      <w:pPr>
        <w:pStyle w:val="Heading4"/>
        <w:spacing w:before="0"/>
      </w:pPr>
      <w:r>
        <w:rPr>
          <w:color w:val="0093C1"/>
        </w:rPr>
        <w:t>Chart 1</w:t>
      </w:r>
    </w:p>
    <w:p>
      <w:pPr>
        <w:pStyle w:val="Heading4"/>
        <w:spacing w:line="249" w:lineRule="auto"/>
        <w:ind w:right="20"/>
      </w:pPr>
      <w:r>
        <w:rPr>
          <w:color w:val="0093C1"/>
        </w:rPr>
        <w:t>Current GDP projection based on constant nominal interest rates at 5.25%</w:t>
      </w:r>
    </w:p>
    <w:p>
      <w:pPr>
        <w:spacing w:before="168"/>
        <w:ind w:left="1182" w:right="0" w:firstLine="0"/>
        <w:jc w:val="left"/>
        <w:rPr>
          <w:sz w:val="12"/>
        </w:rPr>
      </w:pPr>
      <w:r>
        <w:rPr/>
        <w:pict>
          <v:line style="position:absolute;mso-position-horizontal-relative:page;mso-position-vertical-relative:paragraph;z-index:15737344" from="44.167pt,15.918554pt" to="47.85pt,15.918554pt" stroked="true" strokeweight=".5pt" strokecolor="#231f20">
            <v:stroke dashstyle="solid"/>
            <w10:wrap type="none"/>
          </v:line>
        </w:pict>
      </w:r>
      <w:r>
        <w:rPr>
          <w:color w:val="231F20"/>
          <w:sz w:val="12"/>
        </w:rPr>
        <w:t>Percentage increase in output on a year earl</w:t>
      </w:r>
      <w:r>
        <w:rPr>
          <w:color w:val="231F20"/>
          <w:sz w:val="12"/>
          <w:u w:val="single" w:color="231F20"/>
        </w:rPr>
        <w:t>ier</w:t>
      </w:r>
      <w:r>
        <w:rPr>
          <w:color w:val="231F20"/>
          <w:sz w:val="12"/>
        </w:rPr>
        <w:t> </w:t>
      </w:r>
      <w:r>
        <w:rPr>
          <w:color w:val="231F20"/>
          <w:position w:val="-4"/>
          <w:sz w:val="12"/>
        </w:rPr>
        <w:t>6</w:t>
      </w:r>
    </w:p>
    <w:p>
      <w:pPr>
        <w:pStyle w:val="BodyText"/>
        <w:spacing w:before="7"/>
        <w:rPr>
          <w:sz w:val="23"/>
        </w:rPr>
      </w:pPr>
    </w:p>
    <w:p>
      <w:pPr>
        <w:spacing w:before="0"/>
        <w:ind w:left="3466" w:right="0" w:firstLine="0"/>
        <w:jc w:val="left"/>
        <w:rPr>
          <w:sz w:val="12"/>
        </w:rPr>
      </w:pPr>
      <w:r>
        <w:rPr/>
        <w:pict>
          <v:group style="position:absolute;margin-left:44.167pt;margin-top:3.884181pt;width:148.1pt;height:108.75pt;mso-position-horizontal-relative:page;mso-position-vertical-relative:paragraph;z-index:15734784" coordorigin="883,78" coordsize="2962,2175">
            <v:shape style="position:absolute;left:2820;top:77;width:1020;height:2175" coordorigin="2821,78" coordsize="1020,2175" path="m3841,78l3727,153,3614,344,3501,618,3387,749,3274,901,3161,1099,3047,1351,2934,1655,2821,1892,2934,2077,3047,2194,3161,2252,3274,2195,3387,2155,3501,2075,3614,1878,3727,1764,3841,1740,3841,78xe" filled="true" fillcolor="#dbeae4" stroked="false">
              <v:path arrowok="t"/>
              <v:fill type="solid"/>
            </v:shape>
            <v:shape style="position:absolute;left:2820;top:260;width:1020;height:1873" coordorigin="2821,260" coordsize="1020,1873" path="m3841,260l3727,331,3614,516,3501,784,3387,910,3274,1050,3161,1232,3047,1448,2934,1704,2821,1893,2934,2034,3047,2108,3161,2133,3274,2061,3387,2009,3501,1922,3614,1713,3727,1588,3841,1557,3841,260xe" filled="true" fillcolor="#bfdbcf" stroked="false">
              <v:path arrowok="t"/>
              <v:fill type="solid"/>
            </v:shape>
            <v:shape style="position:absolute;left:2820;top:383;width:1020;height:1672" coordorigin="2821,383" coordsize="1020,1672" path="m3841,383l3727,452,3614,634,3501,900,3387,1025,3274,1155,3161,1326,3047,1517,2934,1739,2821,1894,2934,2006,3047,2050,3161,2054,3274,1973,3387,1913,3501,1820,3614,1602,3727,1468,3841,1431,3841,383xe" filled="true" fillcolor="#a4cdbd" stroked="false">
              <v:path arrowok="t"/>
              <v:fill type="solid"/>
            </v:shape>
            <v:shape style="position:absolute;left:2820;top:490;width:1020;height:1519" coordorigin="2821,490" coordsize="1020,1519" path="m3841,490l3727,557,3614,735,3501,997,3387,1120,3274,1243,3161,1405,3047,1577,2934,1772,2821,1900,2934,1988,3047,2009,3161,1995,3274,1905,3387,1839,3501,1743,3614,1520,3727,1381,3841,1341,3841,490xe" filled="true" fillcolor="#8abfab" stroked="false">
              <v:path arrowok="t"/>
              <v:fill type="solid"/>
            </v:shape>
            <v:shape style="position:absolute;left:2820;top:567;width:1020;height:1398" coordorigin="2821,568" coordsize="1020,1398" path="m3841,568l3727,634,3614,810,3501,1071,3387,1193,3274,1310,3161,1464,3047,1619,2934,1792,2821,1898,2934,1965,3047,1965,3161,1937,3274,1841,3387,1769,3501,1669,3614,1440,3727,1294,3841,1250,3841,568xe" filled="true" fillcolor="#6fb39a" stroked="false">
              <v:path arrowok="t"/>
              <v:fill type="solid"/>
            </v:shape>
            <v:shape style="position:absolute;left:2820;top:647;width:1020;height:1304" coordorigin="2821,647" coordsize="1020,1304" path="m3841,647l3727,711,3614,886,3501,1144,3387,1264,3274,1376,3161,1523,3047,1664,2934,1816,2821,1901,2934,1951,3047,1934,3161,1892,3274,1790,3387,1714,3501,1610,3614,1376,3727,1226,3841,1178,3841,647xe" filled="true" fillcolor="#53a78b" stroked="false">
              <v:path arrowok="t"/>
              <v:fill type="solid"/>
            </v:shape>
            <v:shape style="position:absolute;left:2820;top:714;width:1020;height:1215" coordorigin="2821,714" coordsize="1020,1215" path="m3841,714l3727,776,3614,946,3501,1201,3387,1318,3274,1425,3161,1567,3047,1694,2934,1829,2821,1897,2934,1929,3047,1894,3161,1840,3274,1731,3387,1651,3501,1545,3614,1308,3727,1156,3841,1106,3841,714xe" filled="true" fillcolor="#309d7d" stroked="false">
              <v:path arrowok="t"/>
              <v:fill type="solid"/>
            </v:shape>
            <v:shape style="position:absolute;left:2820;top:784;width:1020;height:1133" coordorigin="2821,784" coordsize="1020,1133" path="m3841,784l3727,845,3614,1014,3501,1267,3387,1384,3274,1486,3161,1621,3047,1735,2934,1851,2821,1900,2934,1916,3047,1866,3161,1801,3274,1688,3387,1603,3501,1494,3614,1252,3727,1094,3841,1041,3841,784xe" filled="true" fillcolor="#00936f" stroked="false">
              <v:path arrowok="t"/>
              <v:fill type="solid"/>
            </v:shape>
            <v:shape style="position:absolute;left:2820;top:847;width:1020;height:1053" coordorigin="2821,848" coordsize="1020,1053" path="m3841,848l3727,907,3614,1074,3501,1324,3387,1439,3274,1537,3161,1667,3047,1768,2934,1868,2821,1900,2934,1900,3047,1834,3161,1756,3274,1638,3387,1548,3501,1438,3614,1194,3727,1033,3841,978,3841,848xe" filled="true" fillcolor="#008256" stroked="false">
              <v:path arrowok="t"/>
              <v:fill type="solid"/>
            </v:shape>
            <v:shape style="position:absolute;left:883;top:533;width:74;height:421" coordorigin="883,533" coordsize="74,421" path="m883,954l957,954m883,533l957,533e" filled="false" stroked="true" strokeweight=".5pt" strokecolor="#231f20">
              <v:path arrowok="t"/>
              <v:stroke dashstyle="solid"/>
            </v:shape>
            <v:shape style="position:absolute;left:1006;top:524;width:680;height:880" coordorigin="1007,524" coordsize="680,880" path="m1120,902l1007,524m1233,1314l1120,902m1347,1404l1233,1314m1460,1156l1347,1404m1573,1171l1460,1156m1687,1125l1573,1171e" filled="false" stroked="true" strokeweight="1pt" strokecolor="#008256">
              <v:path arrowok="t"/>
              <v:stroke dashstyle="solid"/>
            </v:shape>
            <v:line style="position:absolute" from="1677,1118" to="1810,1118" stroked="true" strokeweight="1.644pt" strokecolor="#008256">
              <v:stroke dashstyle="solid"/>
            </v:line>
            <v:shape style="position:absolute;left:1800;top:563;width:1020;height:1334" coordorigin="1800,564" coordsize="1020,1334" path="m1913,1010l1800,1112m2027,716l1913,1010m2140,615l2027,716m2253,564l2140,615m2367,927l2253,564m2480,1234l2367,927m2593,1459l2480,1234m2707,1763l2593,1459m2820,1897l2707,1763e" filled="false" stroked="true" strokeweight="1pt" strokecolor="#008256">
              <v:path arrowok="t"/>
              <v:stroke dashstyle="solid"/>
            </v:shape>
            <v:shape style="position:absolute;left:2820;top:907;width:1020;height:989" coordorigin="2820,908" coordsize="1020,989" path="m2933,1882l2820,1897m3047,1801l2933,1882m3160,1712l3047,1801m3273,1588l3160,1712m3387,1495l3273,1588m3500,1381l3387,1495m3613,1132l3500,1381m3727,966l3613,1132m3840,908l3727,966e" filled="false" stroked="true" strokeweight=".5pt" strokecolor="#008256">
              <v:path arrowok="t"/>
              <v:stroke dashstyle="solid"/>
            </v:shape>
            <v:shape style="position:absolute;left:883;top:2216;width:2957;height:2" coordorigin="883,2217" coordsize="2957,1" path="m883,2217l957,2217m1003,2218l3840,2218e" filled="false" stroked="true" strokeweight=".5pt" strokecolor="#231f20">
              <v:path arrowok="t"/>
              <v:stroke dashstyle="solid"/>
            </v:shape>
            <w10:wrap type="none"/>
          </v:group>
        </w:pict>
      </w:r>
      <w:r>
        <w:rPr/>
        <w:pict>
          <v:line style="position:absolute;mso-position-horizontal-relative:page;mso-position-vertical-relative:paragraph;z-index:15736832" from="44.167pt,5.607181pt" to="47.85pt,5.607181pt" stroked="true" strokeweight=".5pt" strokecolor="#231f20">
            <v:stroke dashstyle="solid"/>
            <w10:wrap type="none"/>
          </v:line>
        </w:pict>
      </w:r>
      <w:r>
        <w:rPr/>
        <w:pict>
          <v:line style="position:absolute;mso-position-horizontal-relative:page;mso-position-vertical-relative:paragraph;z-index:15739904" from="201.600001pt,5.649181pt" to="197.067001pt,5.649181pt" stroked="true" strokeweight=".5pt" strokecolor="#231f20">
            <v:stroke dashstyle="solid"/>
            <w10:wrap type="none"/>
          </v:line>
        </w:pict>
      </w:r>
      <w:r>
        <w:rPr>
          <w:color w:val="231F20"/>
          <w:sz w:val="12"/>
        </w:rPr>
        <w:t>5</w:t>
      </w:r>
    </w:p>
    <w:p>
      <w:pPr>
        <w:pStyle w:val="BodyText"/>
        <w:rPr>
          <w:sz w:val="12"/>
        </w:rPr>
      </w:pPr>
    </w:p>
    <w:p>
      <w:pPr>
        <w:pStyle w:val="BodyText"/>
        <w:spacing w:before="5"/>
        <w:rPr>
          <w:sz w:val="11"/>
        </w:rPr>
      </w:pPr>
    </w:p>
    <w:p>
      <w:pPr>
        <w:spacing w:before="0"/>
        <w:ind w:left="3466" w:right="0" w:firstLine="0"/>
        <w:jc w:val="left"/>
        <w:rPr>
          <w:sz w:val="12"/>
        </w:rPr>
      </w:pPr>
      <w:r>
        <w:rPr>
          <w:color w:val="231F20"/>
          <w:sz w:val="12"/>
        </w:rPr>
        <w:t>4</w:t>
      </w:r>
    </w:p>
    <w:p>
      <w:pPr>
        <w:pStyle w:val="BodyText"/>
        <w:spacing w:line="20" w:lineRule="exact"/>
        <w:ind w:left="3303"/>
        <w:rPr>
          <w:sz w:val="2"/>
        </w:rPr>
      </w:pPr>
      <w:r>
        <w:rPr>
          <w:sz w:val="2"/>
        </w:rPr>
        <w:pict>
          <v:group style="width:4.55pt;height:.5pt;mso-position-horizontal-relative:char;mso-position-vertical-relative:line" coordorigin="0,0" coordsize="91,10">
            <v:line style="position:absolute" from="91,5" to="0,5" stroked="true" strokeweight=".5pt" strokecolor="#231f20">
              <v:stroke dashstyle="solid"/>
            </v:line>
          </v:group>
        </w:pict>
      </w:r>
      <w:r>
        <w:rPr>
          <w:sz w:val="2"/>
        </w:rPr>
      </w:r>
    </w:p>
    <w:p>
      <w:pPr>
        <w:pStyle w:val="BodyText"/>
        <w:rPr>
          <w:sz w:val="12"/>
        </w:rPr>
      </w:pPr>
    </w:p>
    <w:p>
      <w:pPr>
        <w:pStyle w:val="BodyText"/>
        <w:spacing w:before="9"/>
        <w:rPr>
          <w:sz w:val="13"/>
        </w:rPr>
      </w:pPr>
    </w:p>
    <w:p>
      <w:pPr>
        <w:spacing w:line="42" w:lineRule="exact" w:before="0"/>
        <w:ind w:left="3466" w:right="0" w:firstLine="0"/>
        <w:jc w:val="left"/>
        <w:rPr>
          <w:sz w:val="12"/>
        </w:rPr>
      </w:pPr>
      <w:r>
        <w:rPr>
          <w:color w:val="231F20"/>
          <w:sz w:val="12"/>
        </w:rPr>
        <w:t>3</w:t>
      </w:r>
    </w:p>
    <w:p>
      <w:pPr>
        <w:pStyle w:val="BodyText"/>
        <w:spacing w:before="11"/>
        <w:rPr>
          <w:sz w:val="3"/>
        </w:rPr>
      </w:pPr>
    </w:p>
    <w:p>
      <w:pPr>
        <w:pStyle w:val="BodyText"/>
        <w:spacing w:line="20" w:lineRule="exact"/>
        <w:ind w:left="3303"/>
        <w:rPr>
          <w:sz w:val="2"/>
        </w:rPr>
      </w:pPr>
      <w:r>
        <w:rPr>
          <w:sz w:val="2"/>
        </w:rPr>
        <w:pict>
          <v:group style="width:4.55pt;height:.5pt;mso-position-horizontal-relative:char;mso-position-vertical-relative:line" coordorigin="0,0" coordsize="91,10">
            <v:line style="position:absolute" from="91,5" to="0,5" stroked="true" strokeweight=".5pt" strokecolor="#231f20">
              <v:stroke dashstyle="solid"/>
            </v:line>
          </v:group>
        </w:pict>
      </w:r>
      <w:r>
        <w:rPr>
          <w:sz w:val="2"/>
        </w:rPr>
      </w:r>
    </w:p>
    <w:p>
      <w:pPr>
        <w:spacing w:line="242" w:lineRule="auto" w:before="207"/>
        <w:ind w:left="170" w:right="35" w:firstLine="0"/>
        <w:jc w:val="left"/>
        <w:rPr>
          <w:sz w:val="24"/>
        </w:rPr>
      </w:pPr>
      <w:r>
        <w:rPr/>
        <w:br w:type="column"/>
      </w:r>
      <w:r>
        <w:rPr>
          <w:color w:val="231F20"/>
          <w:sz w:val="24"/>
        </w:rPr>
        <w:t>led the Monetary Policy Committee to reduce interest rates by a further 0.25% to 5.25% in April.</w:t>
      </w:r>
    </w:p>
    <w:p>
      <w:pPr>
        <w:pStyle w:val="BodyText"/>
        <w:spacing w:before="7"/>
        <w:rPr>
          <w:sz w:val="24"/>
        </w:rPr>
      </w:pPr>
    </w:p>
    <w:p>
      <w:pPr>
        <w:spacing w:line="242" w:lineRule="auto" w:before="0"/>
        <w:ind w:left="170" w:right="35" w:firstLine="0"/>
        <w:jc w:val="left"/>
        <w:rPr>
          <w:sz w:val="24"/>
        </w:rPr>
      </w:pPr>
      <w:r>
        <w:rPr>
          <w:color w:val="231F20"/>
          <w:sz w:val="24"/>
        </w:rPr>
        <w:t>The MPC’s current projection for the growth rate of GDP—based on the assumption that the Bank’s repo rate remains constant at 5.25%—is shown in Chart 1. The central projection is for the four-quarter rate of GDP growth to rise later this year from its current level of</w:t>
      </w:r>
    </w:p>
    <w:p>
      <w:pPr>
        <w:spacing w:line="21" w:lineRule="exact" w:before="17"/>
        <w:ind w:left="1029" w:right="0" w:firstLine="0"/>
        <w:jc w:val="left"/>
        <w:rPr>
          <w:sz w:val="12"/>
        </w:rPr>
      </w:pPr>
      <w:r>
        <w:rPr>
          <w:color w:val="231F20"/>
          <w:sz w:val="12"/>
        </w:rPr>
        <w:t>1</w:t>
      </w:r>
    </w:p>
    <w:p>
      <w:pPr>
        <w:spacing w:after="0" w:line="21" w:lineRule="exact"/>
        <w:jc w:val="left"/>
        <w:rPr>
          <w:sz w:val="12"/>
        </w:rPr>
        <w:sectPr>
          <w:type w:val="continuous"/>
          <w:pgSz w:w="11900" w:h="16840"/>
          <w:pgMar w:top="1220" w:bottom="280" w:left="640" w:right="640"/>
          <w:cols w:num="2" w:equalWidth="0">
            <w:col w:w="3883" w:space="947"/>
            <w:col w:w="5790"/>
          </w:cols>
        </w:sectPr>
      </w:pPr>
    </w:p>
    <w:p>
      <w:pPr>
        <w:spacing w:line="201" w:lineRule="exact" w:before="0"/>
        <w:ind w:left="5000" w:right="0" w:firstLine="0"/>
        <w:jc w:val="left"/>
        <w:rPr>
          <w:sz w:val="24"/>
        </w:rPr>
      </w:pPr>
      <w:r>
        <w:rPr>
          <w:color w:val="231F20"/>
          <w:sz w:val="24"/>
        </w:rPr>
        <w:t>between /</w:t>
      </w:r>
      <w:r>
        <w:rPr>
          <w:color w:val="231F20"/>
          <w:sz w:val="12"/>
        </w:rPr>
        <w:t>2</w:t>
      </w:r>
      <w:r>
        <w:rPr>
          <w:color w:val="231F20"/>
          <w:sz w:val="24"/>
        </w:rPr>
        <w:t>% and 1% to around trend by the middle of</w:t>
      </w:r>
    </w:p>
    <w:p>
      <w:pPr>
        <w:spacing w:after="0" w:line="201" w:lineRule="exact"/>
        <w:jc w:val="left"/>
        <w:rPr>
          <w:sz w:val="24"/>
        </w:rPr>
        <w:sectPr>
          <w:type w:val="continuous"/>
          <w:pgSz w:w="11900" w:h="16840"/>
          <w:pgMar w:top="1220" w:bottom="280" w:left="640" w:right="640"/>
        </w:sectPr>
      </w:pPr>
    </w:p>
    <w:p>
      <w:pPr>
        <w:pStyle w:val="BodyText"/>
        <w:spacing w:before="11"/>
        <w:rPr>
          <w:sz w:val="10"/>
        </w:rPr>
      </w:pPr>
    </w:p>
    <w:p>
      <w:pPr>
        <w:spacing w:before="0"/>
        <w:ind w:left="3466" w:right="0" w:firstLine="0"/>
        <w:jc w:val="left"/>
        <w:rPr>
          <w:sz w:val="12"/>
        </w:rPr>
      </w:pPr>
      <w:r>
        <w:rPr/>
        <w:pict>
          <v:line style="position:absolute;mso-position-horizontal-relative:page;mso-position-vertical-relative:paragraph;z-index:15736320" from="44.167pt,3.883543pt" to="47.85pt,3.883543pt" stroked="true" strokeweight=".5pt" strokecolor="#231f20">
            <v:stroke dashstyle="solid"/>
            <w10:wrap type="none"/>
          </v:line>
        </w:pict>
      </w:r>
      <w:r>
        <w:rPr/>
        <w:pict>
          <v:line style="position:absolute;mso-position-horizontal-relative:page;mso-position-vertical-relative:paragraph;z-index:15739392" from="197.399994pt,3.924542pt" to="201.932994pt,3.924542pt" stroked="true" strokeweight=".5pt" strokecolor="#231f20">
            <v:stroke dashstyle="solid"/>
            <w10:wrap type="none"/>
          </v:line>
        </w:pict>
      </w:r>
      <w:r>
        <w:rPr>
          <w:color w:val="231F20"/>
          <w:sz w:val="12"/>
        </w:rPr>
        <w:t>2</w:t>
      </w:r>
    </w:p>
    <w:p>
      <w:pPr>
        <w:pStyle w:val="BodyText"/>
        <w:rPr>
          <w:sz w:val="12"/>
        </w:rPr>
      </w:pPr>
    </w:p>
    <w:p>
      <w:pPr>
        <w:pStyle w:val="BodyText"/>
        <w:spacing w:before="4"/>
        <w:rPr>
          <w:sz w:val="10"/>
        </w:rPr>
      </w:pPr>
    </w:p>
    <w:p>
      <w:pPr>
        <w:spacing w:before="0"/>
        <w:ind w:left="3466" w:right="0" w:firstLine="0"/>
        <w:jc w:val="left"/>
        <w:rPr>
          <w:sz w:val="12"/>
        </w:rPr>
      </w:pPr>
      <w:r>
        <w:rPr/>
        <w:pict>
          <v:line style="position:absolute;mso-position-horizontal-relative:page;mso-position-vertical-relative:paragraph;z-index:15735808" from="44.167pt,5.197144pt" to="47.85pt,5.197144pt" stroked="true" strokeweight=".5pt" strokecolor="#231f20">
            <v:stroke dashstyle="solid"/>
            <w10:wrap type="none"/>
          </v:line>
        </w:pict>
      </w:r>
      <w:r>
        <w:rPr/>
        <w:pict>
          <v:line style="position:absolute;mso-position-horizontal-relative:page;mso-position-vertical-relative:paragraph;z-index:15738880" from="197.399994pt,5.239144pt" to="201.932994pt,5.239144pt" stroked="true" strokeweight=".5pt" strokecolor="#231f20">
            <v:stroke dashstyle="solid"/>
            <w10:wrap type="none"/>
          </v:line>
        </w:pict>
      </w:r>
      <w:r>
        <w:rPr>
          <w:color w:val="231F20"/>
          <w:sz w:val="12"/>
        </w:rPr>
        <w:t>1</w:t>
      </w:r>
    </w:p>
    <w:p>
      <w:pPr>
        <w:spacing w:before="86"/>
        <w:ind w:left="3386" w:right="0" w:firstLine="0"/>
        <w:jc w:val="left"/>
        <w:rPr>
          <w:sz w:val="16"/>
        </w:rPr>
      </w:pPr>
      <w:r>
        <w:rPr>
          <w:color w:val="231F20"/>
          <w:sz w:val="16"/>
        </w:rPr>
        <w:t>+</w:t>
      </w:r>
    </w:p>
    <w:p>
      <w:pPr>
        <w:spacing w:line="132" w:lineRule="exact" w:before="43"/>
        <w:ind w:left="3466" w:right="0" w:firstLine="0"/>
        <w:jc w:val="left"/>
        <w:rPr>
          <w:sz w:val="12"/>
        </w:rPr>
      </w:pPr>
      <w:r>
        <w:rPr/>
        <w:pict>
          <v:line style="position:absolute;mso-position-horizontal-relative:page;mso-position-vertical-relative:paragraph;z-index:15738368" from="201.932994pt,5.900584pt" to="197.399994pt,5.900584pt" stroked="true" strokeweight=".5pt" strokecolor="#231f20">
            <v:stroke dashstyle="solid"/>
            <w10:wrap type="none"/>
          </v:line>
        </w:pict>
      </w:r>
      <w:r>
        <w:rPr>
          <w:color w:val="231F20"/>
          <w:sz w:val="12"/>
        </w:rPr>
        <w:t>0</w:t>
      </w:r>
    </w:p>
    <w:p>
      <w:pPr>
        <w:spacing w:line="178" w:lineRule="exact" w:before="0"/>
        <w:ind w:left="3386" w:right="0" w:firstLine="0"/>
        <w:jc w:val="left"/>
        <w:rPr>
          <w:sz w:val="16"/>
        </w:rPr>
      </w:pPr>
      <w:r>
        <w:rPr>
          <w:color w:val="231F20"/>
          <w:sz w:val="16"/>
        </w:rPr>
        <w:t>_</w:t>
      </w:r>
    </w:p>
    <w:p>
      <w:pPr>
        <w:spacing w:line="125" w:lineRule="exact" w:before="110"/>
        <w:ind w:left="3466" w:right="0" w:firstLine="0"/>
        <w:jc w:val="left"/>
        <w:rPr>
          <w:sz w:val="12"/>
        </w:rPr>
      </w:pPr>
      <w:r>
        <w:rPr/>
        <w:pict>
          <v:shape style="position:absolute;margin-left:44.221001pt;margin-top:3.186332pt;width:147.8pt;height:6.1pt;mso-position-horizontal-relative:page;mso-position-vertical-relative:paragraph;z-index:15735296" coordorigin="884,64" coordsize="2956,122" path="m1007,185l3840,184m1007,184l1007,64m1120,184l1120,111m1233,184l1233,111m1347,184l1347,111m1460,184l1460,64m1573,184l1573,111m1687,184l1687,111m1800,184l1800,111m1913,184l1913,64m2027,184l2027,111m2140,184l2140,111m2253,184l2253,111m2367,184l2367,64m2480,184l2480,111m2593,184l2593,111m2707,184l2707,111m2820,184l2820,64m2933,184l2933,111m3047,184l3047,111m3160,184l3160,111m3273,65l3273,184m3387,184l3387,111m3500,184l3500,111m3613,184l3613,111m3727,184l3727,64m3840,184l3840,111m884,184l958,184e" filled="false" stroked="true" strokeweight=".5pt" strokecolor="#231f20">
            <v:path arrowok="t"/>
            <v:stroke dashstyle="solid"/>
            <w10:wrap type="none"/>
          </v:shape>
        </w:pict>
      </w:r>
      <w:r>
        <w:rPr/>
        <w:pict>
          <v:line style="position:absolute;mso-position-horizontal-relative:page;mso-position-vertical-relative:paragraph;z-index:15737856" from="201.932994pt,9.227332pt" to="197.399994pt,9.227332pt" stroked="true" strokeweight=".5pt" strokecolor="#231f20">
            <v:stroke dashstyle="solid"/>
            <w10:wrap type="none"/>
          </v:line>
        </w:pict>
      </w:r>
      <w:r>
        <w:rPr>
          <w:color w:val="231F20"/>
          <w:sz w:val="12"/>
        </w:rPr>
        <w:t>1</w:t>
      </w:r>
    </w:p>
    <w:p>
      <w:pPr>
        <w:tabs>
          <w:tab w:pos="973" w:val="left" w:leader="none"/>
          <w:tab w:pos="1453" w:val="left" w:leader="none"/>
          <w:tab w:pos="1906" w:val="left" w:leader="none"/>
          <w:tab w:pos="2353" w:val="left" w:leader="none"/>
          <w:tab w:pos="2733" w:val="left" w:leader="none"/>
        </w:tabs>
        <w:spacing w:line="125" w:lineRule="exact" w:before="0"/>
        <w:ind w:left="440" w:right="0" w:firstLine="0"/>
        <w:jc w:val="left"/>
        <w:rPr>
          <w:sz w:val="12"/>
        </w:rPr>
      </w:pPr>
      <w:r>
        <w:rPr>
          <w:color w:val="231F20"/>
          <w:sz w:val="12"/>
        </w:rPr>
        <w:t>1995</w:t>
        <w:tab/>
        <w:t>96</w:t>
        <w:tab/>
        <w:t>97</w:t>
        <w:tab/>
        <w:t>98</w:t>
        <w:tab/>
        <w:t>99</w:t>
        <w:tab/>
        <w:t>2000</w:t>
      </w:r>
      <w:r>
        <w:rPr>
          <w:color w:val="231F20"/>
          <w:spacing w:val="20"/>
          <w:sz w:val="12"/>
        </w:rPr>
        <w:t> </w:t>
      </w:r>
      <w:r>
        <w:rPr>
          <w:color w:val="231F20"/>
          <w:sz w:val="12"/>
        </w:rPr>
        <w:t>01</w:t>
      </w:r>
    </w:p>
    <w:p>
      <w:pPr>
        <w:pStyle w:val="BodyText"/>
        <w:spacing w:before="2"/>
        <w:rPr>
          <w:sz w:val="14"/>
        </w:rPr>
      </w:pPr>
    </w:p>
    <w:p>
      <w:pPr>
        <w:spacing w:line="208" w:lineRule="auto" w:before="0"/>
        <w:ind w:left="160" w:right="469" w:firstLine="0"/>
        <w:jc w:val="left"/>
        <w:rPr>
          <w:sz w:val="12"/>
        </w:rPr>
      </w:pPr>
      <w:r>
        <w:rPr>
          <w:color w:val="231F20"/>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95"/>
        <w:ind w:left="180"/>
      </w:pPr>
      <w:r>
        <w:rPr>
          <w:color w:val="0093C1"/>
        </w:rPr>
        <w:t>Chart 2</w:t>
      </w:r>
    </w:p>
    <w:p>
      <w:pPr>
        <w:pStyle w:val="Heading4"/>
        <w:spacing w:line="249" w:lineRule="auto"/>
        <w:ind w:left="180" w:right="20"/>
      </w:pPr>
      <w:r>
        <w:rPr>
          <w:color w:val="0093C1"/>
        </w:rPr>
        <w:t>Current RPIX inflation projection based on constant nominal interest rates at 5.25%</w:t>
      </w:r>
    </w:p>
    <w:p>
      <w:pPr>
        <w:spacing w:line="66" w:lineRule="exact" w:before="176"/>
        <w:ind w:left="1111" w:right="0" w:firstLine="0"/>
        <w:jc w:val="left"/>
        <w:rPr>
          <w:sz w:val="12"/>
        </w:rPr>
      </w:pPr>
      <w:r>
        <w:rPr>
          <w:color w:val="231F20"/>
          <w:sz w:val="12"/>
        </w:rPr>
        <w:t>Percentage increase in prices on a year earlier</w:t>
      </w:r>
    </w:p>
    <w:p>
      <w:pPr>
        <w:spacing w:line="242" w:lineRule="auto" w:before="4"/>
        <w:ind w:left="160" w:right="214" w:firstLine="0"/>
        <w:jc w:val="left"/>
        <w:rPr>
          <w:sz w:val="24"/>
        </w:rPr>
      </w:pPr>
      <w:r>
        <w:rPr/>
        <w:br w:type="column"/>
      </w:r>
      <w:r>
        <w:rPr>
          <w:color w:val="231F20"/>
          <w:sz w:val="24"/>
        </w:rPr>
        <w:t>next year. The profile is similar to the February projection, but the pick-up in growth in the central projection begins slightly sooner, domestic demand growth is stronger, and net trade is weaker. The probability of a decline in output is judged to have fallen.</w:t>
      </w:r>
    </w:p>
    <w:p>
      <w:pPr>
        <w:pStyle w:val="BodyText"/>
        <w:rPr>
          <w:sz w:val="25"/>
        </w:rPr>
      </w:pPr>
    </w:p>
    <w:p>
      <w:pPr>
        <w:spacing w:line="242" w:lineRule="auto" w:before="0"/>
        <w:ind w:left="160" w:right="138" w:firstLine="0"/>
        <w:jc w:val="left"/>
        <w:rPr>
          <w:sz w:val="24"/>
        </w:rPr>
      </w:pPr>
      <w:r>
        <w:rPr>
          <w:color w:val="231F20"/>
          <w:sz w:val="24"/>
        </w:rPr>
        <w:t>The corresponding projection for RPIX inflation is shown in Chart 2. The most likely path is for inflation to fall slightly below target over the next year or so, before rising to around 2.5% at the two-year forecast horizon.</w:t>
      </w:r>
    </w:p>
    <w:p>
      <w:pPr>
        <w:spacing w:line="242" w:lineRule="auto" w:before="5"/>
        <w:ind w:left="160" w:right="214" w:firstLine="0"/>
        <w:jc w:val="left"/>
        <w:rPr>
          <w:sz w:val="24"/>
        </w:rPr>
      </w:pPr>
      <w:r>
        <w:rPr>
          <w:color w:val="231F20"/>
          <w:sz w:val="24"/>
        </w:rPr>
        <w:t>The projected decline in inflation in the near term is largely the result of lower nominal earnings growth and a higher starting-point for sterling than previously assumed. Inflation rises towards the forecast horizon as demand growth strengthens and as the restraining</w:t>
      </w:r>
    </w:p>
    <w:p>
      <w:pPr>
        <w:spacing w:after="0" w:line="242" w:lineRule="auto"/>
        <w:jc w:val="left"/>
        <w:rPr>
          <w:sz w:val="24"/>
        </w:rPr>
        <w:sectPr>
          <w:type w:val="continuous"/>
          <w:pgSz w:w="11900" w:h="16840"/>
          <w:pgMar w:top="1220" w:bottom="280" w:left="640" w:right="640"/>
          <w:cols w:num="2" w:equalWidth="0">
            <w:col w:w="3959" w:space="881"/>
            <w:col w:w="5780"/>
          </w:cols>
        </w:sectPr>
      </w:pPr>
    </w:p>
    <w:p>
      <w:pPr>
        <w:pStyle w:val="BodyText"/>
        <w:spacing w:before="4"/>
        <w:rPr>
          <w:sz w:val="9"/>
        </w:rPr>
      </w:pPr>
    </w:p>
    <w:p>
      <w:pPr>
        <w:pStyle w:val="BodyText"/>
        <w:spacing w:line="20" w:lineRule="exact"/>
        <w:ind w:left="225"/>
        <w:rPr>
          <w:sz w:val="2"/>
        </w:rPr>
      </w:pPr>
      <w:r>
        <w:rPr>
          <w:sz w:val="2"/>
        </w:rPr>
        <w:pict>
          <v:group style="width:3.65pt;height:.5pt;mso-position-horizontal-relative:char;mso-position-vertical-relative:line" coordorigin="0,0" coordsize="73,10">
            <v:line style="position:absolute" from="0,5" to="73,5" stroked="true" strokeweight=".5pt" strokecolor="#231f20">
              <v:stroke dashstyle="solid"/>
            </v:line>
          </v:group>
        </w:pict>
      </w:r>
      <w:r>
        <w:rPr>
          <w:sz w:val="2"/>
        </w:rPr>
      </w:r>
    </w:p>
    <w:p>
      <w:pPr>
        <w:pStyle w:val="BodyText"/>
        <w:rPr>
          <w:sz w:val="20"/>
        </w:rPr>
      </w:pPr>
    </w:p>
    <w:p>
      <w:pPr>
        <w:pStyle w:val="BodyText"/>
        <w:spacing w:before="6"/>
        <w:rPr>
          <w:sz w:val="26"/>
        </w:rPr>
      </w:pPr>
      <w:r>
        <w:rPr/>
        <w:pict>
          <v:shape style="position:absolute;margin-left:43.533001pt;margin-top:17.483976pt;width:3.65pt;height:.1pt;mso-position-horizontal-relative:page;mso-position-vertical-relative:paragraph;z-index:-15726080;mso-wrap-distance-left:0;mso-wrap-distance-right:0" coordorigin="871,350" coordsize="73,0" path="m943,350l871,350e" filled="false" stroked="true" strokeweight=".5pt" strokecolor="#231f20">
            <v:path arrowok="t"/>
            <v:stroke dashstyle="solid"/>
            <w10:wrap type="topAndBottom"/>
          </v:shape>
        </w:pict>
      </w:r>
    </w:p>
    <w:p>
      <w:pPr>
        <w:pStyle w:val="BodyText"/>
        <w:rPr>
          <w:sz w:val="20"/>
        </w:rPr>
      </w:pPr>
    </w:p>
    <w:p>
      <w:pPr>
        <w:pStyle w:val="BodyText"/>
        <w:spacing w:before="10"/>
        <w:rPr>
          <w:sz w:val="24"/>
        </w:rPr>
      </w:pPr>
      <w:r>
        <w:rPr/>
        <w:pict>
          <v:shape style="position:absolute;margin-left:43.533001pt;margin-top:16.533978pt;width:3.65pt;height:.1pt;mso-position-horizontal-relative:page;mso-position-vertical-relative:paragraph;z-index:-15725568;mso-wrap-distance-left:0;mso-wrap-distance-right:0" coordorigin="871,331" coordsize="73,0" path="m943,331l871,331e" filled="false" stroked="true" strokeweight=".5pt" strokecolor="#231f20">
            <v:path arrowok="t"/>
            <v:stroke dashstyle="solid"/>
            <w10:wrap type="topAndBottom"/>
          </v:shape>
        </w:pict>
      </w:r>
    </w:p>
    <w:p>
      <w:pPr>
        <w:pStyle w:val="BodyText"/>
        <w:rPr>
          <w:sz w:val="20"/>
        </w:rPr>
      </w:pPr>
    </w:p>
    <w:p>
      <w:pPr>
        <w:pStyle w:val="BodyText"/>
        <w:spacing w:before="10"/>
        <w:rPr>
          <w:sz w:val="24"/>
        </w:rPr>
      </w:pPr>
      <w:r>
        <w:rPr/>
        <w:pict>
          <v:shape style="position:absolute;margin-left:43.533001pt;margin-top:16.535976pt;width:3.65pt;height:.1pt;mso-position-horizontal-relative:page;mso-position-vertical-relative:paragraph;z-index:-15725056;mso-wrap-distance-left:0;mso-wrap-distance-right:0" coordorigin="871,331" coordsize="73,0" path="m871,331l943,331e" filled="false" stroked="true" strokeweight=".5pt" strokecolor="#231f20">
            <v:path arrowok="t"/>
            <v:stroke dashstyle="solid"/>
            <w10:wrap type="topAndBottom"/>
          </v:shape>
        </w:pict>
      </w:r>
    </w:p>
    <w:p>
      <w:pPr>
        <w:pStyle w:val="BodyText"/>
        <w:rPr>
          <w:sz w:val="20"/>
        </w:rPr>
      </w:pPr>
    </w:p>
    <w:p>
      <w:pPr>
        <w:pStyle w:val="BodyText"/>
        <w:spacing w:before="10"/>
        <w:rPr>
          <w:sz w:val="24"/>
        </w:rPr>
      </w:pPr>
      <w:r>
        <w:rPr/>
        <w:pict>
          <v:shape style="position:absolute;margin-left:43.533001pt;margin-top:16.533978pt;width:3.65pt;height:.1pt;mso-position-horizontal-relative:page;mso-position-vertical-relative:paragraph;z-index:-15724544;mso-wrap-distance-left:0;mso-wrap-distance-right:0" coordorigin="871,331" coordsize="73,0" path="m943,331l871,331e" filled="false" stroked="true" strokeweight=".5pt" strokecolor="#231f20">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spacing w:before="5"/>
        <w:rPr>
          <w:sz w:val="17"/>
        </w:rPr>
      </w:pPr>
    </w:p>
    <w:p>
      <w:pPr>
        <w:tabs>
          <w:tab w:pos="999" w:val="left" w:leader="none"/>
          <w:tab w:pos="1421" w:val="left" w:leader="none"/>
          <w:tab w:pos="1874" w:val="left" w:leader="none"/>
          <w:tab w:pos="2311" w:val="left" w:leader="none"/>
          <w:tab w:pos="2717" w:val="left" w:leader="none"/>
        </w:tabs>
        <w:spacing w:before="1"/>
        <w:ind w:left="461" w:right="0" w:firstLine="0"/>
        <w:jc w:val="left"/>
        <w:rPr>
          <w:sz w:val="12"/>
        </w:rPr>
      </w:pPr>
      <w:r>
        <w:rPr>
          <w:color w:val="231F20"/>
          <w:sz w:val="12"/>
        </w:rPr>
        <w:t>1995</w:t>
        <w:tab/>
        <w:t>96</w:t>
        <w:tab/>
        <w:t>97</w:t>
        <w:tab/>
        <w:t>98</w:t>
        <w:tab/>
        <w:t>99</w:t>
        <w:tab/>
        <w:t>2000</w:t>
      </w:r>
      <w:r>
        <w:rPr>
          <w:color w:val="231F20"/>
          <w:spacing w:val="24"/>
          <w:sz w:val="12"/>
        </w:rPr>
        <w:t> </w:t>
      </w:r>
      <w:r>
        <w:rPr>
          <w:color w:val="231F20"/>
          <w:spacing w:val="-10"/>
          <w:sz w:val="12"/>
        </w:rPr>
        <w:t>01</w:t>
      </w:r>
    </w:p>
    <w:p>
      <w:pPr>
        <w:spacing w:before="41"/>
        <w:ind w:left="62" w:right="0" w:firstLine="0"/>
        <w:jc w:val="left"/>
        <w:rPr>
          <w:sz w:val="12"/>
        </w:rPr>
      </w:pPr>
      <w:r>
        <w:rPr/>
        <w:br w:type="column"/>
      </w:r>
      <w:r>
        <w:rPr>
          <w:color w:val="231F20"/>
          <w:sz w:val="12"/>
        </w:rPr>
        <w:t>5</w:t>
      </w:r>
    </w:p>
    <w:p>
      <w:pPr>
        <w:pStyle w:val="BodyText"/>
        <w:rPr>
          <w:sz w:val="12"/>
        </w:rPr>
      </w:pPr>
    </w:p>
    <w:p>
      <w:pPr>
        <w:pStyle w:val="BodyText"/>
        <w:rPr>
          <w:sz w:val="12"/>
        </w:rPr>
      </w:pPr>
    </w:p>
    <w:p>
      <w:pPr>
        <w:pStyle w:val="BodyText"/>
        <w:spacing w:before="8"/>
        <w:rPr>
          <w:sz w:val="15"/>
        </w:rPr>
      </w:pPr>
    </w:p>
    <w:p>
      <w:pPr>
        <w:spacing w:before="0"/>
        <w:ind w:left="62" w:right="0" w:firstLine="0"/>
        <w:jc w:val="left"/>
        <w:rPr>
          <w:sz w:val="12"/>
        </w:rPr>
      </w:pPr>
      <w:r>
        <w:rPr/>
        <w:pict>
          <v:group style="position:absolute;margin-left:49.200001pt;margin-top:.036950pt;width:146.9pt;height:93.1pt;mso-position-horizontal-relative:page;mso-position-vertical-relative:paragraph;z-index:15733248" coordorigin="984,1" coordsize="2938,1862">
            <v:shape style="position:absolute;left:2785;top:0;width:1005;height:1790" coordorigin="2786,1" coordsize="1005,1790" path="m3790,1l3678,118,3567,295,3455,384,3344,471,3232,553,3120,587,3009,695,2897,784,2786,956,2897,1139,3009,1287,3120,1415,3232,1618,3344,1655,3455,1689,3567,1782,3678,1786,3790,1791,3790,1xe" filled="true" fillcolor="#fee7de" stroked="false">
              <v:path arrowok="t"/>
              <v:fill type="solid"/>
            </v:shape>
            <v:shape style="position:absolute;left:2785;top:216;width:1005;height:1419" coordorigin="2786,217" coordsize="1005,1419" path="m3790,217l3678,320,3567,475,3455,543,3344,616,3232,683,3120,687,3009,765,2897,824,2786,952,2897,1101,3009,1226,3120,1332,3232,1513,3344,1538,3455,1560,3567,1635,3678,1622,3790,1614,3790,217xe" filled="true" fillcolor="#fcd3c4" stroked="false">
              <v:path arrowok="t"/>
              <v:fill type="solid"/>
            </v:shape>
            <v:shape style="position:absolute;left:2785;top:369;width:1005;height:1166" coordorigin="2786,370" coordsize="1005,1166" path="m3790,370l3678,461,3567,598,3455,649,3344,709,3232,767,3120,752,3009,811,2897,851,2786,950,2897,1074,3009,1183,3120,1272,3232,1436,3455,1469,3567,1535,3678,1513,3790,1500,3790,370xe" filled="true" fillcolor="#fabeac" stroked="false">
              <v:path arrowok="t"/>
              <v:fill type="solid"/>
            </v:shape>
            <v:shape style="position:absolute;left:2785;top:489;width:1005;height:970" coordorigin="2786,490" coordsize="1005,970" path="m3790,490l3678,573,3567,698,3455,736,3344,788,3232,838,3120,807,3009,851,2897,876,2786,952,2897,1058,3009,1154,3120,1232,3232,1384,3344,1395,3455,1404,3567,1459,3678,1427,3790,1406,3790,490xe" filled="true" fillcolor="#f8aa95" stroked="false">
              <v:path arrowok="t"/>
              <v:fill type="solid"/>
            </v:shape>
            <v:shape style="position:absolute;left:2785;top:593;width:1005;height:803" coordorigin="2786,593" coordsize="1005,803" path="m3790,593l3678,669,3567,783,3455,810,3344,856,3232,899,3120,855,3009,886,2897,898,2786,954,2897,1044,3009,1130,3120,1196,3232,1338,3344,1343,3455,1348,3567,1396,3678,1356,3790,1331,3790,593xe" filled="true" fillcolor="#f69780" stroked="false">
              <v:path arrowok="t"/>
              <v:fill type="solid"/>
            </v:shape>
            <v:shape style="position:absolute;left:2785;top:687;width:1005;height:649" coordorigin="2786,688" coordsize="1005,649" path="m3790,688l3678,756,3567,860,3455,877,3344,915,3232,952,3120,896,3009,915,2897,915,2786,954,2897,1029,3009,1106,3120,1163,3232,1295,3344,1295,3455,1295,3567,1336,3678,1289,3790,1259,3790,688xe" filled="true" fillcolor="#f5846d" stroked="false">
              <v:path arrowok="t"/>
              <v:fill type="solid"/>
            </v:shape>
            <v:shape style="position:absolute;left:2785;top:768;width:1005;height:512" coordorigin="2786,769" coordsize="1005,512" path="m3790,769l3678,832,3567,929,3455,938,3344,972,3232,1003,3120,935,3009,943,2897,931,2786,951,2897,1014,3009,1082,3120,1131,3232,1255,3344,1251,3455,1247,3567,1280,3678,1226,3790,1191,3790,769xe" filled="true" fillcolor="#f3715b" stroked="false">
              <v:path arrowok="t"/>
              <v:fill type="solid"/>
            </v:shape>
            <v:shape style="position:absolute;left:2785;top:845;width:1005;height:381" coordorigin="2786,846" coordsize="1005,381" path="m3790,846l3678,904,3567,994,3455,996,3344,1025,3232,1051,3120,972,3009,969,2897,946,2786,951,2897,1001,3009,1061,3120,1101,3232,1217,3344,1209,3455,1199,3567,1226,3678,1165,3790,1125,3790,846xe" filled="true" fillcolor="#f15b4a" stroked="false">
              <v:path arrowok="t"/>
              <v:fill type="solid"/>
            </v:shape>
            <v:shape style="position:absolute;left:2785;top:929;width:1005;height:251" coordorigin="2786,929" coordsize="1005,251" path="m3790,929l3678,981,3567,1060,3455,1051,3232,1094,3120,1006,3009,993,2897,961,2786,951,2897,989,3009,1041,3120,1073,3232,1180,3344,1168,3455,1155,3567,1176,3678,1109,3790,1066,3790,929xe" filled="true" fillcolor="#ed1b2d" stroked="false">
              <v:path arrowok="t"/>
              <v:fill type="solid"/>
            </v:shape>
            <v:shape style="position:absolute;left:997;top:705;width:224;height:110" coordorigin="997,706" coordsize="224,110" path="m1109,816l997,790m1109,816l1220,706e" filled="false" stroked="true" strokeweight="1pt" strokecolor="#ed1b2d">
              <v:path arrowok="t"/>
              <v:stroke dashstyle="solid"/>
            </v:shape>
            <v:line style="position:absolute" from="1210,709" to="1342,709" stroked="true" strokeweight="1.322pt" strokecolor="#ed1b2d">
              <v:stroke dashstyle="solid"/>
            </v:line>
            <v:shape style="position:absolute;left:1331;top:535;width:1340;height:411" coordorigin="1332,535" coordsize="1340,411" path="m1332,712l1443,767m1443,767l1555,793m1555,793l1667,742m1778,535l1667,742m1778,535l1890,748m1890,748l2001,929m2001,929l2113,764m2225,814l2113,764m2336,936l2225,814m2448,675l2336,936m2448,675l2559,924m2559,924l2671,946e" filled="false" stroked="true" strokeweight="1pt" strokecolor="#ed1b2d">
              <v:path arrowok="t"/>
              <v:stroke dashstyle="solid"/>
            </v:shape>
            <v:line style="position:absolute" from="2661,949" to="2793,949" stroked="true" strokeweight="1.299pt" strokecolor="#ed1b2d">
              <v:stroke dashstyle="solid"/>
            </v:line>
            <v:shape style="position:absolute;left:2782;top:952;width:1005;height:192" coordorigin="2783,952" coordsize="1005,192" path="m2894,978l2783,952m3006,1021l2894,978m3006,1021l3117,1045m3117,1045l3229,1143m3229,1143l3341,1127m3452,1111l3341,1127m3564,1126l3452,1111m3564,1126l3675,1055m3787,1008l3675,1055e" filled="false" stroked="true" strokeweight=".5pt" strokecolor="#ed1b2d">
              <v:path arrowok="t"/>
              <v:stroke dashstyle="solid"/>
            </v:shape>
            <v:shape style="position:absolute;left:984;top:72;width:2938;height:1785" coordorigin="984,73" coordsize="2938,1785" path="m3922,1857l3849,1857m3849,1262l3922,1262m3922,668l3849,668m3922,73l3849,73m984,958l3795,958m3849,958l3922,958e" filled="false" stroked="true" strokeweight=".5pt" strokecolor="#231f20">
              <v:path arrowok="t"/>
              <v:stroke dashstyle="solid"/>
            </v:shape>
            <w10:wrap type="none"/>
          </v:group>
        </w:pict>
      </w:r>
      <w:r>
        <w:rPr/>
        <w:pict>
          <v:line style="position:absolute;mso-position-horizontal-relative:page;mso-position-vertical-relative:paragraph;z-index:15734272" from="192.453003pt,-26.08905pt" to="196.080003pt,-26.08905pt" stroked="true" strokeweight=".5pt" strokecolor="#231f20">
            <v:stroke dashstyle="solid"/>
            <w10:wrap type="none"/>
          </v:line>
        </w:pict>
      </w:r>
      <w:r>
        <w:rPr>
          <w:color w:val="231F20"/>
          <w:sz w:val="12"/>
        </w:rPr>
        <w:t>4</w:t>
      </w:r>
    </w:p>
    <w:p>
      <w:pPr>
        <w:pStyle w:val="BodyText"/>
        <w:rPr>
          <w:sz w:val="12"/>
        </w:rPr>
      </w:pPr>
    </w:p>
    <w:p>
      <w:pPr>
        <w:pStyle w:val="BodyText"/>
        <w:rPr>
          <w:sz w:val="12"/>
        </w:rPr>
      </w:pPr>
    </w:p>
    <w:p>
      <w:pPr>
        <w:pStyle w:val="BodyText"/>
        <w:spacing w:before="8"/>
        <w:rPr>
          <w:sz w:val="15"/>
        </w:rPr>
      </w:pPr>
    </w:p>
    <w:p>
      <w:pPr>
        <w:spacing w:before="0"/>
        <w:ind w:left="62" w:right="0" w:firstLine="0"/>
        <w:jc w:val="left"/>
        <w:rPr>
          <w:sz w:val="12"/>
        </w:rPr>
      </w:pPr>
      <w:r>
        <w:rPr>
          <w:color w:val="231F20"/>
          <w:sz w:val="12"/>
        </w:rPr>
        <w:t>3</w:t>
      </w:r>
    </w:p>
    <w:p>
      <w:pPr>
        <w:pStyle w:val="BodyText"/>
        <w:spacing w:before="5"/>
        <w:rPr>
          <w:sz w:val="14"/>
        </w:rPr>
      </w:pPr>
    </w:p>
    <w:p>
      <w:pPr>
        <w:spacing w:before="0"/>
        <w:ind w:left="62" w:right="0" w:firstLine="0"/>
        <w:jc w:val="left"/>
        <w:rPr>
          <w:sz w:val="12"/>
        </w:rPr>
      </w:pPr>
      <w:r>
        <w:rPr>
          <w:color w:val="231F20"/>
          <w:sz w:val="12"/>
        </w:rPr>
        <w:t>2.5</w:t>
      </w:r>
    </w:p>
    <w:p>
      <w:pPr>
        <w:pStyle w:val="BodyText"/>
        <w:spacing w:before="3"/>
        <w:rPr>
          <w:sz w:val="13"/>
        </w:rPr>
      </w:pPr>
    </w:p>
    <w:p>
      <w:pPr>
        <w:spacing w:before="0"/>
        <w:ind w:left="62" w:right="0" w:firstLine="0"/>
        <w:jc w:val="left"/>
        <w:rPr>
          <w:sz w:val="12"/>
        </w:rPr>
      </w:pPr>
      <w:r>
        <w:rPr>
          <w:color w:val="231F20"/>
          <w:sz w:val="12"/>
        </w:rPr>
        <w:t>2</w:t>
      </w:r>
    </w:p>
    <w:p>
      <w:pPr>
        <w:pStyle w:val="BodyText"/>
        <w:rPr>
          <w:sz w:val="12"/>
        </w:rPr>
      </w:pPr>
    </w:p>
    <w:p>
      <w:pPr>
        <w:pStyle w:val="BodyText"/>
        <w:rPr>
          <w:sz w:val="12"/>
        </w:rPr>
      </w:pPr>
    </w:p>
    <w:p>
      <w:pPr>
        <w:pStyle w:val="BodyText"/>
        <w:spacing w:before="8"/>
        <w:rPr>
          <w:sz w:val="15"/>
        </w:rPr>
      </w:pPr>
    </w:p>
    <w:p>
      <w:pPr>
        <w:spacing w:before="1"/>
        <w:ind w:left="62" w:right="0" w:firstLine="0"/>
        <w:jc w:val="left"/>
        <w:rPr>
          <w:sz w:val="12"/>
        </w:rPr>
      </w:pPr>
      <w:r>
        <w:rPr>
          <w:color w:val="231F20"/>
          <w:sz w:val="12"/>
        </w:rPr>
        <w:t>1</w:t>
      </w:r>
    </w:p>
    <w:p>
      <w:pPr>
        <w:pStyle w:val="BodyText"/>
        <w:rPr>
          <w:sz w:val="12"/>
        </w:rPr>
      </w:pPr>
    </w:p>
    <w:p>
      <w:pPr>
        <w:pStyle w:val="BodyText"/>
        <w:rPr>
          <w:sz w:val="12"/>
        </w:rPr>
      </w:pPr>
    </w:p>
    <w:p>
      <w:pPr>
        <w:pStyle w:val="BodyText"/>
        <w:spacing w:before="8"/>
        <w:rPr>
          <w:sz w:val="15"/>
        </w:rPr>
      </w:pPr>
    </w:p>
    <w:p>
      <w:pPr>
        <w:spacing w:before="0"/>
        <w:ind w:left="62" w:right="0" w:firstLine="0"/>
        <w:jc w:val="left"/>
        <w:rPr>
          <w:sz w:val="12"/>
        </w:rPr>
      </w:pPr>
      <w:r>
        <w:rPr/>
        <w:pict>
          <v:shape style="position:absolute;margin-left:43.533001pt;margin-top:-2.398438pt;width:152.550pt;height:6.05pt;mso-position-horizontal-relative:page;mso-position-vertical-relative:paragraph;z-index:15733760" coordorigin="871,-48" coordsize="3051,121" path="m3795,72l1004,72m997,-48l997,72m1109,-2l1109,72m1220,-2l1220,72m1332,-2l1332,72m1443,72l1443,-48m1555,72l1555,-2m1667,72l1667,-2m1778,-2l1778,72m1890,72l1890,-48m2001,72l2001,-2m2113,-2l2113,72m2225,-2l2225,72m2336,-48l2336,72m2448,72l2448,-2m2559,72l2559,-2m2671,72l2671,-2m2783,72l2783,-48m2894,72l2894,-2m3006,-2l3006,72m3117,-2l3117,72m3229,-48l3229,72m3341,-2l3341,72m3452,-2l3452,72m3564,72l3564,-2m3675,72l3675,-48m3787,72l3787,-2m943,72l871,72m3922,73l3849,73e" filled="false" stroked="true" strokeweight=".5pt" strokecolor="#231f20">
            <v:path arrowok="t"/>
            <v:stroke dashstyle="solid"/>
            <w10:wrap type="none"/>
          </v:shape>
        </w:pict>
      </w:r>
      <w:r>
        <w:rPr>
          <w:color w:val="231F20"/>
          <w:sz w:val="12"/>
        </w:rPr>
        <w:t>0</w:t>
      </w:r>
    </w:p>
    <w:p>
      <w:pPr>
        <w:spacing w:line="242" w:lineRule="auto" w:before="0"/>
        <w:ind w:left="461" w:right="175" w:firstLine="0"/>
        <w:jc w:val="left"/>
        <w:rPr>
          <w:sz w:val="24"/>
        </w:rPr>
      </w:pPr>
      <w:r>
        <w:rPr/>
        <w:br w:type="column"/>
      </w:r>
      <w:r>
        <w:rPr>
          <w:color w:val="231F20"/>
          <w:sz w:val="24"/>
        </w:rPr>
        <w:t>influence on prices of the strong exchange rate wears off. Indeed, the projection assumes that sterling </w:t>
      </w:r>
      <w:r>
        <w:rPr>
          <w:color w:val="231F20"/>
          <w:spacing w:val="-3"/>
          <w:sz w:val="24"/>
        </w:rPr>
        <w:t>declines </w:t>
      </w:r>
      <w:r>
        <w:rPr>
          <w:color w:val="231F20"/>
          <w:sz w:val="24"/>
        </w:rPr>
        <w:t>from its present high level, at least in line with interest rate</w:t>
      </w:r>
      <w:r>
        <w:rPr>
          <w:color w:val="231F20"/>
          <w:spacing w:val="-1"/>
          <w:sz w:val="24"/>
        </w:rPr>
        <w:t> </w:t>
      </w:r>
      <w:r>
        <w:rPr>
          <w:color w:val="231F20"/>
          <w:sz w:val="24"/>
        </w:rPr>
        <w:t>differentials.</w:t>
      </w:r>
    </w:p>
    <w:p>
      <w:pPr>
        <w:pStyle w:val="BodyText"/>
        <w:spacing w:before="10"/>
        <w:rPr>
          <w:sz w:val="23"/>
        </w:rPr>
      </w:pPr>
    </w:p>
    <w:p>
      <w:pPr>
        <w:spacing w:line="242" w:lineRule="auto" w:before="1"/>
        <w:ind w:left="461" w:right="175" w:firstLine="0"/>
        <w:jc w:val="left"/>
        <w:rPr>
          <w:sz w:val="24"/>
        </w:rPr>
      </w:pPr>
      <w:r>
        <w:rPr>
          <w:color w:val="231F20"/>
          <w:sz w:val="24"/>
        </w:rPr>
        <w:t>The uncertainties surrounding the projection for GDP growth are broadly balanced. The possibility of a fall in equity wealth is a downside risk for consumption.</w:t>
      </w:r>
    </w:p>
    <w:p>
      <w:pPr>
        <w:spacing w:line="242" w:lineRule="auto" w:before="3"/>
        <w:ind w:left="461" w:right="348" w:firstLine="0"/>
        <w:jc w:val="left"/>
        <w:rPr>
          <w:sz w:val="24"/>
        </w:rPr>
      </w:pPr>
      <w:r>
        <w:rPr>
          <w:color w:val="231F20"/>
          <w:sz w:val="24"/>
        </w:rPr>
        <w:t>Upside risks to activity arise from the possibilities that sterling will be weaker, and that stockbuilding will be less negative, than in the central projection. Assuming that the exchange rate is likely to decline by more than</w:t>
      </w:r>
    </w:p>
    <w:p>
      <w:pPr>
        <w:spacing w:after="0" w:line="242" w:lineRule="auto"/>
        <w:jc w:val="left"/>
        <w:rPr>
          <w:sz w:val="24"/>
        </w:rPr>
        <w:sectPr>
          <w:type w:val="continuous"/>
          <w:pgSz w:w="11900" w:h="16840"/>
          <w:pgMar w:top="1220" w:bottom="280" w:left="640" w:right="640"/>
          <w:cols w:num="3" w:equalWidth="0">
            <w:col w:w="3222" w:space="40"/>
            <w:col w:w="253" w:space="1024"/>
            <w:col w:w="6081"/>
          </w:cols>
        </w:sectPr>
      </w:pPr>
    </w:p>
    <w:p>
      <w:pPr>
        <w:spacing w:line="208" w:lineRule="auto" w:before="53"/>
        <w:ind w:left="178" w:right="50" w:firstLine="0"/>
        <w:jc w:val="left"/>
        <w:rPr>
          <w:sz w:val="12"/>
        </w:rPr>
      </w:pPr>
      <w:r>
        <w:rPr>
          <w:color w:val="231F20"/>
          <w:sz w:val="12"/>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w:t>
      </w:r>
      <w:r>
        <w:rPr>
          <w:color w:val="231F20"/>
          <w:spacing w:val="-4"/>
          <w:sz w:val="12"/>
        </w:rPr>
        <w:t>bands </w:t>
      </w:r>
      <w:r>
        <w:rPr>
          <w:color w:val="231F20"/>
          <w:sz w:val="12"/>
        </w:rPr>
        <w:t>widen as the time horizon is extended, indicating increasing uncertainty about outcomes.</w:t>
      </w:r>
    </w:p>
    <w:p>
      <w:pPr>
        <w:spacing w:line="242" w:lineRule="auto" w:before="6"/>
        <w:ind w:left="178" w:right="96" w:firstLine="0"/>
        <w:jc w:val="left"/>
        <w:rPr>
          <w:sz w:val="24"/>
        </w:rPr>
      </w:pPr>
      <w:r>
        <w:rPr/>
        <w:br w:type="column"/>
      </w:r>
      <w:r>
        <w:rPr>
          <w:color w:val="231F20"/>
          <w:sz w:val="24"/>
        </w:rPr>
        <w:t>implied by interest rate differentials, the balance of risks to inflation is upwards. However, some Committee members see greater downside risks to inflation from a stronger exchange rate profile, weaker world activity and prices, and greater pressure on margins, than in the central projection.</w:t>
      </w:r>
    </w:p>
    <w:p>
      <w:pPr>
        <w:pStyle w:val="BodyText"/>
        <w:spacing w:before="11"/>
        <w:rPr>
          <w:sz w:val="24"/>
        </w:rPr>
      </w:pPr>
    </w:p>
    <w:p>
      <w:pPr>
        <w:spacing w:line="242" w:lineRule="auto" w:before="0"/>
        <w:ind w:left="178" w:right="195" w:firstLine="0"/>
        <w:jc w:val="left"/>
        <w:rPr>
          <w:sz w:val="24"/>
        </w:rPr>
      </w:pPr>
      <w:r>
        <w:rPr>
          <w:color w:val="231F20"/>
          <w:sz w:val="24"/>
        </w:rPr>
        <w:t>The starting-point for sterling in the projection is 4</w:t>
      </w:r>
      <w:r>
        <w:rPr>
          <w:color w:val="231F20"/>
          <w:position w:val="8"/>
          <w:sz w:val="12"/>
        </w:rPr>
        <w:t>1</w:t>
      </w:r>
      <w:r>
        <w:rPr>
          <w:color w:val="231F20"/>
          <w:sz w:val="24"/>
        </w:rPr>
        <w:t>/</w:t>
      </w:r>
      <w:r>
        <w:rPr>
          <w:color w:val="231F20"/>
          <w:sz w:val="12"/>
        </w:rPr>
        <w:t>2</w:t>
      </w:r>
      <w:r>
        <w:rPr>
          <w:color w:val="231F20"/>
          <w:sz w:val="24"/>
        </w:rPr>
        <w:t>% higher than assumed in the February </w:t>
      </w:r>
      <w:r>
        <w:rPr>
          <w:i/>
          <w:color w:val="231F20"/>
          <w:sz w:val="24"/>
        </w:rPr>
        <w:t>Report</w:t>
      </w:r>
      <w:r>
        <w:rPr>
          <w:color w:val="231F20"/>
          <w:sz w:val="24"/>
        </w:rPr>
        <w:t>. The rise in the exchange rate is likely to exacerbate the imbalance between the international and domestic sectors of the economy. It is also likely to bear down on inflation in the short term. The projection assumes that sterling will decline from its present high level. In that case,</w:t>
      </w:r>
    </w:p>
    <w:p>
      <w:pPr>
        <w:spacing w:after="0" w:line="242" w:lineRule="auto"/>
        <w:jc w:val="left"/>
        <w:rPr>
          <w:sz w:val="24"/>
        </w:rPr>
        <w:sectPr>
          <w:type w:val="continuous"/>
          <w:pgSz w:w="11900" w:h="16840"/>
          <w:pgMar w:top="1220" w:bottom="280" w:left="640" w:right="640"/>
          <w:cols w:num="2" w:equalWidth="0">
            <w:col w:w="3828" w:space="993"/>
            <w:col w:w="5799"/>
          </w:cols>
        </w:sectPr>
      </w:pPr>
    </w:p>
    <w:p>
      <w:pPr>
        <w:pStyle w:val="BodyText"/>
        <w:rPr>
          <w:sz w:val="20"/>
        </w:rPr>
      </w:pPr>
    </w:p>
    <w:p>
      <w:pPr>
        <w:spacing w:line="242" w:lineRule="auto" w:before="227"/>
        <w:ind w:left="4945" w:right="221" w:firstLine="0"/>
        <w:jc w:val="left"/>
        <w:rPr>
          <w:sz w:val="24"/>
        </w:rPr>
      </w:pPr>
      <w:r>
        <w:rPr>
          <w:color w:val="231F20"/>
          <w:sz w:val="24"/>
        </w:rPr>
        <w:t>reducing interest rates further might risk overshooting the inflation target beyond the short term. But if sterling does not decline, then, depending on other </w:t>
      </w:r>
      <w:r>
        <w:rPr>
          <w:color w:val="231F20"/>
          <w:spacing w:val="-3"/>
          <w:sz w:val="24"/>
        </w:rPr>
        <w:t>developments </w:t>
      </w:r>
      <w:r>
        <w:rPr>
          <w:color w:val="231F20"/>
          <w:sz w:val="24"/>
        </w:rPr>
        <w:t>in the economy, further easing of monetary policy might be needed to prevent undershooting of the inflation target.</w:t>
      </w:r>
    </w:p>
    <w:p>
      <w:pPr>
        <w:pStyle w:val="BodyText"/>
        <w:rPr>
          <w:sz w:val="25"/>
        </w:rPr>
      </w:pPr>
    </w:p>
    <w:p>
      <w:pPr>
        <w:spacing w:line="242" w:lineRule="auto" w:before="0"/>
        <w:ind w:left="4945" w:right="221" w:firstLine="0"/>
        <w:jc w:val="left"/>
        <w:rPr>
          <w:sz w:val="24"/>
        </w:rPr>
      </w:pPr>
      <w:r>
        <w:rPr>
          <w:color w:val="231F20"/>
          <w:sz w:val="24"/>
        </w:rPr>
        <w:t>The economy is now on course for growth with price stability. But exchange rate movements and other </w:t>
      </w:r>
      <w:r>
        <w:rPr>
          <w:color w:val="231F20"/>
          <w:spacing w:val="-5"/>
          <w:sz w:val="24"/>
        </w:rPr>
        <w:t>events </w:t>
      </w:r>
      <w:r>
        <w:rPr>
          <w:color w:val="231F20"/>
          <w:sz w:val="24"/>
        </w:rPr>
        <w:t>affecting inflation are inevitably uncertain. As those events unfold, the Monetary Policy Committee will continue to set interest rates at whatever level it judges necessary to keep inflation on track to meet the 2</w:t>
      </w:r>
      <w:r>
        <w:rPr>
          <w:color w:val="231F20"/>
          <w:position w:val="8"/>
          <w:sz w:val="12"/>
        </w:rPr>
        <w:t>1</w:t>
      </w:r>
      <w:r>
        <w:rPr>
          <w:color w:val="231F20"/>
          <w:sz w:val="24"/>
        </w:rPr>
        <w:t>/</w:t>
      </w:r>
      <w:r>
        <w:rPr>
          <w:color w:val="231F20"/>
          <w:sz w:val="12"/>
        </w:rPr>
        <w:t>2</w:t>
      </w:r>
      <w:r>
        <w:rPr>
          <w:color w:val="231F20"/>
          <w:sz w:val="24"/>
        </w:rPr>
        <w:t>% target.</w:t>
      </w:r>
    </w:p>
    <w:p>
      <w:pPr>
        <w:spacing w:after="0" w:line="242" w:lineRule="auto"/>
        <w:jc w:val="left"/>
        <w:rPr>
          <w:sz w:val="24"/>
        </w:rPr>
        <w:sectPr>
          <w:headerReference w:type="even" r:id="rId11"/>
          <w:footerReference w:type="even" r:id="rId12"/>
          <w:pgSz w:w="11900" w:h="16840"/>
          <w:pgMar w:header="566" w:footer="597" w:top="760" w:bottom="780" w:left="640" w:right="640"/>
          <w:pgNumType w:start="4"/>
        </w:sectPr>
      </w:pPr>
    </w:p>
    <w:p>
      <w:pPr>
        <w:spacing w:before="76"/>
        <w:ind w:left="4989" w:right="0" w:firstLine="0"/>
        <w:jc w:val="left"/>
        <w:rPr>
          <w:b/>
          <w:sz w:val="28"/>
        </w:rPr>
      </w:pPr>
      <w:bookmarkStart w:name="Contents" w:id="5"/>
      <w:bookmarkEnd w:id="5"/>
      <w:r>
        <w:rPr/>
      </w:r>
      <w:r>
        <w:rPr>
          <w:b/>
          <w:color w:val="009483"/>
          <w:sz w:val="28"/>
        </w:rPr>
        <w:t>Contents</w:t>
      </w:r>
    </w:p>
    <w:sdt>
      <w:sdtPr>
        <w:docPartObj>
          <w:docPartGallery w:val="Table of Contents"/>
          <w:docPartUnique/>
        </w:docPartObj>
      </w:sdtPr>
      <w:sdtEndPr/>
      <w:sdtContent>
        <w:p>
          <w:pPr>
            <w:pStyle w:val="TOC1"/>
            <w:numPr>
              <w:ilvl w:val="0"/>
              <w:numId w:val="1"/>
            </w:numPr>
            <w:tabs>
              <w:tab w:pos="5369" w:val="left" w:leader="none"/>
              <w:tab w:pos="5370" w:val="left" w:leader="none"/>
              <w:tab w:pos="10269" w:val="right" w:leader="none"/>
            </w:tabs>
            <w:spacing w:line="240" w:lineRule="auto" w:before="595" w:after="0"/>
            <w:ind w:left="5369" w:right="0" w:hanging="381"/>
            <w:jc w:val="left"/>
            <w:rPr>
              <w:b w:val="0"/>
            </w:rPr>
          </w:pPr>
          <w:hyperlink w:history="true" w:anchor="_bookmark2">
            <w:r>
              <w:rPr>
                <w:color w:val="0093C1"/>
              </w:rPr>
              <w:t>Money and</w:t>
            </w:r>
            <w:r>
              <w:rPr>
                <w:color w:val="0093C1"/>
                <w:spacing w:val="-1"/>
              </w:rPr>
              <w:t> </w:t>
            </w:r>
            <w:r>
              <w:rPr>
                <w:color w:val="0093C1"/>
              </w:rPr>
              <w:t>financial markets</w:t>
            </w:r>
          </w:hyperlink>
          <w:r>
            <w:rPr>
              <w:color w:val="0093C1"/>
            </w:rPr>
            <w:tab/>
          </w:r>
          <w:r>
            <w:rPr>
              <w:b w:val="0"/>
              <w:color w:val="231F20"/>
            </w:rPr>
            <w:t>3</w:t>
          </w:r>
        </w:p>
        <w:p>
          <w:pPr>
            <w:pStyle w:val="TOC2"/>
            <w:numPr>
              <w:ilvl w:val="1"/>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2">
            <w:r>
              <w:rPr>
                <w:color w:val="231F20"/>
              </w:rPr>
              <w:t>Money</w:t>
            </w:r>
            <w:r>
              <w:rPr>
                <w:color w:val="231F20"/>
                <w:spacing w:val="-1"/>
              </w:rPr>
              <w:t> </w:t>
            </w:r>
            <w:r>
              <w:rPr>
                <w:color w:val="231F20"/>
              </w:rPr>
              <w:t>and credit</w:t>
            </w:r>
          </w:hyperlink>
          <w:r>
            <w:rPr>
              <w:color w:val="231F20"/>
            </w:rPr>
            <w:tab/>
          </w:r>
          <w:r>
            <w:rPr>
              <w:b w:val="0"/>
              <w:color w:val="231F20"/>
            </w:rPr>
            <w:t>3</w:t>
          </w:r>
        </w:p>
        <w:p>
          <w:pPr>
            <w:pStyle w:val="TOC3"/>
            <w:tabs>
              <w:tab w:pos="10269" w:val="right" w:leader="none"/>
            </w:tabs>
          </w:pPr>
          <w:hyperlink w:history="true" w:anchor="_bookmark2">
            <w:r>
              <w:rPr>
                <w:color w:val="231F20"/>
              </w:rPr>
              <w:t>Narrow</w:t>
            </w:r>
            <w:r>
              <w:rPr>
                <w:color w:val="231F20"/>
                <w:spacing w:val="-1"/>
              </w:rPr>
              <w:t> </w:t>
            </w:r>
            <w:r>
              <w:rPr>
                <w:color w:val="231F20"/>
              </w:rPr>
              <w:t>money</w:t>
            </w:r>
          </w:hyperlink>
          <w:r>
            <w:rPr>
              <w:color w:val="231F20"/>
            </w:rPr>
            <w:tab/>
            <w:t>3</w:t>
          </w:r>
        </w:p>
        <w:p>
          <w:pPr>
            <w:pStyle w:val="TOC3"/>
            <w:tabs>
              <w:tab w:pos="10269" w:val="right" w:leader="none"/>
            </w:tabs>
            <w:spacing w:before="45"/>
          </w:pPr>
          <w:hyperlink w:history="true" w:anchor="_bookmark2">
            <w:r>
              <w:rPr>
                <w:color w:val="231F20"/>
              </w:rPr>
              <w:t>Broad</w:t>
            </w:r>
            <w:r>
              <w:rPr>
                <w:color w:val="231F20"/>
                <w:spacing w:val="-1"/>
              </w:rPr>
              <w:t> </w:t>
            </w:r>
            <w:r>
              <w:rPr>
                <w:color w:val="231F20"/>
              </w:rPr>
              <w:t>money</w:t>
            </w:r>
          </w:hyperlink>
          <w:r>
            <w:rPr>
              <w:color w:val="231F20"/>
            </w:rPr>
            <w:tab/>
            <w:t>3</w:t>
          </w:r>
        </w:p>
        <w:p>
          <w:pPr>
            <w:pStyle w:val="TOC3"/>
            <w:tabs>
              <w:tab w:pos="10269" w:val="right" w:leader="none"/>
            </w:tabs>
          </w:pPr>
          <w:hyperlink w:history="true" w:anchor="_bookmark3">
            <w:r>
              <w:rPr>
                <w:color w:val="231F20"/>
              </w:rPr>
              <w:t>Private</w:t>
            </w:r>
            <w:r>
              <w:rPr>
                <w:color w:val="231F20"/>
                <w:spacing w:val="-2"/>
              </w:rPr>
              <w:t> </w:t>
            </w:r>
            <w:r>
              <w:rPr>
                <w:color w:val="231F20"/>
              </w:rPr>
              <w:t>non-financial</w:t>
            </w:r>
            <w:r>
              <w:rPr>
                <w:color w:val="231F20"/>
                <w:spacing w:val="-1"/>
              </w:rPr>
              <w:t> </w:t>
            </w:r>
            <w:r>
              <w:rPr>
                <w:color w:val="231F20"/>
              </w:rPr>
              <w:t>corporations</w:t>
            </w:r>
          </w:hyperlink>
          <w:r>
            <w:rPr>
              <w:color w:val="231F20"/>
            </w:rPr>
            <w:tab/>
            <w:t>4</w:t>
          </w:r>
        </w:p>
        <w:p>
          <w:pPr>
            <w:pStyle w:val="TOC3"/>
            <w:tabs>
              <w:tab w:pos="10269" w:val="right" w:leader="none"/>
            </w:tabs>
          </w:pPr>
          <w:hyperlink w:history="true" w:anchor="_bookmark3">
            <w:r>
              <w:rPr>
                <w:color w:val="231F20"/>
              </w:rPr>
              <w:t>Household sector</w:t>
            </w:r>
          </w:hyperlink>
          <w:r>
            <w:rPr>
              <w:color w:val="231F20"/>
            </w:rPr>
            <w:tab/>
            <w:t>4</w:t>
          </w:r>
        </w:p>
        <w:p>
          <w:pPr>
            <w:pStyle w:val="TOC3"/>
            <w:tabs>
              <w:tab w:pos="10269" w:val="right" w:leader="none"/>
            </w:tabs>
          </w:pPr>
          <w:hyperlink w:history="true" w:anchor="_bookmark4">
            <w:r>
              <w:rPr>
                <w:color w:val="231F20"/>
              </w:rPr>
              <w:t>Other</w:t>
            </w:r>
            <w:r>
              <w:rPr>
                <w:color w:val="231F20"/>
                <w:spacing w:val="-1"/>
              </w:rPr>
              <w:t> </w:t>
            </w:r>
            <w:r>
              <w:rPr>
                <w:color w:val="231F20"/>
              </w:rPr>
              <w:t>financial corporations</w:t>
            </w:r>
          </w:hyperlink>
          <w:r>
            <w:rPr>
              <w:color w:val="231F20"/>
            </w:rPr>
            <w:tab/>
            <w:t>5</w:t>
          </w:r>
        </w:p>
        <w:p>
          <w:pPr>
            <w:pStyle w:val="TOC3"/>
            <w:tabs>
              <w:tab w:pos="10269" w:val="right" w:leader="none"/>
            </w:tabs>
          </w:pPr>
          <w:hyperlink w:history="true" w:anchor="_bookmark5">
            <w:r>
              <w:rPr>
                <w:color w:val="231F20"/>
              </w:rPr>
              <w:t>Divisia</w:t>
            </w:r>
            <w:r>
              <w:rPr>
                <w:color w:val="231F20"/>
                <w:spacing w:val="-1"/>
              </w:rPr>
              <w:t> </w:t>
            </w:r>
            <w:r>
              <w:rPr>
                <w:color w:val="231F20"/>
              </w:rPr>
              <w:t>money</w:t>
            </w:r>
          </w:hyperlink>
          <w:r>
            <w:rPr>
              <w:color w:val="231F20"/>
            </w:rPr>
            <w:tab/>
            <w:t>6</w:t>
          </w:r>
        </w:p>
        <w:p>
          <w:pPr>
            <w:pStyle w:val="TOC2"/>
            <w:numPr>
              <w:ilvl w:val="1"/>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6">
            <w:r>
              <w:rPr>
                <w:color w:val="231F20"/>
              </w:rPr>
              <w:t>Interest rates and</w:t>
            </w:r>
            <w:r>
              <w:rPr>
                <w:color w:val="231F20"/>
                <w:spacing w:val="-1"/>
              </w:rPr>
              <w:t> </w:t>
            </w:r>
            <w:r>
              <w:rPr>
                <w:color w:val="231F20"/>
              </w:rPr>
              <w:t>asset prices</w:t>
            </w:r>
          </w:hyperlink>
          <w:r>
            <w:rPr>
              <w:color w:val="231F20"/>
            </w:rPr>
            <w:tab/>
          </w:r>
          <w:r>
            <w:rPr>
              <w:b w:val="0"/>
              <w:color w:val="231F20"/>
            </w:rPr>
            <w:t>7</w:t>
          </w:r>
        </w:p>
        <w:p>
          <w:pPr>
            <w:pStyle w:val="TOC3"/>
            <w:tabs>
              <w:tab w:pos="10269" w:val="right" w:leader="none"/>
            </w:tabs>
          </w:pPr>
          <w:hyperlink w:history="true" w:anchor="_bookmark6">
            <w:r>
              <w:rPr>
                <w:color w:val="231F20"/>
              </w:rPr>
              <w:t>Short-term interest rates</w:t>
            </w:r>
          </w:hyperlink>
          <w:r>
            <w:rPr>
              <w:color w:val="231F20"/>
            </w:rPr>
            <w:tab/>
            <w:t>7</w:t>
          </w:r>
        </w:p>
        <w:p>
          <w:pPr>
            <w:pStyle w:val="TOC3"/>
            <w:tabs>
              <w:tab w:pos="10269" w:val="right" w:leader="none"/>
            </w:tabs>
          </w:pPr>
          <w:hyperlink w:history="true" w:anchor="_bookmark6">
            <w:r>
              <w:rPr>
                <w:color w:val="231F20"/>
              </w:rPr>
              <w:t>Long-term interest rates</w:t>
            </w:r>
          </w:hyperlink>
          <w:r>
            <w:rPr>
              <w:color w:val="231F20"/>
            </w:rPr>
            <w:tab/>
            <w:t>7</w:t>
          </w:r>
        </w:p>
        <w:p>
          <w:pPr>
            <w:pStyle w:val="TOC3"/>
            <w:tabs>
              <w:tab w:pos="10269" w:val="right" w:leader="none"/>
            </w:tabs>
          </w:pPr>
          <w:hyperlink w:history="true" w:anchor="_bookmark7">
            <w:r>
              <w:rPr>
                <w:color w:val="231F20"/>
              </w:rPr>
              <w:t>Equity prices</w:t>
            </w:r>
          </w:hyperlink>
          <w:r>
            <w:rPr>
              <w:color w:val="231F20"/>
            </w:rPr>
            <w:tab/>
            <w:t>8</w:t>
          </w:r>
        </w:p>
        <w:p>
          <w:pPr>
            <w:pStyle w:val="TOC3"/>
            <w:tabs>
              <w:tab w:pos="10269" w:val="right" w:leader="none"/>
            </w:tabs>
          </w:pPr>
          <w:hyperlink w:history="true" w:anchor="_bookmark8">
            <w:r>
              <w:rPr>
                <w:color w:val="231F20"/>
              </w:rPr>
              <w:t>Property prices</w:t>
            </w:r>
          </w:hyperlink>
          <w:r>
            <w:rPr>
              <w:color w:val="231F20"/>
            </w:rPr>
            <w:tab/>
            <w:t>9</w:t>
          </w:r>
        </w:p>
        <w:p>
          <w:pPr>
            <w:pStyle w:val="TOC3"/>
            <w:tabs>
              <w:tab w:pos="10269" w:val="right" w:leader="none"/>
            </w:tabs>
          </w:pPr>
          <w:hyperlink w:history="true" w:anchor="_bookmark9">
            <w:r>
              <w:rPr>
                <w:color w:val="231F20"/>
              </w:rPr>
              <w:t>Exchange rates</w:t>
            </w:r>
          </w:hyperlink>
          <w:r>
            <w:rPr>
              <w:color w:val="231F20"/>
            </w:rPr>
            <w:tab/>
            <w:t>10</w:t>
          </w:r>
        </w:p>
        <w:p>
          <w:pPr>
            <w:pStyle w:val="TOC2"/>
            <w:numPr>
              <w:ilvl w:val="1"/>
              <w:numId w:val="1"/>
            </w:numPr>
            <w:tabs>
              <w:tab w:pos="5929" w:val="left" w:leader="none"/>
              <w:tab w:pos="5930" w:val="left" w:leader="none"/>
              <w:tab w:pos="10269" w:val="right" w:leader="none"/>
            </w:tabs>
            <w:spacing w:line="240" w:lineRule="auto" w:before="44" w:after="0"/>
            <w:ind w:left="5929" w:right="0" w:hanging="561"/>
            <w:jc w:val="left"/>
            <w:rPr>
              <w:b w:val="0"/>
            </w:rPr>
          </w:pPr>
          <w:hyperlink w:history="true" w:anchor="_bookmark10">
            <w:r>
              <w:rPr>
                <w:color w:val="231F20"/>
              </w:rPr>
              <w:t>Summary</w:t>
            </w:r>
          </w:hyperlink>
          <w:r>
            <w:rPr>
              <w:color w:val="231F20"/>
            </w:rPr>
            <w:tab/>
          </w:r>
          <w:r>
            <w:rPr>
              <w:b w:val="0"/>
              <w:color w:val="231F20"/>
            </w:rPr>
            <w:t>11</w:t>
          </w:r>
        </w:p>
        <w:p>
          <w:pPr>
            <w:pStyle w:val="TOC1"/>
            <w:numPr>
              <w:ilvl w:val="0"/>
              <w:numId w:val="1"/>
            </w:numPr>
            <w:tabs>
              <w:tab w:pos="5369" w:val="left" w:leader="none"/>
              <w:tab w:pos="5370" w:val="left" w:leader="none"/>
              <w:tab w:pos="10269" w:val="right" w:leader="none"/>
            </w:tabs>
            <w:spacing w:line="240" w:lineRule="auto" w:before="364" w:after="0"/>
            <w:ind w:left="5369" w:right="0" w:hanging="381"/>
            <w:jc w:val="left"/>
            <w:rPr>
              <w:b w:val="0"/>
            </w:rPr>
          </w:pPr>
          <w:r>
            <w:rPr/>
            <w:pict>
              <v:shape style="position:absolute;margin-left:297.971985pt;margin-top:34.70937pt;width:250.05pt;height:246.3pt;mso-position-horizontal-relative:page;mso-position-vertical-relative:paragraph;z-index:157404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3964"/>
                        <w:gridCol w:w="479"/>
                      </w:tblGrid>
                      <w:tr>
                        <w:trPr>
                          <w:trHeight w:val="292" w:hRule="atLeast"/>
                        </w:trPr>
                        <w:tc>
                          <w:tcPr>
                            <w:tcW w:w="556" w:type="dxa"/>
                          </w:tcPr>
                          <w:p>
                            <w:pPr>
                              <w:pStyle w:val="TableParagraph"/>
                              <w:spacing w:line="266" w:lineRule="exact"/>
                              <w:ind w:left="50"/>
                              <w:rPr>
                                <w:b/>
                                <w:sz w:val="24"/>
                              </w:rPr>
                            </w:pPr>
                            <w:r>
                              <w:rPr>
                                <w:b/>
                                <w:sz w:val="24"/>
                              </w:rPr>
                              <w:t>2.1</w:t>
                            </w:r>
                          </w:p>
                        </w:tc>
                        <w:tc>
                          <w:tcPr>
                            <w:tcW w:w="3964" w:type="dxa"/>
                          </w:tcPr>
                          <w:p>
                            <w:pPr>
                              <w:pStyle w:val="TableParagraph"/>
                              <w:spacing w:line="266" w:lineRule="exact"/>
                              <w:ind w:left="53"/>
                              <w:rPr>
                                <w:b/>
                                <w:sz w:val="24"/>
                              </w:rPr>
                            </w:pPr>
                            <w:hyperlink w:history="true" w:anchor="_bookmark11">
                              <w:r>
                                <w:rPr>
                                  <w:b/>
                                  <w:sz w:val="24"/>
                                </w:rPr>
                                <w:t>Net trade</w:t>
                              </w:r>
                            </w:hyperlink>
                          </w:p>
                        </w:tc>
                        <w:tc>
                          <w:tcPr>
                            <w:tcW w:w="479" w:type="dxa"/>
                          </w:tcPr>
                          <w:p>
                            <w:pPr>
                              <w:pStyle w:val="TableParagraph"/>
                              <w:spacing w:line="266" w:lineRule="exact"/>
                              <w:ind w:right="48"/>
                              <w:jc w:val="right"/>
                              <w:rPr>
                                <w:sz w:val="24"/>
                              </w:rPr>
                            </w:pPr>
                            <w:r>
                              <w:rPr>
                                <w:sz w:val="24"/>
                              </w:rPr>
                              <w:t>12</w:t>
                            </w:r>
                          </w:p>
                        </w:tc>
                      </w:tr>
                      <w:tr>
                        <w:trPr>
                          <w:trHeight w:val="319" w:hRule="atLeast"/>
                        </w:trPr>
                        <w:tc>
                          <w:tcPr>
                            <w:tcW w:w="556" w:type="dxa"/>
                          </w:tcPr>
                          <w:p>
                            <w:pPr>
                              <w:pStyle w:val="TableParagraph"/>
                              <w:spacing w:before="17"/>
                              <w:ind w:left="50"/>
                              <w:rPr>
                                <w:b/>
                                <w:sz w:val="24"/>
                              </w:rPr>
                            </w:pPr>
                            <w:r>
                              <w:rPr>
                                <w:b/>
                                <w:sz w:val="24"/>
                              </w:rPr>
                              <w:t>2.2</w:t>
                            </w:r>
                          </w:p>
                        </w:tc>
                        <w:tc>
                          <w:tcPr>
                            <w:tcW w:w="3964" w:type="dxa"/>
                          </w:tcPr>
                          <w:p>
                            <w:pPr>
                              <w:pStyle w:val="TableParagraph"/>
                              <w:spacing w:before="17"/>
                              <w:ind w:left="53"/>
                              <w:rPr>
                                <w:b/>
                                <w:sz w:val="24"/>
                              </w:rPr>
                            </w:pPr>
                            <w:hyperlink w:history="true" w:anchor="_bookmark12">
                              <w:r>
                                <w:rPr>
                                  <w:b/>
                                  <w:sz w:val="24"/>
                                </w:rPr>
                                <w:t>Domestic demand</w:t>
                              </w:r>
                            </w:hyperlink>
                          </w:p>
                        </w:tc>
                        <w:tc>
                          <w:tcPr>
                            <w:tcW w:w="479" w:type="dxa"/>
                          </w:tcPr>
                          <w:p>
                            <w:pPr>
                              <w:pStyle w:val="TableParagraph"/>
                              <w:spacing w:before="17"/>
                              <w:ind w:right="48"/>
                              <w:jc w:val="right"/>
                              <w:rPr>
                                <w:sz w:val="24"/>
                              </w:rPr>
                            </w:pPr>
                            <w:r>
                              <w:rPr>
                                <w:sz w:val="24"/>
                              </w:rPr>
                              <w:t>14</w:t>
                            </w:r>
                          </w:p>
                        </w:tc>
                      </w:tr>
                      <w:tr>
                        <w:trPr>
                          <w:trHeight w:val="319" w:hRule="atLeast"/>
                        </w:trPr>
                        <w:tc>
                          <w:tcPr>
                            <w:tcW w:w="556" w:type="dxa"/>
                          </w:tcPr>
                          <w:p>
                            <w:pPr>
                              <w:pStyle w:val="TableParagraph"/>
                              <w:rPr>
                                <w:sz w:val="24"/>
                              </w:rPr>
                            </w:pPr>
                          </w:p>
                        </w:tc>
                        <w:tc>
                          <w:tcPr>
                            <w:tcW w:w="3964" w:type="dxa"/>
                          </w:tcPr>
                          <w:p>
                            <w:pPr>
                              <w:pStyle w:val="TableParagraph"/>
                              <w:spacing w:before="17"/>
                              <w:ind w:left="354"/>
                              <w:rPr>
                                <w:sz w:val="24"/>
                              </w:rPr>
                            </w:pPr>
                            <w:hyperlink w:history="true" w:anchor="_bookmark13">
                              <w:r>
                                <w:rPr>
                                  <w:sz w:val="24"/>
                                </w:rPr>
                                <w:t>Consumption</w:t>
                              </w:r>
                            </w:hyperlink>
                          </w:p>
                        </w:tc>
                        <w:tc>
                          <w:tcPr>
                            <w:tcW w:w="479" w:type="dxa"/>
                          </w:tcPr>
                          <w:p>
                            <w:pPr>
                              <w:pStyle w:val="TableParagraph"/>
                              <w:spacing w:before="17"/>
                              <w:ind w:right="46"/>
                              <w:jc w:val="right"/>
                              <w:rPr>
                                <w:sz w:val="24"/>
                              </w:rPr>
                            </w:pPr>
                            <w:r>
                              <w:rPr>
                                <w:sz w:val="24"/>
                              </w:rPr>
                              <w:t>15</w:t>
                            </w:r>
                          </w:p>
                        </w:tc>
                      </w:tr>
                      <w:tr>
                        <w:trPr>
                          <w:trHeight w:val="319" w:hRule="atLeast"/>
                        </w:trPr>
                        <w:tc>
                          <w:tcPr>
                            <w:tcW w:w="556" w:type="dxa"/>
                          </w:tcPr>
                          <w:p>
                            <w:pPr>
                              <w:pStyle w:val="TableParagraph"/>
                              <w:rPr>
                                <w:sz w:val="24"/>
                              </w:rPr>
                            </w:pPr>
                          </w:p>
                        </w:tc>
                        <w:tc>
                          <w:tcPr>
                            <w:tcW w:w="3964" w:type="dxa"/>
                          </w:tcPr>
                          <w:p>
                            <w:pPr>
                              <w:pStyle w:val="TableParagraph"/>
                              <w:spacing w:before="17"/>
                              <w:ind w:left="354"/>
                              <w:rPr>
                                <w:sz w:val="24"/>
                              </w:rPr>
                            </w:pPr>
                            <w:hyperlink w:history="true" w:anchor="_bookmark14">
                              <w:r>
                                <w:rPr>
                                  <w:sz w:val="24"/>
                                </w:rPr>
                                <w:t>Investment demand</w:t>
                              </w:r>
                            </w:hyperlink>
                          </w:p>
                        </w:tc>
                        <w:tc>
                          <w:tcPr>
                            <w:tcW w:w="479" w:type="dxa"/>
                          </w:tcPr>
                          <w:p>
                            <w:pPr>
                              <w:pStyle w:val="TableParagraph"/>
                              <w:spacing w:before="17"/>
                              <w:ind w:right="46"/>
                              <w:jc w:val="right"/>
                              <w:rPr>
                                <w:sz w:val="24"/>
                              </w:rPr>
                            </w:pPr>
                            <w:r>
                              <w:rPr>
                                <w:sz w:val="24"/>
                              </w:rPr>
                              <w:t>17</w:t>
                            </w:r>
                          </w:p>
                        </w:tc>
                      </w:tr>
                      <w:tr>
                        <w:trPr>
                          <w:trHeight w:val="319" w:hRule="atLeast"/>
                        </w:trPr>
                        <w:tc>
                          <w:tcPr>
                            <w:tcW w:w="556" w:type="dxa"/>
                          </w:tcPr>
                          <w:p>
                            <w:pPr>
                              <w:pStyle w:val="TableParagraph"/>
                              <w:rPr>
                                <w:sz w:val="24"/>
                              </w:rPr>
                            </w:pPr>
                          </w:p>
                        </w:tc>
                        <w:tc>
                          <w:tcPr>
                            <w:tcW w:w="3964" w:type="dxa"/>
                          </w:tcPr>
                          <w:p>
                            <w:pPr>
                              <w:pStyle w:val="TableParagraph"/>
                              <w:spacing w:before="17"/>
                              <w:ind w:left="354"/>
                              <w:rPr>
                                <w:sz w:val="24"/>
                              </w:rPr>
                            </w:pPr>
                            <w:hyperlink w:history="true" w:anchor="_bookmark15">
                              <w:r>
                                <w:rPr>
                                  <w:sz w:val="24"/>
                                </w:rPr>
                                <w:t>Inventory investment</w:t>
                              </w:r>
                            </w:hyperlink>
                          </w:p>
                        </w:tc>
                        <w:tc>
                          <w:tcPr>
                            <w:tcW w:w="479" w:type="dxa"/>
                          </w:tcPr>
                          <w:p>
                            <w:pPr>
                              <w:pStyle w:val="TableParagraph"/>
                              <w:spacing w:before="17"/>
                              <w:ind w:right="46"/>
                              <w:jc w:val="right"/>
                              <w:rPr>
                                <w:sz w:val="24"/>
                              </w:rPr>
                            </w:pPr>
                            <w:r>
                              <w:rPr>
                                <w:sz w:val="24"/>
                              </w:rPr>
                              <w:t>19</w:t>
                            </w:r>
                          </w:p>
                        </w:tc>
                      </w:tr>
                      <w:tr>
                        <w:trPr>
                          <w:trHeight w:val="309" w:hRule="atLeast"/>
                        </w:trPr>
                        <w:tc>
                          <w:tcPr>
                            <w:tcW w:w="556" w:type="dxa"/>
                          </w:tcPr>
                          <w:p>
                            <w:pPr>
                              <w:pStyle w:val="TableParagraph"/>
                              <w:rPr>
                                <w:sz w:val="22"/>
                              </w:rPr>
                            </w:pPr>
                          </w:p>
                        </w:tc>
                        <w:tc>
                          <w:tcPr>
                            <w:tcW w:w="3964" w:type="dxa"/>
                          </w:tcPr>
                          <w:p>
                            <w:pPr>
                              <w:pStyle w:val="TableParagraph"/>
                              <w:spacing w:line="273" w:lineRule="exact" w:before="17"/>
                              <w:ind w:left="354"/>
                              <w:rPr>
                                <w:sz w:val="24"/>
                              </w:rPr>
                            </w:pPr>
                            <w:hyperlink w:history="true" w:anchor="_bookmark15">
                              <w:r>
                                <w:rPr>
                                  <w:sz w:val="24"/>
                                </w:rPr>
                                <w:t>Public sector demand</w:t>
                              </w:r>
                            </w:hyperlink>
                          </w:p>
                        </w:tc>
                        <w:tc>
                          <w:tcPr>
                            <w:tcW w:w="479" w:type="dxa"/>
                          </w:tcPr>
                          <w:p>
                            <w:pPr>
                              <w:pStyle w:val="TableParagraph"/>
                              <w:spacing w:line="273" w:lineRule="exact" w:before="17"/>
                              <w:ind w:right="46"/>
                              <w:jc w:val="right"/>
                              <w:rPr>
                                <w:sz w:val="24"/>
                              </w:rPr>
                            </w:pPr>
                            <w:r>
                              <w:rPr>
                                <w:sz w:val="24"/>
                              </w:rPr>
                              <w:t>19</w:t>
                            </w:r>
                          </w:p>
                        </w:tc>
                      </w:tr>
                      <w:tr>
                        <w:trPr>
                          <w:trHeight w:val="300" w:hRule="atLeast"/>
                        </w:trPr>
                        <w:tc>
                          <w:tcPr>
                            <w:tcW w:w="556" w:type="dxa"/>
                          </w:tcPr>
                          <w:p>
                            <w:pPr>
                              <w:pStyle w:val="TableParagraph"/>
                              <w:spacing w:line="273" w:lineRule="exact" w:before="7"/>
                              <w:ind w:left="50"/>
                              <w:rPr>
                                <w:b/>
                                <w:sz w:val="24"/>
                              </w:rPr>
                            </w:pPr>
                            <w:r>
                              <w:rPr>
                                <w:b/>
                                <w:sz w:val="24"/>
                              </w:rPr>
                              <w:t>2.3</w:t>
                            </w:r>
                          </w:p>
                        </w:tc>
                        <w:tc>
                          <w:tcPr>
                            <w:tcW w:w="3964" w:type="dxa"/>
                          </w:tcPr>
                          <w:p>
                            <w:pPr>
                              <w:pStyle w:val="TableParagraph"/>
                              <w:spacing w:line="273" w:lineRule="exact" w:before="7"/>
                              <w:ind w:left="53"/>
                              <w:rPr>
                                <w:b/>
                                <w:sz w:val="24"/>
                              </w:rPr>
                            </w:pPr>
                            <w:hyperlink w:history="true" w:anchor="_bookmark16">
                              <w:r>
                                <w:rPr>
                                  <w:b/>
                                  <w:sz w:val="24"/>
                                </w:rPr>
                                <w:t>Output</w:t>
                              </w:r>
                            </w:hyperlink>
                          </w:p>
                        </w:tc>
                        <w:tc>
                          <w:tcPr>
                            <w:tcW w:w="479" w:type="dxa"/>
                          </w:tcPr>
                          <w:p>
                            <w:pPr>
                              <w:pStyle w:val="TableParagraph"/>
                              <w:spacing w:line="273" w:lineRule="exact" w:before="7"/>
                              <w:ind w:right="46"/>
                              <w:jc w:val="right"/>
                              <w:rPr>
                                <w:sz w:val="24"/>
                              </w:rPr>
                            </w:pPr>
                            <w:r>
                              <w:rPr>
                                <w:sz w:val="24"/>
                              </w:rPr>
                              <w:t>20</w:t>
                            </w:r>
                          </w:p>
                        </w:tc>
                      </w:tr>
                      <w:tr>
                        <w:trPr>
                          <w:trHeight w:val="300" w:hRule="atLeast"/>
                        </w:trPr>
                        <w:tc>
                          <w:tcPr>
                            <w:tcW w:w="556" w:type="dxa"/>
                          </w:tcPr>
                          <w:p>
                            <w:pPr>
                              <w:pStyle w:val="TableParagraph"/>
                              <w:spacing w:line="273" w:lineRule="exact" w:before="7"/>
                              <w:ind w:left="50"/>
                              <w:rPr>
                                <w:b/>
                                <w:sz w:val="24"/>
                              </w:rPr>
                            </w:pPr>
                            <w:r>
                              <w:rPr>
                                <w:b/>
                                <w:sz w:val="24"/>
                              </w:rPr>
                              <w:t>2.4</w:t>
                            </w:r>
                          </w:p>
                        </w:tc>
                        <w:tc>
                          <w:tcPr>
                            <w:tcW w:w="3964" w:type="dxa"/>
                          </w:tcPr>
                          <w:p>
                            <w:pPr>
                              <w:pStyle w:val="TableParagraph"/>
                              <w:spacing w:line="273" w:lineRule="exact" w:before="7"/>
                              <w:ind w:left="53"/>
                              <w:rPr>
                                <w:b/>
                                <w:sz w:val="24"/>
                              </w:rPr>
                            </w:pPr>
                            <w:hyperlink w:history="true" w:anchor="_bookmark18">
                              <w:r>
                                <w:rPr>
                                  <w:b/>
                                  <w:sz w:val="24"/>
                                </w:rPr>
                                <w:t>Summary</w:t>
                              </w:r>
                            </w:hyperlink>
                          </w:p>
                        </w:tc>
                        <w:tc>
                          <w:tcPr>
                            <w:tcW w:w="479" w:type="dxa"/>
                          </w:tcPr>
                          <w:p>
                            <w:pPr>
                              <w:pStyle w:val="TableParagraph"/>
                              <w:spacing w:line="273" w:lineRule="exact" w:before="7"/>
                              <w:ind w:right="46"/>
                              <w:jc w:val="right"/>
                              <w:rPr>
                                <w:sz w:val="24"/>
                              </w:rPr>
                            </w:pPr>
                            <w:r>
                              <w:rPr>
                                <w:sz w:val="24"/>
                              </w:rPr>
                              <w:t>22</w:t>
                            </w:r>
                          </w:p>
                        </w:tc>
                      </w:tr>
                      <w:tr>
                        <w:trPr>
                          <w:trHeight w:val="282" w:hRule="atLeast"/>
                        </w:trPr>
                        <w:tc>
                          <w:tcPr>
                            <w:tcW w:w="556" w:type="dxa"/>
                          </w:tcPr>
                          <w:p>
                            <w:pPr>
                              <w:pStyle w:val="TableParagraph"/>
                              <w:spacing w:line="256" w:lineRule="exact" w:before="7"/>
                              <w:ind w:left="50"/>
                              <w:rPr>
                                <w:i/>
                                <w:sz w:val="24"/>
                              </w:rPr>
                            </w:pPr>
                            <w:r>
                              <w:rPr>
                                <w:i/>
                                <w:color w:val="231F20"/>
                                <w:sz w:val="24"/>
                              </w:rPr>
                              <w:t>Box:</w:t>
                            </w:r>
                          </w:p>
                        </w:tc>
                        <w:tc>
                          <w:tcPr>
                            <w:tcW w:w="3964" w:type="dxa"/>
                          </w:tcPr>
                          <w:p>
                            <w:pPr>
                              <w:pStyle w:val="TableParagraph"/>
                              <w:spacing w:line="256" w:lineRule="exact" w:before="7"/>
                              <w:ind w:left="354"/>
                              <w:rPr>
                                <w:i/>
                                <w:sz w:val="24"/>
                              </w:rPr>
                            </w:pPr>
                            <w:hyperlink w:history="true" w:anchor="_bookmark17">
                              <w:r>
                                <w:rPr>
                                  <w:i/>
                                  <w:color w:val="231F20"/>
                                  <w:sz w:val="24"/>
                                </w:rPr>
                                <w:t>The communications industry</w:t>
                              </w:r>
                            </w:hyperlink>
                          </w:p>
                        </w:tc>
                        <w:tc>
                          <w:tcPr>
                            <w:tcW w:w="479" w:type="dxa"/>
                          </w:tcPr>
                          <w:p>
                            <w:pPr>
                              <w:pStyle w:val="TableParagraph"/>
                              <w:spacing w:line="256" w:lineRule="exact" w:before="7"/>
                              <w:ind w:right="46"/>
                              <w:jc w:val="right"/>
                              <w:rPr>
                                <w:sz w:val="24"/>
                              </w:rPr>
                            </w:pPr>
                            <w:r>
                              <w:rPr>
                                <w:color w:val="231F20"/>
                                <w:sz w:val="24"/>
                              </w:rPr>
                              <w:t>21</w:t>
                            </w:r>
                          </w:p>
                        </w:tc>
                      </w:tr>
                      <w:tr>
                        <w:trPr>
                          <w:trHeight w:val="600" w:hRule="atLeast"/>
                        </w:trPr>
                        <w:tc>
                          <w:tcPr>
                            <w:tcW w:w="4999" w:type="dxa"/>
                            <w:gridSpan w:val="3"/>
                          </w:tcPr>
                          <w:p>
                            <w:pPr>
                              <w:pStyle w:val="TableParagraph"/>
                              <w:tabs>
                                <w:tab w:pos="4949" w:val="right" w:leader="none"/>
                              </w:tabs>
                              <w:spacing w:line="256" w:lineRule="exact" w:before="324"/>
                              <w:ind w:left="49"/>
                              <w:rPr>
                                <w:sz w:val="24"/>
                              </w:rPr>
                            </w:pPr>
                            <w:hyperlink w:history="true" w:anchor="_bookmark19">
                              <w:r>
                                <w:rPr>
                                  <w:b/>
                                  <w:color w:val="0093C1"/>
                                  <w:sz w:val="24"/>
                                </w:rPr>
                                <w:t>The</w:t>
                              </w:r>
                              <w:r>
                                <w:rPr>
                                  <w:b/>
                                  <w:color w:val="0093C1"/>
                                  <w:spacing w:val="-1"/>
                                  <w:sz w:val="24"/>
                                </w:rPr>
                                <w:t> </w:t>
                              </w:r>
                              <w:r>
                                <w:rPr>
                                  <w:b/>
                                  <w:color w:val="0093C1"/>
                                  <w:sz w:val="24"/>
                                </w:rPr>
                                <w:t>labour market</w:t>
                              </w:r>
                            </w:hyperlink>
                            <w:r>
                              <w:rPr>
                                <w:b/>
                                <w:color w:val="0093C1"/>
                                <w:sz w:val="24"/>
                              </w:rPr>
                              <w:tab/>
                            </w:r>
                            <w:r>
                              <w:rPr>
                                <w:sz w:val="24"/>
                              </w:rPr>
                              <w:t>23</w:t>
                            </w:r>
                          </w:p>
                        </w:tc>
                      </w:tr>
                      <w:tr>
                        <w:trPr>
                          <w:trHeight w:val="347" w:hRule="atLeast"/>
                        </w:trPr>
                        <w:tc>
                          <w:tcPr>
                            <w:tcW w:w="556" w:type="dxa"/>
                          </w:tcPr>
                          <w:p>
                            <w:pPr>
                              <w:pStyle w:val="TableParagraph"/>
                              <w:spacing w:before="44"/>
                              <w:ind w:left="50"/>
                              <w:rPr>
                                <w:b/>
                                <w:sz w:val="24"/>
                              </w:rPr>
                            </w:pPr>
                            <w:r>
                              <w:rPr>
                                <w:b/>
                                <w:sz w:val="24"/>
                              </w:rPr>
                              <w:t>3.1</w:t>
                            </w:r>
                          </w:p>
                        </w:tc>
                        <w:tc>
                          <w:tcPr>
                            <w:tcW w:w="3964" w:type="dxa"/>
                          </w:tcPr>
                          <w:p>
                            <w:pPr>
                              <w:pStyle w:val="TableParagraph"/>
                              <w:spacing w:before="44"/>
                              <w:ind w:left="53"/>
                              <w:rPr>
                                <w:b/>
                                <w:sz w:val="24"/>
                              </w:rPr>
                            </w:pPr>
                            <w:hyperlink w:history="true" w:anchor="_bookmark19">
                              <w:r>
                                <w:rPr>
                                  <w:b/>
                                  <w:sz w:val="24"/>
                                </w:rPr>
                                <w:t>Earnings</w:t>
                              </w:r>
                            </w:hyperlink>
                          </w:p>
                        </w:tc>
                        <w:tc>
                          <w:tcPr>
                            <w:tcW w:w="479" w:type="dxa"/>
                          </w:tcPr>
                          <w:p>
                            <w:pPr>
                              <w:pStyle w:val="TableParagraph"/>
                              <w:spacing w:before="44"/>
                              <w:ind w:right="46"/>
                              <w:jc w:val="right"/>
                              <w:rPr>
                                <w:sz w:val="24"/>
                              </w:rPr>
                            </w:pPr>
                            <w:r>
                              <w:rPr>
                                <w:sz w:val="24"/>
                              </w:rPr>
                              <w:t>23</w:t>
                            </w:r>
                          </w:p>
                        </w:tc>
                      </w:tr>
                      <w:tr>
                        <w:trPr>
                          <w:trHeight w:val="319" w:hRule="atLeast"/>
                        </w:trPr>
                        <w:tc>
                          <w:tcPr>
                            <w:tcW w:w="556" w:type="dxa"/>
                          </w:tcPr>
                          <w:p>
                            <w:pPr>
                              <w:pStyle w:val="TableParagraph"/>
                              <w:spacing w:before="17"/>
                              <w:ind w:left="50"/>
                              <w:rPr>
                                <w:b/>
                                <w:sz w:val="24"/>
                              </w:rPr>
                            </w:pPr>
                            <w:r>
                              <w:rPr>
                                <w:b/>
                                <w:sz w:val="24"/>
                              </w:rPr>
                              <w:t>3.2</w:t>
                            </w:r>
                          </w:p>
                        </w:tc>
                        <w:tc>
                          <w:tcPr>
                            <w:tcW w:w="3964" w:type="dxa"/>
                          </w:tcPr>
                          <w:p>
                            <w:pPr>
                              <w:pStyle w:val="TableParagraph"/>
                              <w:spacing w:before="17"/>
                              <w:ind w:left="53"/>
                              <w:rPr>
                                <w:b/>
                                <w:sz w:val="24"/>
                              </w:rPr>
                            </w:pPr>
                            <w:hyperlink w:history="true" w:anchor="_bookmark21">
                              <w:r>
                                <w:rPr>
                                  <w:b/>
                                  <w:sz w:val="24"/>
                                </w:rPr>
                                <w:t>Employment and unemployment</w:t>
                              </w:r>
                            </w:hyperlink>
                          </w:p>
                        </w:tc>
                        <w:tc>
                          <w:tcPr>
                            <w:tcW w:w="479" w:type="dxa"/>
                          </w:tcPr>
                          <w:p>
                            <w:pPr>
                              <w:pStyle w:val="TableParagraph"/>
                              <w:spacing w:before="17"/>
                              <w:ind w:right="46"/>
                              <w:jc w:val="right"/>
                              <w:rPr>
                                <w:sz w:val="24"/>
                              </w:rPr>
                            </w:pPr>
                            <w:r>
                              <w:rPr>
                                <w:sz w:val="24"/>
                              </w:rPr>
                              <w:t>28</w:t>
                            </w:r>
                          </w:p>
                        </w:tc>
                      </w:tr>
                      <w:tr>
                        <w:trPr>
                          <w:trHeight w:val="892" w:hRule="atLeast"/>
                        </w:trPr>
                        <w:tc>
                          <w:tcPr>
                            <w:tcW w:w="556" w:type="dxa"/>
                          </w:tcPr>
                          <w:p>
                            <w:pPr>
                              <w:pStyle w:val="TableParagraph"/>
                              <w:spacing w:before="17"/>
                              <w:ind w:left="50"/>
                              <w:rPr>
                                <w:b/>
                                <w:sz w:val="24"/>
                              </w:rPr>
                            </w:pPr>
                            <w:r>
                              <w:rPr>
                                <w:b/>
                                <w:sz w:val="24"/>
                              </w:rPr>
                              <w:t>3.3</w:t>
                            </w:r>
                          </w:p>
                          <w:p>
                            <w:pPr>
                              <w:pStyle w:val="TableParagraph"/>
                              <w:spacing w:before="24"/>
                              <w:ind w:left="50"/>
                              <w:rPr>
                                <w:i/>
                                <w:sz w:val="24"/>
                              </w:rPr>
                            </w:pPr>
                            <w:r>
                              <w:rPr>
                                <w:i/>
                                <w:sz w:val="24"/>
                              </w:rPr>
                              <w:t>Box:</w:t>
                            </w:r>
                          </w:p>
                        </w:tc>
                        <w:tc>
                          <w:tcPr>
                            <w:tcW w:w="3964" w:type="dxa"/>
                          </w:tcPr>
                          <w:p>
                            <w:pPr>
                              <w:pStyle w:val="TableParagraph"/>
                              <w:spacing w:before="17"/>
                              <w:ind w:left="53"/>
                              <w:rPr>
                                <w:b/>
                                <w:sz w:val="24"/>
                              </w:rPr>
                            </w:pPr>
                            <w:hyperlink w:history="true" w:anchor="_bookmark22">
                              <w:r>
                                <w:rPr>
                                  <w:b/>
                                  <w:sz w:val="24"/>
                                </w:rPr>
                                <w:t>Summary</w:t>
                              </w:r>
                            </w:hyperlink>
                          </w:p>
                          <w:p>
                            <w:pPr>
                              <w:pStyle w:val="TableParagraph"/>
                              <w:spacing w:line="300" w:lineRule="atLeast"/>
                              <w:ind w:left="354"/>
                              <w:rPr>
                                <w:i/>
                                <w:sz w:val="24"/>
                              </w:rPr>
                            </w:pPr>
                            <w:hyperlink w:history="true" w:anchor="_bookmark20">
                              <w:r>
                                <w:rPr>
                                  <w:i/>
                                  <w:sz w:val="24"/>
                                </w:rPr>
                                <w:t>The review of the Average Earnings </w:t>
                              </w:r>
                              <w:r>
                                <w:rPr>
                                  <w:i/>
                                  <w:sz w:val="24"/>
                                </w:rPr>
                                <w:t>Index</w:t>
                              </w:r>
                            </w:hyperlink>
                          </w:p>
                        </w:tc>
                        <w:tc>
                          <w:tcPr>
                            <w:tcW w:w="479" w:type="dxa"/>
                          </w:tcPr>
                          <w:p>
                            <w:pPr>
                              <w:pStyle w:val="TableParagraph"/>
                              <w:spacing w:before="17"/>
                              <w:ind w:left="190"/>
                              <w:rPr>
                                <w:sz w:val="24"/>
                              </w:rPr>
                            </w:pPr>
                            <w:r>
                              <w:rPr>
                                <w:sz w:val="24"/>
                              </w:rPr>
                              <w:t>31</w:t>
                            </w:r>
                          </w:p>
                          <w:p>
                            <w:pPr>
                              <w:pStyle w:val="TableParagraph"/>
                              <w:spacing w:before="1"/>
                              <w:rPr>
                                <w:sz w:val="28"/>
                              </w:rPr>
                            </w:pPr>
                          </w:p>
                          <w:p>
                            <w:pPr>
                              <w:pStyle w:val="TableParagraph"/>
                              <w:spacing w:line="256" w:lineRule="exact" w:before="1"/>
                              <w:ind w:left="190"/>
                              <w:rPr>
                                <w:sz w:val="24"/>
                              </w:rPr>
                            </w:pPr>
                            <w:r>
                              <w:rPr>
                                <w:sz w:val="24"/>
                              </w:rPr>
                              <w:t>24</w:t>
                            </w:r>
                          </w:p>
                        </w:tc>
                      </w:tr>
                    </w:tbl>
                    <w:p>
                      <w:pPr>
                        <w:pStyle w:val="BodyText"/>
                      </w:pPr>
                    </w:p>
                  </w:txbxContent>
                </v:textbox>
                <w10:wrap type="none"/>
              </v:shape>
            </w:pict>
          </w:r>
          <w:hyperlink w:history="true" w:anchor="_bookmark11">
            <w:r>
              <w:rPr>
                <w:color w:val="0093C1"/>
              </w:rPr>
              <w:t>Demand and output</w:t>
            </w:r>
          </w:hyperlink>
          <w:r>
            <w:rPr>
              <w:color w:val="0093C1"/>
            </w:rPr>
            <w:tab/>
          </w:r>
          <w:r>
            <w:rPr>
              <w:b w:val="0"/>
            </w:rPr>
            <w:t>12</w:t>
          </w:r>
        </w:p>
      </w:sdtContent>
    </w:sdt>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154"/>
        <w:ind w:left="4989" w:right="0" w:firstLine="0"/>
        <w:jc w:val="left"/>
        <w:rPr>
          <w:b/>
          <w:sz w:val="24"/>
        </w:rPr>
      </w:pPr>
      <w:r>
        <w:rPr>
          <w:b/>
          <w:color w:val="0093C1"/>
          <w:sz w:val="24"/>
        </w:rPr>
        <w:t>3</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3"/>
        <w:rPr>
          <w:b/>
          <w:sz w:val="37"/>
        </w:rPr>
      </w:pPr>
    </w:p>
    <w:p>
      <w:pPr>
        <w:pStyle w:val="ListParagraph"/>
        <w:numPr>
          <w:ilvl w:val="0"/>
          <w:numId w:val="2"/>
        </w:numPr>
        <w:tabs>
          <w:tab w:pos="5369" w:val="left" w:leader="none"/>
          <w:tab w:pos="5370" w:val="left" w:leader="none"/>
          <w:tab w:pos="10269" w:val="right" w:leader="none"/>
        </w:tabs>
        <w:spacing w:line="240" w:lineRule="auto" w:before="1" w:after="0"/>
        <w:ind w:left="5369" w:right="0" w:hanging="381"/>
        <w:jc w:val="left"/>
        <w:rPr>
          <w:sz w:val="24"/>
        </w:rPr>
      </w:pPr>
      <w:hyperlink w:history="true" w:anchor="_bookmark23">
        <w:r>
          <w:rPr>
            <w:b/>
            <w:color w:val="0093C1"/>
            <w:sz w:val="24"/>
          </w:rPr>
          <w:t>Costs and prices</w:t>
        </w:r>
      </w:hyperlink>
      <w:r>
        <w:rPr>
          <w:b/>
          <w:color w:val="0093C1"/>
          <w:sz w:val="24"/>
        </w:rPr>
        <w:tab/>
      </w:r>
      <w:r>
        <w:rPr>
          <w:sz w:val="24"/>
        </w:rPr>
        <w:t>33</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3">
        <w:r>
          <w:rPr>
            <w:b/>
            <w:sz w:val="24"/>
          </w:rPr>
          <w:t>Raw materials and commodity prices</w:t>
        </w:r>
      </w:hyperlink>
      <w:r>
        <w:rPr>
          <w:b/>
          <w:sz w:val="24"/>
        </w:rPr>
        <w:tab/>
      </w:r>
      <w:r>
        <w:rPr>
          <w:sz w:val="24"/>
        </w:rPr>
        <w:t>33</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4">
        <w:r>
          <w:rPr>
            <w:b/>
            <w:sz w:val="24"/>
          </w:rPr>
          <w:t>Import prices and the exchange rate</w:t>
        </w:r>
      </w:hyperlink>
      <w:r>
        <w:rPr>
          <w:b/>
          <w:sz w:val="24"/>
        </w:rPr>
        <w:tab/>
      </w:r>
      <w:r>
        <w:rPr>
          <w:sz w:val="24"/>
        </w:rPr>
        <w:t>34</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5">
        <w:r>
          <w:rPr>
            <w:b/>
            <w:sz w:val="24"/>
          </w:rPr>
          <w:t>Costs and prices in manufacturing</w:t>
        </w:r>
      </w:hyperlink>
      <w:r>
        <w:rPr>
          <w:b/>
          <w:sz w:val="24"/>
        </w:rPr>
        <w:tab/>
      </w:r>
      <w:r>
        <w:rPr>
          <w:sz w:val="24"/>
        </w:rPr>
        <w:t>35</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5">
        <w:r>
          <w:rPr>
            <w:b/>
            <w:sz w:val="24"/>
          </w:rPr>
          <w:t>Costs and prices in the</w:t>
        </w:r>
        <w:r>
          <w:rPr>
            <w:b/>
            <w:spacing w:val="-2"/>
            <w:sz w:val="24"/>
          </w:rPr>
          <w:t> </w:t>
        </w:r>
        <w:r>
          <w:rPr>
            <w:b/>
            <w:sz w:val="24"/>
          </w:rPr>
          <w:t>service sector</w:t>
        </w:r>
      </w:hyperlink>
      <w:r>
        <w:rPr>
          <w:b/>
          <w:sz w:val="24"/>
        </w:rPr>
        <w:tab/>
      </w:r>
      <w:r>
        <w:rPr>
          <w:sz w:val="24"/>
        </w:rPr>
        <w:t>35</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6">
        <w:r>
          <w:rPr>
            <w:b/>
            <w:sz w:val="24"/>
          </w:rPr>
          <w:t>Retail prices</w:t>
        </w:r>
      </w:hyperlink>
      <w:r>
        <w:rPr>
          <w:b/>
          <w:sz w:val="24"/>
        </w:rPr>
        <w:tab/>
      </w:r>
      <w:r>
        <w:rPr>
          <w:sz w:val="24"/>
        </w:rPr>
        <w:t>36</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7">
        <w:r>
          <w:rPr>
            <w:b/>
            <w:sz w:val="24"/>
          </w:rPr>
          <w:t>Other price indices</w:t>
        </w:r>
      </w:hyperlink>
      <w:r>
        <w:rPr>
          <w:b/>
          <w:sz w:val="24"/>
        </w:rPr>
        <w:tab/>
      </w:r>
      <w:r>
        <w:rPr>
          <w:sz w:val="24"/>
        </w:rPr>
        <w:t>37</w:t>
      </w:r>
    </w:p>
    <w:p>
      <w:pPr>
        <w:pStyle w:val="ListParagraph"/>
        <w:numPr>
          <w:ilvl w:val="1"/>
          <w:numId w:val="2"/>
        </w:numPr>
        <w:tabs>
          <w:tab w:pos="5929" w:val="left" w:leader="none"/>
          <w:tab w:pos="5930" w:val="left" w:leader="none"/>
          <w:tab w:pos="10269" w:val="right" w:leader="none"/>
        </w:tabs>
        <w:spacing w:line="240" w:lineRule="auto" w:before="44" w:after="0"/>
        <w:ind w:left="5929" w:right="0" w:hanging="561"/>
        <w:jc w:val="left"/>
        <w:rPr>
          <w:sz w:val="24"/>
        </w:rPr>
      </w:pPr>
      <w:hyperlink w:history="true" w:anchor="_bookmark28">
        <w:r>
          <w:rPr>
            <w:b/>
            <w:sz w:val="24"/>
          </w:rPr>
          <w:t>Summary</w:t>
        </w:r>
      </w:hyperlink>
      <w:r>
        <w:rPr>
          <w:b/>
          <w:sz w:val="24"/>
        </w:rPr>
        <w:tab/>
      </w:r>
      <w:r>
        <w:rPr>
          <w:sz w:val="24"/>
        </w:rPr>
        <w:t>38</w:t>
      </w:r>
    </w:p>
    <w:p>
      <w:pPr>
        <w:spacing w:after="0" w:line="240" w:lineRule="auto"/>
        <w:jc w:val="left"/>
        <w:rPr>
          <w:sz w:val="24"/>
        </w:rPr>
        <w:sectPr>
          <w:headerReference w:type="even" r:id="rId13"/>
          <w:footerReference w:type="even" r:id="rId14"/>
          <w:pgSz w:w="11900" w:h="16840"/>
          <w:pgMar w:header="0" w:footer="0" w:top="1200" w:bottom="280" w:left="640" w:right="640"/>
        </w:sectPr>
      </w:pPr>
    </w:p>
    <w:p>
      <w:pPr>
        <w:pStyle w:val="ListParagraph"/>
        <w:numPr>
          <w:ilvl w:val="0"/>
          <w:numId w:val="2"/>
        </w:numPr>
        <w:tabs>
          <w:tab w:pos="5359" w:val="left" w:leader="none"/>
          <w:tab w:pos="5360" w:val="left" w:leader="none"/>
          <w:tab w:pos="10019" w:val="left" w:leader="none"/>
        </w:tabs>
        <w:spacing w:line="240" w:lineRule="auto" w:before="73" w:after="0"/>
        <w:ind w:left="5359" w:right="0" w:hanging="380"/>
        <w:jc w:val="left"/>
        <w:rPr>
          <w:sz w:val="24"/>
        </w:rPr>
      </w:pPr>
      <w:hyperlink w:history="true" w:anchor="_bookmark29">
        <w:r>
          <w:rPr>
            <w:b/>
            <w:color w:val="0093C1"/>
            <w:sz w:val="24"/>
          </w:rPr>
          <w:t>Monetary policy since the</w:t>
        </w:r>
        <w:r>
          <w:rPr>
            <w:b/>
            <w:color w:val="0093C1"/>
            <w:spacing w:val="-4"/>
            <w:sz w:val="24"/>
          </w:rPr>
          <w:t> </w:t>
        </w:r>
        <w:r>
          <w:rPr>
            <w:b/>
            <w:color w:val="0093C1"/>
            <w:sz w:val="24"/>
          </w:rPr>
          <w:t>February</w:t>
        </w:r>
        <w:r>
          <w:rPr>
            <w:b/>
            <w:color w:val="0093C1"/>
            <w:spacing w:val="-2"/>
            <w:sz w:val="24"/>
          </w:rPr>
          <w:t> </w:t>
        </w:r>
        <w:r>
          <w:rPr>
            <w:b/>
            <w:i/>
            <w:color w:val="0093C1"/>
            <w:sz w:val="24"/>
          </w:rPr>
          <w:t>Report</w:t>
        </w:r>
      </w:hyperlink>
      <w:r>
        <w:rPr>
          <w:b/>
          <w:i/>
          <w:color w:val="0093C1"/>
          <w:sz w:val="24"/>
        </w:rPr>
        <w:tab/>
      </w:r>
      <w:r>
        <w:rPr>
          <w:sz w:val="24"/>
        </w:rPr>
        <w:t>40</w:t>
      </w:r>
    </w:p>
    <w:p>
      <w:pPr>
        <w:pStyle w:val="ListParagraph"/>
        <w:numPr>
          <w:ilvl w:val="0"/>
          <w:numId w:val="2"/>
        </w:numPr>
        <w:tabs>
          <w:tab w:pos="5359" w:val="left" w:leader="none"/>
          <w:tab w:pos="5360" w:val="left" w:leader="none"/>
          <w:tab w:pos="10259" w:val="right" w:leader="none"/>
        </w:tabs>
        <w:spacing w:line="240" w:lineRule="auto" w:before="364" w:after="55"/>
        <w:ind w:left="5359" w:right="0" w:hanging="380"/>
        <w:jc w:val="left"/>
        <w:rPr>
          <w:sz w:val="24"/>
        </w:rPr>
      </w:pPr>
      <w:hyperlink w:history="true" w:anchor="_bookmark30">
        <w:r>
          <w:rPr>
            <w:b/>
            <w:color w:val="0093C1"/>
            <w:sz w:val="24"/>
          </w:rPr>
          <w:t>Prospects</w:t>
        </w:r>
        <w:r>
          <w:rPr>
            <w:b/>
            <w:color w:val="0093C1"/>
            <w:spacing w:val="-1"/>
            <w:sz w:val="24"/>
          </w:rPr>
          <w:t> </w:t>
        </w:r>
        <w:r>
          <w:rPr>
            <w:b/>
            <w:color w:val="0093C1"/>
            <w:sz w:val="24"/>
          </w:rPr>
          <w:t>for inflation</w:t>
        </w:r>
      </w:hyperlink>
      <w:r>
        <w:rPr>
          <w:b/>
          <w:color w:val="0093C1"/>
          <w:sz w:val="24"/>
        </w:rPr>
        <w:tab/>
      </w:r>
      <w:r>
        <w:rPr>
          <w:sz w:val="24"/>
        </w:rPr>
        <w:t>44</w:t>
      </w:r>
    </w:p>
    <w:tbl>
      <w:tblPr>
        <w:tblW w:w="0" w:type="auto"/>
        <w:jc w:val="left"/>
        <w:tblInd w:w="4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4138"/>
        <w:gridCol w:w="386"/>
      </w:tblGrid>
      <w:tr>
        <w:trPr>
          <w:trHeight w:val="292" w:hRule="atLeast"/>
        </w:trPr>
        <w:tc>
          <w:tcPr>
            <w:tcW w:w="857" w:type="dxa"/>
          </w:tcPr>
          <w:p>
            <w:pPr>
              <w:pStyle w:val="TableParagraph"/>
              <w:spacing w:line="266" w:lineRule="exact"/>
              <w:ind w:right="125"/>
              <w:jc w:val="right"/>
              <w:rPr>
                <w:b/>
                <w:sz w:val="24"/>
              </w:rPr>
            </w:pPr>
            <w:r>
              <w:rPr>
                <w:b/>
                <w:sz w:val="24"/>
              </w:rPr>
              <w:t>6.1</w:t>
            </w:r>
          </w:p>
        </w:tc>
        <w:tc>
          <w:tcPr>
            <w:tcW w:w="4138" w:type="dxa"/>
          </w:tcPr>
          <w:p>
            <w:pPr>
              <w:pStyle w:val="TableParagraph"/>
              <w:spacing w:line="266" w:lineRule="exact"/>
              <w:ind w:left="132"/>
              <w:rPr>
                <w:b/>
                <w:sz w:val="24"/>
              </w:rPr>
            </w:pPr>
            <w:hyperlink w:history="true" w:anchor="_bookmark30">
              <w:r>
                <w:rPr>
                  <w:b/>
                  <w:sz w:val="24"/>
                </w:rPr>
                <w:t>The inflation projection assumptions</w:t>
              </w:r>
            </w:hyperlink>
          </w:p>
        </w:tc>
        <w:tc>
          <w:tcPr>
            <w:tcW w:w="386" w:type="dxa"/>
          </w:tcPr>
          <w:p>
            <w:pPr>
              <w:pStyle w:val="TableParagraph"/>
              <w:spacing w:line="266" w:lineRule="exact"/>
              <w:ind w:left="75" w:right="31"/>
              <w:jc w:val="center"/>
              <w:rPr>
                <w:sz w:val="24"/>
              </w:rPr>
            </w:pPr>
            <w:r>
              <w:rPr>
                <w:sz w:val="24"/>
              </w:rPr>
              <w:t>44</w:t>
            </w:r>
          </w:p>
        </w:tc>
      </w:tr>
      <w:tr>
        <w:trPr>
          <w:trHeight w:val="319" w:hRule="atLeast"/>
        </w:trPr>
        <w:tc>
          <w:tcPr>
            <w:tcW w:w="857" w:type="dxa"/>
          </w:tcPr>
          <w:p>
            <w:pPr>
              <w:pStyle w:val="TableParagraph"/>
              <w:spacing w:before="17"/>
              <w:ind w:right="125"/>
              <w:jc w:val="right"/>
              <w:rPr>
                <w:b/>
                <w:sz w:val="24"/>
              </w:rPr>
            </w:pPr>
            <w:r>
              <w:rPr>
                <w:b/>
                <w:sz w:val="24"/>
              </w:rPr>
              <w:t>6.2</w:t>
            </w:r>
          </w:p>
        </w:tc>
        <w:tc>
          <w:tcPr>
            <w:tcW w:w="4138" w:type="dxa"/>
          </w:tcPr>
          <w:p>
            <w:pPr>
              <w:pStyle w:val="TableParagraph"/>
              <w:spacing w:before="17"/>
              <w:ind w:left="132"/>
              <w:rPr>
                <w:b/>
                <w:sz w:val="24"/>
              </w:rPr>
            </w:pPr>
            <w:hyperlink w:history="true" w:anchor="_bookmark31">
              <w:r>
                <w:rPr>
                  <w:b/>
                  <w:sz w:val="24"/>
                </w:rPr>
                <w:t>The medium-term inflation projection</w:t>
              </w:r>
            </w:hyperlink>
          </w:p>
        </w:tc>
        <w:tc>
          <w:tcPr>
            <w:tcW w:w="386" w:type="dxa"/>
          </w:tcPr>
          <w:p>
            <w:pPr>
              <w:pStyle w:val="TableParagraph"/>
              <w:spacing w:before="17"/>
              <w:ind w:left="75" w:right="31"/>
              <w:jc w:val="center"/>
              <w:rPr>
                <w:sz w:val="24"/>
              </w:rPr>
            </w:pPr>
            <w:r>
              <w:rPr>
                <w:sz w:val="24"/>
              </w:rPr>
              <w:t>46</w:t>
            </w:r>
          </w:p>
        </w:tc>
      </w:tr>
      <w:tr>
        <w:trPr>
          <w:trHeight w:val="480" w:hRule="atLeast"/>
        </w:trPr>
        <w:tc>
          <w:tcPr>
            <w:tcW w:w="857" w:type="dxa"/>
          </w:tcPr>
          <w:p>
            <w:pPr>
              <w:pStyle w:val="TableParagraph"/>
              <w:spacing w:before="17"/>
              <w:ind w:right="125"/>
              <w:jc w:val="right"/>
              <w:rPr>
                <w:b/>
                <w:sz w:val="24"/>
              </w:rPr>
            </w:pPr>
            <w:r>
              <w:rPr>
                <w:b/>
                <w:sz w:val="24"/>
              </w:rPr>
              <w:t>6.3</w:t>
            </w:r>
          </w:p>
        </w:tc>
        <w:tc>
          <w:tcPr>
            <w:tcW w:w="4138" w:type="dxa"/>
          </w:tcPr>
          <w:p>
            <w:pPr>
              <w:pStyle w:val="TableParagraph"/>
              <w:spacing w:before="17"/>
              <w:ind w:left="132"/>
              <w:rPr>
                <w:b/>
                <w:sz w:val="24"/>
              </w:rPr>
            </w:pPr>
            <w:hyperlink w:history="true" w:anchor="_bookmark34">
              <w:r>
                <w:rPr>
                  <w:b/>
                  <w:sz w:val="24"/>
                </w:rPr>
                <w:t>Other forecasts</w:t>
              </w:r>
            </w:hyperlink>
          </w:p>
        </w:tc>
        <w:tc>
          <w:tcPr>
            <w:tcW w:w="386" w:type="dxa"/>
          </w:tcPr>
          <w:p>
            <w:pPr>
              <w:pStyle w:val="TableParagraph"/>
              <w:spacing w:before="17"/>
              <w:ind w:left="75" w:right="31"/>
              <w:jc w:val="center"/>
              <w:rPr>
                <w:sz w:val="24"/>
              </w:rPr>
            </w:pPr>
            <w:r>
              <w:rPr>
                <w:sz w:val="24"/>
              </w:rPr>
              <w:t>53</w:t>
            </w:r>
          </w:p>
        </w:tc>
      </w:tr>
      <w:tr>
        <w:trPr>
          <w:trHeight w:val="799" w:hRule="atLeast"/>
        </w:trPr>
        <w:tc>
          <w:tcPr>
            <w:tcW w:w="857" w:type="dxa"/>
          </w:tcPr>
          <w:p>
            <w:pPr>
              <w:pStyle w:val="TableParagraph"/>
              <w:spacing w:before="177"/>
              <w:ind w:right="58"/>
              <w:jc w:val="right"/>
              <w:rPr>
                <w:b/>
                <w:sz w:val="24"/>
              </w:rPr>
            </w:pPr>
            <w:hyperlink w:history="true" w:anchor="_bookmark35">
              <w:r>
                <w:rPr>
                  <w:b/>
                  <w:color w:val="0093C1"/>
                  <w:sz w:val="24"/>
                </w:rPr>
                <w:t>Annex:</w:t>
              </w:r>
            </w:hyperlink>
          </w:p>
        </w:tc>
        <w:tc>
          <w:tcPr>
            <w:tcW w:w="4138" w:type="dxa"/>
          </w:tcPr>
          <w:p>
            <w:pPr>
              <w:pStyle w:val="TableParagraph"/>
              <w:spacing w:line="320" w:lineRule="atLeast" w:before="133"/>
              <w:ind w:left="172" w:hanging="114"/>
              <w:rPr>
                <w:b/>
                <w:sz w:val="24"/>
              </w:rPr>
            </w:pPr>
            <w:hyperlink w:history="true" w:anchor="_bookmark35">
              <w:r>
                <w:rPr>
                  <w:b/>
                  <w:color w:val="0093C1"/>
                  <w:sz w:val="24"/>
                </w:rPr>
                <w:t>Minutes of the Monetary Policy Committee</w:t>
              </w:r>
            </w:hyperlink>
          </w:p>
        </w:tc>
        <w:tc>
          <w:tcPr>
            <w:tcW w:w="386" w:type="dxa"/>
          </w:tcPr>
          <w:p>
            <w:pPr>
              <w:pStyle w:val="TableParagraph"/>
              <w:rPr>
                <w:sz w:val="26"/>
              </w:rPr>
            </w:pPr>
          </w:p>
          <w:p>
            <w:pPr>
              <w:pStyle w:val="TableParagraph"/>
              <w:spacing w:before="198"/>
              <w:ind w:left="75" w:right="31"/>
              <w:jc w:val="center"/>
              <w:rPr>
                <w:sz w:val="24"/>
              </w:rPr>
            </w:pPr>
            <w:r>
              <w:rPr>
                <w:sz w:val="24"/>
              </w:rPr>
              <w:t>55</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6">
              <w:r>
                <w:rPr>
                  <w:b/>
                  <w:sz w:val="24"/>
                </w:rPr>
                <w:t>February meeting</w:t>
              </w:r>
            </w:hyperlink>
          </w:p>
        </w:tc>
        <w:tc>
          <w:tcPr>
            <w:tcW w:w="386" w:type="dxa"/>
          </w:tcPr>
          <w:p>
            <w:pPr>
              <w:pStyle w:val="TableParagraph"/>
              <w:spacing w:before="17"/>
              <w:ind w:left="75" w:right="31"/>
              <w:jc w:val="center"/>
              <w:rPr>
                <w:sz w:val="24"/>
              </w:rPr>
            </w:pPr>
            <w:r>
              <w:rPr>
                <w:sz w:val="24"/>
              </w:rPr>
              <w:t>57</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7">
              <w:r>
                <w:rPr>
                  <w:b/>
                  <w:sz w:val="24"/>
                </w:rPr>
                <w:t>March meeting</w:t>
              </w:r>
            </w:hyperlink>
          </w:p>
        </w:tc>
        <w:tc>
          <w:tcPr>
            <w:tcW w:w="386" w:type="dxa"/>
          </w:tcPr>
          <w:p>
            <w:pPr>
              <w:pStyle w:val="TableParagraph"/>
              <w:spacing w:before="17"/>
              <w:ind w:left="75" w:right="31"/>
              <w:jc w:val="center"/>
              <w:rPr>
                <w:sz w:val="24"/>
              </w:rPr>
            </w:pPr>
            <w:r>
              <w:rPr>
                <w:sz w:val="24"/>
              </w:rPr>
              <w:t>65</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8">
              <w:r>
                <w:rPr>
                  <w:b/>
                  <w:sz w:val="24"/>
                </w:rPr>
                <w:t>March Press Notice</w:t>
              </w:r>
            </w:hyperlink>
          </w:p>
        </w:tc>
        <w:tc>
          <w:tcPr>
            <w:tcW w:w="386" w:type="dxa"/>
          </w:tcPr>
          <w:p>
            <w:pPr>
              <w:pStyle w:val="TableParagraph"/>
              <w:spacing w:before="17"/>
              <w:ind w:left="75" w:right="31"/>
              <w:jc w:val="center"/>
              <w:rPr>
                <w:sz w:val="24"/>
              </w:rPr>
            </w:pPr>
            <w:r>
              <w:rPr>
                <w:sz w:val="24"/>
              </w:rPr>
              <w:t>72</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39">
              <w:r>
                <w:rPr>
                  <w:b/>
                  <w:sz w:val="24"/>
                </w:rPr>
                <w:t>April meeting</w:t>
              </w:r>
            </w:hyperlink>
          </w:p>
        </w:tc>
        <w:tc>
          <w:tcPr>
            <w:tcW w:w="386" w:type="dxa"/>
          </w:tcPr>
          <w:p>
            <w:pPr>
              <w:pStyle w:val="TableParagraph"/>
              <w:spacing w:before="17"/>
              <w:ind w:left="75" w:right="31"/>
              <w:jc w:val="center"/>
              <w:rPr>
                <w:sz w:val="24"/>
              </w:rPr>
            </w:pPr>
            <w:r>
              <w:rPr>
                <w:sz w:val="24"/>
              </w:rPr>
              <w:t>73</w:t>
            </w:r>
          </w:p>
        </w:tc>
      </w:tr>
      <w:tr>
        <w:trPr>
          <w:trHeight w:val="319" w:hRule="atLeast"/>
        </w:trPr>
        <w:tc>
          <w:tcPr>
            <w:tcW w:w="857" w:type="dxa"/>
          </w:tcPr>
          <w:p>
            <w:pPr>
              <w:pStyle w:val="TableParagraph"/>
              <w:rPr>
                <w:sz w:val="24"/>
              </w:rPr>
            </w:pPr>
          </w:p>
        </w:tc>
        <w:tc>
          <w:tcPr>
            <w:tcW w:w="4138" w:type="dxa"/>
          </w:tcPr>
          <w:p>
            <w:pPr>
              <w:pStyle w:val="TableParagraph"/>
              <w:spacing w:before="17"/>
              <w:ind w:left="133"/>
              <w:rPr>
                <w:b/>
                <w:sz w:val="24"/>
              </w:rPr>
            </w:pPr>
            <w:hyperlink w:history="true" w:anchor="_bookmark40">
              <w:r>
                <w:rPr>
                  <w:b/>
                  <w:sz w:val="24"/>
                </w:rPr>
                <w:t>April Press Notice</w:t>
              </w:r>
            </w:hyperlink>
          </w:p>
        </w:tc>
        <w:tc>
          <w:tcPr>
            <w:tcW w:w="386" w:type="dxa"/>
          </w:tcPr>
          <w:p>
            <w:pPr>
              <w:pStyle w:val="TableParagraph"/>
              <w:spacing w:before="17"/>
              <w:ind w:left="75" w:right="31"/>
              <w:jc w:val="center"/>
              <w:rPr>
                <w:sz w:val="24"/>
              </w:rPr>
            </w:pPr>
            <w:r>
              <w:rPr>
                <w:sz w:val="24"/>
              </w:rPr>
              <w:t>80</w:t>
            </w:r>
          </w:p>
        </w:tc>
      </w:tr>
      <w:tr>
        <w:trPr>
          <w:trHeight w:val="292" w:hRule="atLeast"/>
        </w:trPr>
        <w:tc>
          <w:tcPr>
            <w:tcW w:w="857" w:type="dxa"/>
          </w:tcPr>
          <w:p>
            <w:pPr>
              <w:pStyle w:val="TableParagraph"/>
              <w:rPr>
                <w:sz w:val="22"/>
              </w:rPr>
            </w:pPr>
          </w:p>
        </w:tc>
        <w:tc>
          <w:tcPr>
            <w:tcW w:w="4138" w:type="dxa"/>
          </w:tcPr>
          <w:p>
            <w:pPr>
              <w:pStyle w:val="TableParagraph"/>
              <w:spacing w:line="256" w:lineRule="exact" w:before="17"/>
              <w:ind w:left="133"/>
              <w:rPr>
                <w:b/>
                <w:sz w:val="24"/>
              </w:rPr>
            </w:pPr>
            <w:hyperlink w:history="true" w:anchor="_bookmark41">
              <w:r>
                <w:rPr>
                  <w:b/>
                  <w:sz w:val="24"/>
                </w:rPr>
                <w:t>May Press Notice</w:t>
              </w:r>
            </w:hyperlink>
          </w:p>
        </w:tc>
        <w:tc>
          <w:tcPr>
            <w:tcW w:w="386" w:type="dxa"/>
          </w:tcPr>
          <w:p>
            <w:pPr>
              <w:pStyle w:val="TableParagraph"/>
              <w:spacing w:line="256" w:lineRule="exact" w:before="17"/>
              <w:ind w:left="75" w:right="31"/>
              <w:jc w:val="center"/>
              <w:rPr>
                <w:sz w:val="24"/>
              </w:rPr>
            </w:pPr>
            <w:r>
              <w:rPr>
                <w:sz w:val="24"/>
              </w:rPr>
              <w:t>81</w:t>
            </w:r>
          </w:p>
        </w:tc>
      </w:tr>
    </w:tbl>
    <w:p>
      <w:pPr>
        <w:pStyle w:val="BodyText"/>
        <w:spacing w:before="7"/>
        <w:rPr>
          <w:sz w:val="31"/>
        </w:rPr>
      </w:pPr>
    </w:p>
    <w:p>
      <w:pPr>
        <w:tabs>
          <w:tab w:pos="10019" w:val="left" w:leader="none"/>
        </w:tabs>
        <w:spacing w:before="0"/>
        <w:ind w:left="4980" w:right="0" w:firstLine="0"/>
        <w:jc w:val="left"/>
        <w:rPr>
          <w:sz w:val="24"/>
        </w:rPr>
      </w:pPr>
      <w:hyperlink w:history="true" w:anchor="_bookmark42">
        <w:r>
          <w:rPr>
            <w:b/>
            <w:color w:val="0093C1"/>
            <w:sz w:val="24"/>
          </w:rPr>
          <w:t>Glossary and</w:t>
        </w:r>
        <w:r>
          <w:rPr>
            <w:b/>
            <w:color w:val="0093C1"/>
            <w:spacing w:val="-3"/>
            <w:sz w:val="24"/>
          </w:rPr>
          <w:t> </w:t>
        </w:r>
        <w:r>
          <w:rPr>
            <w:b/>
            <w:color w:val="0093C1"/>
            <w:sz w:val="24"/>
          </w:rPr>
          <w:t>other</w:t>
        </w:r>
        <w:r>
          <w:rPr>
            <w:b/>
            <w:color w:val="0093C1"/>
            <w:spacing w:val="-1"/>
            <w:sz w:val="24"/>
          </w:rPr>
          <w:t> </w:t>
        </w:r>
        <w:r>
          <w:rPr>
            <w:b/>
            <w:color w:val="0093C1"/>
            <w:sz w:val="24"/>
          </w:rPr>
          <w:t>information</w:t>
        </w:r>
      </w:hyperlink>
      <w:r>
        <w:rPr>
          <w:b/>
          <w:color w:val="0093C1"/>
          <w:sz w:val="24"/>
        </w:rPr>
        <w:tab/>
      </w:r>
      <w:r>
        <w:rPr>
          <w:sz w:val="24"/>
        </w:rPr>
        <w:t>82</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
        <w:rPr>
          <w:sz w:val="32"/>
        </w:rPr>
      </w:pPr>
    </w:p>
    <w:p>
      <w:pPr>
        <w:spacing w:before="0"/>
        <w:ind w:left="4980" w:right="0" w:firstLine="0"/>
        <w:jc w:val="left"/>
        <w:rPr>
          <w:b/>
          <w:sz w:val="28"/>
        </w:rPr>
      </w:pPr>
      <w:r>
        <w:rPr>
          <w:b/>
          <w:color w:val="009483"/>
          <w:sz w:val="28"/>
        </w:rPr>
        <w:t>Links to Quarterly Bulletin</w:t>
      </w:r>
    </w:p>
    <w:p>
      <w:pPr>
        <w:pStyle w:val="BodyText"/>
        <w:spacing w:before="10"/>
        <w:rPr>
          <w:b/>
          <w:sz w:val="30"/>
        </w:rPr>
      </w:pPr>
    </w:p>
    <w:p>
      <w:pPr>
        <w:spacing w:before="1"/>
        <w:ind w:left="4980" w:right="0" w:firstLine="0"/>
        <w:jc w:val="left"/>
        <w:rPr>
          <w:b/>
          <w:sz w:val="24"/>
        </w:rPr>
      </w:pPr>
      <w:r>
        <w:rPr>
          <w:b/>
          <w:color w:val="0093C1"/>
          <w:sz w:val="24"/>
        </w:rPr>
        <w:t>Section 1</w:t>
      </w:r>
    </w:p>
    <w:p>
      <w:pPr>
        <w:pStyle w:val="BodyText"/>
        <w:spacing w:before="7"/>
        <w:rPr>
          <w:b/>
          <w:sz w:val="31"/>
        </w:rPr>
      </w:pPr>
    </w:p>
    <w:p>
      <w:pPr>
        <w:spacing w:line="278" w:lineRule="auto" w:before="0"/>
        <w:ind w:left="4980" w:right="221" w:firstLine="0"/>
        <w:jc w:val="left"/>
        <w:rPr>
          <w:sz w:val="24"/>
        </w:rPr>
      </w:pPr>
      <w:r>
        <w:rPr>
          <w:sz w:val="24"/>
        </w:rPr>
        <w:t>The transmission mechanism of monetary policy Quarterly Bulletin, May 1999, pages 161–70.</w:t>
      </w:r>
    </w:p>
    <w:p>
      <w:pPr>
        <w:pStyle w:val="BodyText"/>
        <w:spacing w:before="9"/>
        <w:rPr>
          <w:sz w:val="27"/>
        </w:rPr>
      </w:pPr>
    </w:p>
    <w:p>
      <w:pPr>
        <w:spacing w:before="0"/>
        <w:ind w:left="4980" w:right="0" w:firstLine="0"/>
        <w:jc w:val="left"/>
        <w:rPr>
          <w:b/>
          <w:sz w:val="24"/>
        </w:rPr>
      </w:pPr>
      <w:r>
        <w:rPr>
          <w:b/>
          <w:color w:val="0093C1"/>
          <w:sz w:val="24"/>
        </w:rPr>
        <w:t>Section 2</w:t>
      </w:r>
    </w:p>
    <w:p>
      <w:pPr>
        <w:pStyle w:val="BodyText"/>
        <w:spacing w:before="8"/>
        <w:rPr>
          <w:b/>
          <w:sz w:val="31"/>
        </w:rPr>
      </w:pPr>
    </w:p>
    <w:p>
      <w:pPr>
        <w:spacing w:before="0"/>
        <w:ind w:left="4980" w:right="0" w:firstLine="0"/>
        <w:jc w:val="left"/>
        <w:rPr>
          <w:sz w:val="24"/>
        </w:rPr>
      </w:pPr>
      <w:r>
        <w:rPr>
          <w:sz w:val="24"/>
        </w:rPr>
        <w:t>The international environment</w:t>
      </w:r>
    </w:p>
    <w:p>
      <w:pPr>
        <w:spacing w:before="44"/>
        <w:ind w:left="4980" w:right="0" w:firstLine="0"/>
        <w:jc w:val="left"/>
        <w:rPr>
          <w:sz w:val="24"/>
        </w:rPr>
      </w:pPr>
      <w:r>
        <w:rPr>
          <w:sz w:val="24"/>
        </w:rPr>
        <w:t>Quarterly Bulletin, May 1999, pages 152–60.</w:t>
      </w:r>
    </w:p>
    <w:p>
      <w:pPr>
        <w:spacing w:after="0"/>
        <w:jc w:val="left"/>
        <w:rPr>
          <w:sz w:val="24"/>
        </w:rPr>
        <w:sectPr>
          <w:headerReference w:type="default" r:id="rId15"/>
          <w:footerReference w:type="default" r:id="rId16"/>
          <w:pgSz w:w="11900" w:h="16840"/>
          <w:pgMar w:header="0" w:footer="0" w:top="66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715840;mso-wrap-distance-left:0;mso-wrap-distance-right:0" type="#_x0000_t202" filled="true" fillcolor="#b5dad6" stroked="false">
            <v:textbox inset="0,0,0,0">
              <w:txbxContent>
                <w:p>
                  <w:pPr>
                    <w:tabs>
                      <w:tab w:pos="10099" w:val="right" w:leader="none"/>
                    </w:tabs>
                    <w:spacing w:before="40"/>
                    <w:ind w:left="260" w:right="0" w:firstLine="0"/>
                    <w:jc w:val="left"/>
                    <w:rPr>
                      <w:b/>
                      <w:sz w:val="72"/>
                    </w:rPr>
                  </w:pPr>
                  <w:bookmarkStart w:name="Money and financial markets" w:id="6"/>
                  <w:bookmarkEnd w:id="6"/>
                  <w:r>
                    <w:rPr/>
                  </w:r>
                  <w:bookmarkStart w:name="Money and credit" w:id="7"/>
                  <w:bookmarkEnd w:id="7"/>
                  <w:r>
                    <w:rPr/>
                  </w:r>
                  <w:bookmarkStart w:name="Narrow money" w:id="8"/>
                  <w:bookmarkEnd w:id="8"/>
                  <w:r>
                    <w:rPr/>
                  </w:r>
                  <w:bookmarkStart w:name="Broad money" w:id="9"/>
                  <w:bookmarkEnd w:id="9"/>
                  <w:r>
                    <w:rPr/>
                  </w:r>
                  <w:bookmarkStart w:name="_bookmark2" w:id="10"/>
                  <w:bookmarkEnd w:id="10"/>
                  <w:r>
                    <w:rPr/>
                  </w:r>
                  <w:r>
                    <w:rPr>
                      <w:b/>
                      <w:color w:val="009483"/>
                      <w:sz w:val="48"/>
                    </w:rPr>
                    <w:t>Money and financial markets</w:t>
                    <w:tab/>
                  </w:r>
                  <w:r>
                    <w:rPr>
                      <w:b/>
                      <w:color w:val="009483"/>
                      <w:sz w:val="72"/>
                    </w:rPr>
                    <w:t>1</w:t>
                  </w:r>
                </w:p>
              </w:txbxContent>
            </v:textbox>
            <v:fill type="solid"/>
            <w10:wrap type="topAndBottom"/>
          </v:shape>
        </w:pict>
      </w:r>
    </w:p>
    <w:p>
      <w:pPr>
        <w:pStyle w:val="BodyText"/>
        <w:rPr>
          <w:sz w:val="20"/>
        </w:rPr>
      </w:pPr>
    </w:p>
    <w:p>
      <w:pPr>
        <w:pStyle w:val="BodyText"/>
        <w:rPr>
          <w:sz w:val="20"/>
        </w:rPr>
      </w:pPr>
    </w:p>
    <w:p>
      <w:pPr>
        <w:spacing w:line="242" w:lineRule="auto" w:before="215"/>
        <w:ind w:left="4960" w:right="221" w:firstLine="0"/>
        <w:jc w:val="left"/>
        <w:rPr>
          <w:sz w:val="24"/>
        </w:rPr>
      </w:pPr>
      <w:r>
        <w:rPr>
          <w:color w:val="231F20"/>
          <w:sz w:val="24"/>
        </w:rPr>
        <w:t>Annual growth in broad money continued to slow in the first quarter of 1999, largely reflecting a further decline in the rate of growth of non-bank financial sector holdings. </w:t>
      </w:r>
      <w:r>
        <w:rPr>
          <w:color w:val="231F20"/>
          <w:spacing w:val="-3"/>
          <w:sz w:val="24"/>
        </w:rPr>
        <w:t>Year-on-year </w:t>
      </w:r>
      <w:r>
        <w:rPr>
          <w:color w:val="231F20"/>
          <w:sz w:val="24"/>
        </w:rPr>
        <w:t>growth in M4 lending slowed </w:t>
      </w:r>
      <w:r>
        <w:rPr>
          <w:color w:val="231F20"/>
          <w:spacing w:val="-9"/>
          <w:sz w:val="24"/>
        </w:rPr>
        <w:t>by </w:t>
      </w:r>
      <w:r>
        <w:rPr>
          <w:color w:val="231F20"/>
          <w:sz w:val="24"/>
        </w:rPr>
        <w:t>less, leaving it slightly above the annual rate of growth in broad </w:t>
      </w:r>
      <w:r>
        <w:rPr>
          <w:color w:val="231F20"/>
          <w:spacing w:val="-3"/>
          <w:sz w:val="24"/>
        </w:rPr>
        <w:t>money. </w:t>
      </w:r>
      <w:r>
        <w:rPr>
          <w:color w:val="231F20"/>
          <w:sz w:val="24"/>
        </w:rPr>
        <w:t>Growth in lending to individuals secured on dwellings increased in the first quarter of 1999, in line with strengthening activity in the housing market. Share prices rose internationally, in many </w:t>
      </w:r>
      <w:r>
        <w:rPr>
          <w:color w:val="231F20"/>
          <w:spacing w:val="-4"/>
          <w:sz w:val="24"/>
        </w:rPr>
        <w:t>cases </w:t>
      </w:r>
      <w:r>
        <w:rPr>
          <w:color w:val="231F20"/>
          <w:sz w:val="24"/>
        </w:rPr>
        <w:t>to record levels. Following stronger-than-expected global economic data, conventional government bond yields rose in a number of G7 countries, including the United Kingdom. Sterling appreciated significantly, in particular against the euro.</w:t>
      </w:r>
    </w:p>
    <w:p>
      <w:pPr>
        <w:pStyle w:val="BodyText"/>
        <w:spacing w:before="10"/>
        <w:rPr>
          <w:sz w:val="25"/>
        </w:rPr>
      </w:pPr>
    </w:p>
    <w:p>
      <w:pPr>
        <w:spacing w:line="242" w:lineRule="auto" w:before="0"/>
        <w:ind w:left="4960" w:right="221" w:firstLine="0"/>
        <w:jc w:val="left"/>
        <w:rPr>
          <w:sz w:val="24"/>
        </w:rPr>
      </w:pPr>
      <w:hyperlink w:history="true" w:anchor="_bookmark37">
        <w:r>
          <w:rPr>
            <w:color w:val="231F20"/>
            <w:sz w:val="24"/>
          </w:rPr>
          <w:t>At its March meeting,</w:t>
        </w:r>
      </w:hyperlink>
      <w:r>
        <w:rPr>
          <w:color w:val="231F20"/>
          <w:sz w:val="24"/>
        </w:rPr>
        <w:t> the MPC voted to leave interest rates unchanged at 5.5%. The MPC voted to cut the Bank’s repo rate by 0.25 percentage points to 5.25% on 8 April. The MPC voted to leave interest rates unchanged at its meeting on 6 May.</w:t>
      </w:r>
    </w:p>
    <w:p>
      <w:pPr>
        <w:pStyle w:val="BodyText"/>
        <w:spacing w:before="5"/>
        <w:rPr>
          <w:sz w:val="24"/>
        </w:rPr>
      </w:pPr>
    </w:p>
    <w:p>
      <w:pPr>
        <w:pStyle w:val="Heading1"/>
        <w:tabs>
          <w:tab w:pos="8129" w:val="left" w:leader="none"/>
          <w:tab w:pos="10454" w:val="left" w:leader="none"/>
        </w:tabs>
      </w:pPr>
      <w:r>
        <w:rPr>
          <w:color w:val="009483"/>
          <w:u w:val="thick" w:color="0093C1"/>
        </w:rPr>
        <w:t>1.1</w:t>
        <w:tab/>
        <w:t>Money and</w:t>
      </w:r>
      <w:r>
        <w:rPr>
          <w:color w:val="009483"/>
          <w:spacing w:val="-5"/>
          <w:u w:val="thick" w:color="0093C1"/>
        </w:rPr>
        <w:t> </w:t>
      </w:r>
      <w:r>
        <w:rPr>
          <w:color w:val="009483"/>
          <w:u w:val="thick" w:color="0093C1"/>
        </w:rPr>
        <w:t>credit</w:t>
        <w:tab/>
      </w:r>
    </w:p>
    <w:p>
      <w:pPr>
        <w:pStyle w:val="BodyText"/>
        <w:spacing w:before="9"/>
        <w:rPr>
          <w:b/>
          <w:sz w:val="14"/>
        </w:rPr>
      </w:pPr>
    </w:p>
    <w:p>
      <w:pPr>
        <w:spacing w:after="0"/>
        <w:rPr>
          <w:sz w:val="14"/>
        </w:rPr>
        <w:sectPr>
          <w:headerReference w:type="default" r:id="rId17"/>
          <w:footerReference w:type="default" r:id="rId18"/>
          <w:footerReference w:type="even" r:id="rId19"/>
          <w:pgSz w:w="11900" w:h="16840"/>
          <w:pgMar w:header="0" w:footer="617" w:top="780" w:bottom="800" w:left="640" w:right="640"/>
          <w:pgNumType w:start="3"/>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Heading4"/>
        <w:spacing w:before="1"/>
        <w:ind w:left="174"/>
      </w:pPr>
      <w:r>
        <w:rPr>
          <w:color w:val="0093C1"/>
        </w:rPr>
        <w:t>Table 1.A</w:t>
      </w:r>
    </w:p>
    <w:p>
      <w:pPr>
        <w:pStyle w:val="Heading4"/>
        <w:ind w:left="174"/>
        <w:rPr>
          <w:b w:val="0"/>
          <w:sz w:val="12"/>
        </w:rPr>
      </w:pPr>
      <w:r>
        <w:rPr>
          <w:color w:val="0093C1"/>
        </w:rPr>
        <w:t>Growth rates of narrow and broad money</w:t>
      </w:r>
      <w:r>
        <w:rPr>
          <w:b w:val="0"/>
          <w:color w:val="231F20"/>
          <w:position w:val="4"/>
          <w:sz w:val="12"/>
        </w:rPr>
        <w:t>(a)</w:t>
      </w:r>
    </w:p>
    <w:p>
      <w:pPr>
        <w:spacing w:line="150" w:lineRule="exact" w:before="106"/>
        <w:ind w:left="174" w:right="0" w:firstLine="0"/>
        <w:jc w:val="left"/>
        <w:rPr>
          <w:sz w:val="14"/>
        </w:rPr>
      </w:pPr>
      <w:r>
        <w:rPr>
          <w:color w:val="231F20"/>
          <w:sz w:val="14"/>
        </w:rPr>
        <w:t>Per cent</w:t>
      </w:r>
    </w:p>
    <w:p>
      <w:pPr>
        <w:spacing w:line="150" w:lineRule="exact" w:before="0"/>
        <w:ind w:left="1774" w:right="0" w:firstLine="0"/>
        <w:jc w:val="left"/>
        <w:rPr>
          <w:sz w:val="14"/>
        </w:rPr>
      </w:pPr>
      <w:r>
        <w:rPr>
          <w:color w:val="231F20"/>
          <w:sz w:val="14"/>
          <w:u w:val="single" w:color="231F20"/>
        </w:rPr>
        <w:t>1 month</w:t>
      </w:r>
      <w:r>
        <w:rPr>
          <w:color w:val="231F20"/>
          <w:sz w:val="14"/>
        </w:rPr>
        <w:t> </w:t>
      </w:r>
      <w:r>
        <w:rPr>
          <w:color w:val="231F20"/>
          <w:sz w:val="14"/>
          <w:u w:val="single" w:color="231F20"/>
        </w:rPr>
        <w:t>3 months </w:t>
      </w:r>
      <w:r>
        <w:rPr>
          <w:color w:val="231F20"/>
          <w:sz w:val="12"/>
          <w:u w:val="single" w:color="231F20"/>
        </w:rPr>
        <w:t>(b</w:t>
      </w:r>
      <w:r>
        <w:rPr>
          <w:color w:val="231F20"/>
          <w:sz w:val="12"/>
        </w:rPr>
        <w:t>) </w:t>
      </w:r>
      <w:r>
        <w:rPr>
          <w:color w:val="231F20"/>
          <w:sz w:val="14"/>
          <w:u w:val="single" w:color="231F20"/>
        </w:rPr>
        <w:t>6 months </w:t>
      </w:r>
      <w:r>
        <w:rPr>
          <w:color w:val="231F20"/>
          <w:sz w:val="12"/>
          <w:u w:val="single" w:color="231F20"/>
        </w:rPr>
        <w:t>(b</w:t>
      </w:r>
      <w:r>
        <w:rPr>
          <w:color w:val="231F20"/>
          <w:sz w:val="12"/>
        </w:rPr>
        <w:t>) </w:t>
      </w:r>
      <w:r>
        <w:rPr>
          <w:color w:val="231F20"/>
          <w:sz w:val="14"/>
          <w:u w:val="single" w:color="231F20"/>
        </w:rPr>
        <w:t>12 months</w:t>
      </w:r>
    </w:p>
    <w:p>
      <w:pPr>
        <w:tabs>
          <w:tab w:pos="1919" w:val="left" w:leader="none"/>
          <w:tab w:pos="2589" w:val="left" w:leader="none"/>
          <w:tab w:pos="3309" w:val="left" w:leader="none"/>
          <w:tab w:pos="4224" w:val="right" w:leader="none"/>
        </w:tabs>
        <w:spacing w:line="150" w:lineRule="exact" w:before="119"/>
        <w:ind w:left="174" w:right="0" w:firstLine="0"/>
        <w:jc w:val="left"/>
        <w:rPr>
          <w:sz w:val="14"/>
        </w:rPr>
      </w:pPr>
      <w:r>
        <w:rPr>
          <w:color w:val="231F20"/>
          <w:sz w:val="14"/>
        </w:rPr>
        <w:t>Notes &amp; coin   </w:t>
      </w:r>
      <w:r>
        <w:rPr>
          <w:color w:val="231F20"/>
          <w:spacing w:val="13"/>
          <w:sz w:val="14"/>
        </w:rPr>
        <w:t> </w:t>
      </w:r>
      <w:r>
        <w:rPr>
          <w:color w:val="231F20"/>
          <w:sz w:val="14"/>
        </w:rPr>
        <w:t>Jan. </w:t>
      </w:r>
      <w:r>
        <w:rPr>
          <w:color w:val="231F20"/>
          <w:spacing w:val="18"/>
          <w:sz w:val="14"/>
        </w:rPr>
        <w:t> </w:t>
      </w:r>
      <w:r>
        <w:rPr>
          <w:color w:val="231F20"/>
          <w:sz w:val="14"/>
        </w:rPr>
        <w:t>1999</w:t>
        <w:tab/>
        <w:t>0.5</w:t>
        <w:tab/>
        <w:t>6.1</w:t>
        <w:tab/>
        <w:t>6.1</w:t>
        <w:tab/>
        <w:t>5.4</w:t>
      </w:r>
    </w:p>
    <w:p>
      <w:pPr>
        <w:tabs>
          <w:tab w:pos="1919" w:val="left" w:leader="none"/>
          <w:tab w:pos="2589" w:val="left" w:leader="none"/>
          <w:tab w:pos="3309" w:val="left" w:leader="none"/>
          <w:tab w:pos="4224" w:val="right" w:leader="none"/>
        </w:tabs>
        <w:spacing w:line="140" w:lineRule="exact" w:before="0"/>
        <w:ind w:left="1074" w:right="0" w:firstLine="0"/>
        <w:jc w:val="left"/>
        <w:rPr>
          <w:sz w:val="14"/>
        </w:rPr>
      </w:pPr>
      <w:r>
        <w:rPr>
          <w:color w:val="231F20"/>
          <w:sz w:val="14"/>
        </w:rPr>
        <w:t>Feb.</w:t>
        <w:tab/>
        <w:t>0.5</w:t>
        <w:tab/>
        <w:t>6.5</w:t>
        <w:tab/>
        <w:t>6.1</w:t>
        <w:tab/>
        <w:t>5.4</w:t>
      </w:r>
    </w:p>
    <w:p>
      <w:pPr>
        <w:tabs>
          <w:tab w:pos="1919" w:val="left" w:leader="none"/>
          <w:tab w:pos="2589" w:val="left" w:leader="none"/>
          <w:tab w:pos="3309" w:val="left" w:leader="none"/>
          <w:tab w:pos="4224" w:val="right" w:leader="none"/>
        </w:tabs>
        <w:spacing w:line="140" w:lineRule="exact" w:before="0"/>
        <w:ind w:left="1074" w:right="0" w:firstLine="0"/>
        <w:jc w:val="left"/>
        <w:rPr>
          <w:sz w:val="14"/>
        </w:rPr>
      </w:pPr>
      <w:r>
        <w:rPr>
          <w:color w:val="231F20"/>
          <w:sz w:val="14"/>
        </w:rPr>
        <w:t>Mar.</w:t>
        <w:tab/>
        <w:t>0.5</w:t>
        <w:tab/>
        <w:t>5.7</w:t>
        <w:tab/>
        <w:t>5.7</w:t>
        <w:tab/>
        <w:t>5.6</w:t>
      </w:r>
    </w:p>
    <w:p>
      <w:pPr>
        <w:tabs>
          <w:tab w:pos="1919" w:val="left" w:leader="none"/>
          <w:tab w:pos="2589" w:val="left" w:leader="none"/>
          <w:tab w:pos="3309" w:val="left" w:leader="none"/>
          <w:tab w:pos="4224" w:val="right" w:leader="none"/>
        </w:tabs>
        <w:spacing w:line="150" w:lineRule="exact" w:before="0"/>
        <w:ind w:left="1074" w:right="0" w:firstLine="0"/>
        <w:jc w:val="left"/>
        <w:rPr>
          <w:sz w:val="14"/>
        </w:rPr>
      </w:pPr>
      <w:r>
        <w:rPr>
          <w:color w:val="231F20"/>
          <w:sz w:val="14"/>
        </w:rPr>
        <w:t>Apr.</w:t>
        <w:tab/>
        <w:t>0.7</w:t>
        <w:tab/>
        <w:t>6.5</w:t>
        <w:tab/>
        <w:t>6.3</w:t>
        <w:tab/>
        <w:t>5.8</w:t>
      </w:r>
    </w:p>
    <w:p>
      <w:pPr>
        <w:tabs>
          <w:tab w:pos="1074" w:val="left" w:leader="none"/>
          <w:tab w:pos="1919" w:val="left" w:leader="none"/>
          <w:tab w:pos="2589" w:val="left" w:leader="none"/>
          <w:tab w:pos="3309" w:val="left" w:leader="none"/>
          <w:tab w:pos="4224" w:val="right" w:leader="none"/>
        </w:tabs>
        <w:spacing w:line="150" w:lineRule="exact" w:before="119"/>
        <w:ind w:left="174" w:right="0" w:firstLine="0"/>
        <w:jc w:val="left"/>
        <w:rPr>
          <w:sz w:val="14"/>
        </w:rPr>
      </w:pPr>
      <w:r>
        <w:rPr>
          <w:color w:val="231F20"/>
          <w:sz w:val="14"/>
        </w:rPr>
        <w:t>M4</w:t>
        <w:tab/>
        <w:t>Dec.</w:t>
      </w:r>
      <w:r>
        <w:rPr>
          <w:color w:val="231F20"/>
          <w:spacing w:val="14"/>
          <w:sz w:val="14"/>
        </w:rPr>
        <w:t> </w:t>
      </w:r>
      <w:r>
        <w:rPr>
          <w:color w:val="231F20"/>
          <w:sz w:val="14"/>
        </w:rPr>
        <w:t>1998</w:t>
        <w:tab/>
        <w:t>0.7</w:t>
        <w:tab/>
        <w:t>6.4</w:t>
        <w:tab/>
        <w:t>7.5</w:t>
        <w:tab/>
        <w:t>8.2</w:t>
      </w:r>
    </w:p>
    <w:p>
      <w:pPr>
        <w:tabs>
          <w:tab w:pos="1919" w:val="left" w:leader="none"/>
          <w:tab w:pos="2589" w:val="left" w:leader="none"/>
          <w:tab w:pos="3309" w:val="left" w:leader="none"/>
          <w:tab w:pos="4224" w:val="right" w:leader="none"/>
        </w:tabs>
        <w:spacing w:line="140" w:lineRule="exact" w:before="0"/>
        <w:ind w:left="1074" w:right="0" w:firstLine="0"/>
        <w:jc w:val="left"/>
        <w:rPr>
          <w:sz w:val="14"/>
        </w:rPr>
      </w:pPr>
      <w:r>
        <w:rPr>
          <w:color w:val="231F20"/>
          <w:sz w:val="14"/>
        </w:rPr>
        <w:t>Jan. </w:t>
      </w:r>
      <w:r>
        <w:rPr>
          <w:color w:val="231F20"/>
          <w:spacing w:val="18"/>
          <w:sz w:val="14"/>
        </w:rPr>
        <w:t> </w:t>
      </w:r>
      <w:r>
        <w:rPr>
          <w:color w:val="231F20"/>
          <w:sz w:val="14"/>
        </w:rPr>
        <w:t>1999</w:t>
        <w:tab/>
        <w:t>0.1</w:t>
        <w:tab/>
        <w:t>4.4</w:t>
        <w:tab/>
        <w:t>5.1</w:t>
        <w:tab/>
        <w:t>7.6</w:t>
      </w:r>
    </w:p>
    <w:p>
      <w:pPr>
        <w:tabs>
          <w:tab w:pos="1919" w:val="left" w:leader="none"/>
          <w:tab w:pos="2589" w:val="left" w:leader="none"/>
          <w:tab w:pos="3309" w:val="left" w:leader="none"/>
          <w:tab w:pos="4224" w:val="right" w:leader="none"/>
        </w:tabs>
        <w:spacing w:line="140" w:lineRule="exact" w:before="0"/>
        <w:ind w:left="1074" w:right="0" w:firstLine="0"/>
        <w:jc w:val="left"/>
        <w:rPr>
          <w:sz w:val="14"/>
        </w:rPr>
      </w:pPr>
      <w:r>
        <w:rPr>
          <w:color w:val="231F20"/>
          <w:sz w:val="14"/>
        </w:rPr>
        <w:t>Feb.</w:t>
        <w:tab/>
        <w:t>0.5</w:t>
        <w:tab/>
        <w:t>5.4</w:t>
        <w:tab/>
        <w:t>6.2</w:t>
        <w:tab/>
        <w:t>7.2</w:t>
      </w:r>
    </w:p>
    <w:p>
      <w:pPr>
        <w:tabs>
          <w:tab w:pos="1919" w:val="left" w:leader="none"/>
          <w:tab w:pos="2589" w:val="left" w:leader="none"/>
          <w:tab w:pos="3309" w:val="left" w:leader="none"/>
          <w:tab w:pos="4224" w:val="right" w:leader="none"/>
        </w:tabs>
        <w:spacing w:line="150" w:lineRule="exact" w:before="0"/>
        <w:ind w:left="1074" w:right="0" w:firstLine="0"/>
        <w:jc w:val="left"/>
        <w:rPr>
          <w:sz w:val="14"/>
        </w:rPr>
      </w:pPr>
      <w:r>
        <w:rPr>
          <w:color w:val="231F20"/>
          <w:sz w:val="14"/>
        </w:rPr>
        <w:t>Mar.</w:t>
        <w:tab/>
        <w:t>0.4</w:t>
        <w:tab/>
        <w:t>3.9</w:t>
        <w:tab/>
        <w:t>5.1</w:t>
        <w:tab/>
        <w:t>6.9</w:t>
      </w:r>
    </w:p>
    <w:p>
      <w:pPr>
        <w:tabs>
          <w:tab w:pos="1919" w:val="left" w:leader="none"/>
          <w:tab w:pos="2589" w:val="left" w:leader="none"/>
          <w:tab w:pos="3309" w:val="left" w:leader="none"/>
          <w:tab w:pos="4224" w:val="right" w:leader="none"/>
        </w:tabs>
        <w:spacing w:line="150" w:lineRule="exact" w:before="119"/>
        <w:ind w:left="174" w:right="0" w:firstLine="0"/>
        <w:jc w:val="left"/>
        <w:rPr>
          <w:sz w:val="14"/>
        </w:rPr>
      </w:pPr>
      <w:r>
        <w:rPr>
          <w:color w:val="231F20"/>
          <w:sz w:val="14"/>
        </w:rPr>
        <w:t>M4 lending </w:t>
      </w:r>
      <w:r>
        <w:rPr>
          <w:color w:val="231F20"/>
          <w:sz w:val="12"/>
        </w:rPr>
        <w:t>(c) </w:t>
      </w:r>
      <w:r>
        <w:rPr>
          <w:color w:val="231F20"/>
          <w:spacing w:val="21"/>
          <w:sz w:val="12"/>
        </w:rPr>
        <w:t> </w:t>
      </w:r>
      <w:r>
        <w:rPr>
          <w:color w:val="231F20"/>
          <w:sz w:val="14"/>
        </w:rPr>
        <w:t>Dec.</w:t>
      </w:r>
      <w:r>
        <w:rPr>
          <w:color w:val="231F20"/>
          <w:spacing w:val="14"/>
          <w:sz w:val="14"/>
        </w:rPr>
        <w:t> </w:t>
      </w:r>
      <w:r>
        <w:rPr>
          <w:color w:val="231F20"/>
          <w:sz w:val="14"/>
        </w:rPr>
        <w:t>1998</w:t>
        <w:tab/>
        <w:t>0.6</w:t>
        <w:tab/>
        <w:t>5.4</w:t>
        <w:tab/>
        <w:t>7.6</w:t>
        <w:tab/>
        <w:t>7.9</w:t>
      </w:r>
    </w:p>
    <w:p>
      <w:pPr>
        <w:tabs>
          <w:tab w:pos="1919" w:val="left" w:leader="none"/>
          <w:tab w:pos="2589" w:val="left" w:leader="none"/>
          <w:tab w:pos="3309" w:val="left" w:leader="none"/>
          <w:tab w:pos="4224" w:val="right" w:leader="none"/>
        </w:tabs>
        <w:spacing w:line="140" w:lineRule="exact" w:before="0"/>
        <w:ind w:left="1074" w:right="0" w:firstLine="0"/>
        <w:jc w:val="left"/>
        <w:rPr>
          <w:sz w:val="14"/>
        </w:rPr>
      </w:pPr>
      <w:r>
        <w:rPr>
          <w:color w:val="231F20"/>
          <w:sz w:val="14"/>
        </w:rPr>
        <w:t>Jan. </w:t>
      </w:r>
      <w:r>
        <w:rPr>
          <w:color w:val="231F20"/>
          <w:spacing w:val="18"/>
          <w:sz w:val="14"/>
        </w:rPr>
        <w:t> </w:t>
      </w:r>
      <w:r>
        <w:rPr>
          <w:color w:val="231F20"/>
          <w:sz w:val="14"/>
        </w:rPr>
        <w:t>1999</w:t>
        <w:tab/>
        <w:t>0.5</w:t>
        <w:tab/>
        <w:t>4.9</w:t>
        <w:tab/>
        <w:t>6.6</w:t>
        <w:tab/>
        <w:t>7.8</w:t>
      </w:r>
    </w:p>
    <w:p>
      <w:pPr>
        <w:tabs>
          <w:tab w:pos="1919" w:val="left" w:leader="none"/>
          <w:tab w:pos="2589" w:val="left" w:leader="none"/>
          <w:tab w:pos="3309" w:val="left" w:leader="none"/>
          <w:tab w:pos="4049" w:val="left" w:leader="none"/>
        </w:tabs>
        <w:spacing w:line="140" w:lineRule="exact" w:before="0"/>
        <w:ind w:left="1074" w:right="0" w:firstLine="0"/>
        <w:jc w:val="left"/>
        <w:rPr>
          <w:sz w:val="14"/>
        </w:rPr>
      </w:pPr>
      <w:r>
        <w:rPr>
          <w:color w:val="231F20"/>
          <w:sz w:val="14"/>
        </w:rPr>
        <w:t>Feb.</w:t>
        <w:tab/>
        <w:t>0.5</w:t>
        <w:tab/>
        <w:t>6.5</w:t>
        <w:tab/>
        <w:t>6.1</w:t>
        <w:tab/>
        <w:t>7.0</w:t>
      </w:r>
    </w:p>
    <w:p>
      <w:pPr>
        <w:tabs>
          <w:tab w:pos="1919" w:val="left" w:leader="none"/>
          <w:tab w:pos="2589" w:val="left" w:leader="none"/>
          <w:tab w:pos="3309" w:val="left" w:leader="none"/>
          <w:tab w:pos="4224" w:val="right" w:leader="none"/>
        </w:tabs>
        <w:spacing w:line="150" w:lineRule="exact" w:before="0"/>
        <w:ind w:left="1074" w:right="0" w:firstLine="0"/>
        <w:jc w:val="left"/>
        <w:rPr>
          <w:sz w:val="14"/>
        </w:rPr>
      </w:pPr>
      <w:r>
        <w:rPr>
          <w:color w:val="231F20"/>
          <w:sz w:val="14"/>
        </w:rPr>
        <w:t>Mar.</w:t>
        <w:tab/>
        <w:t>0.7</w:t>
        <w:tab/>
        <w:t>7.1</w:t>
        <w:tab/>
        <w:t>6.2</w:t>
        <w:tab/>
        <w:t>7.4</w:t>
      </w:r>
    </w:p>
    <w:p>
      <w:pPr>
        <w:spacing w:before="117"/>
        <w:ind w:left="174" w:right="0" w:firstLine="0"/>
        <w:jc w:val="left"/>
        <w:rPr>
          <w:sz w:val="12"/>
        </w:rPr>
      </w:pPr>
      <w:r>
        <w:rPr>
          <w:color w:val="231F20"/>
          <w:sz w:val="12"/>
        </w:rPr>
        <w:t>Source: Bank of England.</w:t>
      </w:r>
    </w:p>
    <w:p>
      <w:pPr>
        <w:pStyle w:val="ListParagraph"/>
        <w:numPr>
          <w:ilvl w:val="0"/>
          <w:numId w:val="3"/>
        </w:numPr>
        <w:tabs>
          <w:tab w:pos="368" w:val="left" w:leader="none"/>
        </w:tabs>
        <w:spacing w:line="129" w:lineRule="exact" w:before="102" w:after="0"/>
        <w:ind w:left="367" w:right="0" w:hanging="194"/>
        <w:jc w:val="left"/>
        <w:rPr>
          <w:sz w:val="12"/>
        </w:rPr>
      </w:pPr>
      <w:r>
        <w:rPr>
          <w:color w:val="231F20"/>
          <w:sz w:val="12"/>
        </w:rPr>
        <w:t>Seasonally adjusted.</w:t>
      </w:r>
    </w:p>
    <w:p>
      <w:pPr>
        <w:pStyle w:val="ListParagraph"/>
        <w:numPr>
          <w:ilvl w:val="0"/>
          <w:numId w:val="3"/>
        </w:numPr>
        <w:tabs>
          <w:tab w:pos="375" w:val="left" w:leader="none"/>
        </w:tabs>
        <w:spacing w:line="120" w:lineRule="exact" w:before="0" w:after="0"/>
        <w:ind w:left="374" w:right="0" w:hanging="201"/>
        <w:jc w:val="left"/>
        <w:rPr>
          <w:sz w:val="12"/>
        </w:rPr>
      </w:pPr>
      <w:r>
        <w:rPr>
          <w:color w:val="231F20"/>
          <w:sz w:val="12"/>
        </w:rPr>
        <w:t>Annualised.</w:t>
      </w:r>
    </w:p>
    <w:p>
      <w:pPr>
        <w:pStyle w:val="ListParagraph"/>
        <w:numPr>
          <w:ilvl w:val="0"/>
          <w:numId w:val="3"/>
        </w:numPr>
        <w:tabs>
          <w:tab w:pos="368" w:val="left" w:leader="none"/>
        </w:tabs>
        <w:spacing w:line="129" w:lineRule="exact" w:before="0" w:after="0"/>
        <w:ind w:left="367" w:right="0" w:hanging="194"/>
        <w:jc w:val="left"/>
        <w:rPr>
          <w:sz w:val="12"/>
        </w:rPr>
      </w:pPr>
      <w:r>
        <w:rPr>
          <w:color w:val="231F20"/>
          <w:sz w:val="12"/>
        </w:rPr>
        <w:t>Excluding the effects of securitisations and other loan transfers.</w:t>
      </w:r>
    </w:p>
    <w:p>
      <w:pPr>
        <w:pStyle w:val="Heading2"/>
        <w:spacing w:before="90"/>
        <w:ind w:left="174"/>
        <w:rPr>
          <w:i/>
        </w:rPr>
      </w:pPr>
      <w:r>
        <w:rPr>
          <w:i w:val="0"/>
        </w:rPr>
        <w:br w:type="column"/>
      </w:r>
      <w:r>
        <w:rPr>
          <w:i/>
          <w:color w:val="009483"/>
        </w:rPr>
        <w:t>Narrow money</w:t>
      </w:r>
    </w:p>
    <w:p>
      <w:pPr>
        <w:spacing w:line="242" w:lineRule="auto" w:before="164"/>
        <w:ind w:left="174" w:right="218" w:firstLine="0"/>
        <w:jc w:val="left"/>
        <w:rPr>
          <w:sz w:val="24"/>
        </w:rPr>
      </w:pPr>
      <w:r>
        <w:rPr>
          <w:color w:val="231F20"/>
          <w:sz w:val="24"/>
        </w:rPr>
        <w:t>The value of notes and coin in circulation increased by 0.7% in April, raising the twelve-month growth rate to 5.8% (see </w:t>
      </w:r>
      <w:r>
        <w:rPr>
          <w:color w:val="231F20"/>
          <w:spacing w:val="-4"/>
          <w:sz w:val="24"/>
        </w:rPr>
        <w:t>Table </w:t>
      </w:r>
      <w:r>
        <w:rPr>
          <w:color w:val="231F20"/>
          <w:sz w:val="24"/>
        </w:rPr>
        <w:t>1.A). Growth in notes and coin has been picking up since September. That is consistent with a fall in the opportunity cost of holding money as interest rates have been reduced. Annual growth in nominal retail sales also picked up slightly in 1999 Q1. However, the relationship between narrow money and nominal retail sales growth has not been as strong in </w:t>
      </w:r>
      <w:r>
        <w:rPr>
          <w:color w:val="231F20"/>
          <w:spacing w:val="-5"/>
          <w:sz w:val="24"/>
        </w:rPr>
        <w:t>this </w:t>
      </w:r>
      <w:r>
        <w:rPr>
          <w:color w:val="231F20"/>
          <w:sz w:val="24"/>
        </w:rPr>
        <w:t>recovery as during the 1980s.</w:t>
      </w:r>
    </w:p>
    <w:p>
      <w:pPr>
        <w:pStyle w:val="BodyText"/>
        <w:spacing w:before="5"/>
        <w:rPr>
          <w:sz w:val="25"/>
        </w:rPr>
      </w:pPr>
    </w:p>
    <w:p>
      <w:pPr>
        <w:pStyle w:val="Heading2"/>
        <w:ind w:left="174"/>
        <w:rPr>
          <w:i/>
        </w:rPr>
      </w:pPr>
      <w:r>
        <w:rPr>
          <w:i/>
          <w:color w:val="009483"/>
        </w:rPr>
        <w:t>Broad money</w:t>
      </w:r>
    </w:p>
    <w:p>
      <w:pPr>
        <w:spacing w:line="242" w:lineRule="auto" w:before="164"/>
        <w:ind w:left="174" w:right="0" w:firstLine="0"/>
        <w:jc w:val="left"/>
        <w:rPr>
          <w:sz w:val="24"/>
        </w:rPr>
      </w:pPr>
      <w:r>
        <w:rPr>
          <w:color w:val="231F20"/>
          <w:sz w:val="24"/>
        </w:rPr>
        <w:t>The rate of increase in broad money has continued to moderate. Annual growth fell by around 4 percentage points between 1997 Q1 and 1999 Q1, to 6.9%.</w:t>
      </w:r>
    </w:p>
    <w:p>
      <w:pPr>
        <w:spacing w:line="242" w:lineRule="auto" w:before="3"/>
        <w:ind w:left="174" w:right="262" w:firstLine="0"/>
        <w:jc w:val="left"/>
        <w:rPr>
          <w:sz w:val="24"/>
        </w:rPr>
      </w:pPr>
      <w:r>
        <w:rPr>
          <w:color w:val="231F20"/>
          <w:sz w:val="24"/>
        </w:rPr>
        <w:t>Annualised short-term rates of growth remained below the twelve-month rate, suggesting that the annual rate may slow further. That would bring it more into line with the rate of broad money growth consistent with the MPC’s central projections for activity and inflation,</w:t>
      </w:r>
    </w:p>
    <w:p>
      <w:pPr>
        <w:spacing w:after="0" w:line="242" w:lineRule="auto"/>
        <w:jc w:val="left"/>
        <w:rPr>
          <w:sz w:val="24"/>
        </w:rPr>
        <w:sectPr>
          <w:type w:val="continuous"/>
          <w:pgSz w:w="11900" w:h="16840"/>
          <w:pgMar w:top="1220" w:bottom="280" w:left="640" w:right="640"/>
          <w:cols w:num="2" w:equalWidth="0">
            <w:col w:w="4482" w:space="303"/>
            <w:col w:w="5835"/>
          </w:cols>
        </w:sectPr>
      </w:pPr>
    </w:p>
    <w:p>
      <w:pPr>
        <w:pStyle w:val="BodyText"/>
        <w:rPr>
          <w:sz w:val="20"/>
        </w:rPr>
      </w:pPr>
    </w:p>
    <w:p>
      <w:pPr>
        <w:spacing w:after="0"/>
        <w:rPr>
          <w:sz w:val="20"/>
        </w:rPr>
        <w:sectPr>
          <w:headerReference w:type="default" r:id="rId20"/>
          <w:headerReference w:type="even" r:id="rId21"/>
          <w:pgSz w:w="11900" w:h="16840"/>
          <w:pgMar w:header="584" w:footer="617" w:top="780" w:bottom="780" w:left="640" w:right="640"/>
        </w:sectPr>
      </w:pPr>
    </w:p>
    <w:p>
      <w:pPr>
        <w:pStyle w:val="BodyText"/>
        <w:spacing w:before="6"/>
        <w:rPr>
          <w:sz w:val="20"/>
        </w:rPr>
      </w:pPr>
    </w:p>
    <w:p>
      <w:pPr>
        <w:pStyle w:val="Heading4"/>
        <w:spacing w:before="0"/>
        <w:ind w:left="174"/>
      </w:pPr>
      <w:bookmarkStart w:name="Private non-financial corporations (PNFC" w:id="11"/>
      <w:bookmarkEnd w:id="11"/>
      <w:r>
        <w:rPr>
          <w:b w:val="0"/>
        </w:rPr>
      </w:r>
      <w:bookmarkStart w:name="Household sector" w:id="12"/>
      <w:bookmarkEnd w:id="12"/>
      <w:r>
        <w:rPr>
          <w:b w:val="0"/>
        </w:rPr>
      </w:r>
      <w:bookmarkStart w:name="_bookmark3" w:id="13"/>
      <w:bookmarkEnd w:id="13"/>
      <w:r>
        <w:rPr>
          <w:b w:val="0"/>
        </w:rPr>
      </w:r>
      <w:r>
        <w:rPr>
          <w:color w:val="0093C1"/>
        </w:rPr>
        <w:t>Chart 1.1</w:t>
      </w:r>
    </w:p>
    <w:p>
      <w:pPr>
        <w:pStyle w:val="Heading4"/>
        <w:ind w:left="174"/>
      </w:pPr>
      <w:r>
        <w:rPr>
          <w:color w:val="0093C1"/>
        </w:rPr>
        <w:t>Growth of M4 and M4 lending</w:t>
      </w:r>
    </w:p>
    <w:p>
      <w:pPr>
        <w:spacing w:before="114"/>
        <w:ind w:left="1801" w:right="0" w:firstLine="0"/>
        <w:jc w:val="left"/>
        <w:rPr>
          <w:sz w:val="12"/>
        </w:rPr>
      </w:pPr>
      <w:r>
        <w:rPr/>
        <w:pict>
          <v:line style="position:absolute;mso-position-horizontal-relative:page;mso-position-vertical-relative:paragraph;z-index:15755776" from="43.720001pt,13.543019pt" to="48.053001pt,13.543019pt" stroked="true" strokeweight=".5pt" strokecolor="#000000">
            <v:stroke dashstyle="solid"/>
            <w10:wrap type="none"/>
          </v:line>
        </w:pict>
      </w:r>
      <w:r>
        <w:rPr>
          <w:sz w:val="12"/>
        </w:rPr>
        <w:t>Percentage changes on a year earli</w:t>
      </w:r>
      <w:r>
        <w:rPr>
          <w:sz w:val="12"/>
          <w:u w:val="single"/>
        </w:rPr>
        <w:t>er</w:t>
      </w:r>
      <w:r>
        <w:rPr>
          <w:sz w:val="12"/>
        </w:rPr>
        <w:t> </w:t>
      </w:r>
      <w:r>
        <w:rPr>
          <w:position w:val="-7"/>
          <w:sz w:val="12"/>
        </w:rPr>
        <w:t>15</w:t>
      </w:r>
    </w:p>
    <w:p>
      <w:pPr>
        <w:spacing w:line="242" w:lineRule="auto" w:before="216"/>
        <w:ind w:left="174" w:right="278" w:firstLine="0"/>
        <w:jc w:val="left"/>
        <w:rPr>
          <w:sz w:val="24"/>
        </w:rPr>
      </w:pPr>
      <w:r>
        <w:rPr/>
        <w:br w:type="column"/>
      </w:r>
      <w:r>
        <w:rPr>
          <w:color w:val="231F20"/>
          <w:sz w:val="24"/>
        </w:rPr>
        <w:t>given recent trends in velocity. The annual rate of increase in bank and building society lending to the rest of the private sector (M4 lending) was 7.2% in the first quarter of 1999, slightly above the growth in M4 deposits (see Chart 1.1).</w:t>
      </w:r>
    </w:p>
    <w:p>
      <w:pPr>
        <w:spacing w:after="0" w:line="242" w:lineRule="auto"/>
        <w:jc w:val="left"/>
        <w:rPr>
          <w:sz w:val="24"/>
        </w:rPr>
        <w:sectPr>
          <w:type w:val="continuous"/>
          <w:pgSz w:w="11900" w:h="16840"/>
          <w:pgMar w:top="1220" w:bottom="280" w:left="640" w:right="640"/>
          <w:cols w:num="2" w:equalWidth="0">
            <w:col w:w="3765" w:space="1031"/>
            <w:col w:w="5824"/>
          </w:cols>
        </w:sectPr>
      </w:pPr>
    </w:p>
    <w:p>
      <w:pPr>
        <w:pStyle w:val="BodyText"/>
        <w:spacing w:before="4"/>
        <w:rPr>
          <w:sz w:val="17"/>
        </w:rPr>
      </w:pPr>
    </w:p>
    <w:p>
      <w:pPr>
        <w:spacing w:after="0"/>
        <w:rPr>
          <w:sz w:val="17"/>
        </w:rPr>
        <w:sectPr>
          <w:type w:val="continuous"/>
          <w:pgSz w:w="11900" w:h="16840"/>
          <w:pgMar w:top="122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spacing w:line="83" w:lineRule="exact" w:before="1"/>
        <w:ind w:left="251" w:right="0" w:firstLine="0"/>
        <w:jc w:val="left"/>
        <w:rPr>
          <w:sz w:val="12"/>
        </w:rPr>
      </w:pPr>
      <w:r>
        <w:rPr>
          <w:sz w:val="12"/>
        </w:rPr>
        <w:t>1992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2"/>
        </w:rPr>
      </w:pPr>
    </w:p>
    <w:p>
      <w:pPr>
        <w:tabs>
          <w:tab w:pos="632" w:val="left" w:leader="none"/>
          <w:tab w:pos="1071" w:val="left" w:leader="none"/>
        </w:tabs>
        <w:spacing w:line="82" w:lineRule="exact" w:before="0"/>
        <w:ind w:left="213" w:right="0" w:firstLine="0"/>
        <w:jc w:val="left"/>
        <w:rPr>
          <w:sz w:val="12"/>
        </w:rPr>
      </w:pPr>
      <w:r>
        <w:rPr>
          <w:color w:val="231F20"/>
          <w:sz w:val="12"/>
        </w:rPr>
        <w:t>93</w:t>
        <w:tab/>
        <w:t>94</w:t>
        <w:tab/>
      </w:r>
      <w:r>
        <w:rPr>
          <w:spacing w:val="-10"/>
          <w:sz w:val="12"/>
        </w:rPr>
        <w:t>95</w:t>
      </w:r>
    </w:p>
    <w:p>
      <w:pPr>
        <w:spacing w:before="95"/>
        <w:ind w:left="1813" w:right="0" w:firstLine="0"/>
        <w:jc w:val="left"/>
        <w:rPr>
          <w:sz w:val="12"/>
        </w:rPr>
      </w:pPr>
      <w:r>
        <w:rPr/>
        <w:br w:type="column"/>
      </w:r>
      <w:r>
        <w:rPr>
          <w:sz w:val="12"/>
        </w:rPr>
        <w:t>10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5"/>
        </w:rPr>
      </w:pPr>
    </w:p>
    <w:p>
      <w:pPr>
        <w:spacing w:before="0"/>
        <w:ind w:left="1873" w:right="0" w:firstLine="0"/>
        <w:jc w:val="left"/>
        <w:rPr>
          <w:sz w:val="12"/>
        </w:rPr>
      </w:pPr>
      <w:r>
        <w:rPr/>
        <w:pict>
          <v:group style="position:absolute;margin-left:43.720001pt;margin-top:-66.747932pt;width:165.85pt;height:91.25pt;mso-position-horizontal-relative:page;mso-position-vertical-relative:paragraph;z-index:15754752" coordorigin="874,-1335" coordsize="3317,1825">
            <v:shape style="position:absolute;left:1006;top:-1289;width:3025;height:1768" coordorigin="1007,-1289" coordsize="3025,1768" path="m1007,-44l1114,56m1114,56l1224,119m1224,119l1332,339m1332,339l1439,419m1439,419l1549,479m1549,479l1657,419m1657,419l1764,156m1764,156l1872,-44m1872,-44l1979,-4m1979,-4l2087,56m2087,56l2197,136m2197,136l2304,-24m2304,-24l2412,-304m2412,-304l2522,-606m2522,-606l2629,-909m2629,-909l2737,-869m2737,-869l2844,-909m2844,-909l2952,-929m2952,-929l3059,-846m3059,-846l3167,-1149m3167,-1149l3277,-1271m3277,-1271l3384,-1229m3384,-1229l3492,-1289m3492,-1289l3602,-929m3602,-929l3709,-829m3709,-829l3817,-769m3817,-769l3924,-566m3924,-566l4032,-304e" filled="false" stroked="true" strokeweight="1pt" strokecolor="#faab54">
              <v:path arrowok="t"/>
              <v:stroke dashstyle="solid"/>
            </v:shape>
            <v:shape style="position:absolute;left:1006;top:-829;width:3025;height:1248" coordorigin="1007,-829" coordsize="3025,1248" path="m1007,36l1114,-4m1114,-4l1224,119m1224,119l1332,259m1332,259l1439,279m1439,279l1549,419m1549,419l1657,399m1657,399l1764,376m1764,376l1872,399m1872,399l1979,376m1979,376l2087,299m2087,299l2197,56m2197,56l2304,-286m2304,-286l2412,-446m2412,-446l2522,-606m2522,-606l2629,-729m2629,-729l2737,-706m2737,-706l2844,-789m2844,-789l2952,-769m2952,-769l3059,-646m3059,-646l3167,-729m3167,-729l3277,-829m3277,-829l3384,-646m3384,-646l3492,-729m3492,-729l3602,-606m3602,-606l3709,-466m3709,-466l3817,-666m3817,-666l3924,-466m3924,-466l4032,-364e" filled="false" stroked="true" strokeweight="1pt" strokecolor="#ed1b2d">
              <v:path arrowok="t"/>
              <v:stroke dashstyle="solid"/>
            </v:shape>
            <v:shape style="position:absolute;left:874;top:-929;width:3317;height:1008" coordorigin="874,-928" coordsize="3317,1008" path="m4104,-928l4191,-928m4104,79l4191,79m874,-928l961,-928m874,78l961,78e" filled="false" stroked="true" strokeweight=".5pt" strokecolor="#000000">
              <v:path arrowok="t"/>
              <v:stroke dashstyle="solid"/>
            </v:shape>
            <v:shape style="position:absolute;left:3012;top:-1335;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v:shape style="position:absolute;left:2050;top:356;width:577;height:133" type="#_x0000_t202" filled="false" stroked="false">
              <v:textbox inset="0,0,0,0">
                <w:txbxContent>
                  <w:p>
                    <w:pPr>
                      <w:spacing w:line="133" w:lineRule="exact" w:before="0"/>
                      <w:ind w:left="0" w:right="0" w:firstLine="0"/>
                      <w:jc w:val="left"/>
                      <w:rPr>
                        <w:sz w:val="12"/>
                      </w:rPr>
                    </w:pPr>
                    <w:r>
                      <w:rPr>
                        <w:sz w:val="12"/>
                      </w:rPr>
                      <w:t>M4 lending</w:t>
                    </w:r>
                  </w:p>
                </w:txbxContent>
              </v:textbox>
              <w10:wrap type="none"/>
            </v:shape>
            <w10:wrap type="none"/>
          </v:group>
        </w:pict>
      </w:r>
      <w:r>
        <w:rPr>
          <w:sz w:val="12"/>
        </w:rPr>
        <w:t>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5"/>
        </w:rPr>
      </w:pPr>
    </w:p>
    <w:p>
      <w:pPr>
        <w:spacing w:line="122" w:lineRule="exact" w:before="0"/>
        <w:ind w:left="1873" w:right="0" w:firstLine="0"/>
        <w:jc w:val="left"/>
        <w:rPr>
          <w:sz w:val="12"/>
        </w:rPr>
      </w:pPr>
      <w:r>
        <w:rPr/>
        <w:pict>
          <v:group style="position:absolute;margin-left:43.720001pt;margin-top:.68457pt;width:165.85pt;height:3.6pt;mso-position-horizontal-relative:page;mso-position-vertical-relative:paragraph;z-index:15755264" coordorigin="874,14" coordsize="3317,72">
            <v:shape style="position:absolute;left:997;top:13;width:3034;height:66" coordorigin="998,14" coordsize="3034,66" path="m998,80l4031,80m998,14l998,80m4031,14l4031,80m3598,14l3598,80m3164,14l3164,80m2731,14l2731,80m2298,14l2298,80m1864,14l1864,80m1431,14l1431,80e" filled="false" stroked="true" strokeweight=".5pt" strokecolor="#231f20">
              <v:path arrowok="t"/>
              <v:stroke dashstyle="solid"/>
            </v:shape>
            <v:shape style="position:absolute;left:874;top:79;width:3317;height:2" coordorigin="874,80" coordsize="3317,1" path="m4104,80l4191,80m874,80l961,80e" filled="false" stroked="true" strokeweight=".5pt" strokecolor="#000000">
              <v:path arrowok="t"/>
              <v:stroke dashstyle="solid"/>
            </v:shape>
            <w10:wrap type="none"/>
          </v:group>
        </w:pict>
      </w:r>
      <w:r>
        <w:rPr>
          <w:sz w:val="12"/>
        </w:rPr>
        <w:t>0</w:t>
      </w:r>
    </w:p>
    <w:p>
      <w:pPr>
        <w:tabs>
          <w:tab w:pos="689" w:val="left" w:leader="none"/>
          <w:tab w:pos="1108" w:val="left" w:leader="none"/>
          <w:tab w:pos="1540" w:val="left" w:leader="none"/>
        </w:tabs>
        <w:spacing w:line="67" w:lineRule="exact" w:before="0"/>
        <w:ind w:left="251" w:right="0" w:firstLine="0"/>
        <w:jc w:val="left"/>
        <w:rPr>
          <w:sz w:val="12"/>
        </w:rPr>
      </w:pPr>
      <w:r>
        <w:rPr>
          <w:color w:val="231F20"/>
          <w:sz w:val="12"/>
        </w:rPr>
        <w:t>96</w:t>
        <w:tab/>
        <w:t>97</w:t>
        <w:tab/>
      </w:r>
      <w:r>
        <w:rPr>
          <w:sz w:val="12"/>
        </w:rPr>
        <w:t>98</w:t>
        <w:tab/>
        <w:t>99</w:t>
      </w:r>
    </w:p>
    <w:p>
      <w:pPr>
        <w:spacing w:before="147"/>
        <w:ind w:left="251" w:right="0" w:firstLine="0"/>
        <w:jc w:val="left"/>
        <w:rPr>
          <w:i/>
          <w:sz w:val="24"/>
        </w:rPr>
      </w:pPr>
      <w:r>
        <w:rPr/>
        <w:br w:type="column"/>
      </w:r>
      <w:r>
        <w:rPr>
          <w:i/>
          <w:color w:val="009483"/>
          <w:sz w:val="24"/>
        </w:rPr>
        <w:t>Private non-financial corporations (P</w:t>
      </w:r>
      <w:r>
        <w:rPr>
          <w:i/>
          <w:color w:val="009483"/>
          <w:sz w:val="20"/>
        </w:rPr>
        <w:t>NFC</w:t>
      </w:r>
      <w:r>
        <w:rPr>
          <w:i/>
          <w:color w:val="009483"/>
          <w:sz w:val="24"/>
        </w:rPr>
        <w:t>s)</w:t>
      </w:r>
    </w:p>
    <w:p>
      <w:pPr>
        <w:spacing w:line="242" w:lineRule="auto" w:before="184"/>
        <w:ind w:left="251" w:right="182" w:hanging="1"/>
        <w:jc w:val="left"/>
        <w:rPr>
          <w:sz w:val="24"/>
        </w:rPr>
      </w:pPr>
      <w:r>
        <w:rPr>
          <w:color w:val="231F20"/>
          <w:sz w:val="24"/>
        </w:rPr>
        <w:t>Net M4 borrowing (borrowing</w:t>
      </w:r>
      <w:r>
        <w:rPr>
          <w:color w:val="231F20"/>
          <w:position w:val="4"/>
          <w:sz w:val="12"/>
        </w:rPr>
        <w:t>(1) </w:t>
      </w:r>
      <w:r>
        <w:rPr>
          <w:color w:val="231F20"/>
          <w:sz w:val="24"/>
        </w:rPr>
        <w:t>minus deposits) by private non-financial corporations rose significantly between 1997 Q4 and 1998 Q4, as annual deposit growth fell from 6.7% to 4.3%, and growth in borrowing picked up from 3.4% to 6.3%. By 1998 Q4, the corporate sector financial deficit had reached 3% of</w:t>
      </w:r>
    </w:p>
    <w:p>
      <w:pPr>
        <w:spacing w:after="0" w:line="242" w:lineRule="auto"/>
        <w:jc w:val="left"/>
        <w:rPr>
          <w:sz w:val="24"/>
        </w:rPr>
        <w:sectPr>
          <w:type w:val="continuous"/>
          <w:pgSz w:w="11900" w:h="16840"/>
          <w:pgMar w:top="1220" w:bottom="280" w:left="640" w:right="640"/>
          <w:cols w:num="4" w:equalWidth="0">
            <w:col w:w="492" w:space="40"/>
            <w:col w:w="1192" w:space="67"/>
            <w:col w:w="1974" w:space="953"/>
            <w:col w:w="5902"/>
          </w:cols>
        </w:sectPr>
      </w:pPr>
    </w:p>
    <w:p>
      <w:pPr>
        <w:pStyle w:val="BodyText"/>
        <w:spacing w:before="10"/>
        <w:rPr>
          <w:sz w:val="13"/>
        </w:rPr>
      </w:pPr>
    </w:p>
    <w:p>
      <w:pPr>
        <w:spacing w:before="0"/>
        <w:ind w:left="174" w:right="0" w:firstLine="0"/>
        <w:jc w:val="left"/>
        <w:rPr>
          <w:sz w:val="12"/>
        </w:rPr>
      </w:pPr>
      <w:r>
        <w:rPr>
          <w:color w:val="231F20"/>
          <w:sz w:val="12"/>
        </w:rPr>
        <w:t>Source: Bank of England.</w:t>
      </w:r>
    </w:p>
    <w:p>
      <w:pPr>
        <w:pStyle w:val="BodyText"/>
        <w:rPr>
          <w:sz w:val="12"/>
        </w:rPr>
      </w:pPr>
    </w:p>
    <w:p>
      <w:pPr>
        <w:pStyle w:val="BodyText"/>
        <w:spacing w:before="10"/>
        <w:rPr>
          <w:sz w:val="16"/>
        </w:rPr>
      </w:pPr>
    </w:p>
    <w:p>
      <w:pPr>
        <w:pStyle w:val="Heading4"/>
        <w:spacing w:before="0"/>
        <w:ind w:left="174"/>
      </w:pPr>
      <w:r>
        <w:rPr>
          <w:color w:val="0093C1"/>
        </w:rPr>
        <w:t>Chart 1.2</w:t>
      </w:r>
    </w:p>
    <w:p>
      <w:pPr>
        <w:pStyle w:val="Heading4"/>
        <w:spacing w:line="249" w:lineRule="auto"/>
        <w:ind w:left="174"/>
        <w:rPr>
          <w:b w:val="0"/>
          <w:sz w:val="12"/>
        </w:rPr>
      </w:pPr>
      <w:r>
        <w:rPr>
          <w:color w:val="0093C1"/>
        </w:rPr>
        <w:t>Net corporate borrowing</w:t>
      </w:r>
      <w:r>
        <w:rPr>
          <w:b w:val="0"/>
          <w:color w:val="231F20"/>
          <w:position w:val="4"/>
          <w:sz w:val="12"/>
        </w:rPr>
        <w:t>(a) </w:t>
      </w:r>
      <w:r>
        <w:rPr>
          <w:color w:val="0093C1"/>
        </w:rPr>
        <w:t>and the stock to output ratio</w:t>
      </w:r>
      <w:r>
        <w:rPr>
          <w:b w:val="0"/>
          <w:color w:val="231F20"/>
          <w:position w:val="4"/>
          <w:sz w:val="12"/>
        </w:rPr>
        <w:t>(b)</w:t>
      </w:r>
    </w:p>
    <w:p>
      <w:pPr>
        <w:spacing w:line="126" w:lineRule="exact" w:before="85"/>
        <w:ind w:left="381" w:right="0" w:firstLine="0"/>
        <w:jc w:val="left"/>
        <w:rPr>
          <w:sz w:val="12"/>
        </w:rPr>
      </w:pPr>
      <w:r>
        <w:rPr>
          <w:sz w:val="12"/>
        </w:rPr>
        <w:t>£ billions</w:t>
      </w:r>
    </w:p>
    <w:p>
      <w:pPr>
        <w:spacing w:line="126" w:lineRule="exact" w:before="0"/>
        <w:ind w:left="208" w:right="0" w:firstLine="0"/>
        <w:jc w:val="left"/>
        <w:rPr>
          <w:sz w:val="12"/>
        </w:rPr>
      </w:pPr>
      <w:r>
        <w:rPr/>
        <w:pict>
          <v:line style="position:absolute;mso-position-horizontal-relative:page;mso-position-vertical-relative:paragraph;z-index:15748608" from="51.053001pt,2.505897pt" to="55.387001pt,2.505897pt" stroked="true" strokeweight=".5pt" strokecolor="#000000">
            <v:stroke dashstyle="solid"/>
            <w10:wrap type="none"/>
          </v:line>
        </w:pict>
      </w:r>
      <w:r>
        <w:rPr>
          <w:sz w:val="12"/>
        </w:rPr>
        <w:t>25</w:t>
      </w:r>
    </w:p>
    <w:p>
      <w:pPr>
        <w:pStyle w:val="BodyText"/>
        <w:spacing w:before="7"/>
        <w:rPr>
          <w:sz w:val="13"/>
        </w:rPr>
      </w:pPr>
    </w:p>
    <w:p>
      <w:pPr>
        <w:spacing w:before="0"/>
        <w:ind w:left="208" w:right="0" w:firstLine="0"/>
        <w:jc w:val="left"/>
        <w:rPr>
          <w:sz w:val="12"/>
        </w:rPr>
      </w:pPr>
      <w:r>
        <w:rPr/>
        <w:pict>
          <v:line style="position:absolute;mso-position-horizontal-relative:page;mso-position-vertical-relative:paragraph;z-index:15749120" from="51.053001pt,3.2693pt" to="55.387001pt,3.2693pt" stroked="true" strokeweight=".5pt" strokecolor="#000000">
            <v:stroke dashstyle="solid"/>
            <w10:wrap type="none"/>
          </v:line>
        </w:pict>
      </w:r>
      <w:r>
        <w:rPr>
          <w:sz w:val="12"/>
        </w:rPr>
        <w:t>20</w:t>
      </w:r>
    </w:p>
    <w:p>
      <w:pPr>
        <w:pStyle w:val="BodyText"/>
        <w:spacing w:before="1"/>
        <w:rPr>
          <w:sz w:val="14"/>
        </w:rPr>
      </w:pPr>
    </w:p>
    <w:p>
      <w:pPr>
        <w:spacing w:before="0"/>
        <w:ind w:left="208" w:right="0" w:firstLine="0"/>
        <w:jc w:val="left"/>
        <w:rPr>
          <w:sz w:val="12"/>
        </w:rPr>
      </w:pPr>
      <w:r>
        <w:rPr/>
        <w:pict>
          <v:group style="position:absolute;margin-left:44.928001pt;margin-top:-3.3997pt;width:175.5pt;height:99.7pt;mso-position-horizontal-relative:page;mso-position-vertical-relative:paragraph;z-index:15747072" coordorigin="899,-68" coordsize="3510,1994">
            <v:shape style="position:absolute;left:1164;top:394;width:813;height:1428" coordorigin="1164,395" coordsize="813,1428" path="m1164,995l1222,1247m1222,1247l1282,1507m1282,1507l1339,1435m1339,1435l1397,1610m1397,1610l1454,1657m1454,1657l1514,1742m1514,1742l1572,1822m1572,1822l1629,1605m1629,1605l1687,1310m1687,1310l1747,1242m1747,1242l1804,1007m1804,1007l1862,917m1862,917l1919,717m1919,717l1977,395e" filled="false" stroked="true" strokeweight="1pt" strokecolor="#75442b">
              <v:path arrowok="t"/>
              <v:stroke dashstyle="solid"/>
            </v:shape>
            <v:line style="position:absolute" from="1967,396" to="2047,396" stroked="true" strokeweight="1.125pt" strokecolor="#75442b">
              <v:stroke dashstyle="solid"/>
            </v:line>
            <v:shape style="position:absolute;left:2036;top:-58;width:2090;height:1903" coordorigin="2037,-58" coordsize="2090,1903" path="m2037,397l2094,312m2094,312l2152,180m2152,180l2209,215m2209,215l2269,-43m2269,-43l2327,-58m2327,-58l2384,337m2384,337l2442,450m2442,450l2499,712m2499,712l2559,727m2559,727l2617,757m2617,757l2674,810m2674,810l2734,722m2734,722l2792,890m2792,890l2849,952m2849,952l2907,1132m2907,1132l2964,1365m2964,1365l3024,1655m3024,1655l3082,1810m3082,1810l3139,1845m3139,1845l3197,1787m3197,1787l3254,1515m3254,1515l3314,1370m3314,1370l3372,1202m3372,1202l3429,1102m3429,1102l3489,875m3489,875l3544,800m3544,800l3604,700m3604,700l3662,652m3662,652l3719,812m3719,812l3779,790m3779,790l3837,897m3837,897l3894,942m3894,942l3952,845m3952,845l4009,867m4009,867l4069,880m4069,880l4127,792e" filled="false" stroked="true" strokeweight="1pt" strokecolor="#75442b">
              <v:path arrowok="t"/>
              <v:stroke dashstyle="solid"/>
            </v:shape>
            <v:shape style="position:absolute;left:1154;top:1072;width:603;height:623" type="#_x0000_t75" stroked="false">
              <v:imagedata r:id="rId22" o:title=""/>
            </v:shape>
            <v:line style="position:absolute" from="1776,1060" to="1776,1647" stroked="true" strokeweight="3.875pt" strokecolor="#a6af49">
              <v:stroke dashstyle="solid"/>
            </v:line>
            <v:shape style="position:absolute;left:1804;top:169;width:870;height:900" coordorigin="1804,170" coordsize="870,900" path="m1804,1070l1862,890m1862,890l1919,670m1919,670l1977,400m1977,400l2037,472m2037,472l2094,530m2094,530l2152,382m2152,382l2209,170m2209,170l2269,435m2269,435l2327,452m2327,452l2384,655m2384,655l2442,897m2442,897l2499,915m2499,915l2559,847m2559,847l2617,932m2617,932l2674,1067e" filled="false" stroked="true" strokeweight="1pt" strokecolor="#a6af49">
              <v:path arrowok="t"/>
              <v:stroke dashstyle="solid"/>
            </v:shape>
            <v:line style="position:absolute" from="2664,1063" to="2744,1063" stroked="true" strokeweight="1.375pt" strokecolor="#a6af49">
              <v:stroke dashstyle="solid"/>
            </v:line>
            <v:line style="position:absolute" from="2734,1060" to="2792,1127" stroked="true" strokeweight="1pt" strokecolor="#a6af49">
              <v:stroke dashstyle="solid"/>
            </v:line>
            <v:line style="position:absolute" from="2782,1131" to="2859,1131" stroked="true" strokeweight="1.375pt" strokecolor="#a6af49">
              <v:stroke dashstyle="solid"/>
            </v:line>
            <v:shape style="position:absolute;left:2849;top:624;width:1045;height:890" coordorigin="2849,625" coordsize="1045,890" path="m2849,1135l2907,1270m2907,1270l2964,1335m2964,1335l3024,1515m3024,1515l3082,1395m3082,1395l3139,1422m3139,1422l3197,1205m3197,1205l3254,1242m3254,1242l3314,962m3314,962l3372,797m3372,797l3429,700m3429,700l3489,625m3489,625l3544,650m3544,650l3604,687m3604,687l3662,837m3662,837l3719,977m3719,977l3779,1032m3779,1032l3837,1082m3837,1082l3894,1070e" filled="false" stroked="true" strokeweight="1pt" strokecolor="#a6af49">
              <v:path arrowok="t"/>
              <v:stroke dashstyle="solid"/>
            </v:shape>
            <v:line style="position:absolute" from="3884,1066" to="3962,1066" stroked="true" strokeweight="1.375pt" strokecolor="#a6af49">
              <v:stroke dashstyle="solid"/>
            </v:line>
            <v:shape style="position:absolute;left:3951;top:609;width:175;height:453" coordorigin="3952,610" coordsize="175,453" path="m3952,1062l4009,980m4009,980l4069,880m4069,880l4127,610e" filled="false" stroked="true" strokeweight="1pt" strokecolor="#a6af49">
              <v:path arrowok="t"/>
              <v:stroke dashstyle="solid"/>
            </v:shape>
            <v:shape style="position:absolute;left:1021;top:63;width:3250;height:1788" coordorigin="1021,63" coordsize="3250,1788" path="m1021,63l1108,63m1021,361l1108,361m1021,659l1108,659m1021,957l1108,957m1021,1255l1108,1255m1021,1553l1108,1553m1021,1851l1108,1851m4184,64l4271,64m4184,362l4271,362m4184,659l4271,659m4184,957l4271,957m4184,1255l4271,1255m4184,1553l4271,1553m4184,1851l4271,1851m1154,957l4137,960e" filled="false" stroked="true" strokeweight=".5pt" strokecolor="#000000">
              <v:path arrowok="t"/>
              <v:stroke dashstyle="solid"/>
            </v:shape>
            <v:shape style="position:absolute;left:908;top:5;width:80;height:133" type="#_x0000_t202" filled="false" stroked="false">
              <v:textbox inset="0,0,0,0">
                <w:txbxContent>
                  <w:p>
                    <w:pPr>
                      <w:spacing w:line="133" w:lineRule="exact" w:before="0"/>
                      <w:ind w:left="0" w:right="0" w:firstLine="0"/>
                      <w:jc w:val="left"/>
                      <w:rPr>
                        <w:sz w:val="12"/>
                      </w:rPr>
                    </w:pPr>
                    <w:r>
                      <w:rPr>
                        <w:sz w:val="12"/>
                      </w:rPr>
                      <w:t>5</w:t>
                    </w:r>
                  </w:p>
                </w:txbxContent>
              </v:textbox>
              <w10:wrap type="none"/>
            </v:shape>
            <v:shape style="position:absolute;left:2399;top:-21;width:1271;height:254" type="#_x0000_t202" filled="false" stroked="false">
              <v:textbox inset="0,0,0,0">
                <w:txbxContent>
                  <w:p>
                    <w:pPr>
                      <w:spacing w:line="208" w:lineRule="auto" w:before="9"/>
                      <w:ind w:left="60" w:right="18" w:hanging="60"/>
                      <w:jc w:val="left"/>
                      <w:rPr>
                        <w:sz w:val="12"/>
                      </w:rPr>
                    </w:pPr>
                    <w:r>
                      <w:rPr>
                        <w:sz w:val="12"/>
                      </w:rPr>
                      <w:t>PNFCs net M4 borrowing (left-hand scale)</w:t>
                    </w:r>
                  </w:p>
                </w:txbxContent>
              </v:textbox>
              <w10:wrap type="none"/>
            </v:shape>
            <v:shape style="position:absolute;left:4327;top:-18;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v:shape style="position:absolute;left:898;top:280;width:3510;height:1050" type="#_x0000_t202" filled="false" stroked="false">
              <v:textbox inset="0,0,0,0">
                <w:txbxContent>
                  <w:p>
                    <w:pPr>
                      <w:tabs>
                        <w:tab w:pos="3429" w:val="left" w:leader="none"/>
                      </w:tabs>
                      <w:spacing w:line="153" w:lineRule="exact" w:before="0"/>
                      <w:ind w:left="9" w:right="0" w:firstLine="0"/>
                      <w:jc w:val="left"/>
                      <w:rPr>
                        <w:sz w:val="12"/>
                      </w:rPr>
                    </w:pPr>
                    <w:r>
                      <w:rPr>
                        <w:position w:val="-1"/>
                        <w:sz w:val="12"/>
                      </w:rPr>
                      <w:t>0</w:t>
                      <w:tab/>
                    </w:r>
                    <w:r>
                      <w:rPr>
                        <w:sz w:val="12"/>
                      </w:rPr>
                      <w:t>2</w:t>
                    </w:r>
                  </w:p>
                  <w:p>
                    <w:pPr>
                      <w:spacing w:line="240" w:lineRule="auto" w:before="2"/>
                      <w:rPr>
                        <w:sz w:val="12"/>
                      </w:rPr>
                    </w:pPr>
                  </w:p>
                  <w:p>
                    <w:pPr>
                      <w:tabs>
                        <w:tab w:pos="3429" w:val="left" w:leader="none"/>
                      </w:tabs>
                      <w:spacing w:line="143" w:lineRule="exact" w:before="0"/>
                      <w:ind w:left="9" w:right="0" w:firstLine="0"/>
                      <w:jc w:val="left"/>
                      <w:rPr>
                        <w:sz w:val="12"/>
                      </w:rPr>
                    </w:pPr>
                    <w:r>
                      <w:rPr>
                        <w:position w:val="-1"/>
                        <w:sz w:val="12"/>
                      </w:rPr>
                      <w:t>5</w:t>
                      <w:tab/>
                    </w:r>
                    <w:r>
                      <w:rPr>
                        <w:sz w:val="12"/>
                      </w:rPr>
                      <w:t>1</w:t>
                    </w:r>
                  </w:p>
                  <w:p>
                    <w:pPr>
                      <w:tabs>
                        <w:tab w:pos="3349" w:val="left" w:leader="none"/>
                      </w:tabs>
                      <w:spacing w:line="167" w:lineRule="exact" w:before="0"/>
                      <w:ind w:left="26" w:right="0" w:firstLine="0"/>
                      <w:jc w:val="left"/>
                      <w:rPr>
                        <w:sz w:val="16"/>
                      </w:rPr>
                    </w:pPr>
                    <w:r>
                      <w:rPr>
                        <w:position w:val="1"/>
                        <w:sz w:val="16"/>
                      </w:rPr>
                      <w:t>+</w:t>
                      <w:tab/>
                    </w:r>
                    <w:r>
                      <w:rPr>
                        <w:sz w:val="16"/>
                      </w:rPr>
                      <w:t>+</w:t>
                    </w:r>
                  </w:p>
                  <w:p>
                    <w:pPr>
                      <w:tabs>
                        <w:tab w:pos="3349" w:val="left" w:leader="none"/>
                      </w:tabs>
                      <w:spacing w:line="235" w:lineRule="exact" w:before="0"/>
                      <w:ind w:left="9" w:right="0" w:firstLine="0"/>
                      <w:jc w:val="left"/>
                      <w:rPr>
                        <w:sz w:val="12"/>
                      </w:rPr>
                    </w:pPr>
                    <w:r>
                      <w:rPr>
                        <w:spacing w:val="-17"/>
                        <w:sz w:val="16"/>
                        <w:vertAlign w:val="superscript"/>
                      </w:rPr>
                      <w:t>0</w:t>
                    </w:r>
                    <w:r>
                      <w:rPr>
                        <w:spacing w:val="-17"/>
                        <w:sz w:val="16"/>
                        <w:vertAlign w:val="baseline"/>
                      </w:rPr>
                      <w:t>_</w:t>
                      <w:tab/>
                    </w:r>
                    <w:r>
                      <w:rPr>
                        <w:position w:val="2"/>
                        <w:sz w:val="16"/>
                        <w:vertAlign w:val="baseline"/>
                      </w:rPr>
                      <w:t>_</w:t>
                    </w:r>
                    <w:r>
                      <w:rPr>
                        <w:position w:val="10"/>
                        <w:sz w:val="12"/>
                        <w:vertAlign w:val="baseline"/>
                      </w:rPr>
                      <w:t>0</w:t>
                    </w:r>
                  </w:p>
                  <w:p>
                    <w:pPr>
                      <w:tabs>
                        <w:tab w:pos="3429" w:val="left" w:leader="none"/>
                      </w:tabs>
                      <w:spacing w:before="50"/>
                      <w:ind w:left="0" w:right="0" w:firstLine="0"/>
                      <w:jc w:val="left"/>
                      <w:rPr>
                        <w:sz w:val="12"/>
                      </w:rPr>
                    </w:pPr>
                    <w:r>
                      <w:rPr>
                        <w:position w:val="-1"/>
                        <w:sz w:val="12"/>
                      </w:rPr>
                      <w:t>5</w:t>
                      <w:tab/>
                    </w:r>
                    <w:r>
                      <w:rPr>
                        <w:sz w:val="12"/>
                      </w:rPr>
                      <w:t>1</w:t>
                    </w:r>
                  </w:p>
                </w:txbxContent>
              </v:textbox>
              <w10:wrap type="none"/>
            </v:shape>
            <v:shape style="position:absolute;left:898;top:1497;width:80;height:133" type="#_x0000_t202" filled="false" stroked="false">
              <v:textbox inset="0,0,0,0">
                <w:txbxContent>
                  <w:p>
                    <w:pPr>
                      <w:spacing w:line="133" w:lineRule="exact" w:before="0"/>
                      <w:ind w:left="0" w:right="0" w:firstLine="0"/>
                      <w:jc w:val="left"/>
                      <w:rPr>
                        <w:sz w:val="12"/>
                      </w:rPr>
                    </w:pPr>
                    <w:r>
                      <w:rPr>
                        <w:sz w:val="12"/>
                      </w:rPr>
                      <w:t>0</w:t>
                    </w:r>
                  </w:p>
                </w:txbxContent>
              </v:textbox>
              <w10:wrap type="none"/>
            </v:shape>
            <v:shape style="position:absolute;left:1794;top:1564;width:1004;height:254" type="#_x0000_t202" filled="false" stroked="false">
              <v:textbox inset="0,0,0,0">
                <w:txbxContent>
                  <w:p>
                    <w:pPr>
                      <w:spacing w:line="208" w:lineRule="auto" w:before="9"/>
                      <w:ind w:left="60" w:right="18" w:hanging="60"/>
                      <w:jc w:val="left"/>
                      <w:rPr>
                        <w:sz w:val="12"/>
                      </w:rPr>
                    </w:pPr>
                    <w:r>
                      <w:rPr>
                        <w:sz w:val="12"/>
                      </w:rPr>
                      <w:t>Stock to output ratio (right-hand scale)</w:t>
                    </w:r>
                  </w:p>
                </w:txbxContent>
              </v:textbox>
              <w10:wrap type="none"/>
            </v:shape>
            <v:shape style="position:absolute;left:4327;top:1472;width:80;height:133" type="#_x0000_t202" filled="false" stroked="false">
              <v:textbox inset="0,0,0,0">
                <w:txbxContent>
                  <w:p>
                    <w:pPr>
                      <w:spacing w:line="133" w:lineRule="exact" w:before="0"/>
                      <w:ind w:left="0" w:right="0" w:firstLine="0"/>
                      <w:jc w:val="left"/>
                      <w:rPr>
                        <w:sz w:val="12"/>
                      </w:rPr>
                    </w:pPr>
                    <w:r>
                      <w:rPr>
                        <w:sz w:val="12"/>
                      </w:rPr>
                      <w:t>2</w:t>
                    </w:r>
                  </w:p>
                </w:txbxContent>
              </v:textbox>
              <w10:wrap type="none"/>
            </v:shape>
            <v:shape style="position:absolute;left:898;top:1792;width:80;height:133" type="#_x0000_t202" filled="false" stroked="false">
              <v:textbox inset="0,0,0,0">
                <w:txbxContent>
                  <w:p>
                    <w:pPr>
                      <w:spacing w:line="133" w:lineRule="exact" w:before="0"/>
                      <w:ind w:left="0" w:right="0" w:firstLine="0"/>
                      <w:jc w:val="left"/>
                      <w:rPr>
                        <w:sz w:val="12"/>
                      </w:rPr>
                    </w:pPr>
                    <w:r>
                      <w:rPr>
                        <w:sz w:val="12"/>
                      </w:rPr>
                      <w:t>5</w:t>
                    </w:r>
                  </w:p>
                </w:txbxContent>
              </v:textbox>
              <w10:wrap type="none"/>
            </v:shape>
            <v:shape style="position:absolute;left:4327;top:1770;width:80;height:133" type="#_x0000_t202" filled="false" stroked="false">
              <v:textbox inset="0,0,0,0">
                <w:txbxContent>
                  <w:p>
                    <w:pPr>
                      <w:spacing w:line="133" w:lineRule="exact" w:before="0"/>
                      <w:ind w:left="0" w:right="0" w:firstLine="0"/>
                      <w:jc w:val="left"/>
                      <w:rPr>
                        <w:sz w:val="12"/>
                      </w:rPr>
                    </w:pPr>
                    <w:r>
                      <w:rPr>
                        <w:sz w:val="12"/>
                      </w:rPr>
                      <w:t>3</w:t>
                    </w:r>
                  </w:p>
                </w:txbxContent>
              </v:textbox>
              <w10:wrap type="none"/>
            </v:shape>
            <w10:wrap type="none"/>
          </v:group>
        </w:pict>
      </w:r>
      <w:r>
        <w:rPr>
          <w:sz w:val="12"/>
        </w:rPr>
        <w:t>1</w:t>
      </w:r>
    </w:p>
    <w:p>
      <w:pPr>
        <w:pStyle w:val="BodyText"/>
        <w:spacing w:before="10"/>
        <w:rPr>
          <w:sz w:val="13"/>
        </w:rPr>
      </w:pPr>
    </w:p>
    <w:p>
      <w:pPr>
        <w:spacing w:before="0"/>
        <w:ind w:left="208" w:right="0" w:firstLine="0"/>
        <w:jc w:val="left"/>
        <w:rPr>
          <w:sz w:val="12"/>
        </w:rPr>
      </w:pPr>
      <w:r>
        <w:rPr>
          <w:sz w:val="12"/>
        </w:rPr>
        <w:t>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1"/>
        <w:ind w:left="198" w:right="0" w:firstLine="0"/>
        <w:jc w:val="left"/>
        <w:rPr>
          <w:sz w:val="12"/>
        </w:rPr>
      </w:pPr>
      <w:r>
        <w:rPr>
          <w:sz w:val="12"/>
        </w:rPr>
        <w:t>1</w:t>
      </w:r>
    </w:p>
    <w:p>
      <w:pPr>
        <w:pStyle w:val="BodyText"/>
        <w:spacing w:before="8"/>
        <w:rPr>
          <w:sz w:val="13"/>
        </w:rPr>
      </w:pPr>
    </w:p>
    <w:p>
      <w:pPr>
        <w:spacing w:before="0"/>
        <w:ind w:left="198" w:right="0" w:firstLine="0"/>
        <w:jc w:val="left"/>
        <w:rPr>
          <w:sz w:val="12"/>
        </w:rPr>
      </w:pPr>
      <w:r>
        <w:rPr>
          <w:sz w:val="12"/>
        </w:rPr>
        <w:t>1</w:t>
      </w:r>
    </w:p>
    <w:p>
      <w:pPr>
        <w:pStyle w:val="BodyText"/>
        <w:spacing w:before="1"/>
        <w:rPr>
          <w:sz w:val="14"/>
        </w:rPr>
      </w:pPr>
    </w:p>
    <w:p>
      <w:pPr>
        <w:spacing w:before="0"/>
        <w:ind w:left="198" w:right="0" w:firstLine="0"/>
        <w:jc w:val="left"/>
        <w:rPr>
          <w:sz w:val="12"/>
        </w:rPr>
      </w:pPr>
      <w:r>
        <w:rPr/>
        <w:pict>
          <v:line style="position:absolute;mso-position-horizontal-relative:page;mso-position-vertical-relative:paragraph;z-index:15748096" from="51.053001pt,3.079001pt" to="55.387001pt,3.079001pt" stroked="true" strokeweight=".5pt" strokecolor="#000000">
            <v:stroke dashstyle="solid"/>
            <w10:wrap type="none"/>
          </v:line>
        </w:pict>
      </w:r>
      <w:r>
        <w:rPr>
          <w:sz w:val="12"/>
        </w:rPr>
        <w:t>20</w:t>
      </w:r>
    </w:p>
    <w:p>
      <w:pPr>
        <w:pStyle w:val="BodyText"/>
        <w:spacing w:before="10"/>
        <w:rPr>
          <w:sz w:val="13"/>
        </w:rPr>
      </w:pPr>
    </w:p>
    <w:p>
      <w:pPr>
        <w:spacing w:line="14" w:lineRule="exact" w:before="0"/>
        <w:ind w:left="198" w:right="0" w:firstLine="0"/>
        <w:jc w:val="left"/>
        <w:rPr>
          <w:sz w:val="12"/>
        </w:rPr>
      </w:pPr>
      <w:r>
        <w:rPr/>
        <w:pict>
          <v:shape style="position:absolute;margin-left:51.053001pt;margin-top:-.503182pt;width:162.5pt;height:3.7pt;mso-position-horizontal-relative:page;mso-position-vertical-relative:paragraph;z-index:15747584" coordorigin="1021,-10" coordsize="3250,74" path="m1154,63l4128,63m1154,-10l1154,63m3941,-10l3941,63m3709,-10l3709,63m1619,-10l1619,63m1387,-10l1387,63m2083,-10l2083,63m1851,-10l1851,63m2548,-10l2548,63m2316,-10l2316,63m3012,-10l3012,63m2780,-10l2780,63m3477,-10l3477,63m3244,-10l3244,63m1021,62l1108,62m4184,62l4271,62e" filled="false" stroked="true" strokeweight=".5pt" strokecolor="#000000">
            <v:path arrowok="t"/>
            <v:stroke dashstyle="solid"/>
            <w10:wrap type="none"/>
          </v:shape>
        </w:pict>
      </w:r>
      <w:r>
        <w:rPr>
          <w:sz w:val="12"/>
        </w:rPr>
        <w:t>25</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6"/>
        </w:rPr>
      </w:pPr>
    </w:p>
    <w:p>
      <w:pPr>
        <w:spacing w:before="0"/>
        <w:ind w:left="72" w:right="0" w:firstLine="0"/>
        <w:jc w:val="left"/>
        <w:rPr>
          <w:sz w:val="12"/>
        </w:rPr>
      </w:pPr>
      <w:r>
        <w:rPr>
          <w:sz w:val="12"/>
        </w:rPr>
        <w:t>Per cent </w:t>
      </w:r>
      <w:r>
        <w:rPr>
          <w:position w:val="-6"/>
          <w:sz w:val="12"/>
        </w:rPr>
        <w:t>5</w:t>
      </w:r>
    </w:p>
    <w:p>
      <w:pPr>
        <w:spacing w:before="160"/>
        <w:ind w:left="518" w:right="0" w:firstLine="0"/>
        <w:jc w:val="left"/>
        <w:rPr>
          <w:sz w:val="12"/>
        </w:rPr>
      </w:pPr>
      <w:r>
        <w:rPr/>
        <w:pict>
          <v:line style="position:absolute;mso-position-horizontal-relative:page;mso-position-vertical-relative:paragraph;z-index:-21384192" from="209.220001pt,-2.608911pt" to="213.553001pt,-2.608911pt" stroked="true" strokeweight=".5pt" strokecolor="#000000">
            <v:stroke dashstyle="solid"/>
            <w10:wrap type="none"/>
          </v:line>
        </w:pict>
      </w:r>
      <w:r>
        <w:rPr/>
        <w:pict>
          <v:line style="position:absolute;mso-position-horizontal-relative:page;mso-position-vertical-relative:paragraph;z-index:15750656" from="209.220001pt,12.289088pt" to="213.553001pt,12.289088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5"/>
        </w:rPr>
      </w:pPr>
    </w:p>
    <w:p>
      <w:pPr>
        <w:spacing w:before="1"/>
        <w:ind w:left="518" w:right="0" w:firstLine="0"/>
        <w:jc w:val="left"/>
        <w:rPr>
          <w:sz w:val="12"/>
        </w:rPr>
      </w:pPr>
      <w:r>
        <w:rPr/>
        <w:pict>
          <v:line style="position:absolute;mso-position-horizontal-relative:page;mso-position-vertical-relative:paragraph;z-index:15749632" from="209.220001pt,4.323694pt" to="213.553001pt,4.323694pt" stroked="true" strokeweight=".5pt" strokecolor="#000000">
            <v:stroke dashstyle="solid"/>
            <w10:wrap type="none"/>
          </v:line>
        </w:pict>
      </w:r>
      <w:r>
        <w:rPr>
          <w:sz w:val="12"/>
        </w:rPr>
        <w:t>4</w:t>
      </w:r>
    </w:p>
    <w:p>
      <w:pPr>
        <w:pStyle w:val="BodyText"/>
        <w:spacing w:before="10"/>
        <w:rPr>
          <w:sz w:val="13"/>
        </w:rPr>
      </w:pPr>
    </w:p>
    <w:p>
      <w:pPr>
        <w:spacing w:line="37" w:lineRule="exact" w:before="0"/>
        <w:ind w:left="518" w:right="0" w:firstLine="0"/>
        <w:jc w:val="left"/>
        <w:rPr>
          <w:sz w:val="12"/>
        </w:rPr>
      </w:pPr>
      <w:r>
        <w:rPr>
          <w:sz w:val="12"/>
        </w:rPr>
        <w:t>5</w:t>
      </w:r>
    </w:p>
    <w:p>
      <w:pPr>
        <w:spacing w:line="242" w:lineRule="auto" w:before="0"/>
        <w:ind w:left="174" w:right="245" w:firstLine="0"/>
        <w:jc w:val="left"/>
        <w:rPr>
          <w:sz w:val="24"/>
        </w:rPr>
      </w:pPr>
      <w:r>
        <w:rPr/>
        <w:br w:type="column"/>
      </w:r>
      <w:r>
        <w:rPr>
          <w:color w:val="231F20"/>
          <w:sz w:val="24"/>
        </w:rPr>
        <w:t>GDP—its highest level since 1990. Net M4 borrowing by the corporate sector fell by £3.3 billion in the first quarter of 1999, reflecting both a drop in borrowing and an increase in deposits. However, private non-financial corporations can also raise funds through wholesale markets. Capital market issues rose by £6.1 billion in 1999 Q1, compared with a rise of £2.4 billion in</w:t>
      </w:r>
    </w:p>
    <w:p>
      <w:pPr>
        <w:spacing w:line="242" w:lineRule="auto" w:before="0"/>
        <w:ind w:left="174" w:right="245" w:firstLine="0"/>
        <w:jc w:val="left"/>
        <w:rPr>
          <w:sz w:val="24"/>
        </w:rPr>
      </w:pPr>
      <w:r>
        <w:rPr>
          <w:color w:val="231F20"/>
          <w:sz w:val="24"/>
        </w:rPr>
        <w:t>1998 Q4. So overall corporate sector borrowing remained strong in the first quarter of 1999.</w:t>
      </w:r>
    </w:p>
    <w:p>
      <w:pPr>
        <w:pStyle w:val="BodyText"/>
        <w:spacing w:before="7"/>
        <w:rPr>
          <w:sz w:val="29"/>
        </w:rPr>
      </w:pPr>
    </w:p>
    <w:p>
      <w:pPr>
        <w:spacing w:line="242" w:lineRule="auto" w:before="0"/>
        <w:ind w:left="174" w:right="180" w:firstLine="0"/>
        <w:jc w:val="left"/>
        <w:rPr>
          <w:sz w:val="24"/>
        </w:rPr>
      </w:pPr>
      <w:r>
        <w:rPr>
          <w:color w:val="231F20"/>
          <w:sz w:val="24"/>
        </w:rPr>
        <w:t>Firms tend to finance temporary imbalances between current income and expenditure mainly through net borrowing from banks and building societies. There was a rise in the stock to output ratio relative to its long-run trend during the second half of 1998. Firms may therefore have borrowed more and/or run down their</w:t>
      </w:r>
    </w:p>
    <w:p>
      <w:pPr>
        <w:spacing w:after="0" w:line="242" w:lineRule="auto"/>
        <w:jc w:val="left"/>
        <w:rPr>
          <w:sz w:val="24"/>
        </w:rPr>
        <w:sectPr>
          <w:type w:val="continuous"/>
          <w:pgSz w:w="11900" w:h="16840"/>
          <w:pgMar w:top="1220" w:bottom="280" w:left="640" w:right="640"/>
          <w:cols w:num="3" w:equalWidth="0">
            <w:col w:w="3130" w:space="40"/>
            <w:col w:w="619" w:space="1006"/>
            <w:col w:w="5825"/>
          </w:cols>
        </w:sectPr>
      </w:pPr>
    </w:p>
    <w:p>
      <w:pPr>
        <w:tabs>
          <w:tab w:pos="1035" w:val="left" w:leader="none"/>
          <w:tab w:pos="1500" w:val="left" w:leader="none"/>
          <w:tab w:pos="1963" w:val="left" w:leader="none"/>
          <w:tab w:pos="2415" w:val="left" w:leader="none"/>
          <w:tab w:pos="2913" w:val="left" w:leader="none"/>
          <w:tab w:pos="3332" w:val="left" w:leader="none"/>
        </w:tabs>
        <w:spacing w:before="76"/>
        <w:ind w:left="467" w:right="0" w:firstLine="0"/>
        <w:jc w:val="left"/>
        <w:rPr>
          <w:sz w:val="12"/>
        </w:rPr>
      </w:pPr>
      <w:r>
        <w:rPr>
          <w:sz w:val="12"/>
        </w:rPr>
        <w:t>1986</w:t>
        <w:tab/>
        <w:t>88</w:t>
        <w:tab/>
        <w:t>90</w:t>
        <w:tab/>
        <w:t>92</w:t>
        <w:tab/>
        <w:t>94</w:t>
        <w:tab/>
        <w:t>96</w:t>
        <w:tab/>
        <w:t>98</w:t>
      </w:r>
    </w:p>
    <w:p>
      <w:pPr>
        <w:spacing w:before="96"/>
        <w:ind w:left="179" w:right="0" w:firstLine="0"/>
        <w:jc w:val="left"/>
        <w:rPr>
          <w:sz w:val="12"/>
        </w:rPr>
      </w:pPr>
      <w:r>
        <w:rPr>
          <w:color w:val="231F20"/>
          <w:sz w:val="12"/>
        </w:rPr>
        <w:t>Sources: Bank of England and ONS.</w:t>
      </w:r>
    </w:p>
    <w:p>
      <w:pPr>
        <w:pStyle w:val="ListParagraph"/>
        <w:numPr>
          <w:ilvl w:val="0"/>
          <w:numId w:val="4"/>
        </w:numPr>
        <w:tabs>
          <w:tab w:pos="419" w:val="left" w:leader="none"/>
        </w:tabs>
        <w:spacing w:line="129" w:lineRule="exact" w:before="102" w:after="0"/>
        <w:ind w:left="418" w:right="0" w:hanging="240"/>
        <w:jc w:val="left"/>
        <w:rPr>
          <w:sz w:val="12"/>
        </w:rPr>
      </w:pPr>
      <w:r>
        <w:rPr>
          <w:color w:val="231F20"/>
          <w:sz w:val="12"/>
        </w:rPr>
        <w:t>M4 borrowing less deposits.</w:t>
      </w:r>
    </w:p>
    <w:p>
      <w:pPr>
        <w:pStyle w:val="ListParagraph"/>
        <w:numPr>
          <w:ilvl w:val="0"/>
          <w:numId w:val="4"/>
        </w:numPr>
        <w:tabs>
          <w:tab w:pos="420" w:val="left" w:leader="none"/>
        </w:tabs>
        <w:spacing w:line="129" w:lineRule="exact" w:before="0" w:after="0"/>
        <w:ind w:left="419" w:right="0" w:hanging="241"/>
        <w:jc w:val="left"/>
        <w:rPr>
          <w:sz w:val="12"/>
        </w:rPr>
      </w:pPr>
      <w:r>
        <w:rPr>
          <w:color w:val="231F20"/>
          <w:sz w:val="12"/>
        </w:rPr>
        <w:t>Detrended using a Hodrick-Prescott filter.</w:t>
      </w:r>
    </w:p>
    <w:p>
      <w:pPr>
        <w:pStyle w:val="BodyText"/>
        <w:rPr>
          <w:sz w:val="12"/>
        </w:rPr>
      </w:pPr>
    </w:p>
    <w:p>
      <w:pPr>
        <w:pStyle w:val="BodyText"/>
        <w:spacing w:before="9"/>
        <w:rPr>
          <w:sz w:val="16"/>
        </w:rPr>
      </w:pPr>
    </w:p>
    <w:p>
      <w:pPr>
        <w:pStyle w:val="Heading4"/>
        <w:spacing w:before="1"/>
      </w:pPr>
      <w:r>
        <w:rPr>
          <w:color w:val="0093C1"/>
        </w:rPr>
        <w:t>Chart 1.3</w:t>
      </w:r>
    </w:p>
    <w:p>
      <w:pPr>
        <w:pStyle w:val="Heading4"/>
        <w:spacing w:line="249" w:lineRule="auto"/>
        <w:ind w:right="377"/>
      </w:pPr>
      <w:r>
        <w:rPr>
          <w:color w:val="0093C1"/>
        </w:rPr>
        <w:t>Net secured and unsecured lending to individuals</w:t>
      </w:r>
    </w:p>
    <w:p>
      <w:pPr>
        <w:spacing w:line="114" w:lineRule="exact" w:before="89"/>
        <w:ind w:left="1826" w:right="0" w:firstLine="0"/>
        <w:jc w:val="left"/>
        <w:rPr>
          <w:sz w:val="12"/>
        </w:rPr>
      </w:pPr>
      <w:r>
        <w:rPr>
          <w:color w:val="231F20"/>
          <w:sz w:val="12"/>
        </w:rPr>
        <w:t>Percentage changes on a year earlier</w:t>
      </w:r>
    </w:p>
    <w:p>
      <w:pPr>
        <w:spacing w:line="114" w:lineRule="exact" w:before="0"/>
        <w:ind w:left="3612" w:right="0" w:firstLine="0"/>
        <w:jc w:val="left"/>
        <w:rPr>
          <w:sz w:val="12"/>
        </w:rPr>
      </w:pPr>
      <w:r>
        <w:rPr/>
        <w:pict>
          <v:line style="position:absolute;mso-position-horizontal-relative:page;mso-position-vertical-relative:paragraph;z-index:15752704" from="43.792pt,2.779618pt" to="48.125pt,2.779618pt" stroked="true" strokeweight=".5pt" strokecolor="#231f20">
            <v:stroke dashstyle="solid"/>
            <w10:wrap type="none"/>
          </v:line>
        </w:pict>
      </w:r>
      <w:r>
        <w:rPr/>
        <w:pict>
          <v:line style="position:absolute;mso-position-horizontal-relative:page;mso-position-vertical-relative:paragraph;z-index:15753216" from="206.457993pt,2.799618pt" to="210.791993pt,2.799618pt" stroked="true" strokeweight=".5pt" strokecolor="#231f20">
            <v:stroke dashstyle="solid"/>
            <w10:wrap type="none"/>
          </v:line>
        </w:pict>
      </w:r>
      <w:r>
        <w:rPr>
          <w:color w:val="231F20"/>
          <w:sz w:val="12"/>
        </w:rPr>
        <w:t>25</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group style="position:absolute;margin-left:43.792pt;margin-top:-1.272934pt;width:167pt;height:125.25pt;mso-position-horizontal-relative:page;mso-position-vertical-relative:paragraph;z-index:15752192" coordorigin="876,-25" coordsize="3340,2505">
            <v:line style="position:absolute" from="1023,2472" to="4058,2475" stroked="true" strokeweight=".5pt" strokecolor="#231f20">
              <v:stroke dashstyle="solid"/>
            </v:line>
            <v:shape style="position:absolute;left:875;top:2472;width:3340;height:2" coordorigin="876,2472" coordsize="3340,1" path="m876,2472l962,2472m4129,2472l4216,2472e" filled="false" stroked="true" strokeweight=".5pt" strokecolor="#231f20">
              <v:path arrowok="t"/>
              <v:stroke dashstyle="solid"/>
            </v:shape>
            <v:shape style="position:absolute;left:1022;top:-16;width:303;height:495" coordorigin="1023,-15" coordsize="303,495" path="m1023,-15l1098,225m1098,225l1173,455m1173,455l1250,480m1250,480l1325,465e" filled="false" stroked="true" strokeweight="1pt" strokecolor="#faab54">
              <v:path arrowok="t"/>
              <v:stroke dashstyle="solid"/>
            </v:shape>
            <v:line style="position:absolute" from="1315,467" to="1413,467" stroked="true" strokeweight="1.25pt" strokecolor="#faab54">
              <v:stroke dashstyle="solid"/>
            </v:line>
            <v:shape style="position:absolute;left:1402;top:469;width:2200;height:1523" coordorigin="1403,470" coordsize="2200,1523" path="m1403,470l1478,560m1478,560l1553,667m1553,667l1630,930m1630,930l1705,1112m1705,1112l1780,1240m1780,1240l1858,1377m1858,1377l1933,1482m1933,1482l2008,1582m2008,1582l2083,1662m2083,1662l2163,1770m2163,1770l2238,1862m2238,1862l2313,1902m2313,1902l2388,1927m2388,1927l2465,1877m2465,1877l2540,1825m2540,1825l2615,1807m2615,1807l2693,1797m2693,1797l2768,1815m2768,1815l2843,1837m2843,1837l2920,1882m2920,1882l2995,1932m2995,1932l3073,1977m3073,1977l3148,1992m3148,1992l3223,1972m3223,1972l3300,1945m3300,1945l3375,1885m3375,1885l3450,1830m3450,1830l3525,1797m3525,1797l3603,1767e" filled="false" stroked="true" strokeweight="1pt" strokecolor="#faab54">
              <v:path arrowok="t"/>
              <v:stroke dashstyle="solid"/>
            </v:shape>
            <v:line style="position:absolute" from="3592,1766" to="3690,1766" stroked="true" strokeweight="1.125pt" strokecolor="#faab54">
              <v:stroke dashstyle="solid"/>
            </v:line>
            <v:line style="position:absolute" from="3680,1765" to="3755,1787" stroked="true" strokeweight="1pt" strokecolor="#faab54">
              <v:stroke dashstyle="solid"/>
            </v:line>
            <v:line style="position:absolute" from="3745,1786" to="3840,1786" stroked="true" strokeweight="1.125pt" strokecolor="#faab54">
              <v:stroke dashstyle="solid"/>
            </v:line>
            <v:shape style="position:absolute;left:3830;top:1702;width:228;height:83" coordorigin="3830,1702" coordsize="228,83" path="m3830,1785l3907,1767m3907,1767l3982,1745m3982,1745l4057,1702e" filled="false" stroked="true" strokeweight="1pt" strokecolor="#faab54">
              <v:path arrowok="t"/>
              <v:stroke dashstyle="solid"/>
            </v:shape>
            <v:shape style="position:absolute;left:1022;top:209;width:2050;height:2153" coordorigin="1023,210" coordsize="2050,2153" path="m1023,210l1098,220m1098,220l1173,407m1173,407l1250,537m1250,537l1325,720m1325,720l1403,997m1403,997l1478,1210m1478,1210l1553,1317m1553,1317l1630,1500m1630,1500l1705,1610m1705,1610l1780,1765m1780,1765l1858,1940m1858,1940l1933,2060m1933,2060l2008,2247m2008,2247l2083,2305m2083,2305l2163,2362m2163,2362l2238,2337m2238,2337l2313,2210m2313,2210l2388,2045m2388,2045l2465,1862m2465,1862l2540,1740m2540,1740l2615,1490m2615,1490l2693,1362m2693,1362l2768,1195m2768,1195l2843,977m2843,977l2920,957m2920,957l2995,847m2995,847l3073,740e" filled="false" stroked="true" strokeweight="1pt" strokecolor="#522e91">
              <v:path arrowok="t"/>
              <v:stroke dashstyle="solid"/>
            </v:shape>
            <v:line style="position:absolute" from="3063,741" to="3158,741" stroked="true" strokeweight="1.125pt" strokecolor="#522e91">
              <v:stroke dashstyle="solid"/>
            </v:line>
            <v:shape style="position:absolute;left:3147;top:322;width:910;height:418" coordorigin="3148,322" coordsize="910,418" path="m3148,740l3223,700m3223,700l3300,472m3300,472l3375,427m3375,427l3450,387m3450,387l3525,322m3525,322l3603,567m3603,567l3680,542m3680,542l3755,437m3755,437l3830,465m3830,465l3908,330m3908,330l3983,450m3983,450l4058,565e" filled="false" stroked="true" strokeweight="1pt" strokecolor="#522e91">
              <v:path arrowok="t"/>
              <v:stroke dashstyle="solid"/>
            </v:shape>
            <v:shape style="position:absolute;left:875;top:79;width:3340;height:2400" coordorigin="876,80" coordsize="3340,2400" path="m876,80l962,80m876,677l962,677m876,1295l962,1295m876,1887l962,1887m4129,80l4216,80m4129,677l4216,677m4129,1295l4216,1295m4129,1887l4216,1887m1023,2408l1023,2480m4060,2408l4060,2480m3757,2408l3757,2480m3452,2408l3452,2480m2842,2408l2842,2480m2540,2408l2540,2480m2243,2408l2243,2480m1928,2408l1928,2480m1630,2408l1630,2480m1338,2408l1338,2480m3143,2408l3143,2480e" filled="false" stroked="true" strokeweight=".5pt" strokecolor="#231f20">
              <v:path arrowok="t"/>
              <v:stroke dashstyle="solid"/>
            </v:shape>
            <v:shape style="position:absolute;left:2633;top:534;width:534;height:133" type="#_x0000_t202" filled="false" stroked="false">
              <v:textbox inset="0,0,0,0">
                <w:txbxContent>
                  <w:p>
                    <w:pPr>
                      <w:spacing w:line="133" w:lineRule="exact" w:before="0"/>
                      <w:ind w:left="0" w:right="0" w:firstLine="0"/>
                      <w:jc w:val="left"/>
                      <w:rPr>
                        <w:sz w:val="12"/>
                      </w:rPr>
                    </w:pPr>
                    <w:r>
                      <w:rPr>
                        <w:color w:val="231F20"/>
                        <w:sz w:val="12"/>
                      </w:rPr>
                      <w:t>Unsecured</w:t>
                    </w:r>
                  </w:p>
                </w:txbxContent>
              </v:textbox>
              <w10:wrap type="none"/>
            </v:shape>
            <v:shape style="position:absolute;left:2957;top:1695;width:407;height:133" type="#_x0000_t202" filled="false" stroked="false">
              <v:textbox inset="0,0,0,0">
                <w:txbxContent>
                  <w:p>
                    <w:pPr>
                      <w:spacing w:line="133" w:lineRule="exact" w:before="0"/>
                      <w:ind w:left="0" w:right="0" w:firstLine="0"/>
                      <w:jc w:val="left"/>
                      <w:rPr>
                        <w:sz w:val="12"/>
                      </w:rPr>
                    </w:pPr>
                    <w:r>
                      <w:rPr>
                        <w:color w:val="231F20"/>
                        <w:sz w:val="12"/>
                      </w:rPr>
                      <w:t>Secured</w:t>
                    </w:r>
                  </w:p>
                </w:txbxContent>
              </v:textbox>
              <w10:wrap type="none"/>
            </v:shape>
            <w10:wrap type="none"/>
          </v:group>
        </w:pict>
      </w:r>
      <w:r>
        <w:rPr>
          <w:color w:val="231F20"/>
          <w:sz w:val="12"/>
        </w:rPr>
        <w:t>20</w:t>
      </w:r>
    </w:p>
    <w:p>
      <w:pPr>
        <w:pStyle w:val="BodyText"/>
        <w:rPr>
          <w:sz w:val="12"/>
        </w:rPr>
      </w:pPr>
    </w:p>
    <w:p>
      <w:pPr>
        <w:pStyle w:val="BodyText"/>
        <w:rPr>
          <w:sz w:val="12"/>
        </w:rPr>
      </w:pPr>
    </w:p>
    <w:p>
      <w:pPr>
        <w:pStyle w:val="BodyText"/>
        <w:spacing w:before="6"/>
        <w:rPr>
          <w:sz w:val="17"/>
        </w:rPr>
      </w:pPr>
    </w:p>
    <w:p>
      <w:pPr>
        <w:spacing w:before="0"/>
        <w:ind w:left="0" w:right="38" w:firstLine="0"/>
        <w:jc w:val="right"/>
        <w:rPr>
          <w:sz w:val="12"/>
        </w:rPr>
      </w:pPr>
      <w:r>
        <w:rPr>
          <w:color w:val="231F20"/>
          <w:sz w:val="12"/>
        </w:rPr>
        <w:t>15</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color w:val="231F20"/>
          <w:sz w:val="12"/>
        </w:rPr>
        <w:t>10</w:t>
      </w:r>
    </w:p>
    <w:p>
      <w:pPr>
        <w:pStyle w:val="BodyText"/>
        <w:rPr>
          <w:sz w:val="12"/>
        </w:rPr>
      </w:pPr>
    </w:p>
    <w:p>
      <w:pPr>
        <w:pStyle w:val="BodyText"/>
        <w:rPr>
          <w:sz w:val="12"/>
        </w:rPr>
      </w:pPr>
    </w:p>
    <w:p>
      <w:pPr>
        <w:pStyle w:val="BodyText"/>
        <w:spacing w:before="11"/>
        <w:rPr>
          <w:sz w:val="15"/>
        </w:rPr>
      </w:pPr>
    </w:p>
    <w:p>
      <w:pPr>
        <w:spacing w:before="0"/>
        <w:ind w:left="0" w:right="38" w:firstLine="0"/>
        <w:jc w:val="right"/>
        <w:rPr>
          <w:sz w:val="12"/>
        </w:rPr>
      </w:pPr>
      <w:r>
        <w:rPr>
          <w:color w:val="231F20"/>
          <w:sz w:val="12"/>
        </w:rPr>
        <w:t>5</w:t>
      </w:r>
    </w:p>
    <w:p>
      <w:pPr>
        <w:pStyle w:val="BodyText"/>
        <w:rPr>
          <w:sz w:val="12"/>
        </w:rPr>
      </w:pPr>
    </w:p>
    <w:p>
      <w:pPr>
        <w:pStyle w:val="BodyText"/>
        <w:rPr>
          <w:sz w:val="12"/>
        </w:rPr>
      </w:pPr>
    </w:p>
    <w:p>
      <w:pPr>
        <w:pStyle w:val="BodyText"/>
        <w:spacing w:before="11"/>
        <w:rPr>
          <w:sz w:val="15"/>
        </w:rPr>
      </w:pPr>
    </w:p>
    <w:p>
      <w:pPr>
        <w:spacing w:line="130" w:lineRule="exact" w:before="0"/>
        <w:ind w:left="3672" w:right="0" w:firstLine="0"/>
        <w:jc w:val="left"/>
        <w:rPr>
          <w:sz w:val="12"/>
        </w:rPr>
      </w:pPr>
      <w:r>
        <w:rPr>
          <w:color w:val="231F20"/>
          <w:sz w:val="12"/>
        </w:rPr>
        <w:t>0</w:t>
      </w:r>
    </w:p>
    <w:p>
      <w:pPr>
        <w:spacing w:line="130" w:lineRule="exact" w:before="0"/>
        <w:ind w:left="250" w:right="0" w:firstLine="0"/>
        <w:jc w:val="left"/>
        <w:rPr>
          <w:sz w:val="12"/>
        </w:rPr>
      </w:pPr>
      <w:r>
        <w:rPr>
          <w:color w:val="231F20"/>
          <w:sz w:val="12"/>
        </w:rPr>
        <w:t>1989 90 91 92 93 94 95 96 97 98 99</w:t>
      </w:r>
    </w:p>
    <w:p>
      <w:pPr>
        <w:pStyle w:val="BodyText"/>
        <w:spacing w:before="8"/>
        <w:rPr>
          <w:sz w:val="9"/>
        </w:rPr>
      </w:pPr>
    </w:p>
    <w:p>
      <w:pPr>
        <w:spacing w:before="0"/>
        <w:ind w:left="170" w:right="0" w:firstLine="0"/>
        <w:jc w:val="left"/>
        <w:rPr>
          <w:sz w:val="12"/>
        </w:rPr>
      </w:pPr>
      <w:r>
        <w:rPr>
          <w:color w:val="231F20"/>
          <w:sz w:val="12"/>
        </w:rPr>
        <w:t>Source: Bank of England.</w:t>
      </w:r>
    </w:p>
    <w:p>
      <w:pPr>
        <w:spacing w:line="242" w:lineRule="auto" w:before="0"/>
        <w:ind w:left="170" w:right="284" w:firstLine="0"/>
        <w:jc w:val="left"/>
        <w:rPr>
          <w:sz w:val="24"/>
        </w:rPr>
      </w:pPr>
      <w:r>
        <w:rPr/>
        <w:br w:type="column"/>
      </w:r>
      <w:r>
        <w:rPr>
          <w:color w:val="231F20"/>
          <w:sz w:val="24"/>
        </w:rPr>
        <w:t>deposits with banks, in order to finance the cost of holding any excess stocks (see Chart 1.2). The increase in corporate sector borrowing relative to deposits may also have been linked to the strong rise in business investment in the second half of 1998.</w:t>
      </w:r>
    </w:p>
    <w:p>
      <w:pPr>
        <w:pStyle w:val="BodyText"/>
        <w:spacing w:before="2"/>
        <w:rPr>
          <w:sz w:val="29"/>
        </w:rPr>
      </w:pPr>
    </w:p>
    <w:p>
      <w:pPr>
        <w:pStyle w:val="Heading2"/>
        <w:ind w:left="170"/>
        <w:rPr>
          <w:i/>
        </w:rPr>
      </w:pPr>
      <w:r>
        <w:rPr>
          <w:i/>
          <w:color w:val="009483"/>
        </w:rPr>
        <w:t>Household sector</w:t>
      </w:r>
    </w:p>
    <w:p>
      <w:pPr>
        <w:spacing w:line="242" w:lineRule="auto" w:before="164"/>
        <w:ind w:left="170" w:right="350" w:firstLine="0"/>
        <w:jc w:val="left"/>
        <w:rPr>
          <w:sz w:val="24"/>
        </w:rPr>
      </w:pPr>
      <w:r>
        <w:rPr>
          <w:color w:val="231F20"/>
          <w:sz w:val="24"/>
        </w:rPr>
        <w:t>Household sector broad money holdings grew by 6.5% in the year to the first quarter of 1999, the same rate of growth as in 1998 Q4. Lending</w:t>
      </w:r>
      <w:r>
        <w:rPr>
          <w:color w:val="231F20"/>
          <w:position w:val="4"/>
          <w:sz w:val="12"/>
        </w:rPr>
        <w:t>(1) </w:t>
      </w:r>
      <w:r>
        <w:rPr>
          <w:color w:val="231F20"/>
          <w:sz w:val="24"/>
        </w:rPr>
        <w:t>to households was 7.8% higher in 1999 Q1 than a year earlier, compared with an average rate of growth of 7.2% during 1998.</w:t>
      </w:r>
    </w:p>
    <w:p>
      <w:pPr>
        <w:pStyle w:val="BodyText"/>
        <w:spacing w:before="1"/>
        <w:rPr>
          <w:sz w:val="30"/>
        </w:rPr>
      </w:pPr>
    </w:p>
    <w:p>
      <w:pPr>
        <w:spacing w:line="242" w:lineRule="auto" w:before="0"/>
        <w:ind w:left="170" w:right="284" w:firstLine="0"/>
        <w:jc w:val="left"/>
        <w:rPr>
          <w:sz w:val="24"/>
        </w:rPr>
      </w:pPr>
      <w:r>
        <w:rPr>
          <w:color w:val="231F20"/>
          <w:sz w:val="24"/>
        </w:rPr>
        <w:t>Bank and building society lending to individuals can be divided into lending secured on dwellings, which accounts for about 85% of the stock, and unsecured lending which accounts for the rest. Annual growth in net secured lending to individuals picked up from 5.5% in 1998 Q2 to 6.2% in 1999 Q1. On a wider measure,</w:t>
      </w:r>
    </w:p>
    <w:p>
      <w:pPr>
        <w:spacing w:after="0" w:line="242" w:lineRule="auto"/>
        <w:jc w:val="left"/>
        <w:rPr>
          <w:sz w:val="24"/>
        </w:rPr>
        <w:sectPr>
          <w:type w:val="continuous"/>
          <w:pgSz w:w="11900" w:h="16840"/>
          <w:pgMar w:top="1220" w:bottom="280" w:left="640" w:right="640"/>
          <w:cols w:num="2" w:equalWidth="0">
            <w:col w:w="3773" w:space="1027"/>
            <w:col w:w="5820"/>
          </w:cols>
        </w:sectPr>
      </w:pPr>
    </w:p>
    <w:p>
      <w:pPr>
        <w:pStyle w:val="BodyText"/>
        <w:spacing w:before="3"/>
        <w:rPr>
          <w:sz w:val="15"/>
        </w:rPr>
      </w:pPr>
    </w:p>
    <w:p>
      <w:pPr>
        <w:pStyle w:val="BodyText"/>
        <w:spacing w:line="20" w:lineRule="exact"/>
        <w:ind w:left="4938"/>
        <w:rPr>
          <w:sz w:val="2"/>
        </w:rPr>
      </w:pPr>
      <w:r>
        <w:rPr>
          <w:sz w:val="2"/>
        </w:rPr>
        <w:pict>
          <v:group style="width:277.5pt;height:.15pt;mso-position-horizontal-relative:char;mso-position-vertical-relative:line" coordorigin="0,0" coordsize="5550,3">
            <v:line style="position:absolute" from="0,1" to="5550,1" stroked="true" strokeweight=".125pt" strokecolor="#231f20">
              <v:stroke dashstyle="solid"/>
            </v:line>
          </v:group>
        </w:pict>
      </w:r>
      <w:r>
        <w:rPr>
          <w:sz w:val="2"/>
        </w:rPr>
      </w:r>
    </w:p>
    <w:p>
      <w:pPr>
        <w:pStyle w:val="ListParagraph"/>
        <w:numPr>
          <w:ilvl w:val="1"/>
          <w:numId w:val="4"/>
        </w:numPr>
        <w:tabs>
          <w:tab w:pos="5221" w:val="left" w:leader="none"/>
        </w:tabs>
        <w:spacing w:line="240" w:lineRule="auto" w:before="2" w:after="0"/>
        <w:ind w:left="5220" w:right="0" w:hanging="241"/>
        <w:jc w:val="left"/>
        <w:rPr>
          <w:sz w:val="16"/>
        </w:rPr>
      </w:pPr>
      <w:r>
        <w:rPr>
          <w:color w:val="231F20"/>
          <w:sz w:val="16"/>
        </w:rPr>
        <w:t>Excluding the effects of securitisations and other loan transfers.</w:t>
      </w:r>
    </w:p>
    <w:p>
      <w:pPr>
        <w:spacing w:after="0" w:line="240" w:lineRule="auto"/>
        <w:jc w:val="left"/>
        <w:rPr>
          <w:sz w:val="16"/>
        </w:rPr>
        <w:sectPr>
          <w:type w:val="continuous"/>
          <w:pgSz w:w="11900" w:h="16840"/>
          <w:pgMar w:top="1220" w:bottom="280" w:left="640" w:right="640"/>
        </w:sectPr>
      </w:pPr>
    </w:p>
    <w:p>
      <w:pPr>
        <w:pStyle w:val="BodyText"/>
        <w:rPr>
          <w:sz w:val="20"/>
        </w:rPr>
      </w:pPr>
    </w:p>
    <w:p>
      <w:pPr>
        <w:spacing w:after="0"/>
        <w:rPr>
          <w:sz w:val="20"/>
        </w:rPr>
        <w:sectPr>
          <w:footerReference w:type="default" r:id="rId23"/>
          <w:footerReference w:type="even" r:id="rId24"/>
          <w:pgSz w:w="11900" w:h="16840"/>
          <w:pgMar w:footer="617" w:header="584" w:top="780" w:bottom="800" w:left="640" w:right="640"/>
          <w:pgNumType w:start="5"/>
        </w:sectPr>
      </w:pPr>
    </w:p>
    <w:p>
      <w:pPr>
        <w:pStyle w:val="BodyText"/>
        <w:spacing w:before="6"/>
        <w:rPr>
          <w:sz w:val="20"/>
        </w:rPr>
      </w:pPr>
    </w:p>
    <w:p>
      <w:pPr>
        <w:pStyle w:val="Heading4"/>
        <w:spacing w:before="0"/>
        <w:ind w:left="160"/>
      </w:pPr>
      <w:bookmarkStart w:name="Other financial corporations (OFCs)" w:id="14"/>
      <w:bookmarkEnd w:id="14"/>
      <w:r>
        <w:rPr>
          <w:b w:val="0"/>
        </w:rPr>
      </w:r>
      <w:bookmarkStart w:name="_bookmark4" w:id="15"/>
      <w:bookmarkEnd w:id="15"/>
      <w:r>
        <w:rPr>
          <w:b w:val="0"/>
        </w:rPr>
      </w:r>
      <w:r>
        <w:rPr>
          <w:color w:val="0093C1"/>
        </w:rPr>
        <w:t>Chart 1.4</w:t>
      </w:r>
    </w:p>
    <w:p>
      <w:pPr>
        <w:pStyle w:val="Heading4"/>
        <w:spacing w:line="249" w:lineRule="auto"/>
        <w:ind w:left="160" w:right="21"/>
        <w:rPr>
          <w:b w:val="0"/>
          <w:sz w:val="12"/>
        </w:rPr>
      </w:pPr>
      <w:r>
        <w:rPr>
          <w:color w:val="0093C1"/>
        </w:rPr>
        <w:t>Secured lending to individuals and loan approvals</w:t>
      </w:r>
      <w:r>
        <w:rPr>
          <w:b w:val="0"/>
          <w:color w:val="231F20"/>
          <w:position w:val="4"/>
          <w:sz w:val="12"/>
        </w:rPr>
        <w:t>(a)</w:t>
      </w:r>
    </w:p>
    <w:p>
      <w:pPr>
        <w:spacing w:line="242" w:lineRule="auto" w:before="226"/>
        <w:ind w:left="161" w:right="480" w:firstLine="0"/>
        <w:jc w:val="left"/>
        <w:rPr>
          <w:sz w:val="24"/>
        </w:rPr>
      </w:pPr>
      <w:r>
        <w:rPr/>
        <w:br w:type="column"/>
      </w:r>
      <w:r>
        <w:rPr>
          <w:color w:val="231F20"/>
          <w:sz w:val="24"/>
        </w:rPr>
        <w:t>which includes lending by specialist institutions other than banks and building societies, annual growth in lending secured on dwellings was 6.4% in the first</w:t>
      </w:r>
    </w:p>
    <w:p>
      <w:pPr>
        <w:spacing w:after="0" w:line="242" w:lineRule="auto"/>
        <w:jc w:val="left"/>
        <w:rPr>
          <w:sz w:val="24"/>
        </w:rPr>
        <w:sectPr>
          <w:type w:val="continuous"/>
          <w:pgSz w:w="11900" w:h="16840"/>
          <w:pgMar w:top="1220" w:bottom="280" w:left="640" w:right="640"/>
          <w:cols w:num="2" w:equalWidth="0">
            <w:col w:w="3575" w:space="1224"/>
            <w:col w:w="5821"/>
          </w:cols>
        </w:sectPr>
      </w:pPr>
    </w:p>
    <w:p>
      <w:pPr>
        <w:spacing w:line="652" w:lineRule="auto" w:before="16"/>
        <w:ind w:left="178" w:right="0" w:firstLine="0"/>
        <w:jc w:val="left"/>
        <w:rPr>
          <w:sz w:val="12"/>
        </w:rPr>
      </w:pPr>
      <w:r>
        <w:rPr/>
        <w:pict>
          <v:group style="position:absolute;margin-left:59.904999pt;margin-top:17.032055pt;width:158.2pt;height:125.4pt;mso-position-horizontal-relative:page;mso-position-vertical-relative:paragraph;z-index:-21373440" coordorigin="1198,341" coordsize="3164,2508">
            <v:line style="position:absolute" from="1198,2834" to="1298,2834" stroked="true" strokeweight="1.375pt" strokecolor="#0099d8">
              <v:stroke dashstyle="solid"/>
            </v:line>
            <v:line style="position:absolute" from="1288,2831" to="1368,2698" stroked="true" strokeweight="1pt" strokecolor="#0099d8">
              <v:stroke dashstyle="solid"/>
            </v:line>
            <v:line style="position:absolute" from="1358,2694" to="1456,2694" stroked="true" strokeweight="1.375pt" strokecolor="#0099d8">
              <v:stroke dashstyle="solid"/>
            </v:line>
            <v:shape style="position:absolute;left:1445;top:1880;width:1573;height:810" coordorigin="1446,1881" coordsize="1573,810" path="m1446,2691l1523,2503m1523,2503l1601,2561m1601,2561l1681,2343m1681,2343l1758,2481m1758,2481l1838,2406m1838,2406l1918,2183m1918,2183l1996,2306m1996,2306l2073,2411m2073,2411l2151,2328m2151,2328l2231,2363m2231,2363l2308,2348m2308,2348l2388,1948m2388,1948l2468,2131m2468,2131l2546,2306m2546,2306l2623,2213m2623,2213l2703,2226m2703,2226l2781,2026m2781,2026l2858,2143m2858,2143l2938,2121m2938,2121l3018,1881e" filled="false" stroked="true" strokeweight="1pt" strokecolor="#0099d8">
              <v:path arrowok="t"/>
              <v:stroke dashstyle="solid"/>
            </v:shape>
            <v:line style="position:absolute" from="3019,1871" to="3019,2011" stroked="true" strokeweight="1.125pt" strokecolor="#0099d8">
              <v:stroke dashstyle="solid"/>
            </v:line>
            <v:line style="position:absolute" from="3018,2001" to="3173,1793" stroked="true" strokeweight="1pt" strokecolor="#0099d8">
              <v:stroke dashstyle="solid"/>
            </v:line>
            <v:line style="position:absolute" from="3163,1798" to="3263,1798" stroked="true" strokeweight="1.5pt" strokecolor="#0099d8">
              <v:stroke dashstyle="solid"/>
            </v:line>
            <v:line style="position:absolute" from="3253,1803" to="3331,1763" stroked="true" strokeweight="1pt" strokecolor="#0099d8">
              <v:stroke dashstyle="solid"/>
            </v:line>
            <v:line style="position:absolute" from="3321,1761" to="3418,1761" stroked="true" strokeweight="1.25pt" strokecolor="#0099d8">
              <v:stroke dashstyle="solid"/>
            </v:line>
            <v:line style="position:absolute" from="3408,1758" to="3488,1301" stroked="true" strokeweight="1pt" strokecolor="#0099d8">
              <v:stroke dashstyle="solid"/>
            </v:line>
            <v:shape style="position:absolute;left:3478;top:1260;width:493;height:350" type="#_x0000_t75" stroked="false">
              <v:imagedata r:id="rId25" o:title=""/>
            </v:shape>
            <v:shape style="position:absolute;left:3958;top:350;width:238;height:1250" coordorigin="3958,351" coordsize="238,1250" path="m3958,1601l4118,1068m4118,1068l4196,351e" filled="false" stroked="true" strokeweight="1pt" strokecolor="#0099d8">
              <v:path arrowok="t"/>
              <v:stroke dashstyle="solid"/>
            </v:shape>
            <v:shape style="position:absolute;left:1198;top:1878;width:650;height:253" type="#_x0000_t75" stroked="false">
              <v:imagedata r:id="rId26" o:title=""/>
            </v:shape>
            <v:shape style="position:absolute;left:1838;top:1553;width:943;height:503" coordorigin="1838,1553" coordsize="943,503" path="m1838,2056l1918,1606m1918,1606l1996,1786m1996,1786l2073,1896m2073,1896l2151,1633m2151,1633l2231,1673m2231,1673l2308,1651m2308,1651l2388,1728m2388,1728l2468,1553m2468,1553l2546,1751m2546,1751l2623,1703m2623,1703l2703,1673m2703,1673l2781,1596e" filled="false" stroked="true" strokeweight="1pt" strokecolor="#faab54">
              <v:path arrowok="t"/>
              <v:stroke dashstyle="solid"/>
            </v:shape>
            <v:line style="position:absolute" from="2771,1593" to="2868,1593" stroked="true" strokeweight="1.25pt" strokecolor="#faab54">
              <v:stroke dashstyle="solid"/>
            </v:line>
            <v:shape style="position:absolute;left:2858;top:1200;width:710;height:708" coordorigin="2858,1201" coordsize="710,708" path="m2858,1591l2938,1738m2938,1738l3018,1711m3018,1711l3021,1701m3018,1701l3173,1661m3173,1661l3253,1908m3253,1908l3331,1408m3331,1408l3408,1771m3408,1771l3488,1588m3488,1588l3568,1201e" filled="false" stroked="true" strokeweight="1pt" strokecolor="#faab54">
              <v:path arrowok="t"/>
              <v:stroke dashstyle="solid"/>
            </v:shape>
            <v:shape style="position:absolute;left:3558;top:1190;width:570;height:415" type="#_x0000_t75" stroked="false">
              <v:imagedata r:id="rId27" o:title=""/>
            </v:shape>
            <v:line style="position:absolute" from="4118,1406" to="4196,783" stroked="true" strokeweight="1pt" strokecolor="#faab54">
              <v:stroke dashstyle="solid"/>
            </v:line>
            <v:shape style="position:absolute;left:4274;top:673;width:87;height:1973" coordorigin="4275,673" coordsize="87,1973" path="m4275,673l4361,673m4275,1165l4361,1165m4275,1660l4361,1660m4275,2158l4361,2158m4275,2646l4361,2646e" filled="false" stroked="true" strokeweight=".5pt" strokecolor="#231f20">
              <v:path arrowok="t"/>
              <v:stroke dashstyle="solid"/>
            </v:shape>
            <v:shape style="position:absolute;left:1925;top:1275;width:867;height:247" type="#_x0000_t202" filled="false" stroked="false">
              <v:textbox inset="0,0,0,0">
                <w:txbxContent>
                  <w:p>
                    <w:pPr>
                      <w:spacing w:line="196" w:lineRule="auto" w:before="15"/>
                      <w:ind w:left="63" w:right="18" w:hanging="64"/>
                      <w:jc w:val="left"/>
                      <w:rPr>
                        <w:sz w:val="12"/>
                      </w:rPr>
                    </w:pPr>
                    <w:r>
                      <w:rPr>
                        <w:color w:val="231F20"/>
                        <w:sz w:val="12"/>
                      </w:rPr>
                      <w:t>Secured lending (left-hand scale)</w:t>
                    </w:r>
                  </w:p>
                </w:txbxContent>
              </v:textbox>
              <w10:wrap type="none"/>
            </v:shape>
            <v:shape style="position:absolute;left:1808;top:2450;width:1197;height:264" type="#_x0000_t202" filled="false" stroked="false">
              <v:textbox inset="0,0,0,0">
                <w:txbxContent>
                  <w:p>
                    <w:pPr>
                      <w:spacing w:line="228" w:lineRule="auto" w:before="0"/>
                      <w:ind w:left="80" w:right="18" w:hanging="80"/>
                      <w:jc w:val="left"/>
                      <w:rPr>
                        <w:sz w:val="12"/>
                      </w:rPr>
                    </w:pPr>
                    <w:r>
                      <w:rPr>
                        <w:color w:val="231F20"/>
                        <w:sz w:val="12"/>
                      </w:rPr>
                      <w:t>Value of loans approved (right-hand scale)</w:t>
                    </w:r>
                  </w:p>
                </w:txbxContent>
              </v:textbox>
              <w10:wrap type="none"/>
            </v:shape>
            <w10:wrap type="none"/>
          </v:group>
        </w:pict>
      </w:r>
      <w:r>
        <w:rPr/>
        <w:pict>
          <v:line style="position:absolute;mso-position-horizontal-relative:page;mso-position-vertical-relative:paragraph;z-index:-21372416" from="51.904999pt,27.407055pt" to="56.237999pt,27.407055pt" stroked="true" strokeweight=".5pt" strokecolor="#231f20">
            <v:stroke dashstyle="solid"/>
            <w10:wrap type="none"/>
          </v:line>
        </w:pict>
      </w:r>
      <w:r>
        <w:rPr/>
        <w:pict>
          <v:line style="position:absolute;mso-position-horizontal-relative:page;mso-position-vertical-relative:paragraph;z-index:-21367808" from="51.904999pt,9.490056pt" to="56.237999pt,9.490056pt" stroked="true" strokeweight=".5pt" strokecolor="#231f20">
            <v:stroke dashstyle="solid"/>
            <w10:wrap type="none"/>
          </v:line>
        </w:pict>
      </w:r>
      <w:r>
        <w:rPr>
          <w:color w:val="231F20"/>
          <w:position w:val="-7"/>
          <w:sz w:val="12"/>
        </w:rPr>
        <w:t>4.0 </w:t>
      </w:r>
      <w:r>
        <w:rPr>
          <w:color w:val="231F20"/>
          <w:sz w:val="12"/>
        </w:rPr>
        <w:t>£ </w:t>
      </w:r>
      <w:r>
        <w:rPr>
          <w:color w:val="231F20"/>
          <w:spacing w:val="-3"/>
          <w:sz w:val="12"/>
        </w:rPr>
        <w:t>billions </w:t>
      </w:r>
      <w:r>
        <w:rPr>
          <w:color w:val="231F20"/>
          <w:sz w:val="12"/>
        </w:rPr>
        <w:t>3.5</w:t>
      </w:r>
    </w:p>
    <w:p>
      <w:pPr>
        <w:spacing w:line="135" w:lineRule="exact" w:before="0"/>
        <w:ind w:left="178" w:right="0" w:firstLine="0"/>
        <w:jc w:val="left"/>
        <w:rPr>
          <w:sz w:val="12"/>
        </w:rPr>
      </w:pPr>
      <w:r>
        <w:rPr/>
        <w:pict>
          <v:line style="position:absolute;mso-position-horizontal-relative:page;mso-position-vertical-relative:paragraph;z-index:15762432" from="51.904999pt,3.824243pt" to="56.237999pt,3.824243pt" stroked="true" strokeweight=".5pt" strokecolor="#231f20">
            <v:stroke dashstyle="solid"/>
            <w10:wrap type="none"/>
          </v:line>
        </w:pict>
      </w:r>
      <w:r>
        <w:rPr>
          <w:color w:val="231F20"/>
          <w:sz w:val="12"/>
        </w:rPr>
        <w:t>3.0</w:t>
      </w:r>
    </w:p>
    <w:p>
      <w:pPr>
        <w:pStyle w:val="BodyText"/>
        <w:rPr>
          <w:sz w:val="12"/>
        </w:rPr>
      </w:pPr>
    </w:p>
    <w:p>
      <w:pPr>
        <w:spacing w:before="94"/>
        <w:ind w:left="178" w:right="0" w:firstLine="0"/>
        <w:jc w:val="left"/>
        <w:rPr>
          <w:sz w:val="12"/>
        </w:rPr>
      </w:pPr>
      <w:r>
        <w:rPr/>
        <w:pict>
          <v:line style="position:absolute;mso-position-horizontal-relative:page;mso-position-vertical-relative:paragraph;z-index:15762944" from="51.904999pt,8.682422pt" to="56.237999pt,8.682422pt" stroked="true" strokeweight=".5pt" strokecolor="#231f20">
            <v:stroke dashstyle="solid"/>
            <w10:wrap type="none"/>
          </v:line>
        </w:pict>
      </w:r>
      <w:r>
        <w:rPr>
          <w:color w:val="231F20"/>
          <w:sz w:val="12"/>
        </w:rPr>
        <w:t>2.5</w:t>
      </w:r>
    </w:p>
    <w:p>
      <w:pPr>
        <w:pStyle w:val="BodyText"/>
        <w:rPr>
          <w:sz w:val="12"/>
        </w:rPr>
      </w:pPr>
    </w:p>
    <w:p>
      <w:pPr>
        <w:spacing w:before="94"/>
        <w:ind w:left="178" w:right="0" w:firstLine="0"/>
        <w:jc w:val="left"/>
        <w:rPr>
          <w:sz w:val="12"/>
        </w:rPr>
      </w:pPr>
      <w:r>
        <w:rPr/>
        <w:pict>
          <v:line style="position:absolute;mso-position-horizontal-relative:page;mso-position-vertical-relative:paragraph;z-index:15763456" from="51.904999pt,8.682605pt" to="56.237999pt,8.682605pt" stroked="true" strokeweight=".5pt" strokecolor="#231f20">
            <v:stroke dashstyle="solid"/>
            <w10:wrap type="none"/>
          </v:line>
        </w:pict>
      </w:r>
      <w:r>
        <w:rPr>
          <w:color w:val="231F20"/>
          <w:sz w:val="12"/>
        </w:rPr>
        <w:t>2.0</w:t>
      </w:r>
    </w:p>
    <w:p>
      <w:pPr>
        <w:pStyle w:val="BodyText"/>
        <w:rPr>
          <w:sz w:val="12"/>
        </w:rPr>
      </w:pPr>
    </w:p>
    <w:p>
      <w:pPr>
        <w:spacing w:before="94"/>
        <w:ind w:left="178" w:right="0" w:firstLine="0"/>
        <w:jc w:val="left"/>
        <w:rPr>
          <w:sz w:val="12"/>
        </w:rPr>
      </w:pPr>
      <w:r>
        <w:rPr/>
        <w:pict>
          <v:line style="position:absolute;mso-position-horizontal-relative:page;mso-position-vertical-relative:paragraph;z-index:15763968" from="51.904999pt,8.432788pt" to="56.237999pt,8.432788pt" stroked="true" strokeweight=".5pt" strokecolor="#231f20">
            <v:stroke dashstyle="solid"/>
            <w10:wrap type="none"/>
          </v:line>
        </w:pict>
      </w:r>
      <w:r>
        <w:rPr>
          <w:color w:val="231F20"/>
          <w:sz w:val="12"/>
        </w:rPr>
        <w:t>1.5</w:t>
      </w:r>
    </w:p>
    <w:p>
      <w:pPr>
        <w:pStyle w:val="BodyText"/>
        <w:rPr>
          <w:sz w:val="12"/>
        </w:rPr>
      </w:pPr>
    </w:p>
    <w:p>
      <w:pPr>
        <w:spacing w:before="97"/>
        <w:ind w:left="178" w:right="0" w:firstLine="0"/>
        <w:jc w:val="left"/>
        <w:rPr>
          <w:sz w:val="12"/>
        </w:rPr>
      </w:pPr>
      <w:r>
        <w:rPr/>
        <w:pict>
          <v:line style="position:absolute;mso-position-horizontal-relative:page;mso-position-vertical-relative:paragraph;z-index:15764480" from="51.904999pt,8.707605pt" to="56.237999pt,8.707605pt" stroked="true" strokeweight=".5pt" strokecolor="#231f20">
            <v:stroke dashstyle="solid"/>
            <w10:wrap type="none"/>
          </v:line>
        </w:pict>
      </w:r>
      <w:r>
        <w:rPr>
          <w:color w:val="231F20"/>
          <w:sz w:val="12"/>
        </w:rPr>
        <w:t>1.0</w:t>
      </w:r>
    </w:p>
    <w:p>
      <w:pPr>
        <w:pStyle w:val="BodyText"/>
        <w:rPr>
          <w:sz w:val="12"/>
        </w:rPr>
      </w:pPr>
    </w:p>
    <w:p>
      <w:pPr>
        <w:spacing w:before="94"/>
        <w:ind w:left="178" w:right="0" w:firstLine="0"/>
        <w:jc w:val="left"/>
        <w:rPr>
          <w:sz w:val="12"/>
        </w:rPr>
      </w:pPr>
      <w:r>
        <w:rPr/>
        <w:pict>
          <v:line style="position:absolute;mso-position-horizontal-relative:page;mso-position-vertical-relative:paragraph;z-index:15764992" from="51.904999pt,8.432788pt" to="56.237999pt,8.432788pt" stroked="true" strokeweight=".5pt" strokecolor="#231f20">
            <v:stroke dashstyle="solid"/>
            <w10:wrap type="none"/>
          </v:line>
        </w:pict>
      </w:r>
      <w:r>
        <w:rPr>
          <w:color w:val="231F20"/>
          <w:sz w:val="12"/>
        </w:rPr>
        <w:t>0.5</w:t>
      </w:r>
    </w:p>
    <w:p>
      <w:pPr>
        <w:pStyle w:val="BodyText"/>
        <w:rPr>
          <w:sz w:val="12"/>
        </w:rPr>
      </w:pPr>
    </w:p>
    <w:p>
      <w:pPr>
        <w:spacing w:line="108" w:lineRule="exact" w:before="94"/>
        <w:ind w:left="178" w:right="0" w:firstLine="0"/>
        <w:jc w:val="left"/>
        <w:rPr>
          <w:sz w:val="12"/>
        </w:rPr>
      </w:pPr>
      <w:r>
        <w:rPr/>
        <w:pict>
          <v:shape style="position:absolute;margin-left:60.404999pt;margin-top:6.140971pt;width:149.4pt;height:2.7pt;mso-position-horizontal-relative:page;mso-position-vertical-relative:paragraph;z-index:15759360" coordorigin="1208,123" coordsize="2988,54" path="m1208,169l4196,171m1208,123l1208,176m3098,123l3098,176m4041,123l4041,176m2153,123l2153,176e" filled="false" stroked="true" strokeweight=".5pt" strokecolor="#231f20">
            <v:path arrowok="t"/>
            <v:stroke dashstyle="solid"/>
            <w10:wrap type="none"/>
          </v:shape>
        </w:pict>
      </w:r>
      <w:r>
        <w:rPr/>
        <w:pict>
          <v:line style="position:absolute;mso-position-horizontal-relative:page;mso-position-vertical-relative:paragraph;z-index:15765504" from="51.904999pt,8.453971pt" to="56.237999pt,8.453971pt" stroked="true" strokeweight=".5pt" strokecolor="#231f20">
            <v:stroke dashstyle="solid"/>
            <w10:wrap type="none"/>
          </v:line>
        </w:pict>
      </w:r>
      <w:r>
        <w:rPr>
          <w:color w:val="231F20"/>
          <w:sz w:val="12"/>
        </w:rPr>
        <w:t>0.0</w:t>
      </w:r>
    </w:p>
    <w:p>
      <w:pPr>
        <w:spacing w:before="16"/>
        <w:ind w:left="178" w:right="0" w:firstLine="0"/>
        <w:jc w:val="left"/>
        <w:rPr>
          <w:sz w:val="12"/>
        </w:rPr>
      </w:pPr>
      <w:r>
        <w:rPr/>
        <w:br w:type="column"/>
      </w:r>
      <w:r>
        <w:rPr>
          <w:color w:val="231F20"/>
          <w:sz w:val="12"/>
        </w:rPr>
        <w:t>£ billions</w:t>
      </w:r>
      <w:r>
        <w:rPr>
          <w:color w:val="231F20"/>
          <w:spacing w:val="-14"/>
          <w:sz w:val="12"/>
        </w:rPr>
        <w:t> </w:t>
      </w:r>
      <w:r>
        <w:rPr>
          <w:color w:val="231F20"/>
          <w:position w:val="-8"/>
          <w:sz w:val="12"/>
        </w:rPr>
        <w:t>10.5</w:t>
      </w:r>
    </w:p>
    <w:p>
      <w:pPr>
        <w:pStyle w:val="BodyText"/>
        <w:spacing w:before="7"/>
        <w:rPr>
          <w:sz w:val="30"/>
        </w:rPr>
      </w:pPr>
    </w:p>
    <w:p>
      <w:pPr>
        <w:spacing w:before="1"/>
        <w:ind w:left="0" w:right="38" w:firstLine="0"/>
        <w:jc w:val="right"/>
        <w:rPr>
          <w:sz w:val="12"/>
        </w:rPr>
      </w:pPr>
      <w:r>
        <w:rPr/>
        <w:pict>
          <v:line style="position:absolute;mso-position-horizontal-relative:page;mso-position-vertical-relative:paragraph;z-index:-21372928" from="213.738007pt,-20.848011pt" to="218.072007pt,-20.848011pt" stroked="true" strokeweight=".5pt" strokecolor="#231f20">
            <v:stroke dashstyle="solid"/>
            <w10:wrap type="none"/>
          </v:line>
        </w:pict>
      </w:r>
      <w:r>
        <w:rPr>
          <w:color w:val="231F20"/>
          <w:sz w:val="12"/>
        </w:rPr>
        <w:t>9.5</w:t>
      </w:r>
    </w:p>
    <w:p>
      <w:pPr>
        <w:pStyle w:val="BodyText"/>
        <w:rPr>
          <w:sz w:val="12"/>
        </w:rPr>
      </w:pPr>
    </w:p>
    <w:p>
      <w:pPr>
        <w:pStyle w:val="BodyText"/>
        <w:rPr>
          <w:sz w:val="12"/>
        </w:rPr>
      </w:pPr>
    </w:p>
    <w:p>
      <w:pPr>
        <w:spacing w:before="78"/>
        <w:ind w:left="0" w:right="38" w:firstLine="0"/>
        <w:jc w:val="right"/>
        <w:rPr>
          <w:sz w:val="12"/>
        </w:rPr>
      </w:pPr>
      <w:r>
        <w:rPr>
          <w:color w:val="231F20"/>
          <w:sz w:val="12"/>
        </w:rPr>
        <w:t>8.5</w:t>
      </w:r>
    </w:p>
    <w:p>
      <w:pPr>
        <w:pStyle w:val="BodyText"/>
        <w:rPr>
          <w:sz w:val="12"/>
        </w:rPr>
      </w:pPr>
    </w:p>
    <w:p>
      <w:pPr>
        <w:pStyle w:val="BodyText"/>
        <w:rPr>
          <w:sz w:val="12"/>
        </w:rPr>
      </w:pPr>
    </w:p>
    <w:p>
      <w:pPr>
        <w:spacing w:before="81"/>
        <w:ind w:left="0" w:right="38" w:firstLine="0"/>
        <w:jc w:val="right"/>
        <w:rPr>
          <w:sz w:val="12"/>
        </w:rPr>
      </w:pPr>
      <w:r>
        <w:rPr>
          <w:color w:val="231F20"/>
          <w:sz w:val="12"/>
        </w:rPr>
        <w:t>7.5</w:t>
      </w:r>
    </w:p>
    <w:p>
      <w:pPr>
        <w:pStyle w:val="BodyText"/>
        <w:rPr>
          <w:sz w:val="12"/>
        </w:rPr>
      </w:pPr>
    </w:p>
    <w:p>
      <w:pPr>
        <w:pStyle w:val="BodyText"/>
        <w:rPr>
          <w:sz w:val="12"/>
        </w:rPr>
      </w:pPr>
    </w:p>
    <w:p>
      <w:pPr>
        <w:spacing w:before="81"/>
        <w:ind w:left="0" w:right="38" w:firstLine="0"/>
        <w:jc w:val="right"/>
        <w:rPr>
          <w:sz w:val="12"/>
        </w:rPr>
      </w:pPr>
      <w:r>
        <w:rPr>
          <w:color w:val="231F20"/>
          <w:sz w:val="12"/>
        </w:rPr>
        <w:t>6.5</w:t>
      </w:r>
    </w:p>
    <w:p>
      <w:pPr>
        <w:pStyle w:val="BodyText"/>
        <w:rPr>
          <w:sz w:val="12"/>
        </w:rPr>
      </w:pPr>
    </w:p>
    <w:p>
      <w:pPr>
        <w:pStyle w:val="BodyText"/>
        <w:rPr>
          <w:sz w:val="12"/>
        </w:rPr>
      </w:pPr>
    </w:p>
    <w:p>
      <w:pPr>
        <w:spacing w:before="79"/>
        <w:ind w:left="0" w:right="38" w:firstLine="0"/>
        <w:jc w:val="right"/>
        <w:rPr>
          <w:sz w:val="12"/>
        </w:rPr>
      </w:pPr>
      <w:r>
        <w:rPr>
          <w:color w:val="231F20"/>
          <w:sz w:val="12"/>
        </w:rPr>
        <w:t>5.5</w:t>
      </w:r>
    </w:p>
    <w:p>
      <w:pPr>
        <w:pStyle w:val="BodyText"/>
        <w:rPr>
          <w:sz w:val="12"/>
        </w:rPr>
      </w:pPr>
    </w:p>
    <w:p>
      <w:pPr>
        <w:pStyle w:val="BodyText"/>
        <w:rPr>
          <w:sz w:val="12"/>
        </w:rPr>
      </w:pPr>
    </w:p>
    <w:p>
      <w:pPr>
        <w:spacing w:line="107" w:lineRule="exact" w:before="81"/>
        <w:ind w:left="0" w:right="38" w:firstLine="0"/>
        <w:jc w:val="right"/>
        <w:rPr>
          <w:sz w:val="12"/>
        </w:rPr>
      </w:pPr>
      <w:r>
        <w:rPr/>
        <w:pict>
          <v:line style="position:absolute;mso-position-horizontal-relative:page;mso-position-vertical-relative:paragraph;z-index:15766016" from="213.738007pt,7.755562pt" to="218.072007pt,7.755562pt" stroked="true" strokeweight=".5pt" strokecolor="#231f20">
            <v:stroke dashstyle="solid"/>
            <w10:wrap type="none"/>
          </v:line>
        </w:pict>
      </w:r>
      <w:r>
        <w:rPr>
          <w:color w:val="231F20"/>
          <w:sz w:val="12"/>
        </w:rPr>
        <w:t>4.5</w:t>
      </w:r>
    </w:p>
    <w:p>
      <w:pPr>
        <w:spacing w:line="242" w:lineRule="auto" w:before="4"/>
        <w:ind w:left="178" w:right="159" w:firstLine="0"/>
        <w:jc w:val="left"/>
        <w:rPr>
          <w:sz w:val="24"/>
        </w:rPr>
      </w:pPr>
      <w:r>
        <w:rPr/>
        <w:br w:type="column"/>
      </w:r>
      <w:r>
        <w:rPr>
          <w:color w:val="231F20"/>
          <w:sz w:val="24"/>
        </w:rPr>
        <w:t>quarter of 1999. By contrast, growth in unsecured lending which had been rising very rapidly, appears to have stabilised in recent quarters, though it remained well above the growth in secured lending (see Chart</w:t>
      </w:r>
      <w:r>
        <w:rPr>
          <w:color w:val="231F20"/>
          <w:spacing w:val="2"/>
          <w:sz w:val="24"/>
        </w:rPr>
        <w:t> </w:t>
      </w:r>
      <w:r>
        <w:rPr>
          <w:color w:val="231F20"/>
          <w:spacing w:val="-4"/>
          <w:sz w:val="24"/>
        </w:rPr>
        <w:t>1.3).</w:t>
      </w:r>
    </w:p>
    <w:p>
      <w:pPr>
        <w:pStyle w:val="BodyText"/>
        <w:spacing w:before="8"/>
        <w:rPr>
          <w:sz w:val="31"/>
        </w:rPr>
      </w:pPr>
    </w:p>
    <w:p>
      <w:pPr>
        <w:spacing w:line="242" w:lineRule="auto" w:before="0"/>
        <w:ind w:left="178" w:right="176" w:firstLine="0"/>
        <w:jc w:val="left"/>
        <w:rPr>
          <w:sz w:val="24"/>
        </w:rPr>
      </w:pPr>
      <w:r>
        <w:rPr>
          <w:color w:val="231F20"/>
          <w:sz w:val="24"/>
        </w:rPr>
        <w:t>The rise in secured lending in the first quarter of 1999 was consistent with other indicators of improving demand in the housing market. In March, the number of loans approved for house purchase rose to 101,000 from 89,000 in February, and the value of loans approved for secured lending rose to £10.2 billion.  The value of</w:t>
      </w:r>
      <w:r>
        <w:rPr>
          <w:color w:val="231F20"/>
          <w:spacing w:val="2"/>
          <w:sz w:val="24"/>
        </w:rPr>
        <w:t> </w:t>
      </w:r>
      <w:r>
        <w:rPr>
          <w:color w:val="231F20"/>
          <w:spacing w:val="-4"/>
          <w:sz w:val="24"/>
        </w:rPr>
        <w:t>loans</w:t>
      </w:r>
    </w:p>
    <w:p>
      <w:pPr>
        <w:spacing w:after="0" w:line="242" w:lineRule="auto"/>
        <w:jc w:val="left"/>
        <w:rPr>
          <w:sz w:val="24"/>
        </w:rPr>
        <w:sectPr>
          <w:type w:val="continuous"/>
          <w:pgSz w:w="11900" w:h="16840"/>
          <w:pgMar w:top="1220" w:bottom="280" w:left="640" w:right="640"/>
          <w:cols w:num="3" w:equalWidth="0">
            <w:col w:w="889" w:space="2205"/>
            <w:col w:w="895" w:space="793"/>
            <w:col w:w="5838"/>
          </w:cols>
        </w:sectPr>
      </w:pPr>
    </w:p>
    <w:p>
      <w:pPr>
        <w:tabs>
          <w:tab w:pos="1443" w:val="left" w:leader="none"/>
          <w:tab w:pos="2388" w:val="left" w:leader="none"/>
          <w:tab w:pos="3328" w:val="left" w:leader="none"/>
        </w:tabs>
        <w:spacing w:before="30"/>
        <w:ind w:left="400" w:right="0" w:firstLine="0"/>
        <w:jc w:val="left"/>
        <w:rPr>
          <w:sz w:val="12"/>
        </w:rPr>
      </w:pPr>
      <w:r>
        <w:rPr>
          <w:color w:val="231F20"/>
          <w:sz w:val="12"/>
        </w:rPr>
        <w:t>1996</w:t>
        <w:tab/>
        <w:t>97</w:t>
        <w:tab/>
        <w:t>98</w:t>
        <w:tab/>
        <w:t>99</w:t>
      </w:r>
    </w:p>
    <w:p>
      <w:pPr>
        <w:pStyle w:val="BodyText"/>
        <w:spacing w:before="5"/>
        <w:rPr>
          <w:sz w:val="11"/>
        </w:rPr>
      </w:pPr>
    </w:p>
    <w:p>
      <w:pPr>
        <w:spacing w:before="0"/>
        <w:ind w:left="165" w:right="0" w:firstLine="0"/>
        <w:jc w:val="left"/>
        <w:rPr>
          <w:sz w:val="12"/>
        </w:rPr>
      </w:pPr>
      <w:r>
        <w:rPr>
          <w:color w:val="231F20"/>
          <w:sz w:val="12"/>
        </w:rPr>
        <w:t>Source: Bank of England.</w:t>
      </w:r>
    </w:p>
    <w:p>
      <w:pPr>
        <w:pStyle w:val="BodyText"/>
        <w:spacing w:before="1"/>
        <w:rPr>
          <w:sz w:val="10"/>
        </w:rPr>
      </w:pPr>
    </w:p>
    <w:p>
      <w:pPr>
        <w:spacing w:line="208" w:lineRule="auto" w:before="0"/>
        <w:ind w:left="405" w:right="44" w:hanging="240"/>
        <w:jc w:val="left"/>
        <w:rPr>
          <w:sz w:val="12"/>
        </w:rPr>
      </w:pPr>
      <w:r>
        <w:rPr>
          <w:color w:val="231F20"/>
          <w:sz w:val="12"/>
        </w:rPr>
        <w:t>(a) The definition of the value of bank approvals was revised in October </w:t>
      </w:r>
      <w:r>
        <w:rPr>
          <w:color w:val="231F20"/>
          <w:spacing w:val="-5"/>
          <w:sz w:val="12"/>
        </w:rPr>
        <w:t>1997 </w:t>
      </w:r>
      <w:r>
        <w:rPr>
          <w:color w:val="231F20"/>
          <w:sz w:val="12"/>
        </w:rPr>
        <w:t>to bring it into line with that for building societies.</w:t>
      </w:r>
    </w:p>
    <w:p>
      <w:pPr>
        <w:pStyle w:val="BodyText"/>
        <w:spacing w:before="10"/>
        <w:rPr>
          <w:sz w:val="17"/>
        </w:rPr>
      </w:pPr>
    </w:p>
    <w:p>
      <w:pPr>
        <w:pStyle w:val="Heading4"/>
        <w:spacing w:before="0"/>
        <w:ind w:left="180"/>
      </w:pPr>
      <w:r>
        <w:rPr>
          <w:color w:val="0093C1"/>
        </w:rPr>
        <w:t>Chart 1.5</w:t>
      </w:r>
    </w:p>
    <w:p>
      <w:pPr>
        <w:pStyle w:val="Heading4"/>
        <w:spacing w:line="249" w:lineRule="auto"/>
        <w:ind w:left="180"/>
      </w:pPr>
      <w:r>
        <w:rPr>
          <w:color w:val="0093C1"/>
        </w:rPr>
        <w:t>Net overseas borrowing</w:t>
      </w:r>
      <w:r>
        <w:rPr>
          <w:b w:val="0"/>
          <w:color w:val="231F20"/>
          <w:position w:val="4"/>
          <w:sz w:val="12"/>
        </w:rPr>
        <w:t>(a) </w:t>
      </w:r>
      <w:r>
        <w:rPr>
          <w:color w:val="0093C1"/>
        </w:rPr>
        <w:t>in sterling and OFCs’ deposits</w:t>
      </w:r>
    </w:p>
    <w:p>
      <w:pPr>
        <w:spacing w:line="242" w:lineRule="auto" w:before="0"/>
        <w:ind w:left="165" w:right="156" w:firstLine="0"/>
        <w:jc w:val="left"/>
        <w:rPr>
          <w:sz w:val="24"/>
        </w:rPr>
      </w:pPr>
      <w:r>
        <w:rPr/>
        <w:br w:type="column"/>
      </w:r>
      <w:r>
        <w:rPr>
          <w:color w:val="231F20"/>
          <w:sz w:val="24"/>
        </w:rPr>
        <w:t>approved, which includes re-mortgaging agreements, has tended to lead changes in secured lending by 4–6 weeks. That suggests that the growth in secured lending to individuals will remain robust in coming months (see Chart 1.4).</w:t>
      </w:r>
    </w:p>
    <w:p>
      <w:pPr>
        <w:spacing w:after="0" w:line="242" w:lineRule="auto"/>
        <w:jc w:val="left"/>
        <w:rPr>
          <w:sz w:val="24"/>
        </w:rPr>
        <w:sectPr>
          <w:type w:val="continuous"/>
          <w:pgSz w:w="11900" w:h="16840"/>
          <w:pgMar w:top="1220" w:bottom="280" w:left="640" w:right="640"/>
          <w:cols w:num="2" w:equalWidth="0">
            <w:col w:w="4018" w:space="776"/>
            <w:col w:w="5826"/>
          </w:cols>
        </w:sectPr>
      </w:pPr>
    </w:p>
    <w:p>
      <w:pPr>
        <w:spacing w:line="114" w:lineRule="exact" w:before="18"/>
        <w:ind w:left="2722" w:right="0" w:firstLine="0"/>
        <w:jc w:val="left"/>
        <w:rPr>
          <w:sz w:val="12"/>
        </w:rPr>
      </w:pPr>
      <w:r>
        <w:rPr>
          <w:sz w:val="12"/>
        </w:rPr>
        <w:t>Flows, £ billions</w:t>
      </w:r>
    </w:p>
    <w:p>
      <w:pPr>
        <w:spacing w:line="114" w:lineRule="exact" w:before="0"/>
        <w:ind w:left="3546" w:right="0" w:firstLine="0"/>
        <w:jc w:val="left"/>
        <w:rPr>
          <w:sz w:val="12"/>
        </w:rPr>
      </w:pPr>
      <w:r>
        <w:rPr/>
        <w:pict>
          <v:line style="position:absolute;mso-position-horizontal-relative:page;mso-position-vertical-relative:paragraph;z-index:15757824" from="43.251999pt,3.068813pt" to="47.585999pt,3.068813pt" stroked="true" strokeweight=".5pt" strokecolor="#000000">
            <v:stroke dashstyle="solid"/>
            <w10:wrap type="none"/>
          </v:line>
        </w:pict>
      </w:r>
      <w:r>
        <w:rPr/>
        <w:pict>
          <v:line style="position:absolute;mso-position-horizontal-relative:page;mso-position-vertical-relative:paragraph;z-index:15758848" from="204.126999pt,3.058813pt" to="208.460999pt,3.058813pt" stroked="true" strokeweight=".5pt" strokecolor="#000000">
            <v:stroke dashstyle="solid"/>
            <w10:wrap type="none"/>
          </v:line>
        </w:pict>
      </w:r>
      <w:r>
        <w:rPr>
          <w:sz w:val="12"/>
        </w:rPr>
        <w:t>15</w:t>
      </w:r>
    </w:p>
    <w:p>
      <w:pPr>
        <w:pStyle w:val="BodyText"/>
        <w:rPr>
          <w:sz w:val="12"/>
        </w:rPr>
      </w:pPr>
    </w:p>
    <w:p>
      <w:pPr>
        <w:pStyle w:val="BodyText"/>
        <w:rPr>
          <w:sz w:val="12"/>
        </w:rPr>
      </w:pPr>
    </w:p>
    <w:p>
      <w:pPr>
        <w:pStyle w:val="BodyText"/>
        <w:spacing w:before="4"/>
        <w:rPr>
          <w:sz w:val="16"/>
        </w:rPr>
      </w:pPr>
    </w:p>
    <w:p>
      <w:pPr>
        <w:spacing w:before="0"/>
        <w:ind w:left="0" w:right="440" w:firstLine="0"/>
        <w:jc w:val="right"/>
        <w:rPr>
          <w:sz w:val="12"/>
        </w:rPr>
      </w:pPr>
      <w:r>
        <w:rPr/>
        <w:pict>
          <v:group style="position:absolute;margin-left:43.251999pt;margin-top:-9.624428pt;width:165.25pt;height:117.25pt;mso-position-horizontal-relative:page;mso-position-vertical-relative:paragraph;z-index:15757312" coordorigin="865,-192" coordsize="3305,2345">
            <v:shape style="position:absolute;left:1000;top:657;width:583;height:660" type="#_x0000_t75" stroked="false">
              <v:imagedata r:id="rId28" o:title=""/>
            </v:shape>
            <v:shape style="position:absolute;left:1573;top:412;width:1875;height:1400" coordorigin="1573,413" coordsize="1875,1400" path="m1573,668l1668,1318m1668,1318l1761,1115m1761,1115l1856,1148m1856,1148l1948,1043m1948,1043l2043,788m2043,788l2136,1193m2136,1193l2228,1575m2228,1575l2323,1813m2323,1813l2416,1398m2416,1398l2513,1763m2513,1763l2606,1103m2606,1103l2701,1430m2701,1430l2793,1193m2793,1193l2886,948m2886,948l2981,840m2981,840l3073,490m3073,490l3168,1115m3168,1115l3261,783m3261,783l3356,413m3356,413l3448,775e" filled="false" stroked="true" strokeweight="1pt" strokecolor="#0066a5">
              <v:path arrowok="t"/>
              <v:stroke dashstyle="solid"/>
            </v:shape>
            <v:line style="position:absolute" from="3438,770" to="3553,770" stroked="true" strokeweight="1.5pt" strokecolor="#0066a5">
              <v:stroke dashstyle="solid"/>
            </v:line>
            <v:shape style="position:absolute;left:3543;top:705;width:468;height:1438" coordorigin="3543,705" coordsize="468,1438" path="m3543,765l3636,705m3636,705l3731,1990m3731,1990l3823,1588m3823,1588l3918,1575m3918,1575l4011,2143e" filled="false" stroked="true" strokeweight="1pt" strokecolor="#0066a5">
              <v:path arrowok="t"/>
              <v:stroke dashstyle="solid"/>
            </v:shape>
            <v:shape style="position:absolute;left:1012;top:-183;width:2998;height:1830" coordorigin="1013,-182" coordsize="2998,1830" path="m1013,1400l1104,1500,1198,1300,1291,1250,1386,1278,1478,1208,1573,1085,1666,1500,1761,1148,1853,1325,1948,1040,2041,978,2136,1008,2228,1090,2321,1268,2416,973,2508,600,2606,563,2698,735,2793,575,2886,465,2978,678,3073,268,3166,500,3261,-182,3353,260,3448,220,3541,260,3636,105,3728,395,3823,618,3916,1090,4011,1648e" filled="false" stroked="true" strokeweight="1pt" strokecolor="#ed1b2d">
              <v:path arrowok="t"/>
              <v:stroke dashstyle="solid"/>
            </v:shape>
            <v:shape style="position:absolute;left:865;top:84;width:3305;height:1805" coordorigin="865,84" coordsize="3305,1805" path="m999,1290l4028,1290m865,84l952,84m865,686l952,686m865,1287l952,1287m865,1889l952,1889m4083,84l4169,84m4083,686l4169,686m4083,1287l4169,1287m4083,1888l4169,1888e" filled="false" stroked="true" strokeweight=".5pt" strokecolor="#000000">
              <v:path arrowok="t"/>
              <v:stroke dashstyle="solid"/>
            </v:shape>
            <v:shape style="position:absolute;left:2442;top:-159;width:764;height:134" type="#_x0000_t202" filled="false" stroked="false">
              <v:textbox inset="0,0,0,0">
                <w:txbxContent>
                  <w:p>
                    <w:pPr>
                      <w:spacing w:line="133" w:lineRule="exact" w:before="0"/>
                      <w:ind w:left="0" w:right="0" w:firstLine="0"/>
                      <w:jc w:val="left"/>
                      <w:rPr>
                        <w:sz w:val="12"/>
                      </w:rPr>
                    </w:pPr>
                    <w:r>
                      <w:rPr>
                        <w:sz w:val="12"/>
                      </w:rPr>
                      <w:t>OFCs’ deposits</w:t>
                    </w:r>
                  </w:p>
                </w:txbxContent>
              </v:textbox>
              <w10:wrap type="none"/>
            </v:shape>
            <v:shape style="position:absolute;left:1743;top:1815;width:1114;height:254" type="#_x0000_t202" filled="false" stroked="false">
              <v:textbox inset="0,0,0,0">
                <w:txbxContent>
                  <w:p>
                    <w:pPr>
                      <w:spacing w:line="208" w:lineRule="auto" w:before="9"/>
                      <w:ind w:left="60" w:right="0" w:hanging="60"/>
                      <w:jc w:val="left"/>
                      <w:rPr>
                        <w:sz w:val="12"/>
                      </w:rPr>
                    </w:pPr>
                    <w:r>
                      <w:rPr>
                        <w:sz w:val="12"/>
                      </w:rPr>
                      <w:t>Net sterling borrowing by non-UK residents</w:t>
                    </w:r>
                  </w:p>
                </w:txbxContent>
              </v:textbox>
              <w10:wrap type="none"/>
            </v:shape>
            <w10:wrap type="none"/>
          </v:group>
        </w:pict>
      </w:r>
      <w:r>
        <w:rPr>
          <w:sz w:val="12"/>
        </w:rPr>
        <w:t>10</w:t>
      </w:r>
    </w:p>
    <w:p>
      <w:pPr>
        <w:pStyle w:val="BodyText"/>
        <w:rPr>
          <w:sz w:val="12"/>
        </w:rPr>
      </w:pPr>
    </w:p>
    <w:p>
      <w:pPr>
        <w:pStyle w:val="BodyText"/>
        <w:rPr>
          <w:sz w:val="12"/>
        </w:rPr>
      </w:pPr>
    </w:p>
    <w:p>
      <w:pPr>
        <w:pStyle w:val="BodyText"/>
        <w:spacing w:before="4"/>
        <w:rPr>
          <w:sz w:val="16"/>
        </w:rPr>
      </w:pPr>
    </w:p>
    <w:p>
      <w:pPr>
        <w:spacing w:before="0"/>
        <w:ind w:left="0" w:right="440" w:firstLine="0"/>
        <w:jc w:val="right"/>
        <w:rPr>
          <w:sz w:val="12"/>
        </w:rPr>
      </w:pPr>
      <w:r>
        <w:rPr>
          <w:sz w:val="12"/>
        </w:rPr>
        <w:t>5</w:t>
      </w:r>
    </w:p>
    <w:p>
      <w:pPr>
        <w:pStyle w:val="BodyText"/>
        <w:rPr>
          <w:sz w:val="12"/>
        </w:rPr>
      </w:pPr>
    </w:p>
    <w:p>
      <w:pPr>
        <w:spacing w:before="106"/>
        <w:ind w:left="3532" w:right="0" w:firstLine="0"/>
        <w:jc w:val="left"/>
        <w:rPr>
          <w:sz w:val="16"/>
        </w:rPr>
      </w:pPr>
      <w:r>
        <w:rPr>
          <w:sz w:val="16"/>
        </w:rPr>
        <w:t>+</w:t>
      </w:r>
    </w:p>
    <w:p>
      <w:pPr>
        <w:spacing w:before="36"/>
        <w:ind w:left="3542" w:right="0" w:firstLine="0"/>
        <w:jc w:val="left"/>
        <w:rPr>
          <w:sz w:val="12"/>
        </w:rPr>
      </w:pPr>
      <w:r>
        <w:rPr>
          <w:spacing w:val="-8"/>
          <w:position w:val="-9"/>
          <w:sz w:val="16"/>
        </w:rPr>
        <w:t>_</w:t>
      </w:r>
      <w:r>
        <w:rPr>
          <w:spacing w:val="-8"/>
          <w:sz w:val="12"/>
        </w:rPr>
        <w:t>0</w:t>
      </w:r>
    </w:p>
    <w:p>
      <w:pPr>
        <w:pStyle w:val="BodyText"/>
        <w:spacing w:before="10"/>
        <w:rPr>
          <w:sz w:val="30"/>
        </w:rPr>
      </w:pPr>
    </w:p>
    <w:p>
      <w:pPr>
        <w:spacing w:before="1"/>
        <w:ind w:left="0" w:right="440" w:firstLine="0"/>
        <w:jc w:val="right"/>
        <w:rPr>
          <w:sz w:val="12"/>
        </w:rPr>
      </w:pPr>
      <w:r>
        <w:rPr>
          <w:sz w:val="12"/>
        </w:rPr>
        <w:t>5</w:t>
      </w:r>
    </w:p>
    <w:p>
      <w:pPr>
        <w:pStyle w:val="BodyText"/>
        <w:rPr>
          <w:sz w:val="12"/>
        </w:rPr>
      </w:pPr>
    </w:p>
    <w:p>
      <w:pPr>
        <w:pStyle w:val="BodyText"/>
        <w:rPr>
          <w:sz w:val="12"/>
        </w:rPr>
      </w:pPr>
    </w:p>
    <w:p>
      <w:pPr>
        <w:pStyle w:val="BodyText"/>
        <w:spacing w:before="4"/>
        <w:rPr>
          <w:sz w:val="16"/>
        </w:rPr>
      </w:pPr>
    </w:p>
    <w:p>
      <w:pPr>
        <w:spacing w:line="130" w:lineRule="exact" w:before="0"/>
        <w:ind w:left="3546" w:right="0" w:firstLine="0"/>
        <w:jc w:val="left"/>
        <w:rPr>
          <w:sz w:val="12"/>
        </w:rPr>
      </w:pPr>
      <w:r>
        <w:rPr/>
        <w:pict>
          <v:shape style="position:absolute;margin-left:43.251999pt;margin-top:.560555pt;width:165.25pt;height:3.6pt;mso-position-horizontal-relative:page;mso-position-vertical-relative:paragraph;z-index:15758336" coordorigin="865,11" coordsize="3305,72" path="m865,82l952,82m4083,82l4169,82m999,82l4025,82m1000,11l1000,83m1374,11l1374,83m1749,11l1749,83m2123,11l2123,83m2497,11l2497,83m2872,11l2872,83m3246,11l3246,83m3620,11l3620,83m3995,11l3995,83e" filled="false" stroked="true" strokeweight=".5pt" strokecolor="#000000">
            <v:path arrowok="t"/>
            <v:stroke dashstyle="solid"/>
            <w10:wrap type="none"/>
          </v:shape>
        </w:pict>
      </w:r>
      <w:r>
        <w:rPr>
          <w:sz w:val="12"/>
        </w:rPr>
        <w:t>10</w:t>
      </w:r>
    </w:p>
    <w:p>
      <w:pPr>
        <w:tabs>
          <w:tab w:pos="866" w:val="left" w:leader="none"/>
          <w:tab w:pos="1241" w:val="left" w:leader="none"/>
          <w:tab w:pos="1616" w:val="left" w:leader="none"/>
          <w:tab w:pos="1990" w:val="left" w:leader="none"/>
          <w:tab w:pos="2365" w:val="left" w:leader="none"/>
          <w:tab w:pos="2740" w:val="left" w:leader="none"/>
          <w:tab w:pos="3115" w:val="left" w:leader="none"/>
        </w:tabs>
        <w:spacing w:line="130" w:lineRule="exact" w:before="0"/>
        <w:ind w:left="418" w:right="0" w:firstLine="0"/>
        <w:jc w:val="left"/>
        <w:rPr>
          <w:sz w:val="12"/>
        </w:rPr>
      </w:pPr>
      <w:r>
        <w:rPr>
          <w:sz w:val="12"/>
        </w:rPr>
        <w:t>1991</w:t>
        <w:tab/>
        <w:t>92</w:t>
        <w:tab/>
        <w:t>93</w:t>
        <w:tab/>
        <w:t>94</w:t>
        <w:tab/>
        <w:t>95</w:t>
        <w:tab/>
        <w:t>96</w:t>
        <w:tab/>
        <w:t>97</w:t>
        <w:tab/>
        <w:t>98</w:t>
      </w:r>
      <w:r>
        <w:rPr>
          <w:spacing w:val="2"/>
          <w:sz w:val="12"/>
        </w:rPr>
        <w:t> </w:t>
      </w:r>
      <w:r>
        <w:rPr>
          <w:sz w:val="12"/>
        </w:rPr>
        <w:t>99</w:t>
      </w:r>
    </w:p>
    <w:p>
      <w:pPr>
        <w:pStyle w:val="BodyText"/>
        <w:spacing w:before="8"/>
        <w:rPr>
          <w:sz w:val="9"/>
        </w:rPr>
      </w:pPr>
    </w:p>
    <w:p>
      <w:pPr>
        <w:spacing w:before="1"/>
        <w:ind w:left="160" w:right="0" w:firstLine="0"/>
        <w:jc w:val="left"/>
        <w:rPr>
          <w:sz w:val="12"/>
        </w:rPr>
      </w:pPr>
      <w:r>
        <w:rPr>
          <w:color w:val="231F20"/>
          <w:sz w:val="12"/>
        </w:rPr>
        <w:t>Source: Bank of England.</w:t>
      </w:r>
    </w:p>
    <w:p>
      <w:pPr>
        <w:spacing w:before="102"/>
        <w:ind w:left="160" w:right="0" w:firstLine="0"/>
        <w:jc w:val="left"/>
        <w:rPr>
          <w:sz w:val="12"/>
        </w:rPr>
      </w:pPr>
      <w:r>
        <w:rPr>
          <w:color w:val="231F20"/>
          <w:sz w:val="12"/>
        </w:rPr>
        <w:t>(a) Borrowing minus deposits of sterling from UK banks and building societies.</w:t>
      </w:r>
    </w:p>
    <w:p>
      <w:pPr>
        <w:pStyle w:val="BodyText"/>
        <w:spacing w:before="11"/>
        <w:rPr>
          <w:sz w:val="14"/>
        </w:rPr>
      </w:pPr>
    </w:p>
    <w:p>
      <w:pPr>
        <w:pStyle w:val="Heading4"/>
        <w:spacing w:before="0"/>
      </w:pPr>
      <w:r>
        <w:rPr>
          <w:color w:val="0093C1"/>
        </w:rPr>
        <w:t>Chart 1.6</w:t>
      </w:r>
    </w:p>
    <w:p>
      <w:pPr>
        <w:pStyle w:val="Heading4"/>
        <w:spacing w:line="249" w:lineRule="auto"/>
        <w:ind w:right="444"/>
        <w:rPr>
          <w:b w:val="0"/>
          <w:sz w:val="12"/>
        </w:rPr>
      </w:pPr>
      <w:r>
        <w:rPr>
          <w:color w:val="0093C1"/>
        </w:rPr>
        <w:t>Quarterly flows of OFCs’ deposits and cash-financed mergers and</w:t>
      </w:r>
      <w:r>
        <w:rPr>
          <w:color w:val="0093C1"/>
          <w:spacing w:val="26"/>
        </w:rPr>
        <w:t> </w:t>
      </w:r>
      <w:r>
        <w:rPr>
          <w:color w:val="0093C1"/>
          <w:spacing w:val="-3"/>
        </w:rPr>
        <w:t>acquisitions</w:t>
      </w:r>
      <w:r>
        <w:rPr>
          <w:b w:val="0"/>
          <w:color w:val="231F20"/>
          <w:spacing w:val="-3"/>
          <w:position w:val="4"/>
          <w:sz w:val="12"/>
        </w:rPr>
        <w:t>(a)</w:t>
      </w:r>
    </w:p>
    <w:p>
      <w:pPr>
        <w:spacing w:before="102"/>
        <w:ind w:left="2986" w:right="0" w:firstLine="0"/>
        <w:jc w:val="left"/>
        <w:rPr>
          <w:sz w:val="12"/>
        </w:rPr>
      </w:pPr>
      <w:r>
        <w:rPr/>
        <w:pict>
          <v:line style="position:absolute;mso-position-horizontal-relative:page;mso-position-vertical-relative:paragraph;z-index:15768576" from="42pt,13.106047pt" to="46.333pt,13.106047pt" stroked="true" strokeweight=".5pt" strokecolor="#000000">
            <v:stroke dashstyle="solid"/>
            <w10:wrap type="none"/>
          </v:line>
        </w:pict>
      </w:r>
      <w:r>
        <w:rPr/>
        <w:pict>
          <v:line style="position:absolute;mso-position-horizontal-relative:page;mso-position-vertical-relative:paragraph;z-index:-21359616" from="199.5pt,13.137047pt" to="203.833pt,13.137047pt" stroked="true" strokeweight=".5pt" strokecolor="#000000">
            <v:stroke dashstyle="solid"/>
            <w10:wrap type="none"/>
          </v:line>
        </w:pict>
      </w:r>
      <w:r>
        <w:rPr>
          <w:sz w:val="12"/>
        </w:rPr>
        <w:t>£ billions</w:t>
      </w:r>
      <w:r>
        <w:rPr>
          <w:spacing w:val="26"/>
          <w:sz w:val="12"/>
        </w:rPr>
        <w:t> </w:t>
      </w:r>
      <w:r>
        <w:rPr>
          <w:position w:val="-6"/>
          <w:sz w:val="12"/>
        </w:rPr>
        <w:t>10</w:t>
      </w:r>
    </w:p>
    <w:p>
      <w:pPr>
        <w:spacing w:before="129"/>
        <w:ind w:left="0" w:right="494" w:firstLine="0"/>
        <w:jc w:val="right"/>
        <w:rPr>
          <w:sz w:val="12"/>
        </w:rPr>
      </w:pPr>
      <w:r>
        <w:rPr/>
        <w:pict>
          <v:group style="position:absolute;margin-left:49.917pt;margin-top:3.557559pt;width:153.950pt;height:139.3pt;mso-position-horizontal-relative:page;mso-position-vertical-relative:paragraph;z-index:15768064" coordorigin="998,71" coordsize="3079,2786">
            <v:shape style="position:absolute;left:1017;top:2553;width:78;height:28" coordorigin="1017,2554" coordsize="78,28" path="m1017,2581l1055,2566m1055,2566l1095,2554e" filled="false" stroked="true" strokeweight="1pt" strokecolor="#ed1b2d">
              <v:path arrowok="t"/>
              <v:stroke dashstyle="solid"/>
            </v:shape>
            <v:line style="position:absolute" from="1085,2556" to="1143,2556" stroked="true" strokeweight="1.25pt" strokecolor="#ed1b2d">
              <v:stroke dashstyle="solid"/>
            </v:line>
            <v:line style="position:absolute" from="1133,2559" to="1173,2576" stroked="true" strokeweight="1pt" strokecolor="#ed1b2d">
              <v:stroke dashstyle="solid"/>
            </v:line>
            <v:line style="position:absolute" from="1163,2577" to="1220,2577" stroked="true" strokeweight="1.125pt" strokecolor="#ed1b2d">
              <v:stroke dashstyle="solid"/>
            </v:line>
            <v:shape style="position:absolute;left:1210;top:2453;width:115;height:125" coordorigin="1210,2454" coordsize="115,125" path="m1210,2579l1250,2546m1250,2546l1288,2481m1288,2481l1325,2454e" filled="false" stroked="true" strokeweight="1pt" strokecolor="#ed1b2d">
              <v:path arrowok="t"/>
              <v:stroke dashstyle="solid"/>
            </v:shape>
            <v:line style="position:absolute" from="1315,2452" to="1375,2452" stroked="true" strokeweight="1.125pt" strokecolor="#ed1b2d">
              <v:stroke dashstyle="solid"/>
            </v:line>
            <v:line style="position:absolute" from="1355,2449" to="1413,2449" stroked="true" strokeweight="1.25pt" strokecolor="#ed1b2d">
              <v:stroke dashstyle="solid"/>
            </v:line>
            <v:shape style="position:absolute;left:1402;top:2426;width:158;height:50" coordorigin="1403,2426" coordsize="158,50" path="m1403,2446l1443,2476m1443,2476l1480,2451m1480,2451l1520,2426m1520,2426l1560,2451e" filled="false" stroked="true" strokeweight="1pt" strokecolor="#ed1b2d">
              <v:path arrowok="t"/>
              <v:stroke dashstyle="solid"/>
            </v:shape>
            <v:line style="position:absolute" from="1550,2452" to="1605,2452" stroked="true" strokeweight="1.125pt" strokecolor="#ed1b2d">
              <v:stroke dashstyle="solid"/>
            </v:line>
            <v:shape style="position:absolute;left:1595;top:2316;width:158;height:148" coordorigin="1595,2316" coordsize="158,148" path="m1595,2451l1635,2464m1635,2464l1673,2419m1673,2419l1713,2369m1713,2369l1753,2316e" filled="false" stroked="true" strokeweight="1pt" strokecolor="#ed1b2d">
              <v:path arrowok="t"/>
              <v:stroke dashstyle="solid"/>
            </v:shape>
            <v:line style="position:absolute" from="1743,2314" to="1800,2314" stroked="true" strokeweight="1.25pt" strokecolor="#ed1b2d">
              <v:stroke dashstyle="solid"/>
            </v:line>
            <v:shape style="position:absolute;left:1790;top:2311;width:115;height:18" coordorigin="1790,2311" coordsize="115,18" path="m1790,2311l1830,2329m1830,2329l1868,2319m1868,2319l1905,2326e" filled="false" stroked="true" strokeweight="1pt" strokecolor="#ed1b2d">
              <v:path arrowok="t"/>
              <v:stroke dashstyle="solid"/>
            </v:shape>
            <v:line style="position:absolute" from="1895,2325" to="1955,2325" stroked="true" strokeweight="1.125pt" strokecolor="#ed1b2d">
              <v:stroke dashstyle="solid"/>
            </v:line>
            <v:shape style="position:absolute;left:1945;top:1356;width:733;height:968" coordorigin="1945,1356" coordsize="733,968" path="m1945,2324l1983,2311m1983,2311l2023,2304m2023,2304l2060,2226m2060,2226l2100,1996m2100,1996l2138,1916m2138,1916l2175,1769m2175,1769l2215,1721m2215,1721l2253,1891m2253,1891l2293,1864m2293,1864l2330,1886m2330,1886l2370,1911m2370,1911l2408,1814m2408,1814l2448,1714m2448,1714l2485,1631m2485,1631l2523,1539m2523,1539l2563,1384m2563,1384l2600,1356m2600,1356l2640,1544m2640,1544l2678,1651e" filled="false" stroked="true" strokeweight="1pt" strokecolor="#ed1b2d">
              <v:path arrowok="t"/>
              <v:stroke dashstyle="solid"/>
            </v:shape>
            <v:line style="position:absolute" from="2698,1641" to="2698,2089" stroked="true" strokeweight="3pt" strokecolor="#ed1b2d">
              <v:stroke dashstyle="solid"/>
            </v:line>
            <v:line style="position:absolute" from="2736,2069" to="2736,2516" stroked="true" strokeweight="2.875pt" strokecolor="#ed1b2d">
              <v:stroke dashstyle="solid"/>
            </v:line>
            <v:shape style="position:absolute;left:2755;top:2028;width:503;height:730" coordorigin="2755,2029" coordsize="503,730" path="m2755,2506l2793,2621m2793,2621l2833,2759m2833,2759l2870,2694m2870,2694l2910,2531m2910,2531l2948,2416m2948,2416l2988,2554m2988,2554l3028,2484m3028,2484l3063,2546m3063,2546l3103,2521m3103,2521l3143,2236m3143,2236l3180,2156m3180,2156l3220,2029m3220,2029l3258,2154e" filled="false" stroked="true" strokeweight="1pt" strokecolor="#ed1b2d">
              <v:path arrowok="t"/>
              <v:stroke dashstyle="solid"/>
            </v:shape>
            <v:line style="position:absolute" from="3248,2152" to="3308,2152" stroked="true" strokeweight="1.125pt" strokecolor="#ed1b2d">
              <v:stroke dashstyle="solid"/>
            </v:line>
            <v:shape style="position:absolute;left:3297;top:818;width:308;height:1333" coordorigin="3298,819" coordsize="308,1333" path="m3298,2151l3335,1926m3335,1926l3373,1636m3373,1636l3413,1346m3413,1346l3450,1129m3450,1129l3490,1054m3490,1054l3528,1119m3528,1119l3568,861m3568,861l3605,819e" filled="false" stroked="true" strokeweight="1pt" strokecolor="#ed1b2d">
              <v:path arrowok="t"/>
              <v:stroke dashstyle="solid"/>
            </v:shape>
            <v:line style="position:absolute" from="3624,454" to="3624,829" stroked="true" strokeweight="2.875pt" strokecolor="#ed1b2d">
              <v:stroke dashstyle="solid"/>
            </v:line>
            <v:shape style="position:absolute;left:3642;top:81;width:233;height:448" coordorigin="3642,81" coordsize="233,448" path="m3642,464l3682,236m3682,236l3720,211m3720,211l3760,81m3760,81l3797,239m3797,239l3837,311m3837,311l3875,529e" filled="false" stroked="true" strokeweight="1pt" strokecolor="#ed1b2d">
              <v:path arrowok="t"/>
              <v:stroke dashstyle="solid"/>
            </v:shape>
            <v:line style="position:absolute" from="3895,519" to="3895,994" stroked="true" strokeweight="3pt" strokecolor="#ed1b2d">
              <v:stroke dashstyle="solid"/>
            </v:line>
            <v:shape style="position:absolute;left:1007;top:2534;width:98;height:2" coordorigin="1007,2535" coordsize="98,0" path="m1007,2535l1065,2535m1045,2535l1105,2535e" filled="false" stroked="true" strokeweight="1.125pt" strokecolor="#008256">
              <v:path arrowok="t"/>
              <v:stroke dashstyle="solid"/>
            </v:shape>
            <v:line style="position:absolute" from="1095,2534" to="1133,2544" stroked="true" strokeweight="1pt" strokecolor="#008256">
              <v:stroke dashstyle="solid"/>
            </v:line>
            <v:shape style="position:absolute;left:1122;top:2544;width:290;height:2" coordorigin="1123,2545" coordsize="290,0" path="m1123,2545l1183,2545m1163,2545l1220,2545m1200,2545l1260,2545m1240,2545l1298,2545m1278,2545l1335,2545m1315,2545l1375,2545m1355,2545l1413,2545e" filled="false" stroked="true" strokeweight="1.125pt" strokecolor="#008256">
              <v:path arrowok="t"/>
              <v:stroke dashstyle="solid"/>
            </v:shape>
            <v:line style="position:absolute" from="1403,2544" to="1443,2509" stroked="true" strokeweight="1pt" strokecolor="#008256">
              <v:stroke dashstyle="solid"/>
            </v:line>
            <v:shape style="position:absolute;left:1432;top:2509;width:138;height:2" coordorigin="1433,2510" coordsize="138,0" path="m1433,2510l1490,2510m1470,2510l1530,2510m1510,2510l1570,2510e" filled="false" stroked="true" strokeweight="1.125pt" strokecolor="#008256">
              <v:path arrowok="t"/>
              <v:stroke dashstyle="solid"/>
            </v:shape>
            <v:line style="position:absolute" from="1560,2509" to="1595,2529" stroked="true" strokeweight="1pt" strokecolor="#008256">
              <v:stroke dashstyle="solid"/>
            </v:line>
            <v:shape style="position:absolute;left:1585;top:2529;width:138;height:2" coordorigin="1585,2530" coordsize="138,0" path="m1585,2530l1645,2530m1625,2530l1683,2530m1663,2530l1723,2530e" filled="false" stroked="true" strokeweight="1.125pt" strokecolor="#008256">
              <v:path arrowok="t"/>
              <v:stroke dashstyle="solid"/>
            </v:shape>
            <v:line style="position:absolute" from="1713,2529" to="1753,2401" stroked="true" strokeweight="1pt" strokecolor="#008256">
              <v:stroke dashstyle="solid"/>
            </v:line>
            <v:shape style="position:absolute;left:1742;top:2402;width:135;height:2" coordorigin="1743,2402" coordsize="135,0" path="m1743,2402l1800,2402m1780,2402l1840,2402m1820,2402l1878,2402e" filled="false" stroked="true" strokeweight="1.125pt" strokecolor="#008256">
              <v:path arrowok="t"/>
              <v:stroke dashstyle="solid"/>
            </v:shape>
            <v:line style="position:absolute" from="1858,2404" to="1915,2404" stroked="true" strokeweight="1.25pt" strokecolor="#008256">
              <v:stroke dashstyle="solid"/>
            </v:line>
            <v:shape style="position:absolute;left:1905;top:2211;width:270;height:195" coordorigin="1905,2211" coordsize="270,195" path="m1905,2406l1945,2381m1945,2381l1983,2329m1983,2329l2023,2276m2023,2276l2060,2326m2060,2326l2100,2301m2100,2301l2138,2239m2138,2239l2175,2211e" filled="false" stroked="true" strokeweight="1pt" strokecolor="#008256">
              <v:path arrowok="t"/>
              <v:stroke dashstyle="solid"/>
            </v:shape>
            <v:line style="position:absolute" from="2165,2214" to="2225,2214" stroked="true" strokeweight="1.25pt" strokecolor="#008256">
              <v:stroke dashstyle="solid"/>
            </v:line>
            <v:shape style="position:absolute;left:2215;top:1966;width:78;height:250" coordorigin="2215,1966" coordsize="78,250" path="m2215,2216l2253,1966m2253,1966l2293,1976e" filled="false" stroked="true" strokeweight="1pt" strokecolor="#008256">
              <v:path arrowok="t"/>
              <v:stroke dashstyle="solid"/>
            </v:shape>
            <v:line style="position:absolute" from="2311,1604" to="2311,1986" stroked="true" strokeweight="2.875pt" strokecolor="#008256">
              <v:stroke dashstyle="solid"/>
            </v:line>
            <v:shape style="position:absolute;left:2330;top:1118;width:310;height:730" coordorigin="2330,1119" coordsize="310,730" path="m2330,1614l2370,1539m2370,1539l2408,1664m2408,1664l2448,1614m2448,1614l2485,1331m2485,1331l2523,1119m2523,1119l2563,1169m2563,1169l2600,1216m2600,1216l2640,1849e" filled="false" stroked="true" strokeweight="1pt" strokecolor="#008256">
              <v:path arrowok="t"/>
              <v:stroke dashstyle="solid"/>
            </v:shape>
            <v:shape style="position:absolute;left:2630;top:1838;width:678;height:515" type="#_x0000_t75" stroked="false">
              <v:imagedata r:id="rId29" o:title=""/>
            </v:shape>
            <v:line style="position:absolute" from="3316,1789" to="3316,2254" stroked="true" strokeweight="2.875pt" strokecolor="#008256">
              <v:stroke dashstyle="solid"/>
            </v:line>
            <v:line style="position:absolute" from="3335,1799" to="3373,1781" stroked="true" strokeweight="1pt" strokecolor="#008256">
              <v:stroke dashstyle="solid"/>
            </v:line>
            <v:line style="position:absolute" from="3393,1284" to="3393,1791" stroked="true" strokeweight="3pt" strokecolor="#008256">
              <v:stroke dashstyle="solid"/>
            </v:line>
            <v:line style="position:absolute" from="3431,901" to="3431,1304" stroked="true" strokeweight="2.875pt" strokecolor="#008256">
              <v:stroke dashstyle="solid"/>
            </v:line>
            <v:shape style="position:absolute;left:3450;top:823;width:465;height:1060" coordorigin="3450,824" coordsize="465,1060" path="m3450,911l3490,1064m3490,1064l3528,824m3528,824l3568,1064m3568,1064l3605,1304m3605,1304l3643,1564m3643,1564l3683,1759m3683,1759l3720,1884m3720,1884l3760,1874m3760,1874l3798,1751m3798,1751l3838,1644m3838,1644l3875,1516m3875,1516l3915,1556e" filled="false" stroked="true" strokeweight="1pt" strokecolor="#008256">
              <v:path arrowok="t"/>
              <v:stroke dashstyle="solid"/>
            </v:shape>
            <v:shape style="position:absolute;left:3990;top:215;width:87;height:2373" coordorigin="3990,216" coordsize="87,2373" path="m3990,216l4077,216m3990,479l4077,479m3990,743l4077,743m3990,1007l4077,1007m3990,1270l4077,1270m3990,1534l4077,1534m3990,1797l4077,1797m3990,2061l4077,2061m3990,2325l4077,2325m3990,2588l4077,2588e" filled="false" stroked="true" strokeweight=".5pt" strokecolor="#000000">
              <v:path arrowok="t"/>
              <v:stroke dashstyle="solid"/>
            </v:shape>
            <v:shape style="position:absolute;left:1003;top:2788;width:2922;height:69" coordorigin="1003,2789" coordsize="2922,69" path="m1005,2851l3925,2851m3923,2789l3923,2857m3155,2789l3155,2857m3462,2789l3462,2857m2847,2789l2847,2857m1003,2789l1003,2857m2694,2789l2694,2857m3001,2789l3001,2857m2540,2789l2540,2857m2233,2789l2233,2857m2386,2789l2386,2857m2079,2789l2079,2857m1772,2789l1772,2857m1925,2789l1925,2857m1618,2789l1618,2857m1311,2789l1311,2857m1464,2789l1464,2857m1157,2789l1157,2857m3616,2789l3616,2857m3769,2789l3769,2857m3308,2789l3308,2857e" filled="false" stroked="true" strokeweight=".5pt" strokecolor="#231f20">
              <v:path arrowok="t"/>
              <v:stroke dashstyle="solid"/>
            </v:shape>
            <v:line style="position:absolute" from="3990,2852" to="4077,2852" stroked="true" strokeweight=".5pt" strokecolor="#000000">
              <v:stroke dashstyle="solid"/>
            </v:line>
            <v:line style="position:absolute" from="998,2588" to="3918,2588" stroked="true" strokeweight=".5pt" strokecolor="#231f20">
              <v:stroke dashstyle="solid"/>
            </v:line>
            <v:shape style="position:absolute;left:2853;top:204;width:764;height:133" type="#_x0000_t202" filled="false" stroked="false">
              <v:textbox inset="0,0,0,0">
                <w:txbxContent>
                  <w:p>
                    <w:pPr>
                      <w:spacing w:line="133" w:lineRule="exact" w:before="0"/>
                      <w:ind w:left="0" w:right="0" w:firstLine="0"/>
                      <w:jc w:val="left"/>
                      <w:rPr>
                        <w:sz w:val="12"/>
                      </w:rPr>
                    </w:pPr>
                    <w:r>
                      <w:rPr>
                        <w:color w:val="231F20"/>
                        <w:sz w:val="12"/>
                      </w:rPr>
                      <w:t>OFCs’ deposits</w:t>
                    </w:r>
                  </w:p>
                </w:txbxContent>
              </v:textbox>
              <w10:wrap type="none"/>
            </v:shape>
            <v:shape style="position:absolute;left:1610;top:920;width:1130;height:274" type="#_x0000_t202" filled="false" stroked="false">
              <v:textbox inset="0,0,0,0">
                <w:txbxContent>
                  <w:p>
                    <w:pPr>
                      <w:spacing w:line="242" w:lineRule="auto" w:before="0"/>
                      <w:ind w:left="60" w:right="0" w:hanging="60"/>
                      <w:jc w:val="left"/>
                      <w:rPr>
                        <w:sz w:val="12"/>
                      </w:rPr>
                    </w:pPr>
                    <w:r>
                      <w:rPr>
                        <w:sz w:val="12"/>
                      </w:rPr>
                      <w:t>Cash-financed mergers and acquisitions</w:t>
                    </w:r>
                  </w:p>
                </w:txbxContent>
              </v:textbox>
              <w10:wrap type="none"/>
            </v:shape>
            <w10:wrap type="none"/>
          </v:group>
        </w:pict>
      </w:r>
      <w:r>
        <w:rPr/>
        <w:pict>
          <v:line style="position:absolute;mso-position-horizontal-relative:page;mso-position-vertical-relative:paragraph;z-index:15769088" from="42pt,10.758559pt" to="46.333pt,10.758559pt" stroked="true" strokeweight=".5pt" strokecolor="#000000">
            <v:stroke dashstyle="solid"/>
            <w10:wrap type="none"/>
          </v:line>
        </w:pict>
      </w:r>
      <w:r>
        <w:rPr>
          <w:sz w:val="12"/>
        </w:rPr>
        <w:t>9</w:t>
      </w:r>
    </w:p>
    <w:p>
      <w:pPr>
        <w:pStyle w:val="BodyText"/>
        <w:rPr>
          <w:sz w:val="11"/>
        </w:rPr>
      </w:pPr>
    </w:p>
    <w:p>
      <w:pPr>
        <w:spacing w:before="0"/>
        <w:ind w:left="0" w:right="494" w:firstLine="0"/>
        <w:jc w:val="right"/>
        <w:rPr>
          <w:sz w:val="12"/>
        </w:rPr>
      </w:pPr>
      <w:r>
        <w:rPr/>
        <w:pict>
          <v:line style="position:absolute;mso-position-horizontal-relative:page;mso-position-vertical-relative:paragraph;z-index:15769600" from="42pt,4.283756pt" to="46.333pt,4.283756pt" stroked="true" strokeweight=".5pt" strokecolor="#000000">
            <v:stroke dashstyle="solid"/>
            <w10:wrap type="none"/>
          </v:line>
        </w:pict>
      </w:r>
      <w:r>
        <w:rPr>
          <w:sz w:val="12"/>
        </w:rPr>
        <w:t>8</w:t>
      </w:r>
    </w:p>
    <w:p>
      <w:pPr>
        <w:pStyle w:val="BodyText"/>
        <w:spacing w:before="11"/>
        <w:rPr>
          <w:sz w:val="10"/>
        </w:rPr>
      </w:pPr>
    </w:p>
    <w:p>
      <w:pPr>
        <w:spacing w:before="0"/>
        <w:ind w:left="0" w:right="494" w:firstLine="0"/>
        <w:jc w:val="right"/>
        <w:rPr>
          <w:sz w:val="12"/>
        </w:rPr>
      </w:pPr>
      <w:r>
        <w:rPr/>
        <w:pict>
          <v:line style="position:absolute;mso-position-horizontal-relative:page;mso-position-vertical-relative:paragraph;z-index:15770112" from="42pt,4.258967pt" to="46.333pt,4.258967pt" stroked="true" strokeweight=".5pt" strokecolor="#000000">
            <v:stroke dashstyle="solid"/>
            <w10:wrap type="none"/>
          </v:line>
        </w:pict>
      </w:r>
      <w:r>
        <w:rPr>
          <w:sz w:val="12"/>
        </w:rPr>
        <w:t>7</w:t>
      </w:r>
    </w:p>
    <w:p>
      <w:pPr>
        <w:pStyle w:val="BodyText"/>
        <w:spacing w:before="11"/>
        <w:rPr>
          <w:sz w:val="10"/>
        </w:rPr>
      </w:pPr>
    </w:p>
    <w:p>
      <w:pPr>
        <w:spacing w:before="0"/>
        <w:ind w:left="0" w:right="494" w:firstLine="0"/>
        <w:jc w:val="right"/>
        <w:rPr>
          <w:sz w:val="12"/>
        </w:rPr>
      </w:pPr>
      <w:r>
        <w:rPr/>
        <w:pict>
          <v:line style="position:absolute;mso-position-horizontal-relative:page;mso-position-vertical-relative:paragraph;z-index:15770624" from="42pt,4.234164pt" to="46.333pt,4.234164pt" stroked="true" strokeweight=".5pt" strokecolor="#000000">
            <v:stroke dashstyle="solid"/>
            <w10:wrap type="none"/>
          </v:line>
        </w:pict>
      </w:r>
      <w:r>
        <w:rPr>
          <w:sz w:val="12"/>
        </w:rPr>
        <w:t>6</w:t>
      </w:r>
    </w:p>
    <w:p>
      <w:pPr>
        <w:pStyle w:val="BodyText"/>
        <w:rPr>
          <w:sz w:val="11"/>
        </w:rPr>
      </w:pPr>
    </w:p>
    <w:p>
      <w:pPr>
        <w:spacing w:before="0"/>
        <w:ind w:left="0" w:right="494" w:firstLine="0"/>
        <w:jc w:val="right"/>
        <w:rPr>
          <w:sz w:val="12"/>
        </w:rPr>
      </w:pPr>
      <w:r>
        <w:rPr/>
        <w:pict>
          <v:line style="position:absolute;mso-position-horizontal-relative:page;mso-position-vertical-relative:paragraph;z-index:15771136" from="42pt,4.209361pt" to="46.333pt,4.209361pt" stroked="true" strokeweight=".5pt" strokecolor="#000000">
            <v:stroke dashstyle="solid"/>
            <w10:wrap type="none"/>
          </v:line>
        </w:pict>
      </w:r>
      <w:r>
        <w:rPr>
          <w:sz w:val="12"/>
        </w:rPr>
        <w:t>5</w:t>
      </w:r>
    </w:p>
    <w:p>
      <w:pPr>
        <w:pStyle w:val="BodyText"/>
        <w:spacing w:before="11"/>
        <w:rPr>
          <w:sz w:val="10"/>
        </w:rPr>
      </w:pPr>
    </w:p>
    <w:p>
      <w:pPr>
        <w:spacing w:before="0"/>
        <w:ind w:left="0" w:right="494" w:firstLine="0"/>
        <w:jc w:val="right"/>
        <w:rPr>
          <w:sz w:val="12"/>
        </w:rPr>
      </w:pPr>
      <w:r>
        <w:rPr/>
        <w:pict>
          <v:line style="position:absolute;mso-position-horizontal-relative:page;mso-position-vertical-relative:paragraph;z-index:15771648" from="42pt,4.183557pt" to="46.333pt,4.183557pt" stroked="true" strokeweight=".5pt" strokecolor="#000000">
            <v:stroke dashstyle="solid"/>
            <w10:wrap type="none"/>
          </v:line>
        </w:pict>
      </w:r>
      <w:r>
        <w:rPr>
          <w:sz w:val="12"/>
        </w:rPr>
        <w:t>4</w:t>
      </w:r>
    </w:p>
    <w:p>
      <w:pPr>
        <w:pStyle w:val="BodyText"/>
        <w:spacing w:before="11"/>
        <w:rPr>
          <w:sz w:val="10"/>
        </w:rPr>
      </w:pPr>
    </w:p>
    <w:p>
      <w:pPr>
        <w:spacing w:before="0"/>
        <w:ind w:left="0" w:right="494" w:firstLine="0"/>
        <w:jc w:val="right"/>
        <w:rPr>
          <w:sz w:val="12"/>
        </w:rPr>
      </w:pPr>
      <w:r>
        <w:rPr/>
        <w:pict>
          <v:line style="position:absolute;mso-position-horizontal-relative:page;mso-position-vertical-relative:paragraph;z-index:15772160" from="42pt,4.158769pt" to="46.333pt,4.158769pt" stroked="true" strokeweight=".5pt" strokecolor="#000000">
            <v:stroke dashstyle="solid"/>
            <w10:wrap type="none"/>
          </v:line>
        </w:pict>
      </w:r>
      <w:r>
        <w:rPr>
          <w:sz w:val="12"/>
        </w:rPr>
        <w:t>3</w:t>
      </w:r>
    </w:p>
    <w:p>
      <w:pPr>
        <w:pStyle w:val="BodyText"/>
        <w:spacing w:before="11"/>
        <w:rPr>
          <w:sz w:val="10"/>
        </w:rPr>
      </w:pPr>
    </w:p>
    <w:p>
      <w:pPr>
        <w:spacing w:before="0"/>
        <w:ind w:left="0" w:right="494" w:firstLine="0"/>
        <w:jc w:val="right"/>
        <w:rPr>
          <w:sz w:val="12"/>
        </w:rPr>
      </w:pPr>
      <w:r>
        <w:rPr/>
        <w:pict>
          <v:line style="position:absolute;mso-position-horizontal-relative:page;mso-position-vertical-relative:paragraph;z-index:15772672" from="42pt,4.133965pt" to="46.333pt,4.133965pt" stroked="true" strokeweight=".5pt" strokecolor="#000000">
            <v:stroke dashstyle="solid"/>
            <w10:wrap type="none"/>
          </v:line>
        </w:pict>
      </w:r>
      <w:r>
        <w:rPr>
          <w:sz w:val="12"/>
        </w:rPr>
        <w:t>2</w:t>
      </w:r>
    </w:p>
    <w:p>
      <w:pPr>
        <w:pStyle w:val="BodyText"/>
        <w:spacing w:before="11"/>
        <w:rPr>
          <w:sz w:val="10"/>
        </w:rPr>
      </w:pPr>
    </w:p>
    <w:p>
      <w:pPr>
        <w:spacing w:line="122" w:lineRule="exact" w:before="0"/>
        <w:ind w:left="3553" w:right="0" w:firstLine="0"/>
        <w:jc w:val="left"/>
        <w:rPr>
          <w:sz w:val="12"/>
        </w:rPr>
      </w:pPr>
      <w:r>
        <w:rPr/>
        <w:pict>
          <v:line style="position:absolute;mso-position-horizontal-relative:page;mso-position-vertical-relative:paragraph;z-index:15773184" from="42pt,4.109162pt" to="46.333pt,4.109162pt" stroked="true" strokeweight=".5pt" strokecolor="#000000">
            <v:stroke dashstyle="solid"/>
            <w10:wrap type="none"/>
          </v:line>
        </w:pict>
      </w:r>
      <w:r>
        <w:rPr>
          <w:sz w:val="12"/>
        </w:rPr>
        <w:t>1</w:t>
      </w:r>
    </w:p>
    <w:p>
      <w:pPr>
        <w:spacing w:line="155" w:lineRule="exact" w:before="0"/>
        <w:ind w:left="3460" w:right="0" w:firstLine="0"/>
        <w:jc w:val="left"/>
        <w:rPr>
          <w:sz w:val="16"/>
        </w:rPr>
      </w:pPr>
      <w:r>
        <w:rPr>
          <w:color w:val="231F20"/>
          <w:sz w:val="16"/>
        </w:rPr>
        <w:t>+</w:t>
      </w:r>
    </w:p>
    <w:p>
      <w:pPr>
        <w:spacing w:line="110" w:lineRule="exact" w:before="0"/>
        <w:ind w:left="3553" w:right="0" w:firstLine="0"/>
        <w:jc w:val="left"/>
        <w:rPr>
          <w:sz w:val="12"/>
        </w:rPr>
      </w:pPr>
      <w:r>
        <w:rPr/>
        <w:pict>
          <v:line style="position:absolute;mso-position-horizontal-relative:page;mso-position-vertical-relative:paragraph;z-index:15773696" from="42pt,3.420449pt" to="46.333pt,3.420449pt" stroked="true" strokeweight=".5pt" strokecolor="#000000">
            <v:stroke dashstyle="solid"/>
            <w10:wrap type="none"/>
          </v:line>
        </w:pict>
      </w:r>
      <w:r>
        <w:rPr>
          <w:sz w:val="12"/>
        </w:rPr>
        <w:t>0</w:t>
      </w:r>
    </w:p>
    <w:p>
      <w:pPr>
        <w:spacing w:line="155" w:lineRule="exact" w:before="0"/>
        <w:ind w:left="3460" w:right="0" w:firstLine="0"/>
        <w:jc w:val="left"/>
        <w:rPr>
          <w:sz w:val="16"/>
        </w:rPr>
      </w:pPr>
      <w:r>
        <w:rPr>
          <w:color w:val="231F20"/>
          <w:sz w:val="16"/>
        </w:rPr>
        <w:t>–</w:t>
      </w:r>
    </w:p>
    <w:p>
      <w:pPr>
        <w:spacing w:line="123" w:lineRule="exact" w:before="0"/>
        <w:ind w:left="3553" w:right="0" w:firstLine="0"/>
        <w:jc w:val="left"/>
        <w:rPr>
          <w:sz w:val="12"/>
        </w:rPr>
      </w:pPr>
      <w:r>
        <w:rPr/>
        <w:pict>
          <v:line style="position:absolute;mso-position-horizontal-relative:page;mso-position-vertical-relative:paragraph;z-index:15774208" from="42pt,3.331245pt" to="46.333pt,3.331245pt" stroked="true" strokeweight=".5pt" strokecolor="#000000">
            <v:stroke dashstyle="solid"/>
            <w10:wrap type="none"/>
          </v:line>
        </w:pict>
      </w:r>
      <w:r>
        <w:rPr>
          <w:sz w:val="12"/>
        </w:rPr>
        <w:t>1</w:t>
      </w:r>
    </w:p>
    <w:p>
      <w:pPr>
        <w:tabs>
          <w:tab w:pos="842" w:val="left" w:leader="none"/>
          <w:tab w:pos="1294" w:val="left" w:leader="none"/>
          <w:tab w:pos="1769" w:val="left" w:leader="none"/>
          <w:tab w:pos="2232" w:val="left" w:leader="none"/>
          <w:tab w:pos="2684" w:val="left" w:leader="none"/>
          <w:tab w:pos="3153" w:val="left" w:leader="none"/>
        </w:tabs>
        <w:spacing w:before="1"/>
        <w:ind w:left="319" w:right="0" w:firstLine="0"/>
        <w:jc w:val="left"/>
        <w:rPr>
          <w:sz w:val="12"/>
        </w:rPr>
      </w:pPr>
      <w:r>
        <w:rPr>
          <w:sz w:val="12"/>
        </w:rPr>
        <w:t>1980</w:t>
        <w:tab/>
        <w:t>83</w:t>
        <w:tab/>
        <w:t>86</w:t>
        <w:tab/>
        <w:t>89</w:t>
        <w:tab/>
        <w:t>92</w:t>
        <w:tab/>
        <w:t>95</w:t>
        <w:tab/>
        <w:t>98</w:t>
      </w:r>
    </w:p>
    <w:p>
      <w:pPr>
        <w:pStyle w:val="BodyText"/>
        <w:spacing w:before="3"/>
        <w:rPr>
          <w:sz w:val="14"/>
        </w:rPr>
      </w:pPr>
    </w:p>
    <w:p>
      <w:pPr>
        <w:spacing w:before="0"/>
        <w:ind w:left="155" w:right="0" w:firstLine="0"/>
        <w:jc w:val="left"/>
        <w:rPr>
          <w:sz w:val="12"/>
        </w:rPr>
      </w:pPr>
      <w:r>
        <w:rPr>
          <w:color w:val="231F20"/>
          <w:sz w:val="12"/>
        </w:rPr>
        <w:t>Sources: ONS and Bank of England.</w:t>
      </w:r>
    </w:p>
    <w:p>
      <w:pPr>
        <w:spacing w:before="102"/>
        <w:ind w:left="155" w:right="0" w:firstLine="0"/>
        <w:jc w:val="left"/>
        <w:rPr>
          <w:sz w:val="12"/>
        </w:rPr>
      </w:pPr>
      <w:r>
        <w:rPr>
          <w:color w:val="231F20"/>
          <w:sz w:val="12"/>
        </w:rPr>
        <w:t>(a) Four-quarter moving average.</w:t>
      </w:r>
    </w:p>
    <w:p>
      <w:pPr>
        <w:spacing w:line="268" w:lineRule="exact" w:before="0"/>
        <w:ind w:left="155" w:right="0" w:firstLine="0"/>
        <w:jc w:val="left"/>
        <w:rPr>
          <w:i/>
          <w:sz w:val="24"/>
        </w:rPr>
      </w:pPr>
      <w:r>
        <w:rPr/>
        <w:br w:type="column"/>
      </w:r>
      <w:r>
        <w:rPr>
          <w:i/>
          <w:color w:val="009483"/>
          <w:sz w:val="24"/>
        </w:rPr>
        <w:t>Other financial corporations (OFCs)</w:t>
      </w:r>
    </w:p>
    <w:p>
      <w:pPr>
        <w:spacing w:line="242" w:lineRule="auto" w:before="164"/>
        <w:ind w:left="155" w:right="256" w:firstLine="0"/>
        <w:jc w:val="left"/>
        <w:rPr>
          <w:sz w:val="24"/>
        </w:rPr>
      </w:pPr>
      <w:r>
        <w:rPr>
          <w:color w:val="231F20"/>
          <w:sz w:val="24"/>
        </w:rPr>
        <w:t>OFCs are non-bank financial intermediaries. After growing at an average annual rate of more than 22% between 1995 Q1 and 1998 Q3, growth in OFCs’ M4 deposits slowed in 1998 Q4 and fell sharply to 6.6% in the first quarter of 1999. Annual growth in lending to the non-bank financial sector, which had averaged more than 16% during the same period, also slowed in</w:t>
      </w:r>
    </w:p>
    <w:p>
      <w:pPr>
        <w:spacing w:before="9"/>
        <w:ind w:left="155" w:right="0" w:firstLine="0"/>
        <w:jc w:val="left"/>
        <w:rPr>
          <w:sz w:val="24"/>
        </w:rPr>
      </w:pPr>
      <w:r>
        <w:rPr>
          <w:color w:val="231F20"/>
          <w:sz w:val="24"/>
        </w:rPr>
        <w:t>1998 Q4, and declined further to 8.4% in 1999 Q1.</w:t>
      </w:r>
    </w:p>
    <w:p>
      <w:pPr>
        <w:pStyle w:val="BodyText"/>
        <w:spacing w:before="7"/>
        <w:rPr>
          <w:sz w:val="31"/>
        </w:rPr>
      </w:pPr>
    </w:p>
    <w:p>
      <w:pPr>
        <w:spacing w:line="242" w:lineRule="auto" w:before="0"/>
        <w:ind w:left="155" w:right="193" w:firstLine="0"/>
        <w:jc w:val="left"/>
        <w:rPr>
          <w:sz w:val="24"/>
        </w:rPr>
      </w:pPr>
      <w:r>
        <w:rPr>
          <w:color w:val="231F20"/>
          <w:sz w:val="24"/>
        </w:rPr>
        <w:t>The increase and subsequent contraction in OFCs’ balance sheets has broadly coincided with changes in </w:t>
      </w:r>
      <w:r>
        <w:rPr>
          <w:color w:val="231F20"/>
          <w:spacing w:val="-6"/>
          <w:sz w:val="24"/>
        </w:rPr>
        <w:t>net </w:t>
      </w:r>
      <w:r>
        <w:rPr>
          <w:color w:val="231F20"/>
          <w:sz w:val="24"/>
        </w:rPr>
        <w:t>sterling lending by UK banks and building societies to non-UK residents (see Chart 1.5). The average monthly flow in net sterling lending to non-UK residents was</w:t>
      </w:r>
    </w:p>
    <w:p>
      <w:pPr>
        <w:spacing w:line="242" w:lineRule="auto" w:before="7"/>
        <w:ind w:left="155" w:right="0" w:firstLine="0"/>
        <w:jc w:val="left"/>
        <w:rPr>
          <w:sz w:val="24"/>
        </w:rPr>
      </w:pPr>
      <w:r>
        <w:rPr>
          <w:color w:val="231F20"/>
          <w:sz w:val="24"/>
        </w:rPr>
        <w:t>£1.1 billion between January 1996 and June 1998, compared with £0.2 billion during 1992–95. It has </w:t>
      </w:r>
      <w:r>
        <w:rPr>
          <w:color w:val="231F20"/>
          <w:spacing w:val="-4"/>
          <w:sz w:val="24"/>
        </w:rPr>
        <w:t>since </w:t>
      </w:r>
      <w:r>
        <w:rPr>
          <w:color w:val="231F20"/>
          <w:sz w:val="24"/>
        </w:rPr>
        <w:t>fallen back sharply; overseas residents made a total</w:t>
      </w:r>
    </w:p>
    <w:p>
      <w:pPr>
        <w:spacing w:line="242" w:lineRule="auto" w:before="3"/>
        <w:ind w:left="155" w:right="995" w:firstLine="0"/>
        <w:jc w:val="left"/>
        <w:rPr>
          <w:sz w:val="24"/>
        </w:rPr>
      </w:pPr>
      <w:r>
        <w:rPr>
          <w:color w:val="231F20"/>
          <w:sz w:val="24"/>
        </w:rPr>
        <w:t>net repayment of sterling loans of £7.1 billion in 1999 Q1.</w:t>
      </w:r>
    </w:p>
    <w:p>
      <w:pPr>
        <w:pStyle w:val="BodyText"/>
        <w:spacing w:before="6"/>
        <w:rPr>
          <w:sz w:val="31"/>
        </w:rPr>
      </w:pPr>
    </w:p>
    <w:p>
      <w:pPr>
        <w:spacing w:line="242" w:lineRule="auto" w:before="0"/>
        <w:ind w:left="155" w:right="548" w:firstLine="0"/>
        <w:jc w:val="left"/>
        <w:rPr>
          <w:sz w:val="24"/>
        </w:rPr>
      </w:pPr>
      <w:r>
        <w:rPr>
          <w:color w:val="231F20"/>
          <w:sz w:val="24"/>
        </w:rPr>
        <w:t>It is possible, therefore, that the sterling borrowed by overseas residents was used to carry out transactions with UK financial intermediaries. However, there is little evidence that the funds were intended for the acquisition of UK companies. Chart 1.6 shows that</w:t>
      </w:r>
    </w:p>
    <w:p>
      <w:pPr>
        <w:spacing w:line="242" w:lineRule="auto" w:before="7"/>
        <w:ind w:left="155" w:right="0" w:firstLine="0"/>
        <w:jc w:val="left"/>
        <w:rPr>
          <w:sz w:val="24"/>
        </w:rPr>
      </w:pPr>
      <w:r>
        <w:rPr>
          <w:color w:val="231F20"/>
          <w:sz w:val="24"/>
        </w:rPr>
        <w:t>cash-financed mergers and acquisitions activity has been relatively subdued during the past two years.</w:t>
      </w:r>
    </w:p>
    <w:p>
      <w:pPr>
        <w:spacing w:line="242" w:lineRule="auto" w:before="2"/>
        <w:ind w:left="155" w:right="628" w:firstLine="0"/>
        <w:jc w:val="left"/>
        <w:rPr>
          <w:sz w:val="24"/>
        </w:rPr>
      </w:pPr>
      <w:r>
        <w:rPr>
          <w:color w:val="231F20"/>
          <w:sz w:val="24"/>
        </w:rPr>
        <w:t>Furthermore, the rise in OFCs’ deposit growth since 1996 was not accounted for by an increase in M4</w:t>
      </w:r>
    </w:p>
    <w:p>
      <w:pPr>
        <w:spacing w:after="0" w:line="242" w:lineRule="auto"/>
        <w:jc w:val="left"/>
        <w:rPr>
          <w:sz w:val="24"/>
        </w:rPr>
        <w:sectPr>
          <w:type w:val="continuous"/>
          <w:pgSz w:w="11900" w:h="16840"/>
          <w:pgMar w:top="1220" w:bottom="280" w:left="640" w:right="640"/>
          <w:cols w:num="2" w:equalWidth="0">
            <w:col w:w="4110" w:space="694"/>
            <w:col w:w="5816"/>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4"/>
        <w:spacing w:before="0"/>
        <w:ind w:left="190"/>
      </w:pPr>
      <w:bookmarkStart w:name="Divisia money" w:id="16"/>
      <w:bookmarkEnd w:id="16"/>
      <w:r>
        <w:rPr>
          <w:b w:val="0"/>
        </w:rPr>
      </w:r>
      <w:bookmarkStart w:name="_bookmark5" w:id="17"/>
      <w:bookmarkEnd w:id="17"/>
      <w:r>
        <w:rPr>
          <w:b w:val="0"/>
        </w:rPr>
      </w:r>
      <w:r>
        <w:rPr>
          <w:color w:val="0093C1"/>
        </w:rPr>
        <w:t>Chart 1.7</w:t>
      </w:r>
    </w:p>
    <w:p>
      <w:pPr>
        <w:pStyle w:val="Heading4"/>
        <w:spacing w:line="249" w:lineRule="auto"/>
        <w:ind w:left="190" w:right="366"/>
      </w:pPr>
      <w:r>
        <w:rPr>
          <w:color w:val="0093C1"/>
        </w:rPr>
        <w:t>Contributions to the growth in OFCs’ M4 deposits</w:t>
      </w:r>
    </w:p>
    <w:p>
      <w:pPr>
        <w:spacing w:before="109"/>
        <w:ind w:left="2020" w:right="0" w:firstLine="0"/>
        <w:jc w:val="left"/>
        <w:rPr>
          <w:sz w:val="12"/>
        </w:rPr>
      </w:pPr>
      <w:r>
        <w:rPr/>
        <w:pict>
          <v:group style="position:absolute;margin-left:43.833pt;margin-top:13.054675pt;width:172.85pt;height:149.15pt;mso-position-horizontal-relative:page;mso-position-vertical-relative:paragraph;z-index:-21349888" coordorigin="877,261" coordsize="3457,2983">
            <v:shape style="position:absolute;left:1027;top:306;width:2645;height:2450" coordorigin="1028,306" coordsize="2645,2450" path="m1028,1506l1138,1624m1138,1624l1248,2056m1248,2056l1358,2756m1358,2756l1468,2094m1468,2094l1578,1856m1578,1856l1690,2066m1690,2066l1798,1236m1798,1236l1908,1716m1908,1716l2020,1426m2020,1426l2130,1791m2130,1791l2240,1951m2240,1951l2350,2266m2350,2266l2460,2401m2460,2401l2570,1799m2570,1799l2680,1494m2680,1494l2790,896m2790,896l2900,1524m2900,1524l3010,2079m3010,2079l3123,1909m3123,1909l3233,746m3233,746l3340,306m3340,306l3453,524m3453,524l3563,996m3563,996l3673,1246e" filled="false" stroked="true" strokeweight="1pt" strokecolor="#faab54">
              <v:path arrowok="t"/>
              <v:stroke dashstyle="solid"/>
            </v:shape>
            <v:line style="position:absolute" from="3663,1245" to="3793,1245" stroked="true" strokeweight="1.125pt" strokecolor="#faab54">
              <v:stroke dashstyle="solid"/>
            </v:line>
            <v:shape style="position:absolute;left:3782;top:541;width:220;height:703" coordorigin="3783,541" coordsize="220,703" path="m3783,1244l3893,541m3893,541l4003,644e" filled="false" stroked="true" strokeweight="1pt" strokecolor="#faab54">
              <v:path arrowok="t"/>
              <v:stroke dashstyle="solid"/>
            </v:shape>
            <v:shape style="position:absolute;left:1027;top:1898;width:770;height:1228" coordorigin="1028,1899" coordsize="770,1228" path="m1028,3126l1138,3089m1138,3089l1358,1899m1358,1899l1468,2071m1468,2071l1578,2346m1578,2346l1690,2111m1690,2111l1798,2374e" filled="false" stroked="true" strokeweight="1pt" strokecolor="#0066a5">
              <v:path arrowok="t"/>
              <v:stroke dashstyle="solid"/>
            </v:shape>
            <v:line style="position:absolute" from="1788,2372" to="1918,2372" stroked="true" strokeweight="1.125pt" strokecolor="#0066a5">
              <v:stroke dashstyle="solid"/>
            </v:line>
            <v:shape style="position:absolute;left:1907;top:573;width:2095;height:1863" coordorigin="1908,574" coordsize="2095,1863" path="m1908,2371l2020,2331m2020,2331l2130,2436m2130,2436l2240,2181m2240,2181l2350,2404m2350,2404l2460,1761m2460,1761l2570,1581m2570,1581l2680,1746m2680,1746l2790,1331m2790,1331l2900,1239m2900,1239l3010,574m3010,574l3123,749m3123,749l3233,1166m3233,1166l3340,976m3340,976l3453,1651m3453,1651l3563,1481m3563,1481l3673,1339m3673,1339l3783,1829m3783,1829l3893,2044m3893,2044l4003,2404e" filled="false" stroked="true" strokeweight="1pt" strokecolor="#0066a5">
              <v:path arrowok="t"/>
              <v:stroke dashstyle="solid"/>
            </v:shape>
            <v:shape style="position:absolute;left:876;top:266;width:3264;height:2973" coordorigin="877,266" coordsize="3264,2973" path="m877,266l963,266m877,535l963,535m877,804l963,804m877,1073l963,1073m877,1342l963,1342m877,1611l963,1611m877,1880l963,1880m877,2149l963,2149m877,2431l963,2431m877,2688l963,2688m877,2957l963,2957m4053,279l4140,279m4053,548l4140,548m4053,817l4140,817m4053,1086l4140,1086m4053,1355l4140,1355m4053,1624l4140,1624m4053,1893l4140,1893m4053,2162l4140,2162m4053,2700l4140,2700m4053,2969l4140,2969m877,3226l963,3226m4053,3238l4140,3238m1033,3239l3999,3239m1033,3172l1033,3239m3673,3172l3673,3239m3233,3172l3233,3239m2793,3172l2793,3239m2353,3172l2353,3239m1913,3172l1913,3239m1473,3172l1473,3239e" filled="false" stroked="true" strokeweight=".5pt" strokecolor="#000000">
              <v:path arrowok="t"/>
              <v:stroke dashstyle="solid"/>
            </v:shape>
            <v:shape style="position:absolute;left:2041;top:414;width:1030;height:247" type="#_x0000_t202" filled="false" stroked="false">
              <v:textbox inset="0,0,0,0">
                <w:txbxContent>
                  <w:p>
                    <w:pPr>
                      <w:spacing w:line="196" w:lineRule="auto" w:before="15"/>
                      <w:ind w:left="43" w:right="1" w:hanging="44"/>
                      <w:jc w:val="left"/>
                      <w:rPr>
                        <w:sz w:val="12"/>
                      </w:rPr>
                    </w:pPr>
                    <w:r>
                      <w:rPr>
                        <w:sz w:val="12"/>
                      </w:rPr>
                      <w:t>Insurance companies and pension funds</w:t>
                    </w:r>
                  </w:p>
                </w:txbxContent>
              </v:textbox>
              <w10:wrap type="none"/>
            </v:shape>
            <v:shape style="position:absolute;left:4193;top:470;width:140;height:403" type="#_x0000_t202" filled="false" stroked="false">
              <v:textbox inset="0,0,0,0">
                <w:txbxContent>
                  <w:p>
                    <w:pPr>
                      <w:spacing w:line="133" w:lineRule="exact" w:before="0"/>
                      <w:ind w:left="0" w:right="0" w:firstLine="0"/>
                      <w:jc w:val="left"/>
                      <w:rPr>
                        <w:sz w:val="12"/>
                      </w:rPr>
                    </w:pPr>
                    <w:r>
                      <w:rPr>
                        <w:sz w:val="12"/>
                      </w:rPr>
                      <w:t>17</w:t>
                    </w:r>
                  </w:p>
                  <w:p>
                    <w:pPr>
                      <w:spacing w:line="240" w:lineRule="auto" w:before="4"/>
                      <w:rPr>
                        <w:sz w:val="11"/>
                      </w:rPr>
                    </w:pPr>
                  </w:p>
                  <w:p>
                    <w:pPr>
                      <w:spacing w:before="1"/>
                      <w:ind w:left="0" w:right="0" w:firstLine="0"/>
                      <w:jc w:val="left"/>
                      <w:rPr>
                        <w:sz w:val="12"/>
                      </w:rPr>
                    </w:pPr>
                    <w:r>
                      <w:rPr>
                        <w:sz w:val="12"/>
                      </w:rPr>
                      <w:t>15</w:t>
                    </w:r>
                  </w:p>
                </w:txbxContent>
              </v:textbox>
              <w10:wrap type="none"/>
            </v:shape>
            <v:shape style="position:absolute;left:1088;top:964;width:1460;height:264" type="#_x0000_t202" filled="false" stroked="false">
              <v:textbox inset="0,0,0,0">
                <w:txbxContent>
                  <w:p>
                    <w:pPr>
                      <w:spacing w:line="225" w:lineRule="auto" w:before="2"/>
                      <w:ind w:left="90" w:right="1" w:hanging="91"/>
                      <w:jc w:val="left"/>
                      <w:rPr>
                        <w:sz w:val="12"/>
                      </w:rPr>
                    </w:pPr>
                    <w:r>
                      <w:rPr>
                        <w:sz w:val="12"/>
                      </w:rPr>
                      <w:t>Other financial intermediaries and ‘financial auxiliaries’</w:t>
                    </w:r>
                  </w:p>
                </w:txbxContent>
              </v:textbox>
              <w10:wrap type="none"/>
            </v:shape>
            <v:shape style="position:absolute;left:4193;top:1009;width:140;height:133" type="#_x0000_t202" filled="false" stroked="false">
              <v:textbox inset="0,0,0,0">
                <w:txbxContent>
                  <w:p>
                    <w:pPr>
                      <w:spacing w:line="133" w:lineRule="exact" w:before="0"/>
                      <w:ind w:left="0" w:right="0" w:firstLine="0"/>
                      <w:jc w:val="left"/>
                      <w:rPr>
                        <w:sz w:val="12"/>
                      </w:rPr>
                    </w:pPr>
                    <w:r>
                      <w:rPr>
                        <w:sz w:val="12"/>
                      </w:rPr>
                      <w:t>12</w:t>
                    </w:r>
                  </w:p>
                </w:txbxContent>
              </v:textbox>
              <w10:wrap type="none"/>
            </v:shape>
            <v:shape style="position:absolute;left:4193;top:1278;width:140;height:133" type="#_x0000_t202" filled="false" stroked="false">
              <v:textbox inset="0,0,0,0">
                <w:txbxContent>
                  <w:p>
                    <w:pPr>
                      <w:spacing w:line="133" w:lineRule="exact" w:before="0"/>
                      <w:ind w:left="0" w:right="0" w:firstLine="0"/>
                      <w:jc w:val="left"/>
                      <w:rPr>
                        <w:sz w:val="12"/>
                      </w:rPr>
                    </w:pPr>
                    <w:r>
                      <w:rPr>
                        <w:sz w:val="12"/>
                      </w:rPr>
                      <w:t>10</w:t>
                    </w:r>
                  </w:p>
                </w:txbxContent>
              </v:textbox>
              <w10:wrap type="none"/>
            </v:shape>
            <v:shape style="position:absolute;left:1030;top:2201;width:3224;height:404" type="#_x0000_t202" filled="false" stroked="false">
              <v:textbox inset="0,0,0,0">
                <w:txbxContent>
                  <w:p>
                    <w:pPr>
                      <w:tabs>
                        <w:tab w:pos="3109" w:val="left" w:leader="none"/>
                      </w:tabs>
                      <w:spacing w:line="177" w:lineRule="exact" w:before="0"/>
                      <w:ind w:left="0" w:right="18" w:firstLine="0"/>
                      <w:jc w:val="right"/>
                      <w:rPr>
                        <w:sz w:val="16"/>
                      </w:rPr>
                    </w:pPr>
                    <w:r>
                      <w:rPr>
                        <w:color w:val="231F20"/>
                        <w:sz w:val="16"/>
                        <w:u w:val="single" w:color="000000"/>
                      </w:rPr>
                      <w:t> </w:t>
                      <w:tab/>
                    </w:r>
                    <w:r>
                      <w:rPr>
                        <w:color w:val="231F20"/>
                        <w:spacing w:val="-14"/>
                        <w:sz w:val="16"/>
                      </w:rPr>
                      <w:t>+</w:t>
                    </w:r>
                  </w:p>
                  <w:p>
                    <w:pPr>
                      <w:spacing w:before="42"/>
                      <w:ind w:left="0" w:right="28" w:firstLine="0"/>
                      <w:jc w:val="right"/>
                      <w:rPr>
                        <w:sz w:val="16"/>
                      </w:rPr>
                    </w:pPr>
                    <w:r>
                      <w:rPr>
                        <w:color w:val="231F20"/>
                        <w:sz w:val="16"/>
                      </w:rPr>
                      <w:t>–</w:t>
                    </w:r>
                  </w:p>
                </w:txbxContent>
              </v:textbox>
              <w10:wrap type="none"/>
            </v:shape>
            <w10:wrap type="none"/>
          </v:group>
        </w:pict>
      </w:r>
      <w:r>
        <w:rPr>
          <w:sz w:val="12"/>
        </w:rPr>
        <w:t>Percentage point contributions </w:t>
      </w:r>
      <w:r>
        <w:rPr>
          <w:spacing w:val="6"/>
          <w:sz w:val="12"/>
        </w:rPr>
        <w:t> </w:t>
      </w:r>
      <w:r>
        <w:rPr>
          <w:position w:val="-8"/>
          <w:sz w:val="12"/>
        </w:rPr>
        <w:t>20.0</w:t>
      </w:r>
    </w:p>
    <w:p>
      <w:pPr>
        <w:spacing w:before="129"/>
        <w:ind w:left="0" w:right="38" w:firstLine="0"/>
        <w:jc w:val="right"/>
        <w:rPr>
          <w:sz w:val="12"/>
        </w:rPr>
      </w:pPr>
      <w:r>
        <w:rPr>
          <w:sz w:val="12"/>
        </w:rPr>
        <w:t>.5</w:t>
      </w:r>
    </w:p>
    <w:p>
      <w:pPr>
        <w:pStyle w:val="BodyText"/>
        <w:spacing w:before="5"/>
        <w:rPr>
          <w:sz w:val="11"/>
        </w:rPr>
      </w:pPr>
    </w:p>
    <w:p>
      <w:pPr>
        <w:spacing w:before="0"/>
        <w:ind w:left="0" w:right="38" w:firstLine="0"/>
        <w:jc w:val="right"/>
        <w:rPr>
          <w:sz w:val="12"/>
        </w:rPr>
      </w:pPr>
      <w:r>
        <w:rPr>
          <w:sz w:val="12"/>
        </w:rPr>
        <w:t>.0</w:t>
      </w:r>
    </w:p>
    <w:p>
      <w:pPr>
        <w:pStyle w:val="BodyText"/>
        <w:spacing w:before="5"/>
        <w:rPr>
          <w:sz w:val="11"/>
        </w:rPr>
      </w:pPr>
    </w:p>
    <w:p>
      <w:pPr>
        <w:spacing w:before="0"/>
        <w:ind w:left="0" w:right="38" w:firstLine="0"/>
        <w:jc w:val="right"/>
        <w:rPr>
          <w:sz w:val="12"/>
        </w:rPr>
      </w:pPr>
      <w:r>
        <w:rPr>
          <w:sz w:val="12"/>
        </w:rPr>
        <w:t>.5</w:t>
      </w:r>
    </w:p>
    <w:p>
      <w:pPr>
        <w:pStyle w:val="BodyText"/>
        <w:spacing w:before="5"/>
        <w:rPr>
          <w:sz w:val="11"/>
        </w:rPr>
      </w:pPr>
    </w:p>
    <w:p>
      <w:pPr>
        <w:spacing w:before="0"/>
        <w:ind w:left="0" w:right="38" w:firstLine="0"/>
        <w:jc w:val="right"/>
        <w:rPr>
          <w:sz w:val="12"/>
        </w:rPr>
      </w:pPr>
      <w:r>
        <w:rPr>
          <w:sz w:val="12"/>
        </w:rPr>
        <w:t>.0</w:t>
      </w:r>
    </w:p>
    <w:p>
      <w:pPr>
        <w:pStyle w:val="BodyText"/>
        <w:spacing w:before="4"/>
        <w:rPr>
          <w:sz w:val="11"/>
        </w:rPr>
      </w:pPr>
    </w:p>
    <w:p>
      <w:pPr>
        <w:spacing w:before="1"/>
        <w:ind w:left="0" w:right="38" w:firstLine="0"/>
        <w:jc w:val="right"/>
        <w:rPr>
          <w:sz w:val="12"/>
        </w:rPr>
      </w:pPr>
      <w:r>
        <w:rPr>
          <w:sz w:val="12"/>
        </w:rPr>
        <w:t>7.5</w:t>
      </w:r>
    </w:p>
    <w:p>
      <w:pPr>
        <w:pStyle w:val="BodyText"/>
        <w:spacing w:before="4"/>
        <w:rPr>
          <w:sz w:val="11"/>
        </w:rPr>
      </w:pPr>
    </w:p>
    <w:p>
      <w:pPr>
        <w:spacing w:before="0"/>
        <w:ind w:left="0" w:right="38" w:firstLine="0"/>
        <w:jc w:val="right"/>
        <w:rPr>
          <w:sz w:val="12"/>
        </w:rPr>
      </w:pPr>
      <w:r>
        <w:rPr>
          <w:sz w:val="12"/>
        </w:rPr>
        <w:t>5.0</w:t>
      </w:r>
    </w:p>
    <w:p>
      <w:pPr>
        <w:pStyle w:val="BodyText"/>
        <w:spacing w:before="5"/>
        <w:rPr>
          <w:sz w:val="11"/>
        </w:rPr>
      </w:pPr>
    </w:p>
    <w:p>
      <w:pPr>
        <w:spacing w:before="0"/>
        <w:ind w:left="0" w:right="38" w:firstLine="0"/>
        <w:jc w:val="right"/>
        <w:rPr>
          <w:sz w:val="12"/>
        </w:rPr>
      </w:pPr>
      <w:r>
        <w:rPr>
          <w:sz w:val="12"/>
        </w:rPr>
        <w:t>2.5</w:t>
      </w:r>
    </w:p>
    <w:p>
      <w:pPr>
        <w:pStyle w:val="BodyText"/>
        <w:spacing w:before="5"/>
        <w:rPr>
          <w:sz w:val="11"/>
        </w:rPr>
      </w:pPr>
    </w:p>
    <w:p>
      <w:pPr>
        <w:spacing w:before="0"/>
        <w:ind w:left="0" w:right="38" w:firstLine="0"/>
        <w:jc w:val="right"/>
        <w:rPr>
          <w:sz w:val="12"/>
        </w:rPr>
      </w:pPr>
      <w:r>
        <w:rPr>
          <w:sz w:val="12"/>
        </w:rPr>
        <w:t>0.0</w:t>
      </w:r>
    </w:p>
    <w:p>
      <w:pPr>
        <w:pStyle w:val="BodyText"/>
        <w:spacing w:before="5"/>
        <w:rPr>
          <w:sz w:val="11"/>
        </w:rPr>
      </w:pPr>
    </w:p>
    <w:p>
      <w:pPr>
        <w:spacing w:before="0"/>
        <w:ind w:left="0" w:right="38" w:firstLine="0"/>
        <w:jc w:val="right"/>
        <w:rPr>
          <w:sz w:val="12"/>
        </w:rPr>
      </w:pPr>
      <w:r>
        <w:rPr>
          <w:sz w:val="12"/>
        </w:rPr>
        <w:t>2.5</w:t>
      </w:r>
    </w:p>
    <w:p>
      <w:pPr>
        <w:pStyle w:val="BodyText"/>
        <w:spacing w:before="5"/>
        <w:rPr>
          <w:sz w:val="11"/>
        </w:rPr>
      </w:pPr>
    </w:p>
    <w:p>
      <w:pPr>
        <w:spacing w:before="0"/>
        <w:ind w:left="0" w:right="38" w:firstLine="0"/>
        <w:jc w:val="right"/>
        <w:rPr>
          <w:sz w:val="12"/>
        </w:rPr>
      </w:pPr>
      <w:r>
        <w:rPr>
          <w:sz w:val="12"/>
        </w:rPr>
        <w:t>5.0</w:t>
      </w:r>
    </w:p>
    <w:p>
      <w:pPr>
        <w:pStyle w:val="BodyText"/>
        <w:spacing w:before="4"/>
        <w:rPr>
          <w:sz w:val="11"/>
        </w:rPr>
      </w:pPr>
    </w:p>
    <w:p>
      <w:pPr>
        <w:spacing w:line="124" w:lineRule="exact" w:before="1"/>
        <w:ind w:left="3613" w:right="0" w:firstLine="0"/>
        <w:jc w:val="left"/>
        <w:rPr>
          <w:sz w:val="12"/>
        </w:rPr>
      </w:pPr>
      <w:r>
        <w:rPr>
          <w:sz w:val="12"/>
        </w:rPr>
        <w:t>7.5</w:t>
      </w:r>
    </w:p>
    <w:p>
      <w:pPr>
        <w:tabs>
          <w:tab w:pos="1409" w:val="left" w:leader="none"/>
          <w:tab w:pos="2660" w:val="left" w:leader="none"/>
        </w:tabs>
        <w:spacing w:line="124" w:lineRule="exact" w:before="0"/>
        <w:ind w:left="0" w:right="68" w:firstLine="0"/>
        <w:jc w:val="center"/>
        <w:rPr>
          <w:sz w:val="12"/>
        </w:rPr>
      </w:pPr>
      <w:r>
        <w:rPr>
          <w:sz w:val="12"/>
        </w:rPr>
        <w:t>1992</w:t>
        <w:tab/>
        <w:t>95</w:t>
        <w:tab/>
        <w:t>98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pStyle w:val="Heading4"/>
        <w:spacing w:before="0"/>
        <w:ind w:left="202"/>
      </w:pPr>
      <w:r>
        <w:rPr>
          <w:color w:val="0093C1"/>
        </w:rPr>
        <w:t>Chart 1.8</w:t>
      </w:r>
    </w:p>
    <w:p>
      <w:pPr>
        <w:pStyle w:val="Heading4"/>
        <w:spacing w:line="249" w:lineRule="auto"/>
        <w:ind w:left="202" w:right="554"/>
      </w:pPr>
      <w:r>
        <w:rPr>
          <w:color w:val="0093C1"/>
        </w:rPr>
        <w:t>M4 income velocity and M4 income velocity excluding OFCs</w:t>
      </w:r>
    </w:p>
    <w:p>
      <w:pPr>
        <w:spacing w:line="114" w:lineRule="exact" w:before="76"/>
        <w:ind w:left="2963" w:right="0" w:firstLine="0"/>
        <w:jc w:val="left"/>
        <w:rPr>
          <w:sz w:val="12"/>
        </w:rPr>
      </w:pPr>
      <w:r>
        <w:rPr>
          <w:sz w:val="12"/>
        </w:rPr>
        <w:t>1990 = 1</w:t>
      </w:r>
      <w:r>
        <w:rPr>
          <w:sz w:val="12"/>
          <w:u w:val="single"/>
        </w:rPr>
        <w:t>00</w:t>
      </w:r>
    </w:p>
    <w:p>
      <w:pPr>
        <w:spacing w:line="114" w:lineRule="exact" w:before="0"/>
        <w:ind w:left="3569" w:right="0" w:firstLine="0"/>
        <w:jc w:val="left"/>
        <w:rPr>
          <w:sz w:val="12"/>
        </w:rPr>
      </w:pPr>
      <w:r>
        <w:rPr/>
        <w:pict>
          <v:line style="position:absolute;mso-position-horizontal-relative:page;mso-position-vertical-relative:paragraph;z-index:15776768" from="43.535999pt,2.110035pt" to="47.868999pt,2.110035pt" stroked="true" strokeweight=".5pt" strokecolor="#000000">
            <v:stroke dashstyle="solid"/>
            <w10:wrap type="none"/>
          </v:line>
        </w:pict>
      </w:r>
      <w:r>
        <w:rPr>
          <w:sz w:val="12"/>
        </w:rPr>
        <w:t>110</w:t>
      </w:r>
    </w:p>
    <w:p>
      <w:pPr>
        <w:pStyle w:val="BodyText"/>
        <w:rPr>
          <w:sz w:val="12"/>
        </w:rPr>
      </w:pPr>
    </w:p>
    <w:p>
      <w:pPr>
        <w:spacing w:before="99"/>
        <w:ind w:left="0" w:right="51" w:firstLine="0"/>
        <w:jc w:val="right"/>
        <w:rPr>
          <w:sz w:val="12"/>
        </w:rPr>
      </w:pPr>
      <w:r>
        <w:rPr/>
        <w:pict>
          <v:group style="position:absolute;margin-left:43.535999pt;margin-top:8.042860pt;width:164.05pt;height:108.4pt;mso-position-horizontal-relative:page;mso-position-vertical-relative:paragraph;z-index:15776256" coordorigin="871,161" coordsize="3281,2168">
            <v:shape style="position:absolute;left:1006;top:475;width:385;height:388" coordorigin="1007,475" coordsize="385,388" path="m1007,475l1072,558m1072,558l1134,508m1134,508l1197,633m1197,633l1262,708m1262,708l1327,770m1327,770l1392,863e" filled="false" stroked="true" strokeweight="1pt" strokecolor="#a790c4">
              <v:path arrowok="t"/>
              <v:stroke dashstyle="solid"/>
            </v:shape>
            <v:line style="position:absolute" from="1382,864" to="1464,864" stroked="true" strokeweight="1.125pt" strokecolor="#a790c4">
              <v:stroke dashstyle="solid"/>
            </v:line>
            <v:shape style="position:absolute;left:1454;top:865;width:320;height:553" coordorigin="1454,865" coordsize="320,553" path="m1454,865l1517,995m1517,995l1582,1140m1582,1140l1647,1240m1647,1240l1709,1365m1709,1365l1774,1418e" filled="false" stroked="true" strokeweight="1pt" strokecolor="#a790c4">
              <v:path arrowok="t"/>
              <v:stroke dashstyle="solid"/>
            </v:shape>
            <v:line style="position:absolute" from="1764,1419" to="1847,1419" stroked="true" strokeweight="1.125pt" strokecolor="#a790c4">
              <v:stroke dashstyle="solid"/>
            </v:line>
            <v:shape style="position:absolute;left:1836;top:1418;width:575;height:295" coordorigin="1837,1418" coordsize="575,295" path="m1837,1418l1902,1478m1902,1478l1964,1595m1964,1595l2029,1623m2029,1623l2092,1698m2092,1698l2157,1713m2157,1713l2222,1690m2222,1690l2284,1700m2284,1700l2349,1713m2349,1713l2412,1690e" filled="false" stroked="true" strokeweight="1pt" strokecolor="#a790c4">
              <v:path arrowok="t"/>
              <v:stroke dashstyle="solid"/>
            </v:shape>
            <v:line style="position:absolute" from="2402,1692" to="2487,1692" stroked="true" strokeweight="1.125pt" strokecolor="#a790c4">
              <v:stroke dashstyle="solid"/>
            </v:line>
            <v:line style="position:absolute" from="2477,1693" to="2539,1623" stroked="true" strokeweight="1pt" strokecolor="#a790c4">
              <v:stroke dashstyle="solid"/>
            </v:line>
            <v:line style="position:absolute" from="2529,1622" to="2614,1622" stroked="true" strokeweight="1.125pt" strokecolor="#a790c4">
              <v:stroke dashstyle="solid"/>
            </v:line>
            <v:shape style="position:absolute;left:2604;top:1560;width:128;height:60" coordorigin="2604,1560" coordsize="128,60" path="m2604,1620l2669,1560m2669,1560l2732,1583e" filled="false" stroked="true" strokeweight="1pt" strokecolor="#a790c4">
              <v:path arrowok="t"/>
              <v:stroke dashstyle="solid"/>
            </v:shape>
            <v:line style="position:absolute" from="2722,1582" to="2804,1582" stroked="true" strokeweight="1.125pt" strokecolor="#a790c4">
              <v:stroke dashstyle="solid"/>
            </v:line>
            <v:shape style="position:absolute;left:2794;top:1400;width:578;height:180" coordorigin="2794,1400" coordsize="578,180" path="m2794,1580l2859,1523m2859,1523l2924,1500m2924,1500l2989,1400m2989,1400l3052,1423m3052,1423l3114,1458m3114,1458l3179,1525m3179,1525l3244,1553m3244,1553l3307,1513m3307,1513l3372,1565e" filled="false" stroked="true" strokeweight="1pt" strokecolor="#a790c4">
              <v:path arrowok="t"/>
              <v:stroke dashstyle="solid"/>
            </v:shape>
            <v:line style="position:absolute" from="3362,1564" to="3444,1564" stroked="true" strokeweight="1.125pt" strokecolor="#a790c4">
              <v:stroke dashstyle="solid"/>
            </v:line>
            <v:shape style="position:absolute;left:3434;top:1448;width:575;height:198" coordorigin="3434,1448" coordsize="575,198" path="m3434,1563l3499,1603m3499,1603l3564,1623m3564,1623l3627,1645m3627,1645l3689,1448m3689,1448l3754,1493m3754,1493l3819,1460m3819,1460l3882,1500m3882,1500l3947,1533m3947,1533l4009,1618e" filled="false" stroked="true" strokeweight="1pt" strokecolor="#a790c4">
              <v:path arrowok="t"/>
              <v:stroke dashstyle="solid"/>
            </v:shape>
            <v:shape style="position:absolute;left:1006;top:208;width:1085;height:1643" coordorigin="1007,208" coordsize="1085,1643" path="m1007,208l1072,323m1072,323l1134,348m1134,348l1197,515m1197,515l1262,605m1262,605l1327,705m1327,705l1392,825m1392,825l1454,850m1454,850l1517,1005m1517,1005l1582,1215m1582,1215l1647,1350m1647,1350l1709,1503m1709,1503l1774,1608m1774,1608l1837,1643m1837,1643l1902,1700m1902,1700l1964,1830m1964,1830l2029,1818m2029,1818l2092,1850e" filled="false" stroked="true" strokeweight="1pt" strokecolor="#ed1b2d">
              <v:path arrowok="t"/>
              <v:stroke dashstyle="solid"/>
            </v:shape>
            <v:line style="position:absolute" from="2082,1852" to="2167,1852" stroked="true" strokeweight="1.125pt" strokecolor="#ed1b2d">
              <v:stroke dashstyle="solid"/>
            </v:line>
            <v:shape style="position:absolute;left:2156;top:1573;width:1088;height:315" coordorigin="2157,1573" coordsize="1088,315" path="m2157,1850l2222,1813m2222,1813l2284,1823m2284,1823l2349,1835m2349,1835l2412,1865m2412,1865l2477,1793m2477,1793l2539,1730m2539,1730l2604,1718m2604,1718l2669,1670m2669,1670l2732,1700m2732,1700l2794,1718m2794,1718l2859,1678m2859,1678l2924,1653m2924,1653l2989,1573m2989,1573l3052,1670m3052,1670l3114,1730m3114,1730l3179,1820m3179,1820l3244,1888e" filled="false" stroked="true" strokeweight="1pt" strokecolor="#ed1b2d">
              <v:path arrowok="t"/>
              <v:stroke dashstyle="solid"/>
            </v:shape>
            <v:line style="position:absolute" from="3234,1890" to="3317,1890" stroked="true" strokeweight="1.25pt" strokecolor="#ed1b2d">
              <v:stroke dashstyle="solid"/>
            </v:line>
            <v:shape style="position:absolute;left:3306;top:1893;width:703;height:425" coordorigin="3307,1893" coordsize="703,425" path="m3307,1893l3372,1965m3372,1965l3434,2030m3434,2030l3499,2110m3499,2110l3564,2205m3564,2205l3627,2263m3627,2263l3689,1985m3689,1985l3754,2070m3754,2070l3819,2140m3819,2140l3882,2193m3882,2193l3947,2248m3947,2248l4009,2318e" filled="false" stroked="true" strokeweight="1pt" strokecolor="#ed1b2d">
              <v:path arrowok="t"/>
              <v:stroke dashstyle="solid"/>
            </v:shape>
            <v:shape style="position:absolute;left:870;top:165;width:3281;height:1876" coordorigin="871,166" coordsize="3281,1876" path="m871,166l957,166m871,541l957,541m871,916l957,916m871,1291l957,1291m871,1666l957,1666m871,2041l957,2041m4065,167l4152,167m4065,542l4152,542m4065,917l4152,917m4065,1292l4152,1292m4065,1667l4152,1667m4065,2042l4152,2042e" filled="false" stroked="true" strokeweight=".5pt" strokecolor="#000000">
              <v:path arrowok="t"/>
              <v:stroke dashstyle="solid"/>
            </v:shape>
            <v:shape style="position:absolute;left:2547;top:1263;width:1080;height:133" type="#_x0000_t202" filled="false" stroked="false">
              <v:textbox inset="0,0,0,0">
                <w:txbxContent>
                  <w:p>
                    <w:pPr>
                      <w:spacing w:line="133" w:lineRule="exact" w:before="0"/>
                      <w:ind w:left="0" w:right="0" w:firstLine="0"/>
                      <w:jc w:val="left"/>
                      <w:rPr>
                        <w:sz w:val="12"/>
                      </w:rPr>
                    </w:pPr>
                    <w:r>
                      <w:rPr>
                        <w:color w:val="231F20"/>
                        <w:sz w:val="12"/>
                      </w:rPr>
                      <w:t>M4 (excluding OFCs)</w:t>
                    </w:r>
                  </w:p>
                </w:txbxContent>
              </v:textbox>
              <w10:wrap type="none"/>
            </v:shape>
            <v:shape style="position:absolute;left:3153;top:1991;width:187;height:133" type="#_x0000_t202" filled="false" stroked="false">
              <v:textbox inset="0,0,0,0">
                <w:txbxContent>
                  <w:p>
                    <w:pPr>
                      <w:spacing w:line="133" w:lineRule="exact" w:before="0"/>
                      <w:ind w:left="0" w:right="0" w:firstLine="0"/>
                      <w:jc w:val="left"/>
                      <w:rPr>
                        <w:sz w:val="12"/>
                      </w:rPr>
                    </w:pPr>
                    <w:r>
                      <w:rPr>
                        <w:sz w:val="12"/>
                      </w:rPr>
                      <w:t>M4</w:t>
                    </w:r>
                  </w:p>
                </w:txbxContent>
              </v:textbox>
              <w10:wrap type="none"/>
            </v:shape>
            <w10:wrap type="none"/>
          </v:group>
        </w:pict>
      </w:r>
      <w:r>
        <w:rPr>
          <w:sz w:val="12"/>
        </w:rPr>
        <w:t>105</w:t>
      </w:r>
    </w:p>
    <w:p>
      <w:pPr>
        <w:pStyle w:val="BodyText"/>
        <w:rPr>
          <w:sz w:val="12"/>
        </w:rPr>
      </w:pPr>
    </w:p>
    <w:p>
      <w:pPr>
        <w:spacing w:before="99"/>
        <w:ind w:left="0" w:right="51" w:firstLine="0"/>
        <w:jc w:val="right"/>
        <w:rPr>
          <w:sz w:val="12"/>
        </w:rPr>
      </w:pPr>
      <w:r>
        <w:rPr>
          <w:sz w:val="12"/>
        </w:rPr>
        <w:t>100</w:t>
      </w:r>
    </w:p>
    <w:p>
      <w:pPr>
        <w:pStyle w:val="BodyText"/>
        <w:rPr>
          <w:sz w:val="12"/>
        </w:rPr>
      </w:pPr>
    </w:p>
    <w:p>
      <w:pPr>
        <w:spacing w:before="99"/>
        <w:ind w:left="0" w:right="51" w:firstLine="0"/>
        <w:jc w:val="right"/>
        <w:rPr>
          <w:sz w:val="12"/>
        </w:rPr>
      </w:pPr>
      <w:r>
        <w:rPr>
          <w:sz w:val="12"/>
        </w:rPr>
        <w:t>95</w:t>
      </w:r>
    </w:p>
    <w:p>
      <w:pPr>
        <w:pStyle w:val="BodyText"/>
        <w:rPr>
          <w:sz w:val="12"/>
        </w:rPr>
      </w:pPr>
    </w:p>
    <w:p>
      <w:pPr>
        <w:spacing w:before="98"/>
        <w:ind w:left="0" w:right="51" w:firstLine="0"/>
        <w:jc w:val="right"/>
        <w:rPr>
          <w:sz w:val="12"/>
        </w:rPr>
      </w:pPr>
      <w:r>
        <w:rPr>
          <w:sz w:val="12"/>
        </w:rPr>
        <w:t>90</w:t>
      </w:r>
    </w:p>
    <w:p>
      <w:pPr>
        <w:pStyle w:val="BodyText"/>
        <w:rPr>
          <w:sz w:val="12"/>
        </w:rPr>
      </w:pPr>
    </w:p>
    <w:p>
      <w:pPr>
        <w:spacing w:before="99"/>
        <w:ind w:left="0" w:right="51" w:firstLine="0"/>
        <w:jc w:val="right"/>
        <w:rPr>
          <w:sz w:val="12"/>
        </w:rPr>
      </w:pPr>
      <w:r>
        <w:rPr>
          <w:sz w:val="12"/>
        </w:rPr>
        <w:t>85</w:t>
      </w:r>
    </w:p>
    <w:p>
      <w:pPr>
        <w:pStyle w:val="BodyText"/>
        <w:rPr>
          <w:sz w:val="12"/>
        </w:rPr>
      </w:pPr>
    </w:p>
    <w:p>
      <w:pPr>
        <w:spacing w:before="99"/>
        <w:ind w:left="0" w:right="51" w:firstLine="0"/>
        <w:jc w:val="right"/>
        <w:rPr>
          <w:sz w:val="12"/>
        </w:rPr>
      </w:pPr>
      <w:r>
        <w:rPr>
          <w:sz w:val="12"/>
        </w:rPr>
        <w:t>80</w:t>
      </w:r>
    </w:p>
    <w:p>
      <w:pPr>
        <w:pStyle w:val="BodyText"/>
        <w:rPr>
          <w:sz w:val="12"/>
        </w:rPr>
      </w:pPr>
    </w:p>
    <w:p>
      <w:pPr>
        <w:spacing w:before="98"/>
        <w:ind w:left="0" w:right="51" w:firstLine="0"/>
        <w:jc w:val="right"/>
        <w:rPr>
          <w:sz w:val="12"/>
        </w:rPr>
      </w:pPr>
      <w:r>
        <w:rPr/>
        <w:pict>
          <v:line style="position:absolute;mso-position-horizontal-relative:page;mso-position-vertical-relative:paragraph;z-index:15777280" from="43.535999pt,8.321976pt" to="47.868999pt,8.321976pt" stroked="true" strokeweight=".5pt" strokecolor="#000000">
            <v:stroke dashstyle="solid"/>
            <w10:wrap type="none"/>
          </v:line>
        </w:pict>
      </w:r>
      <w:r>
        <w:rPr/>
        <w:pict>
          <v:line style="position:absolute;mso-position-horizontal-relative:page;mso-position-vertical-relative:paragraph;z-index:15778304" from="203.244003pt,8.383976pt" to="207.577003pt,8.383976pt" stroked="true" strokeweight=".5pt" strokecolor="#000000">
            <v:stroke dashstyle="solid"/>
            <w10:wrap type="none"/>
          </v:line>
        </w:pict>
      </w:r>
      <w:r>
        <w:rPr>
          <w:sz w:val="12"/>
        </w:rPr>
        <w:t>75</w:t>
      </w:r>
    </w:p>
    <w:p>
      <w:pPr>
        <w:pStyle w:val="BodyText"/>
        <w:rPr>
          <w:sz w:val="12"/>
        </w:rPr>
      </w:pPr>
    </w:p>
    <w:p>
      <w:pPr>
        <w:spacing w:line="123" w:lineRule="exact" w:before="99"/>
        <w:ind w:left="3629" w:right="0" w:firstLine="0"/>
        <w:jc w:val="left"/>
        <w:rPr>
          <w:sz w:val="12"/>
        </w:rPr>
      </w:pPr>
      <w:r>
        <w:rPr/>
        <w:pict>
          <v:group style="position:absolute;margin-left:43.535999pt;margin-top:4.71757pt;width:164.05pt;height:4.150pt;mso-position-horizontal-relative:page;mso-position-vertical-relative:paragraph;z-index:15777792" coordorigin="871,94" coordsize="3281,83">
            <v:shape style="position:absolute;left:870;top:167;width:3281;height:2" coordorigin="871,168" coordsize="3281,2" path="m871,168l957,168m4065,169l4152,169e" filled="false" stroked="true" strokeweight=".5pt" strokecolor="#000000">
              <v:path arrowok="t"/>
              <v:stroke dashstyle="solid"/>
            </v:shape>
            <v:shape style="position:absolute;left:1007;top:94;width:3000;height:78" coordorigin="1007,94" coordsize="3000,78" path="m1007,172l4007,172m1008,94l1008,168m1264,94l1264,168m1519,94l1519,168m1775,94l1775,168m2031,94l2031,168m2286,94l2286,168m2542,94l2542,168m2798,94l2798,168m3054,94l3054,168m3309,94l3309,168m3565,94l3565,168m3821,94l3821,168e" filled="false" stroked="true" strokeweight=".5pt" strokecolor="#231f20">
              <v:path arrowok="t"/>
              <v:stroke dashstyle="solid"/>
            </v:shape>
            <w10:wrap type="none"/>
          </v:group>
        </w:pict>
      </w:r>
      <w:r>
        <w:rPr>
          <w:sz w:val="12"/>
        </w:rPr>
        <w:t>70</w:t>
      </w:r>
    </w:p>
    <w:p>
      <w:pPr>
        <w:tabs>
          <w:tab w:pos="874" w:val="left" w:leader="none"/>
          <w:tab w:pos="1648" w:val="left" w:leader="none"/>
          <w:tab w:pos="2415" w:val="left" w:leader="none"/>
          <w:tab w:pos="2892" w:val="left" w:leader="none"/>
        </w:tabs>
        <w:spacing w:line="123" w:lineRule="exact" w:before="0"/>
        <w:ind w:left="0" w:right="149" w:firstLine="0"/>
        <w:jc w:val="center"/>
        <w:rPr>
          <w:sz w:val="12"/>
        </w:rPr>
      </w:pPr>
      <w:r>
        <w:rPr>
          <w:sz w:val="12"/>
        </w:rPr>
        <w:t>1987</w:t>
        <w:tab/>
        <w:t>90</w:t>
        <w:tab/>
        <w:t>93</w:t>
        <w:tab/>
        <w:t>96</w:t>
        <w:tab/>
        <w:t>98</w:t>
      </w:r>
    </w:p>
    <w:p>
      <w:pPr>
        <w:spacing w:before="73"/>
        <w:ind w:left="192" w:right="0" w:firstLine="0"/>
        <w:jc w:val="left"/>
        <w:rPr>
          <w:sz w:val="12"/>
        </w:rPr>
      </w:pPr>
      <w:r>
        <w:rPr>
          <w:color w:val="231F20"/>
          <w:sz w:val="12"/>
        </w:rPr>
        <w:t>Source: Bank of England.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2"/>
        </w:rPr>
      </w:pPr>
    </w:p>
    <w:p>
      <w:pPr>
        <w:pStyle w:val="Heading4"/>
        <w:spacing w:before="0"/>
      </w:pPr>
      <w:r>
        <w:rPr>
          <w:color w:val="0093C1"/>
        </w:rPr>
        <w:t>Chart 1.9</w:t>
      </w:r>
    </w:p>
    <w:p>
      <w:pPr>
        <w:pStyle w:val="Heading4"/>
      </w:pPr>
      <w:r>
        <w:rPr>
          <w:color w:val="0093C1"/>
        </w:rPr>
        <w:t>Growth of domestic demand and Divisia</w:t>
      </w:r>
    </w:p>
    <w:p>
      <w:pPr>
        <w:spacing w:line="117" w:lineRule="exact" w:before="133"/>
        <w:ind w:left="1850" w:right="0" w:firstLine="0"/>
        <w:jc w:val="left"/>
        <w:rPr>
          <w:sz w:val="12"/>
        </w:rPr>
      </w:pPr>
      <w:r>
        <w:rPr>
          <w:sz w:val="12"/>
        </w:rPr>
        <w:t>Percentage changes on year earlier</w:t>
      </w:r>
    </w:p>
    <w:p>
      <w:pPr>
        <w:spacing w:line="117" w:lineRule="exact" w:before="0"/>
        <w:ind w:left="3580" w:right="0" w:firstLine="0"/>
        <w:jc w:val="left"/>
        <w:rPr>
          <w:sz w:val="12"/>
        </w:rPr>
      </w:pPr>
      <w:r>
        <w:rPr/>
        <w:pict>
          <v:line style="position:absolute;mso-position-horizontal-relative:page;mso-position-vertical-relative:paragraph;z-index:15780352" from="42.542pt,2.801552pt" to="46.875pt,2.801552pt" stroked="true" strokeweight=".5pt" strokecolor="#000000">
            <v:stroke dashstyle="solid"/>
            <w10:wrap type="none"/>
          </v:line>
        </w:pict>
      </w:r>
      <w:r>
        <w:rPr/>
        <w:pict>
          <v:line style="position:absolute;mso-position-horizontal-relative:page;mso-position-vertical-relative:paragraph;z-index:15780864" from="203.5pt,2.863552pt" to="207.833pt,2.863552pt" stroked="true" strokeweight=".5pt" strokecolor="#000000">
            <v:stroke dashstyle="solid"/>
            <w10:wrap type="none"/>
          </v:line>
        </w:pict>
      </w:r>
      <w:r>
        <w:rPr>
          <w:sz w:val="12"/>
        </w:rPr>
        <w:t>24</w:t>
      </w:r>
    </w:p>
    <w:p>
      <w:pPr>
        <w:pStyle w:val="BodyText"/>
        <w:spacing w:before="5"/>
        <w:rPr>
          <w:sz w:val="9"/>
        </w:rPr>
      </w:pPr>
    </w:p>
    <w:p>
      <w:pPr>
        <w:spacing w:before="1"/>
        <w:ind w:left="0" w:right="101" w:firstLine="0"/>
        <w:jc w:val="right"/>
        <w:rPr>
          <w:sz w:val="12"/>
        </w:rPr>
      </w:pPr>
      <w:r>
        <w:rPr/>
        <w:pict>
          <v:group style="position:absolute;margin-left:42.542pt;margin-top:2.73367pt;width:165.3pt;height:138.35pt;mso-position-horizontal-relative:page;mso-position-vertical-relative:paragraph;z-index:15779840" coordorigin="851,55" coordsize="3306,2767">
            <v:shape style="position:absolute;left:1007;top:64;width:3013;height:2675" coordorigin="1008,65" coordsize="3013,2675" path="m1008,860l1045,861,1083,762,1120,702,1158,800,1198,702,1235,997,1270,975,1308,1072,1345,1235,1383,1085,1420,1360,1458,1482,1495,1557,1535,1732,1573,1817,1610,1545,1648,1607,1685,1817,1723,1805,1760,2202,1798,2155,1835,1992,1875,1880,1913,1745,1950,1867,1988,1830,2025,1732,2063,1470,2100,1122,2138,725,2175,702,2213,812,2250,762,2288,1060,2325,950,2363,377,2400,390,2438,65,2475,215,2515,712,2553,787,2590,937,2628,787,2665,912,2703,1010,2740,1457,2778,1880,2815,2167,2855,2440,2893,2465,2930,2602,2965,2515,3003,2527,3040,2552,3078,2487,3115,2740,3153,2702,3193,2625,3230,2475,3268,2202,3305,2277,3343,2278,3380,2440,3418,2365,3455,2167,3493,1980,3533,1732,3570,1545,3608,1495,3645,1510,3683,1582,3720,1595,3758,1532,3795,1557,3833,1482,3870,1732,3908,1830,3945,1831,3983,1892,4020,1907e" filled="false" stroked="true" strokeweight="1pt" strokecolor="#f89f6d">
              <v:path arrowok="t"/>
              <v:stroke dashstyle="solid"/>
            </v:shape>
            <v:shape style="position:absolute;left:1007;top:147;width:2975;height:2463" coordorigin="1008,147" coordsize="2975,2463" path="m1008,1130l1045,635,1083,372,1120,147,1158,310,1198,845,1235,1060,1270,1547,1308,1705,1345,1710,1383,1640,1420,1505,1458,1345,1495,1392,1535,1745,1573,1732,1610,1470,1648,1622,1685,1515,1723,1437,1760,2007,1798,1665,1835,1817,1875,1815,1913,1560,1950,1865,1988,1760,2025,1867,2063,1900,2100,1665,2138,1547,2175,1520,2213,1692,2250,1650,2288,1467,2325,1335,2363,1027,2400,1105,2438,1055,2475,962,2515,1205,2553,1372,2590,1585,2628,2010,2665,1867,2703,1732,2740,2020,2778,2215,2815,2322,2855,2610,2893,2470,2930,2145,2965,2290,3003,2197,3040,2265,3078,2360,3115,2272,3153,2260,3193,2142,3230,2105,3268,2100,3305,2105,3343,2195,3380,2072,3418,2262,3455,2080,3493,2081,3533,2282,3570,1882,3608,2100,3645,2105,3683,2142,3720,2282,3758,2155,3795,2047,3833,1957,3870,2035,3908,2130,3945,2235,3983,2245e" filled="false" stroked="true" strokeweight="1pt" strokecolor="#0066a5">
              <v:path arrowok="t"/>
              <v:stroke dashstyle="solid"/>
            </v:shape>
            <v:shape style="position:absolute;left:1007;top:2768;width:3006;height:49" coordorigin="1008,2768" coordsize="3006,49" path="m1008,2815l4013,2815m1008,2768l1008,2816m4013,2768l4013,2816m3863,2768l3863,2816m3713,2768l3713,2816m3562,2768l3562,2816m3412,2768l3412,2816m3262,2768l3262,2816m3112,2768l3112,2816m2961,2768l2961,2816m2811,2768l2811,2816m2661,2768l2661,2816m2510,2768l2510,2816m2360,2768l2360,2816m2210,2768l2210,2816m2060,2768l2060,2816m1909,2768l1909,2816m1759,2768l1759,2816m1609,2768l1609,2816m1458,2768l1458,2816m1308,2768l1308,2816m1158,2768l1158,2816e" filled="false" stroked="true" strokeweight=".5pt" strokecolor="#231f20">
              <v:path arrowok="t"/>
              <v:stroke dashstyle="solid"/>
            </v:shape>
            <v:shape style="position:absolute;left:850;top:79;width:3306;height:2737" coordorigin="851,79" coordsize="3306,2737" path="m851,79l937,79m851,328l937,328m851,577l937,577m851,825l937,825m851,1074l937,1074m851,1323l937,1323m851,1571l937,1571m851,1820l937,1820m851,2069l937,2069m851,2317l937,2317m851,2566l937,2566m851,2815l937,2815m4070,80l4157,80m4070,329l4157,329m4070,578l4157,578m4070,826l4157,826m4070,1075l4157,1075m4070,1324l4157,1324m4070,1573l4157,1573m4070,1821l4157,1821m4070,2070l4157,2070m4070,2319l4157,2319m4070,2567l4157,2567m4070,2816l4157,2816e" filled="false" stroked="true" strokeweight=".5pt" strokecolor="#000000">
              <v:path arrowok="t"/>
              <v:stroke dashstyle="solid"/>
            </v:shape>
            <v:shape style="position:absolute;left:1170;top:174;width:904;height:249" type="#_x0000_t202" filled="false" stroked="false">
              <v:textbox inset="0,0,0,0">
                <w:txbxContent>
                  <w:p>
                    <w:pPr>
                      <w:spacing w:line="199" w:lineRule="auto" w:before="14"/>
                      <w:ind w:left="69" w:right="1" w:hanging="70"/>
                      <w:jc w:val="left"/>
                      <w:rPr>
                        <w:sz w:val="12"/>
                      </w:rPr>
                    </w:pPr>
                    <w:r>
                      <w:rPr>
                        <w:sz w:val="12"/>
                      </w:rPr>
                      <w:t>Nominal domestic demand</w:t>
                    </w:r>
                  </w:p>
                </w:txbxContent>
              </v:textbox>
              <w10:wrap type="none"/>
            </v:shape>
            <v:shape style="position:absolute;left:2752;top:1147;width:367;height:133" type="#_x0000_t202" filled="false" stroked="false">
              <v:textbox inset="0,0,0,0">
                <w:txbxContent>
                  <w:p>
                    <w:pPr>
                      <w:spacing w:line="133" w:lineRule="exact" w:before="0"/>
                      <w:ind w:left="0" w:right="0" w:firstLine="0"/>
                      <w:jc w:val="left"/>
                      <w:rPr>
                        <w:sz w:val="12"/>
                      </w:rPr>
                    </w:pPr>
                    <w:r>
                      <w:rPr>
                        <w:sz w:val="12"/>
                      </w:rPr>
                      <w:t>Divisia</w:t>
                    </w:r>
                  </w:p>
                </w:txbxContent>
              </v:textbox>
              <w10:wrap type="none"/>
            </v:shape>
            <w10:wrap type="none"/>
          </v:group>
        </w:pict>
      </w:r>
      <w:r>
        <w:rPr>
          <w:sz w:val="12"/>
        </w:rPr>
        <w:t>22</w:t>
      </w:r>
    </w:p>
    <w:p>
      <w:pPr>
        <w:pStyle w:val="BodyText"/>
        <w:spacing w:before="5"/>
        <w:rPr>
          <w:sz w:val="9"/>
        </w:rPr>
      </w:pPr>
    </w:p>
    <w:p>
      <w:pPr>
        <w:spacing w:before="1"/>
        <w:ind w:left="0" w:right="101" w:firstLine="0"/>
        <w:jc w:val="right"/>
        <w:rPr>
          <w:sz w:val="12"/>
        </w:rPr>
      </w:pPr>
      <w:r>
        <w:rPr>
          <w:sz w:val="12"/>
        </w:rPr>
        <w:t>20</w:t>
      </w:r>
    </w:p>
    <w:p>
      <w:pPr>
        <w:pStyle w:val="BodyText"/>
        <w:spacing w:before="8"/>
        <w:rPr>
          <w:sz w:val="9"/>
        </w:rPr>
      </w:pPr>
    </w:p>
    <w:p>
      <w:pPr>
        <w:spacing w:before="0"/>
        <w:ind w:left="0" w:right="101" w:firstLine="0"/>
        <w:jc w:val="right"/>
        <w:rPr>
          <w:sz w:val="12"/>
        </w:rPr>
      </w:pPr>
      <w:r>
        <w:rPr>
          <w:sz w:val="12"/>
        </w:rPr>
        <w:t>18</w:t>
      </w:r>
    </w:p>
    <w:p>
      <w:pPr>
        <w:pStyle w:val="BodyText"/>
        <w:spacing w:before="8"/>
        <w:rPr>
          <w:sz w:val="9"/>
        </w:rPr>
      </w:pPr>
    </w:p>
    <w:p>
      <w:pPr>
        <w:spacing w:before="1"/>
        <w:ind w:left="0" w:right="101" w:firstLine="0"/>
        <w:jc w:val="right"/>
        <w:rPr>
          <w:sz w:val="12"/>
        </w:rPr>
      </w:pPr>
      <w:r>
        <w:rPr>
          <w:sz w:val="12"/>
        </w:rPr>
        <w:t>16</w:t>
      </w:r>
    </w:p>
    <w:p>
      <w:pPr>
        <w:pStyle w:val="BodyText"/>
        <w:spacing w:before="5"/>
        <w:rPr>
          <w:sz w:val="9"/>
        </w:rPr>
      </w:pPr>
    </w:p>
    <w:p>
      <w:pPr>
        <w:spacing w:before="1"/>
        <w:ind w:left="0" w:right="101" w:firstLine="0"/>
        <w:jc w:val="right"/>
        <w:rPr>
          <w:sz w:val="12"/>
        </w:rPr>
      </w:pPr>
      <w:r>
        <w:rPr>
          <w:sz w:val="12"/>
        </w:rPr>
        <w:t>14</w:t>
      </w:r>
    </w:p>
    <w:p>
      <w:pPr>
        <w:pStyle w:val="BodyText"/>
        <w:spacing w:before="5"/>
        <w:rPr>
          <w:sz w:val="9"/>
        </w:rPr>
      </w:pPr>
    </w:p>
    <w:p>
      <w:pPr>
        <w:spacing w:before="1"/>
        <w:ind w:left="0" w:right="101" w:firstLine="0"/>
        <w:jc w:val="right"/>
        <w:rPr>
          <w:sz w:val="12"/>
        </w:rPr>
      </w:pPr>
      <w:r>
        <w:rPr>
          <w:sz w:val="12"/>
        </w:rPr>
        <w:t>12</w:t>
      </w:r>
    </w:p>
    <w:p>
      <w:pPr>
        <w:pStyle w:val="BodyText"/>
        <w:spacing w:before="5"/>
        <w:rPr>
          <w:sz w:val="9"/>
        </w:rPr>
      </w:pPr>
    </w:p>
    <w:p>
      <w:pPr>
        <w:spacing w:before="1"/>
        <w:ind w:left="0" w:right="101" w:firstLine="0"/>
        <w:jc w:val="right"/>
        <w:rPr>
          <w:sz w:val="12"/>
        </w:rPr>
      </w:pPr>
      <w:r>
        <w:rPr>
          <w:sz w:val="12"/>
        </w:rPr>
        <w:t>10</w:t>
      </w:r>
    </w:p>
    <w:p>
      <w:pPr>
        <w:pStyle w:val="BodyText"/>
        <w:spacing w:before="8"/>
        <w:rPr>
          <w:sz w:val="9"/>
        </w:rPr>
      </w:pPr>
    </w:p>
    <w:p>
      <w:pPr>
        <w:spacing w:before="0"/>
        <w:ind w:left="0" w:right="101" w:firstLine="0"/>
        <w:jc w:val="right"/>
        <w:rPr>
          <w:sz w:val="12"/>
        </w:rPr>
      </w:pPr>
      <w:r>
        <w:rPr>
          <w:sz w:val="12"/>
        </w:rPr>
        <w:t>8</w:t>
      </w:r>
    </w:p>
    <w:p>
      <w:pPr>
        <w:pStyle w:val="BodyText"/>
        <w:spacing w:before="9"/>
        <w:rPr>
          <w:sz w:val="9"/>
        </w:rPr>
      </w:pPr>
    </w:p>
    <w:p>
      <w:pPr>
        <w:spacing w:before="0"/>
        <w:ind w:left="0" w:right="101" w:firstLine="0"/>
        <w:jc w:val="right"/>
        <w:rPr>
          <w:sz w:val="12"/>
        </w:rPr>
      </w:pPr>
      <w:r>
        <w:rPr>
          <w:sz w:val="12"/>
        </w:rPr>
        <w:t>6</w:t>
      </w:r>
    </w:p>
    <w:p>
      <w:pPr>
        <w:pStyle w:val="BodyText"/>
        <w:spacing w:before="6"/>
        <w:rPr>
          <w:sz w:val="9"/>
        </w:rPr>
      </w:pPr>
    </w:p>
    <w:p>
      <w:pPr>
        <w:spacing w:before="0"/>
        <w:ind w:left="0" w:right="101" w:firstLine="0"/>
        <w:jc w:val="right"/>
        <w:rPr>
          <w:sz w:val="12"/>
        </w:rPr>
      </w:pPr>
      <w:r>
        <w:rPr>
          <w:sz w:val="12"/>
        </w:rPr>
        <w:t>4</w:t>
      </w:r>
    </w:p>
    <w:p>
      <w:pPr>
        <w:pStyle w:val="BodyText"/>
        <w:spacing w:before="6"/>
        <w:rPr>
          <w:sz w:val="9"/>
        </w:rPr>
      </w:pPr>
    </w:p>
    <w:p>
      <w:pPr>
        <w:spacing w:before="0"/>
        <w:ind w:left="0" w:right="101" w:firstLine="0"/>
        <w:jc w:val="right"/>
        <w:rPr>
          <w:sz w:val="12"/>
        </w:rPr>
      </w:pPr>
      <w:r>
        <w:rPr>
          <w:sz w:val="12"/>
        </w:rPr>
        <w:t>2</w:t>
      </w:r>
    </w:p>
    <w:p>
      <w:pPr>
        <w:pStyle w:val="BodyText"/>
        <w:spacing w:before="8"/>
        <w:rPr>
          <w:sz w:val="9"/>
        </w:rPr>
      </w:pPr>
    </w:p>
    <w:p>
      <w:pPr>
        <w:spacing w:line="130" w:lineRule="exact" w:before="0"/>
        <w:ind w:left="3640" w:right="0" w:firstLine="0"/>
        <w:jc w:val="left"/>
        <w:rPr>
          <w:sz w:val="12"/>
        </w:rPr>
      </w:pPr>
      <w:r>
        <w:rPr>
          <w:sz w:val="12"/>
        </w:rPr>
        <w:t>0</w:t>
      </w:r>
    </w:p>
    <w:p>
      <w:pPr>
        <w:tabs>
          <w:tab w:pos="826" w:val="left" w:leader="none"/>
          <w:tab w:pos="1284" w:val="left" w:leader="none"/>
          <w:tab w:pos="1736" w:val="left" w:leader="none"/>
          <w:tab w:pos="2199" w:val="left" w:leader="none"/>
          <w:tab w:pos="2648" w:val="left" w:leader="none"/>
          <w:tab w:pos="3082" w:val="left" w:leader="none"/>
        </w:tabs>
        <w:spacing w:line="130" w:lineRule="exact" w:before="0"/>
        <w:ind w:left="235" w:right="0" w:firstLine="0"/>
        <w:jc w:val="left"/>
        <w:rPr>
          <w:sz w:val="12"/>
        </w:rPr>
      </w:pPr>
      <w:r>
        <w:rPr>
          <w:sz w:val="12"/>
        </w:rPr>
        <w:t>1979</w:t>
        <w:tab/>
        <w:t>82</w:t>
        <w:tab/>
        <w:t>85</w:t>
        <w:tab/>
        <w:t>88</w:t>
        <w:tab/>
        <w:t>91</w:t>
        <w:tab/>
        <w:t>94</w:t>
        <w:tab/>
        <w:t>97</w:t>
      </w:r>
    </w:p>
    <w:p>
      <w:pPr>
        <w:pStyle w:val="BodyText"/>
        <w:spacing w:before="8"/>
        <w:rPr>
          <w:sz w:val="13"/>
        </w:rPr>
      </w:pPr>
    </w:p>
    <w:p>
      <w:pPr>
        <w:spacing w:before="1"/>
        <w:ind w:left="170" w:right="0" w:firstLine="0"/>
        <w:jc w:val="left"/>
        <w:rPr>
          <w:sz w:val="12"/>
        </w:rPr>
      </w:pPr>
      <w:r>
        <w:rPr>
          <w:color w:val="231F20"/>
          <w:sz w:val="12"/>
        </w:rPr>
        <w:t>Sources: Bank of England and ONS.</w:t>
      </w:r>
    </w:p>
    <w:p>
      <w:pPr>
        <w:spacing w:line="242" w:lineRule="auto" w:before="216"/>
        <w:ind w:left="170" w:right="164" w:firstLine="0"/>
        <w:jc w:val="left"/>
        <w:rPr>
          <w:sz w:val="24"/>
        </w:rPr>
      </w:pPr>
      <w:r>
        <w:rPr/>
        <w:br w:type="column"/>
      </w:r>
      <w:r>
        <w:rPr>
          <w:color w:val="231F20"/>
          <w:sz w:val="24"/>
        </w:rPr>
        <w:t>holdings by insurance companies and pension funds, which hold around 60% of quoted UK equities by value. Instead the rise in deposits reflects increased holdings by the rest of the non-bank financial sector, which includes securities dealers (see Chart 1.7).</w:t>
      </w:r>
    </w:p>
    <w:p>
      <w:pPr>
        <w:pStyle w:val="BodyText"/>
        <w:spacing w:before="10"/>
        <w:rPr>
          <w:sz w:val="31"/>
        </w:rPr>
      </w:pPr>
    </w:p>
    <w:p>
      <w:pPr>
        <w:spacing w:line="242" w:lineRule="auto" w:before="0"/>
        <w:ind w:left="170" w:right="238" w:firstLine="0"/>
        <w:jc w:val="left"/>
        <w:rPr>
          <w:sz w:val="24"/>
        </w:rPr>
      </w:pPr>
      <w:r>
        <w:rPr>
          <w:color w:val="231F20"/>
          <w:sz w:val="24"/>
        </w:rPr>
        <w:t>Another explanation for the increase in net sterling borrowing by non-UK residents may therefore be an increase in overseas demand for other UK securities. Alternatively, the observed correlation between the increase in OFCs’ deposits and net overseas sterling borrowing may simply reflect a desire by UK banks and building societies to match their assets (in this case, sterling lending overseas) with deposits from the UK wholesale sector.</w:t>
      </w:r>
    </w:p>
    <w:p>
      <w:pPr>
        <w:pStyle w:val="BodyText"/>
        <w:spacing w:before="3"/>
        <w:rPr>
          <w:sz w:val="32"/>
        </w:rPr>
      </w:pPr>
    </w:p>
    <w:p>
      <w:pPr>
        <w:spacing w:line="242" w:lineRule="auto" w:before="0"/>
        <w:ind w:left="170" w:right="298" w:firstLine="0"/>
        <w:jc w:val="left"/>
        <w:rPr>
          <w:sz w:val="24"/>
        </w:rPr>
      </w:pPr>
      <w:r>
        <w:rPr>
          <w:color w:val="231F20"/>
          <w:sz w:val="24"/>
        </w:rPr>
        <w:t>The reasons for the sudden reversal of net overseas borrowing in sterling in the first quarter of 1999 are similarly unclear. Nonetheless, to the extent that they are linked, further reductions in net overseas borrowing in sterling, and hence in OFCs’ deposit growth, could help to stabilise broad money velocity, which has been falling since 1994. As Chart 1.8 shows, excluding the M4 deposits held by the UK non-bank financial sector, broad money has been growing in line with nominal GDP during the 1990s. A more stable, and hence more predictable, trend in M4 velocity would enhance the ability of broad money to act as a reliable indicator of inflationary pressure.</w:t>
      </w:r>
    </w:p>
    <w:p>
      <w:pPr>
        <w:pStyle w:val="BodyText"/>
        <w:spacing w:before="6"/>
        <w:rPr>
          <w:sz w:val="34"/>
        </w:rPr>
      </w:pPr>
    </w:p>
    <w:p>
      <w:pPr>
        <w:pStyle w:val="Heading2"/>
        <w:spacing w:before="0"/>
        <w:ind w:left="170"/>
        <w:rPr>
          <w:i/>
        </w:rPr>
      </w:pPr>
      <w:r>
        <w:rPr>
          <w:i/>
          <w:color w:val="009483"/>
        </w:rPr>
        <w:t>Divisia money</w:t>
      </w:r>
    </w:p>
    <w:p>
      <w:pPr>
        <w:spacing w:line="242" w:lineRule="auto" w:before="164"/>
        <w:ind w:left="170" w:right="156" w:firstLine="0"/>
        <w:jc w:val="left"/>
        <w:rPr>
          <w:sz w:val="24"/>
        </w:rPr>
      </w:pPr>
      <w:r>
        <w:rPr>
          <w:color w:val="231F20"/>
          <w:sz w:val="24"/>
        </w:rPr>
        <w:t>Another way of trying to gauge the extent to which the recent changes in the demand for money represent shifts in agents’ current or future demand for goods and services is to compare the growth of M4 with growth in Divisia </w:t>
      </w:r>
      <w:r>
        <w:rPr>
          <w:color w:val="231F20"/>
          <w:spacing w:val="-3"/>
          <w:sz w:val="24"/>
        </w:rPr>
        <w:t>money. </w:t>
      </w:r>
      <w:r>
        <w:rPr>
          <w:color w:val="231F20"/>
          <w:sz w:val="24"/>
        </w:rPr>
        <w:t>The Divisia index is constructed by weighting together the various components of money according to their liquidity, proxied by the inverse of their interest rates relative to a benchmark local authority deposit rate.  More liquid assets carry lower interest rates, and so are more likely to be used for transactions purposes. Divisia money should therefore be more closely related to nominal spending than other broad measures of </w:t>
      </w:r>
      <w:r>
        <w:rPr>
          <w:color w:val="231F20"/>
          <w:spacing w:val="-3"/>
          <w:sz w:val="24"/>
        </w:rPr>
        <w:t>money. </w:t>
      </w:r>
      <w:r>
        <w:rPr>
          <w:color w:val="231F20"/>
          <w:sz w:val="24"/>
        </w:rPr>
        <w:t>Divisia money grew by 7.3% in the year to 1999 Q1, broadly unchanged from 1998 Q4, but slightly faster than the rate of growth in M4 deposits.</w:t>
      </w:r>
    </w:p>
    <w:p>
      <w:pPr>
        <w:spacing w:line="242" w:lineRule="auto" w:before="19"/>
        <w:ind w:left="170" w:right="191" w:firstLine="0"/>
        <w:jc w:val="left"/>
        <w:rPr>
          <w:sz w:val="24"/>
        </w:rPr>
      </w:pPr>
      <w:r>
        <w:rPr>
          <w:color w:val="231F20"/>
          <w:sz w:val="24"/>
        </w:rPr>
        <w:t>Chart 1.9 shows the positive correlation between Divisia money and nominal domestic demand over the past</w:t>
      </w:r>
    </w:p>
    <w:p>
      <w:pPr>
        <w:spacing w:line="242" w:lineRule="auto" w:before="2"/>
        <w:ind w:left="170" w:right="564" w:firstLine="0"/>
        <w:jc w:val="left"/>
        <w:rPr>
          <w:sz w:val="24"/>
        </w:rPr>
      </w:pPr>
      <w:r>
        <w:rPr>
          <w:color w:val="231F20"/>
          <w:sz w:val="24"/>
        </w:rPr>
        <w:t>20 years, though the relationship has been somewhat weaker since 1995.</w:t>
      </w:r>
    </w:p>
    <w:p>
      <w:pPr>
        <w:spacing w:after="0" w:line="242" w:lineRule="auto"/>
        <w:jc w:val="left"/>
        <w:rPr>
          <w:sz w:val="24"/>
        </w:rPr>
        <w:sectPr>
          <w:type w:val="continuous"/>
          <w:pgSz w:w="11900" w:h="16840"/>
          <w:pgMar w:top="1220" w:bottom="280" w:left="640" w:right="640"/>
          <w:cols w:num="2" w:equalWidth="0">
            <w:col w:w="3804" w:space="996"/>
            <w:col w:w="5820"/>
          </w:cols>
        </w:sectPr>
      </w:pPr>
    </w:p>
    <w:p>
      <w:pPr>
        <w:pStyle w:val="BodyText"/>
        <w:spacing w:before="4"/>
        <w:rPr>
          <w:sz w:val="29"/>
        </w:rPr>
      </w:pPr>
    </w:p>
    <w:p>
      <w:pPr>
        <w:spacing w:after="0"/>
        <w:rPr>
          <w:sz w:val="29"/>
        </w:rPr>
        <w:sectPr>
          <w:headerReference w:type="default" r:id="rId30"/>
          <w:headerReference w:type="even" r:id="rId31"/>
          <w:footerReference w:type="default" r:id="rId32"/>
          <w:footerReference w:type="even" r:id="rId33"/>
          <w:pgSz w:w="11900" w:h="16840"/>
          <w:pgMar w:header="584" w:footer="617" w:top="780" w:bottom="800" w:left="640" w:right="640"/>
          <w:pgNumType w:start="7"/>
        </w:sectPr>
      </w:pPr>
    </w:p>
    <w:p>
      <w:pPr>
        <w:pStyle w:val="Heading4"/>
        <w:spacing w:before="128"/>
        <w:ind w:left="167"/>
      </w:pPr>
      <w:bookmarkStart w:name="Interest rates and asset prices" w:id="18"/>
      <w:bookmarkEnd w:id="18"/>
      <w:r>
        <w:rPr>
          <w:b w:val="0"/>
        </w:rPr>
      </w:r>
      <w:bookmarkStart w:name="Short-term interest rates" w:id="19"/>
      <w:bookmarkEnd w:id="19"/>
      <w:r>
        <w:rPr>
          <w:b w:val="0"/>
        </w:rPr>
      </w:r>
      <w:bookmarkStart w:name="Long-term interest rates" w:id="20"/>
      <w:bookmarkEnd w:id="20"/>
      <w:r>
        <w:rPr>
          <w:b w:val="0"/>
        </w:rPr>
      </w:r>
      <w:bookmarkStart w:name="_bookmark6" w:id="21"/>
      <w:bookmarkEnd w:id="21"/>
      <w:r>
        <w:rPr>
          <w:b w:val="0"/>
        </w:rPr>
      </w:r>
      <w:r>
        <w:rPr>
          <w:color w:val="0093C1"/>
        </w:rPr>
        <w:t>Chart 1.10</w:t>
      </w:r>
    </w:p>
    <w:p>
      <w:pPr>
        <w:pStyle w:val="Heading4"/>
        <w:spacing w:line="249" w:lineRule="auto"/>
        <w:ind w:left="167" w:right="455"/>
      </w:pPr>
      <w:r>
        <w:rPr>
          <w:color w:val="0093C1"/>
        </w:rPr>
        <w:t>Official interest and selected </w:t>
      </w:r>
      <w:r>
        <w:rPr>
          <w:color w:val="0093C1"/>
          <w:spacing w:val="-2"/>
        </w:rPr>
        <w:t>administered </w:t>
      </w:r>
      <w:r>
        <w:rPr>
          <w:color w:val="0093C1"/>
        </w:rPr>
        <w:t>retail rates</w:t>
      </w:r>
    </w:p>
    <w:p>
      <w:pPr>
        <w:spacing w:line="122" w:lineRule="exact" w:before="76"/>
        <w:ind w:left="3190" w:right="0" w:firstLine="0"/>
        <w:jc w:val="left"/>
        <w:rPr>
          <w:sz w:val="12"/>
        </w:rPr>
      </w:pPr>
      <w:r>
        <w:rPr>
          <w:color w:val="231F20"/>
          <w:sz w:val="12"/>
        </w:rPr>
        <w:t>Per cent</w:t>
      </w:r>
    </w:p>
    <w:p>
      <w:pPr>
        <w:spacing w:line="122" w:lineRule="exact" w:before="0"/>
        <w:ind w:left="3667" w:right="0" w:firstLine="0"/>
        <w:jc w:val="left"/>
        <w:rPr>
          <w:sz w:val="12"/>
        </w:rPr>
      </w:pPr>
      <w:r>
        <w:rPr/>
        <w:drawing>
          <wp:anchor distT="0" distB="0" distL="0" distR="0" allowOverlap="1" layoutInCell="1" locked="0" behindDoc="0" simplePos="0" relativeHeight="15790080">
            <wp:simplePos x="0" y="0"/>
            <wp:positionH relativeFrom="page">
              <wp:posOffset>535330</wp:posOffset>
            </wp:positionH>
            <wp:positionV relativeFrom="paragraph">
              <wp:posOffset>24030</wp:posOffset>
            </wp:positionV>
            <wp:extent cx="55029" cy="6350"/>
            <wp:effectExtent l="0" t="0" r="0" b="0"/>
            <wp:wrapNone/>
            <wp:docPr id="1" name="image7.png"/>
            <wp:cNvGraphicFramePr>
              <a:graphicFrameLocks noChangeAspect="1"/>
            </wp:cNvGraphicFramePr>
            <a:graphic>
              <a:graphicData uri="http://schemas.openxmlformats.org/drawingml/2006/picture">
                <pic:pic>
                  <pic:nvPicPr>
                    <pic:cNvPr id="2"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4688">
            <wp:simplePos x="0" y="0"/>
            <wp:positionH relativeFrom="page">
              <wp:posOffset>2630830</wp:posOffset>
            </wp:positionH>
            <wp:positionV relativeFrom="paragraph">
              <wp:posOffset>25287</wp:posOffset>
            </wp:positionV>
            <wp:extent cx="55029" cy="6350"/>
            <wp:effectExtent l="0" t="0" r="0" b="0"/>
            <wp:wrapNone/>
            <wp:docPr id="3" name="image7.png"/>
            <wp:cNvGraphicFramePr>
              <a:graphicFrameLocks noChangeAspect="1"/>
            </wp:cNvGraphicFramePr>
            <a:graphic>
              <a:graphicData uri="http://schemas.openxmlformats.org/drawingml/2006/picture">
                <pic:pic>
                  <pic:nvPicPr>
                    <pic:cNvPr id="4"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18</w:t>
      </w:r>
    </w:p>
    <w:p>
      <w:pPr>
        <w:tabs>
          <w:tab w:pos="3787" w:val="right" w:leader="none"/>
        </w:tabs>
        <w:spacing w:before="168"/>
        <w:ind w:left="1003" w:right="0" w:firstLine="0"/>
        <w:jc w:val="left"/>
        <w:rPr>
          <w:sz w:val="12"/>
        </w:rPr>
      </w:pPr>
      <w:r>
        <w:rPr/>
        <w:pict>
          <v:group style="position:absolute;margin-left:51.485001pt;margin-top:16.839697pt;width:151.5pt;height:129.65pt;mso-position-horizontal-relative:page;mso-position-vertical-relative:paragraph;z-index:15785984" coordorigin="1030,337" coordsize="3030,2593">
            <v:shape style="position:absolute;left:1029;top:336;width:3030;height:2593" type="#_x0000_t75" stroked="false">
              <v:imagedata r:id="rId35" o:title=""/>
            </v:shape>
            <v:shape style="position:absolute;left:2883;top:696;width:860;height:134" type="#_x0000_t202" filled="false" stroked="false">
              <v:textbox inset="0,0,0,0">
                <w:txbxContent>
                  <w:p>
                    <w:pPr>
                      <w:spacing w:line="133" w:lineRule="exact" w:before="0"/>
                      <w:ind w:left="0" w:right="0" w:firstLine="0"/>
                      <w:jc w:val="left"/>
                      <w:rPr>
                        <w:sz w:val="12"/>
                      </w:rPr>
                    </w:pPr>
                    <w:r>
                      <w:rPr>
                        <w:color w:val="231F20"/>
                        <w:sz w:val="12"/>
                      </w:rPr>
                      <w:t>Time deposit rate</w:t>
                    </w:r>
                  </w:p>
                </w:txbxContent>
              </v:textbox>
              <w10:wrap type="none"/>
            </v:shape>
            <v:shape style="position:absolute;left:1248;top:2392;width:603;height:133" type="#_x0000_t202" filled="false" stroked="false">
              <v:textbox inset="0,0,0,0">
                <w:txbxContent>
                  <w:p>
                    <w:pPr>
                      <w:spacing w:line="133" w:lineRule="exact" w:before="0"/>
                      <w:ind w:left="0" w:right="0" w:firstLine="0"/>
                      <w:jc w:val="left"/>
                      <w:rPr>
                        <w:sz w:val="12"/>
                      </w:rPr>
                    </w:pPr>
                    <w:r>
                      <w:rPr>
                        <w:color w:val="231F20"/>
                        <w:sz w:val="12"/>
                      </w:rPr>
                      <w:t>Official rate</w:t>
                    </w:r>
                  </w:p>
                </w:txbxContent>
              </v:textbox>
              <w10:wrap type="none"/>
            </v:shape>
            <w10:wrap type="none"/>
          </v:group>
        </w:pict>
      </w:r>
      <w:r>
        <w:rPr>
          <w:color w:val="231F20"/>
          <w:sz w:val="12"/>
        </w:rPr>
        <w:t>Variable mortgage rate</w:t>
        <w:tab/>
      </w:r>
      <w:r>
        <w:rPr>
          <w:color w:val="231F20"/>
          <w:position w:val="-2"/>
          <w:sz w:val="12"/>
        </w:rPr>
        <w:t>16</w:t>
      </w:r>
    </w:p>
    <w:p>
      <w:pPr>
        <w:pStyle w:val="BodyText"/>
        <w:spacing w:before="10"/>
        <w:rPr>
          <w:sz w:val="16"/>
        </w:rPr>
      </w:pPr>
    </w:p>
    <w:p>
      <w:pPr>
        <w:spacing w:before="0"/>
        <w:ind w:left="0" w:right="632" w:firstLine="0"/>
        <w:jc w:val="right"/>
        <w:rPr>
          <w:sz w:val="12"/>
        </w:rPr>
      </w:pPr>
      <w:r>
        <w:rPr/>
        <w:drawing>
          <wp:anchor distT="0" distB="0" distL="0" distR="0" allowOverlap="1" layoutInCell="1" locked="0" behindDoc="0" simplePos="0" relativeHeight="15786496">
            <wp:simplePos x="0" y="0"/>
            <wp:positionH relativeFrom="page">
              <wp:posOffset>535330</wp:posOffset>
            </wp:positionH>
            <wp:positionV relativeFrom="paragraph">
              <wp:posOffset>33050</wp:posOffset>
            </wp:positionV>
            <wp:extent cx="55029" cy="6350"/>
            <wp:effectExtent l="0" t="0" r="0" b="0"/>
            <wp:wrapNone/>
            <wp:docPr id="5" name="image9.png"/>
            <wp:cNvGraphicFramePr>
              <a:graphicFrameLocks noChangeAspect="1"/>
            </wp:cNvGraphicFramePr>
            <a:graphic>
              <a:graphicData uri="http://schemas.openxmlformats.org/drawingml/2006/picture">
                <pic:pic>
                  <pic:nvPicPr>
                    <pic:cNvPr id="6"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1104">
            <wp:simplePos x="0" y="0"/>
            <wp:positionH relativeFrom="page">
              <wp:posOffset>2630830</wp:posOffset>
            </wp:positionH>
            <wp:positionV relativeFrom="paragraph">
              <wp:posOffset>34308</wp:posOffset>
            </wp:positionV>
            <wp:extent cx="55029" cy="6350"/>
            <wp:effectExtent l="0" t="0" r="0" b="0"/>
            <wp:wrapNone/>
            <wp:docPr id="7" name="image7.png"/>
            <wp:cNvGraphicFramePr>
              <a:graphicFrameLocks noChangeAspect="1"/>
            </wp:cNvGraphicFramePr>
            <a:graphic>
              <a:graphicData uri="http://schemas.openxmlformats.org/drawingml/2006/picture">
                <pic:pic>
                  <pic:nvPicPr>
                    <pic:cNvPr id="8"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14</w:t>
      </w:r>
    </w:p>
    <w:p>
      <w:pPr>
        <w:pStyle w:val="BodyText"/>
        <w:spacing w:before="10"/>
        <w:rPr>
          <w:sz w:val="16"/>
        </w:rPr>
      </w:pPr>
    </w:p>
    <w:p>
      <w:pPr>
        <w:spacing w:before="1"/>
        <w:ind w:left="0" w:right="632" w:firstLine="0"/>
        <w:jc w:val="right"/>
        <w:rPr>
          <w:sz w:val="12"/>
        </w:rPr>
      </w:pPr>
      <w:r>
        <w:rPr/>
        <w:drawing>
          <wp:anchor distT="0" distB="0" distL="0" distR="0" allowOverlap="1" layoutInCell="1" locked="0" behindDoc="0" simplePos="0" relativeHeight="15787008">
            <wp:simplePos x="0" y="0"/>
            <wp:positionH relativeFrom="page">
              <wp:posOffset>535330</wp:posOffset>
            </wp:positionH>
            <wp:positionV relativeFrom="paragraph">
              <wp:posOffset>33689</wp:posOffset>
            </wp:positionV>
            <wp:extent cx="55029" cy="6350"/>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1616">
            <wp:simplePos x="0" y="0"/>
            <wp:positionH relativeFrom="page">
              <wp:posOffset>2630830</wp:posOffset>
            </wp:positionH>
            <wp:positionV relativeFrom="paragraph">
              <wp:posOffset>34946</wp:posOffset>
            </wp:positionV>
            <wp:extent cx="55029" cy="6350"/>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12</w:t>
      </w:r>
    </w:p>
    <w:p>
      <w:pPr>
        <w:pStyle w:val="BodyText"/>
        <w:spacing w:before="1"/>
        <w:rPr>
          <w:sz w:val="17"/>
        </w:rPr>
      </w:pPr>
    </w:p>
    <w:p>
      <w:pPr>
        <w:spacing w:before="0"/>
        <w:ind w:left="0" w:right="632" w:firstLine="0"/>
        <w:jc w:val="right"/>
        <w:rPr>
          <w:sz w:val="12"/>
        </w:rPr>
      </w:pPr>
      <w:r>
        <w:rPr/>
        <w:drawing>
          <wp:anchor distT="0" distB="0" distL="0" distR="0" allowOverlap="1" layoutInCell="1" locked="0" behindDoc="0" simplePos="0" relativeHeight="15787520">
            <wp:simplePos x="0" y="0"/>
            <wp:positionH relativeFrom="page">
              <wp:posOffset>535330</wp:posOffset>
            </wp:positionH>
            <wp:positionV relativeFrom="paragraph">
              <wp:posOffset>33050</wp:posOffset>
            </wp:positionV>
            <wp:extent cx="55029" cy="6350"/>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2128">
            <wp:simplePos x="0" y="0"/>
            <wp:positionH relativeFrom="page">
              <wp:posOffset>2630830</wp:posOffset>
            </wp:positionH>
            <wp:positionV relativeFrom="paragraph">
              <wp:posOffset>34308</wp:posOffset>
            </wp:positionV>
            <wp:extent cx="55029" cy="6350"/>
            <wp:effectExtent l="0" t="0" r="0" b="0"/>
            <wp:wrapNone/>
            <wp:docPr id="15" name="image7.png"/>
            <wp:cNvGraphicFramePr>
              <a:graphicFrameLocks noChangeAspect="1"/>
            </wp:cNvGraphicFramePr>
            <a:graphic>
              <a:graphicData uri="http://schemas.openxmlformats.org/drawingml/2006/picture">
                <pic:pic>
                  <pic:nvPicPr>
                    <pic:cNvPr id="16"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10</w:t>
      </w:r>
    </w:p>
    <w:p>
      <w:pPr>
        <w:pStyle w:val="BodyText"/>
        <w:spacing w:before="10"/>
        <w:rPr>
          <w:sz w:val="16"/>
        </w:rPr>
      </w:pPr>
    </w:p>
    <w:p>
      <w:pPr>
        <w:spacing w:before="1"/>
        <w:ind w:left="0" w:right="632" w:firstLine="0"/>
        <w:jc w:val="right"/>
        <w:rPr>
          <w:sz w:val="12"/>
        </w:rPr>
      </w:pPr>
      <w:r>
        <w:rPr/>
        <w:drawing>
          <wp:anchor distT="0" distB="0" distL="0" distR="0" allowOverlap="1" layoutInCell="1" locked="0" behindDoc="0" simplePos="0" relativeHeight="15788032">
            <wp:simplePos x="0" y="0"/>
            <wp:positionH relativeFrom="page">
              <wp:posOffset>535330</wp:posOffset>
            </wp:positionH>
            <wp:positionV relativeFrom="paragraph">
              <wp:posOffset>33687</wp:posOffset>
            </wp:positionV>
            <wp:extent cx="55029" cy="6350"/>
            <wp:effectExtent l="0" t="0" r="0" b="0"/>
            <wp:wrapNone/>
            <wp:docPr id="17" name="image7.png"/>
            <wp:cNvGraphicFramePr>
              <a:graphicFrameLocks noChangeAspect="1"/>
            </wp:cNvGraphicFramePr>
            <a:graphic>
              <a:graphicData uri="http://schemas.openxmlformats.org/drawingml/2006/picture">
                <pic:pic>
                  <pic:nvPicPr>
                    <pic:cNvPr id="18"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2640">
            <wp:simplePos x="0" y="0"/>
            <wp:positionH relativeFrom="page">
              <wp:posOffset>2630830</wp:posOffset>
            </wp:positionH>
            <wp:positionV relativeFrom="paragraph">
              <wp:posOffset>34944</wp:posOffset>
            </wp:positionV>
            <wp:extent cx="55029" cy="6350"/>
            <wp:effectExtent l="0" t="0" r="0" b="0"/>
            <wp:wrapNone/>
            <wp:docPr id="19" name="image7.png"/>
            <wp:cNvGraphicFramePr>
              <a:graphicFrameLocks noChangeAspect="1"/>
            </wp:cNvGraphicFramePr>
            <a:graphic>
              <a:graphicData uri="http://schemas.openxmlformats.org/drawingml/2006/picture">
                <pic:pic>
                  <pic:nvPicPr>
                    <pic:cNvPr id="20"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8</w:t>
      </w:r>
    </w:p>
    <w:p>
      <w:pPr>
        <w:pStyle w:val="BodyText"/>
        <w:spacing w:before="1"/>
        <w:rPr>
          <w:sz w:val="17"/>
        </w:rPr>
      </w:pPr>
    </w:p>
    <w:p>
      <w:pPr>
        <w:spacing w:before="0"/>
        <w:ind w:left="0" w:right="632" w:firstLine="0"/>
        <w:jc w:val="right"/>
        <w:rPr>
          <w:sz w:val="12"/>
        </w:rPr>
      </w:pPr>
      <w:r>
        <w:rPr/>
        <w:drawing>
          <wp:anchor distT="0" distB="0" distL="0" distR="0" allowOverlap="1" layoutInCell="1" locked="0" behindDoc="0" simplePos="0" relativeHeight="15788544">
            <wp:simplePos x="0" y="0"/>
            <wp:positionH relativeFrom="page">
              <wp:posOffset>535330</wp:posOffset>
            </wp:positionH>
            <wp:positionV relativeFrom="paragraph">
              <wp:posOffset>33050</wp:posOffset>
            </wp:positionV>
            <wp:extent cx="55029" cy="6350"/>
            <wp:effectExtent l="0" t="0" r="0" b="0"/>
            <wp:wrapNone/>
            <wp:docPr id="21" name="image9.png"/>
            <wp:cNvGraphicFramePr>
              <a:graphicFrameLocks noChangeAspect="1"/>
            </wp:cNvGraphicFramePr>
            <a:graphic>
              <a:graphicData uri="http://schemas.openxmlformats.org/drawingml/2006/picture">
                <pic:pic>
                  <pic:nvPicPr>
                    <pic:cNvPr id="22"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3152">
            <wp:simplePos x="0" y="0"/>
            <wp:positionH relativeFrom="page">
              <wp:posOffset>2630830</wp:posOffset>
            </wp:positionH>
            <wp:positionV relativeFrom="paragraph">
              <wp:posOffset>34307</wp:posOffset>
            </wp:positionV>
            <wp:extent cx="55029" cy="6350"/>
            <wp:effectExtent l="0" t="0" r="0" b="0"/>
            <wp:wrapNone/>
            <wp:docPr id="23" name="image7.png"/>
            <wp:cNvGraphicFramePr>
              <a:graphicFrameLocks noChangeAspect="1"/>
            </wp:cNvGraphicFramePr>
            <a:graphic>
              <a:graphicData uri="http://schemas.openxmlformats.org/drawingml/2006/picture">
                <pic:pic>
                  <pic:nvPicPr>
                    <pic:cNvPr id="24"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6</w:t>
      </w:r>
    </w:p>
    <w:p>
      <w:pPr>
        <w:pStyle w:val="BodyText"/>
        <w:spacing w:before="10"/>
        <w:rPr>
          <w:sz w:val="16"/>
        </w:rPr>
      </w:pPr>
    </w:p>
    <w:p>
      <w:pPr>
        <w:spacing w:before="1"/>
        <w:ind w:left="0" w:right="632" w:firstLine="0"/>
        <w:jc w:val="right"/>
        <w:rPr>
          <w:sz w:val="12"/>
        </w:rPr>
      </w:pPr>
      <w:r>
        <w:rPr/>
        <w:drawing>
          <wp:anchor distT="0" distB="0" distL="0" distR="0" allowOverlap="1" layoutInCell="1" locked="0" behindDoc="0" simplePos="0" relativeHeight="15790592">
            <wp:simplePos x="0" y="0"/>
            <wp:positionH relativeFrom="page">
              <wp:posOffset>535330</wp:posOffset>
            </wp:positionH>
            <wp:positionV relativeFrom="paragraph">
              <wp:posOffset>32620</wp:posOffset>
            </wp:positionV>
            <wp:extent cx="55029" cy="6350"/>
            <wp:effectExtent l="0" t="0" r="0" b="0"/>
            <wp:wrapNone/>
            <wp:docPr id="25" name="image9.png"/>
            <wp:cNvGraphicFramePr>
              <a:graphicFrameLocks noChangeAspect="1"/>
            </wp:cNvGraphicFramePr>
            <a:graphic>
              <a:graphicData uri="http://schemas.openxmlformats.org/drawingml/2006/picture">
                <pic:pic>
                  <pic:nvPicPr>
                    <pic:cNvPr id="26"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5200">
            <wp:simplePos x="0" y="0"/>
            <wp:positionH relativeFrom="page">
              <wp:posOffset>2630830</wp:posOffset>
            </wp:positionH>
            <wp:positionV relativeFrom="paragraph">
              <wp:posOffset>33878</wp:posOffset>
            </wp:positionV>
            <wp:extent cx="55029" cy="6350"/>
            <wp:effectExtent l="0" t="0" r="0" b="0"/>
            <wp:wrapNone/>
            <wp:docPr id="27" name="image7.png"/>
            <wp:cNvGraphicFramePr>
              <a:graphicFrameLocks noChangeAspect="1"/>
            </wp:cNvGraphicFramePr>
            <a:graphic>
              <a:graphicData uri="http://schemas.openxmlformats.org/drawingml/2006/picture">
                <pic:pic>
                  <pic:nvPicPr>
                    <pic:cNvPr id="28"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4</w:t>
      </w:r>
    </w:p>
    <w:p>
      <w:pPr>
        <w:pStyle w:val="BodyText"/>
        <w:spacing w:before="10"/>
        <w:rPr>
          <w:sz w:val="16"/>
        </w:rPr>
      </w:pPr>
    </w:p>
    <w:p>
      <w:pPr>
        <w:spacing w:before="0"/>
        <w:ind w:left="0" w:right="632" w:firstLine="0"/>
        <w:jc w:val="right"/>
        <w:rPr>
          <w:sz w:val="12"/>
        </w:rPr>
      </w:pPr>
      <w:r>
        <w:rPr/>
        <w:drawing>
          <wp:anchor distT="0" distB="0" distL="0" distR="0" allowOverlap="1" layoutInCell="1" locked="0" behindDoc="0" simplePos="0" relativeHeight="15789056">
            <wp:simplePos x="0" y="0"/>
            <wp:positionH relativeFrom="page">
              <wp:posOffset>535330</wp:posOffset>
            </wp:positionH>
            <wp:positionV relativeFrom="paragraph">
              <wp:posOffset>36204</wp:posOffset>
            </wp:positionV>
            <wp:extent cx="55029" cy="6350"/>
            <wp:effectExtent l="0" t="0" r="0" b="0"/>
            <wp:wrapNone/>
            <wp:docPr id="29" name="image7.png"/>
            <wp:cNvGraphicFramePr>
              <a:graphicFrameLocks noChangeAspect="1"/>
            </wp:cNvGraphicFramePr>
            <a:graphic>
              <a:graphicData uri="http://schemas.openxmlformats.org/drawingml/2006/picture">
                <pic:pic>
                  <pic:nvPicPr>
                    <pic:cNvPr id="30"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3664">
            <wp:simplePos x="0" y="0"/>
            <wp:positionH relativeFrom="page">
              <wp:posOffset>2630830</wp:posOffset>
            </wp:positionH>
            <wp:positionV relativeFrom="paragraph">
              <wp:posOffset>37474</wp:posOffset>
            </wp:positionV>
            <wp:extent cx="55029" cy="6350"/>
            <wp:effectExtent l="0" t="0" r="0" b="0"/>
            <wp:wrapNone/>
            <wp:docPr id="31" name="image7.png"/>
            <wp:cNvGraphicFramePr>
              <a:graphicFrameLocks noChangeAspect="1"/>
            </wp:cNvGraphicFramePr>
            <a:graphic>
              <a:graphicData uri="http://schemas.openxmlformats.org/drawingml/2006/picture">
                <pic:pic>
                  <pic:nvPicPr>
                    <pic:cNvPr id="32" name="image7.png"/>
                    <pic:cNvPicPr/>
                  </pic:nvPicPr>
                  <pic:blipFill>
                    <a:blip r:embed="rId34" cstate="print"/>
                    <a:stretch>
                      <a:fillRect/>
                    </a:stretch>
                  </pic:blipFill>
                  <pic:spPr>
                    <a:xfrm>
                      <a:off x="0" y="0"/>
                      <a:ext cx="55029" cy="6350"/>
                    </a:xfrm>
                    <a:prstGeom prst="rect">
                      <a:avLst/>
                    </a:prstGeom>
                  </pic:spPr>
                </pic:pic>
              </a:graphicData>
            </a:graphic>
          </wp:anchor>
        </w:drawing>
      </w:r>
      <w:r>
        <w:rPr>
          <w:color w:val="231F20"/>
          <w:sz w:val="12"/>
        </w:rPr>
        <w:t>2</w:t>
      </w:r>
    </w:p>
    <w:p>
      <w:pPr>
        <w:pStyle w:val="BodyText"/>
        <w:spacing w:before="2"/>
        <w:rPr>
          <w:sz w:val="17"/>
        </w:rPr>
      </w:pPr>
    </w:p>
    <w:p>
      <w:pPr>
        <w:spacing w:line="125" w:lineRule="exact" w:before="0"/>
        <w:ind w:left="3727" w:right="0" w:firstLine="0"/>
        <w:jc w:val="left"/>
        <w:rPr>
          <w:sz w:val="12"/>
        </w:rPr>
      </w:pPr>
      <w:r>
        <w:rPr/>
        <w:drawing>
          <wp:anchor distT="0" distB="0" distL="0" distR="0" allowOverlap="1" layoutInCell="1" locked="0" behindDoc="0" simplePos="0" relativeHeight="15789568">
            <wp:simplePos x="0" y="0"/>
            <wp:positionH relativeFrom="page">
              <wp:posOffset>535330</wp:posOffset>
            </wp:positionH>
            <wp:positionV relativeFrom="paragraph">
              <wp:posOffset>34614</wp:posOffset>
            </wp:positionV>
            <wp:extent cx="55029" cy="6350"/>
            <wp:effectExtent l="0" t="0" r="0" b="0"/>
            <wp:wrapNone/>
            <wp:docPr id="33" name="image7.png"/>
            <wp:cNvGraphicFramePr>
              <a:graphicFrameLocks noChangeAspect="1"/>
            </wp:cNvGraphicFramePr>
            <a:graphic>
              <a:graphicData uri="http://schemas.openxmlformats.org/drawingml/2006/picture">
                <pic:pic>
                  <pic:nvPicPr>
                    <pic:cNvPr id="34"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794176">
            <wp:simplePos x="0" y="0"/>
            <wp:positionH relativeFrom="page">
              <wp:posOffset>2630830</wp:posOffset>
            </wp:positionH>
            <wp:positionV relativeFrom="paragraph">
              <wp:posOffset>35884</wp:posOffset>
            </wp:positionV>
            <wp:extent cx="55029" cy="6350"/>
            <wp:effectExtent l="0" t="0" r="0" b="0"/>
            <wp:wrapNone/>
            <wp:docPr id="35" name="image9.png"/>
            <wp:cNvGraphicFramePr>
              <a:graphicFrameLocks noChangeAspect="1"/>
            </wp:cNvGraphicFramePr>
            <a:graphic>
              <a:graphicData uri="http://schemas.openxmlformats.org/drawingml/2006/picture">
                <pic:pic>
                  <pic:nvPicPr>
                    <pic:cNvPr id="36" name="image9.png"/>
                    <pic:cNvPicPr/>
                  </pic:nvPicPr>
                  <pic:blipFill>
                    <a:blip r:embed="rId36" cstate="print"/>
                    <a:stretch>
                      <a:fillRect/>
                    </a:stretch>
                  </pic:blipFill>
                  <pic:spPr>
                    <a:xfrm>
                      <a:off x="0" y="0"/>
                      <a:ext cx="55029" cy="6350"/>
                    </a:xfrm>
                    <a:prstGeom prst="rect">
                      <a:avLst/>
                    </a:prstGeom>
                  </pic:spPr>
                </pic:pic>
              </a:graphicData>
            </a:graphic>
          </wp:anchor>
        </w:drawing>
      </w:r>
      <w:r>
        <w:rPr>
          <w:color w:val="231F20"/>
          <w:sz w:val="12"/>
        </w:rPr>
        <w:t>0</w:t>
      </w:r>
    </w:p>
    <w:p>
      <w:pPr>
        <w:tabs>
          <w:tab w:pos="817" w:val="left" w:leader="none"/>
          <w:tab w:pos="1224" w:val="left" w:leader="none"/>
          <w:tab w:pos="1594" w:val="left" w:leader="none"/>
          <w:tab w:pos="2004" w:val="left" w:leader="none"/>
          <w:tab w:pos="2374" w:val="left" w:leader="none"/>
          <w:tab w:pos="2767" w:val="left" w:leader="none"/>
          <w:tab w:pos="3157" w:val="left" w:leader="none"/>
        </w:tabs>
        <w:spacing w:line="125" w:lineRule="exact" w:before="0"/>
        <w:ind w:left="367" w:right="0" w:firstLine="0"/>
        <w:jc w:val="left"/>
        <w:rPr>
          <w:sz w:val="12"/>
        </w:rPr>
      </w:pPr>
      <w:r>
        <w:rPr>
          <w:color w:val="231F20"/>
          <w:sz w:val="12"/>
        </w:rPr>
        <w:t>1984</w:t>
        <w:tab/>
        <w:t>86</w:t>
        <w:tab/>
        <w:t>88</w:t>
        <w:tab/>
        <w:t>90</w:t>
        <w:tab/>
        <w:t>92</w:t>
        <w:tab/>
        <w:t>94</w:t>
        <w:tab/>
        <w:t>96</w:t>
        <w:tab/>
        <w:t>98</w:t>
      </w:r>
    </w:p>
    <w:p>
      <w:pPr>
        <w:spacing w:line="417" w:lineRule="auto" w:before="86"/>
        <w:ind w:left="152" w:right="455" w:firstLine="0"/>
        <w:jc w:val="left"/>
        <w:rPr>
          <w:sz w:val="12"/>
        </w:rPr>
      </w:pPr>
      <w:r>
        <w:rPr>
          <w:color w:val="231F20"/>
          <w:sz w:val="12"/>
        </w:rPr>
        <w:t>Note: Retail rates are unweighted pre-1995 and weighted from then on. Sources: Moneyfacts and Bank of England.</w:t>
      </w:r>
    </w:p>
    <w:p>
      <w:pPr>
        <w:pStyle w:val="BodyText"/>
        <w:rPr>
          <w:sz w:val="12"/>
        </w:rPr>
      </w:pPr>
    </w:p>
    <w:p>
      <w:pPr>
        <w:pStyle w:val="BodyText"/>
        <w:rPr>
          <w:sz w:val="12"/>
        </w:rPr>
      </w:pPr>
    </w:p>
    <w:p>
      <w:pPr>
        <w:pStyle w:val="Heading4"/>
        <w:spacing w:before="104"/>
        <w:ind w:left="160"/>
      </w:pPr>
      <w:r>
        <w:rPr>
          <w:color w:val="0093C1"/>
        </w:rPr>
        <w:t>Table 1.B</w:t>
      </w:r>
    </w:p>
    <w:p>
      <w:pPr>
        <w:pStyle w:val="Heading4"/>
        <w:spacing w:line="249" w:lineRule="auto"/>
        <w:ind w:left="160" w:right="336"/>
      </w:pPr>
      <w:r>
        <w:rPr>
          <w:color w:val="0093C1"/>
        </w:rPr>
        <w:t>Bank and building society advertised variable interest rates</w:t>
      </w:r>
    </w:p>
    <w:p>
      <w:pPr>
        <w:spacing w:before="98"/>
        <w:ind w:left="160" w:right="0" w:firstLine="0"/>
        <w:jc w:val="left"/>
        <w:rPr>
          <w:sz w:val="14"/>
        </w:rPr>
      </w:pPr>
      <w:r>
        <w:rPr>
          <w:color w:val="231F20"/>
          <w:sz w:val="14"/>
        </w:rPr>
        <w:t>Cumulative change (percentage points)</w:t>
      </w:r>
    </w:p>
    <w:p>
      <w:pPr>
        <w:pStyle w:val="BodyText"/>
        <w:spacing w:before="10"/>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1287"/>
        <w:gridCol w:w="671"/>
        <w:gridCol w:w="191"/>
        <w:gridCol w:w="641"/>
      </w:tblGrid>
      <w:tr>
        <w:trPr>
          <w:trHeight w:val="287" w:hRule="atLeast"/>
        </w:trPr>
        <w:tc>
          <w:tcPr>
            <w:tcW w:w="2871" w:type="dxa"/>
            <w:gridSpan w:val="2"/>
            <w:vMerge w:val="restart"/>
          </w:tcPr>
          <w:p>
            <w:pPr>
              <w:pStyle w:val="TableParagraph"/>
              <w:rPr>
                <w:sz w:val="18"/>
              </w:rPr>
            </w:pPr>
          </w:p>
        </w:tc>
        <w:tc>
          <w:tcPr>
            <w:tcW w:w="671" w:type="dxa"/>
          </w:tcPr>
          <w:p>
            <w:pPr>
              <w:pStyle w:val="TableParagraph"/>
              <w:spacing w:line="145" w:lineRule="exact"/>
              <w:ind w:left="-1"/>
              <w:rPr>
                <w:sz w:val="14"/>
              </w:rPr>
            </w:pPr>
            <w:r>
              <w:rPr>
                <w:color w:val="231F20"/>
                <w:sz w:val="14"/>
              </w:rPr>
              <w:t>Oct. 1998</w:t>
            </w:r>
          </w:p>
          <w:p>
            <w:pPr>
              <w:pStyle w:val="TableParagraph"/>
              <w:spacing w:line="123" w:lineRule="exact"/>
              <w:ind w:left="-1"/>
              <w:rPr>
                <w:sz w:val="14"/>
              </w:rPr>
            </w:pPr>
            <w:r>
              <w:rPr>
                <w:color w:val="231F20"/>
                <w:sz w:val="14"/>
              </w:rPr>
              <w:t>to end Mar.</w:t>
            </w:r>
          </w:p>
        </w:tc>
        <w:tc>
          <w:tcPr>
            <w:tcW w:w="191" w:type="dxa"/>
          </w:tcPr>
          <w:p>
            <w:pPr>
              <w:pStyle w:val="TableParagraph"/>
              <w:rPr>
                <w:sz w:val="18"/>
              </w:rPr>
            </w:pPr>
          </w:p>
        </w:tc>
        <w:tc>
          <w:tcPr>
            <w:tcW w:w="641" w:type="dxa"/>
          </w:tcPr>
          <w:p>
            <w:pPr>
              <w:pStyle w:val="TableParagraph"/>
              <w:spacing w:line="140" w:lineRule="exact" w:before="12"/>
              <w:ind w:left="-3" w:right="7" w:hanging="1"/>
              <w:rPr>
                <w:sz w:val="14"/>
              </w:rPr>
            </w:pPr>
            <w:r>
              <w:rPr>
                <w:color w:val="231F20"/>
                <w:sz w:val="14"/>
              </w:rPr>
              <w:t>End Mar. to end Apr.</w:t>
            </w:r>
          </w:p>
        </w:tc>
      </w:tr>
      <w:tr>
        <w:trPr>
          <w:trHeight w:val="153" w:hRule="atLeast"/>
        </w:trPr>
        <w:tc>
          <w:tcPr>
            <w:tcW w:w="2871" w:type="dxa"/>
            <w:gridSpan w:val="2"/>
            <w:vMerge/>
            <w:tcBorders>
              <w:top w:val="nil"/>
            </w:tcBorders>
          </w:tcPr>
          <w:p>
            <w:pPr>
              <w:rPr>
                <w:sz w:val="2"/>
                <w:szCs w:val="2"/>
              </w:rPr>
            </w:pPr>
          </w:p>
        </w:tc>
        <w:tc>
          <w:tcPr>
            <w:tcW w:w="671" w:type="dxa"/>
            <w:tcBorders>
              <w:bottom w:val="single" w:sz="2" w:space="0" w:color="231F20"/>
            </w:tcBorders>
          </w:tcPr>
          <w:p>
            <w:pPr>
              <w:pStyle w:val="TableParagraph"/>
              <w:spacing w:line="133" w:lineRule="exact"/>
              <w:ind w:left="-1"/>
              <w:rPr>
                <w:sz w:val="14"/>
              </w:rPr>
            </w:pPr>
            <w:r>
              <w:rPr>
                <w:color w:val="231F20"/>
                <w:sz w:val="14"/>
              </w:rPr>
              <w:t>1999</w:t>
            </w:r>
          </w:p>
        </w:tc>
        <w:tc>
          <w:tcPr>
            <w:tcW w:w="191" w:type="dxa"/>
          </w:tcPr>
          <w:p>
            <w:pPr>
              <w:pStyle w:val="TableParagraph"/>
              <w:rPr>
                <w:sz w:val="8"/>
              </w:rPr>
            </w:pPr>
          </w:p>
        </w:tc>
        <w:tc>
          <w:tcPr>
            <w:tcW w:w="641" w:type="dxa"/>
            <w:tcBorders>
              <w:bottom w:val="single" w:sz="2" w:space="0" w:color="231F20"/>
            </w:tcBorders>
          </w:tcPr>
          <w:p>
            <w:pPr>
              <w:pStyle w:val="TableParagraph"/>
              <w:spacing w:line="133" w:lineRule="exact"/>
              <w:ind w:left="-3"/>
              <w:rPr>
                <w:sz w:val="12"/>
              </w:rPr>
            </w:pPr>
            <w:r>
              <w:rPr>
                <w:color w:val="231F20"/>
                <w:sz w:val="14"/>
              </w:rPr>
              <w:t>1999 </w:t>
            </w:r>
            <w:r>
              <w:rPr>
                <w:color w:val="231F20"/>
                <w:sz w:val="12"/>
              </w:rPr>
              <w:t>(a)</w:t>
            </w:r>
          </w:p>
        </w:tc>
      </w:tr>
      <w:tr>
        <w:trPr>
          <w:trHeight w:val="257" w:hRule="atLeast"/>
        </w:trPr>
        <w:tc>
          <w:tcPr>
            <w:tcW w:w="1584" w:type="dxa"/>
          </w:tcPr>
          <w:p>
            <w:pPr>
              <w:pStyle w:val="TableParagraph"/>
              <w:spacing w:line="133" w:lineRule="exact" w:before="103"/>
              <w:ind w:left="50"/>
              <w:rPr>
                <w:sz w:val="14"/>
              </w:rPr>
            </w:pPr>
            <w:r>
              <w:rPr>
                <w:color w:val="231F20"/>
                <w:sz w:val="14"/>
              </w:rPr>
              <w:t>Secured loan rates</w:t>
            </w:r>
          </w:p>
        </w:tc>
        <w:tc>
          <w:tcPr>
            <w:tcW w:w="1287" w:type="dxa"/>
          </w:tcPr>
          <w:p>
            <w:pPr>
              <w:pStyle w:val="TableParagraph"/>
              <w:spacing w:line="133" w:lineRule="exact" w:before="103"/>
              <w:ind w:left="56"/>
              <w:rPr>
                <w:sz w:val="14"/>
              </w:rPr>
            </w:pPr>
            <w:r>
              <w:rPr>
                <w:color w:val="231F20"/>
                <w:sz w:val="14"/>
              </w:rPr>
              <w:t>Standard variable</w:t>
            </w:r>
          </w:p>
        </w:tc>
        <w:tc>
          <w:tcPr>
            <w:tcW w:w="671" w:type="dxa"/>
            <w:tcBorders>
              <w:top w:val="single" w:sz="2" w:space="0" w:color="231F20"/>
            </w:tcBorders>
          </w:tcPr>
          <w:p>
            <w:pPr>
              <w:pStyle w:val="TableParagraph"/>
              <w:spacing w:line="133" w:lineRule="exact" w:before="103"/>
              <w:ind w:left="7"/>
              <w:rPr>
                <w:sz w:val="14"/>
              </w:rPr>
            </w:pPr>
            <w:r>
              <w:rPr>
                <w:color w:val="231F20"/>
                <w:sz w:val="14"/>
              </w:rPr>
              <w:t>-1.99</w:t>
            </w:r>
          </w:p>
        </w:tc>
        <w:tc>
          <w:tcPr>
            <w:tcW w:w="191" w:type="dxa"/>
          </w:tcPr>
          <w:p>
            <w:pPr>
              <w:pStyle w:val="TableParagraph"/>
              <w:rPr>
                <w:sz w:val="18"/>
              </w:rPr>
            </w:pPr>
          </w:p>
        </w:tc>
        <w:tc>
          <w:tcPr>
            <w:tcW w:w="641" w:type="dxa"/>
            <w:tcBorders>
              <w:top w:val="single" w:sz="2" w:space="0" w:color="231F20"/>
            </w:tcBorders>
          </w:tcPr>
          <w:p>
            <w:pPr>
              <w:pStyle w:val="TableParagraph"/>
              <w:spacing w:line="133" w:lineRule="exact" w:before="103"/>
              <w:ind w:left="15"/>
              <w:rPr>
                <w:sz w:val="14"/>
              </w:rPr>
            </w:pPr>
            <w:r>
              <w:rPr>
                <w:color w:val="231F20"/>
                <w:sz w:val="14"/>
              </w:rPr>
              <w:t>-0.07</w:t>
            </w:r>
          </w:p>
        </w:tc>
      </w:tr>
      <w:tr>
        <w:trPr>
          <w:trHeight w:val="140" w:hRule="atLeast"/>
        </w:trPr>
        <w:tc>
          <w:tcPr>
            <w:tcW w:w="1584" w:type="dxa"/>
          </w:tcPr>
          <w:p>
            <w:pPr>
              <w:pStyle w:val="TableParagraph"/>
              <w:spacing w:line="120" w:lineRule="exact"/>
              <w:ind w:left="50"/>
              <w:rPr>
                <w:sz w:val="14"/>
              </w:rPr>
            </w:pPr>
            <w:r>
              <w:rPr>
                <w:color w:val="231F20"/>
                <w:sz w:val="14"/>
              </w:rPr>
              <w:t>Savings rates</w:t>
            </w:r>
          </w:p>
        </w:tc>
        <w:tc>
          <w:tcPr>
            <w:tcW w:w="1287" w:type="dxa"/>
          </w:tcPr>
          <w:p>
            <w:pPr>
              <w:pStyle w:val="TableParagraph"/>
              <w:spacing w:line="120" w:lineRule="exact"/>
              <w:ind w:left="56"/>
              <w:rPr>
                <w:sz w:val="14"/>
              </w:rPr>
            </w:pPr>
            <w:r>
              <w:rPr>
                <w:color w:val="231F20"/>
                <w:sz w:val="14"/>
              </w:rPr>
              <w:t>Sight</w:t>
            </w:r>
          </w:p>
        </w:tc>
        <w:tc>
          <w:tcPr>
            <w:tcW w:w="671" w:type="dxa"/>
          </w:tcPr>
          <w:p>
            <w:pPr>
              <w:pStyle w:val="TableParagraph"/>
              <w:spacing w:line="120" w:lineRule="exact"/>
              <w:ind w:left="7"/>
              <w:rPr>
                <w:sz w:val="14"/>
              </w:rPr>
            </w:pPr>
            <w:r>
              <w:rPr>
                <w:color w:val="231F20"/>
                <w:sz w:val="14"/>
              </w:rPr>
              <w:t>-2.02</w:t>
            </w:r>
          </w:p>
        </w:tc>
        <w:tc>
          <w:tcPr>
            <w:tcW w:w="191" w:type="dxa"/>
          </w:tcPr>
          <w:p>
            <w:pPr>
              <w:pStyle w:val="TableParagraph"/>
              <w:rPr>
                <w:sz w:val="8"/>
              </w:rPr>
            </w:pPr>
          </w:p>
        </w:tc>
        <w:tc>
          <w:tcPr>
            <w:tcW w:w="641" w:type="dxa"/>
          </w:tcPr>
          <w:p>
            <w:pPr>
              <w:pStyle w:val="TableParagraph"/>
              <w:spacing w:line="120" w:lineRule="exact"/>
              <w:ind w:left="15"/>
              <w:rPr>
                <w:sz w:val="14"/>
              </w:rPr>
            </w:pPr>
            <w:r>
              <w:rPr>
                <w:color w:val="231F20"/>
                <w:sz w:val="14"/>
              </w:rPr>
              <w:t>-0.08</w:t>
            </w:r>
          </w:p>
        </w:tc>
      </w:tr>
      <w:tr>
        <w:trPr>
          <w:trHeight w:val="140" w:hRule="atLeast"/>
        </w:trPr>
        <w:tc>
          <w:tcPr>
            <w:tcW w:w="1584" w:type="dxa"/>
          </w:tcPr>
          <w:p>
            <w:pPr>
              <w:pStyle w:val="TableParagraph"/>
              <w:rPr>
                <w:sz w:val="8"/>
              </w:rPr>
            </w:pPr>
          </w:p>
        </w:tc>
        <w:tc>
          <w:tcPr>
            <w:tcW w:w="1287" w:type="dxa"/>
          </w:tcPr>
          <w:p>
            <w:pPr>
              <w:pStyle w:val="TableParagraph"/>
              <w:spacing w:line="120" w:lineRule="exact"/>
              <w:ind w:left="55"/>
              <w:rPr>
                <w:sz w:val="14"/>
              </w:rPr>
            </w:pPr>
            <w:r>
              <w:rPr>
                <w:color w:val="231F20"/>
                <w:sz w:val="14"/>
              </w:rPr>
              <w:t>Time</w:t>
            </w:r>
          </w:p>
        </w:tc>
        <w:tc>
          <w:tcPr>
            <w:tcW w:w="671" w:type="dxa"/>
          </w:tcPr>
          <w:p>
            <w:pPr>
              <w:pStyle w:val="TableParagraph"/>
              <w:spacing w:line="120" w:lineRule="exact"/>
              <w:ind w:left="7"/>
              <w:rPr>
                <w:sz w:val="14"/>
              </w:rPr>
            </w:pPr>
            <w:r>
              <w:rPr>
                <w:color w:val="231F20"/>
                <w:sz w:val="14"/>
              </w:rPr>
              <w:t>-2.18</w:t>
            </w:r>
          </w:p>
        </w:tc>
        <w:tc>
          <w:tcPr>
            <w:tcW w:w="191" w:type="dxa"/>
          </w:tcPr>
          <w:p>
            <w:pPr>
              <w:pStyle w:val="TableParagraph"/>
              <w:rPr>
                <w:sz w:val="8"/>
              </w:rPr>
            </w:pPr>
          </w:p>
        </w:tc>
        <w:tc>
          <w:tcPr>
            <w:tcW w:w="641" w:type="dxa"/>
          </w:tcPr>
          <w:p>
            <w:pPr>
              <w:pStyle w:val="TableParagraph"/>
              <w:spacing w:line="120" w:lineRule="exact"/>
              <w:ind w:left="15"/>
              <w:rPr>
                <w:sz w:val="14"/>
              </w:rPr>
            </w:pPr>
            <w:r>
              <w:rPr>
                <w:color w:val="231F20"/>
                <w:sz w:val="14"/>
              </w:rPr>
              <w:t>-0.04</w:t>
            </w:r>
          </w:p>
        </w:tc>
      </w:tr>
      <w:tr>
        <w:trPr>
          <w:trHeight w:val="147" w:hRule="atLeast"/>
        </w:trPr>
        <w:tc>
          <w:tcPr>
            <w:tcW w:w="1584" w:type="dxa"/>
          </w:tcPr>
          <w:p>
            <w:pPr>
              <w:pStyle w:val="TableParagraph"/>
              <w:spacing w:line="128" w:lineRule="exact"/>
              <w:ind w:left="50"/>
              <w:rPr>
                <w:sz w:val="14"/>
              </w:rPr>
            </w:pPr>
            <w:r>
              <w:rPr>
                <w:color w:val="231F20"/>
                <w:sz w:val="14"/>
              </w:rPr>
              <w:t>Bank of England repo rate</w:t>
            </w:r>
          </w:p>
        </w:tc>
        <w:tc>
          <w:tcPr>
            <w:tcW w:w="1287" w:type="dxa"/>
          </w:tcPr>
          <w:p>
            <w:pPr>
              <w:pStyle w:val="TableParagraph"/>
              <w:rPr>
                <w:sz w:val="8"/>
              </w:rPr>
            </w:pPr>
          </w:p>
        </w:tc>
        <w:tc>
          <w:tcPr>
            <w:tcW w:w="671" w:type="dxa"/>
          </w:tcPr>
          <w:p>
            <w:pPr>
              <w:pStyle w:val="TableParagraph"/>
              <w:spacing w:line="128" w:lineRule="exact"/>
              <w:ind w:left="7"/>
              <w:rPr>
                <w:sz w:val="14"/>
              </w:rPr>
            </w:pPr>
            <w:r>
              <w:rPr>
                <w:color w:val="231F20"/>
                <w:sz w:val="14"/>
              </w:rPr>
              <w:t>-2.00</w:t>
            </w:r>
          </w:p>
        </w:tc>
        <w:tc>
          <w:tcPr>
            <w:tcW w:w="191" w:type="dxa"/>
          </w:tcPr>
          <w:p>
            <w:pPr>
              <w:pStyle w:val="TableParagraph"/>
              <w:rPr>
                <w:sz w:val="8"/>
              </w:rPr>
            </w:pPr>
          </w:p>
        </w:tc>
        <w:tc>
          <w:tcPr>
            <w:tcW w:w="641" w:type="dxa"/>
          </w:tcPr>
          <w:p>
            <w:pPr>
              <w:pStyle w:val="TableParagraph"/>
              <w:spacing w:line="128" w:lineRule="exact"/>
              <w:ind w:left="15"/>
              <w:rPr>
                <w:sz w:val="14"/>
              </w:rPr>
            </w:pPr>
            <w:r>
              <w:rPr>
                <w:color w:val="231F20"/>
                <w:sz w:val="14"/>
              </w:rPr>
              <w:t>-0.25</w:t>
            </w:r>
          </w:p>
        </w:tc>
      </w:tr>
    </w:tbl>
    <w:p>
      <w:pPr>
        <w:spacing w:before="117"/>
        <w:ind w:left="160" w:right="0" w:firstLine="0"/>
        <w:jc w:val="left"/>
        <w:rPr>
          <w:sz w:val="12"/>
        </w:rPr>
      </w:pPr>
      <w:r>
        <w:rPr>
          <w:color w:val="231F20"/>
          <w:sz w:val="12"/>
        </w:rPr>
        <w:t>Sources: Moneyfacts and Bank of England.</w:t>
      </w:r>
    </w:p>
    <w:p>
      <w:pPr>
        <w:pStyle w:val="BodyText"/>
        <w:spacing w:before="2"/>
        <w:rPr>
          <w:sz w:val="10"/>
        </w:rPr>
      </w:pPr>
    </w:p>
    <w:p>
      <w:pPr>
        <w:spacing w:line="208" w:lineRule="auto" w:before="0"/>
        <w:ind w:left="400" w:right="0" w:hanging="240"/>
        <w:jc w:val="left"/>
        <w:rPr>
          <w:sz w:val="12"/>
        </w:rPr>
      </w:pPr>
      <w:r>
        <w:rPr>
          <w:color w:val="231F20"/>
          <w:sz w:val="12"/>
        </w:rPr>
        <w:t>(a) Cumulative changes are to end April 1999, except that shown for standard variable secured loan rates which is to 5 May 1999.</w:t>
      </w:r>
    </w:p>
    <w:p>
      <w:pPr>
        <w:pStyle w:val="BodyText"/>
        <w:rPr>
          <w:sz w:val="12"/>
        </w:rPr>
      </w:pPr>
    </w:p>
    <w:p>
      <w:pPr>
        <w:pStyle w:val="BodyText"/>
        <w:rPr>
          <w:sz w:val="12"/>
        </w:rPr>
      </w:pPr>
    </w:p>
    <w:p>
      <w:pPr>
        <w:pStyle w:val="BodyText"/>
        <w:rPr>
          <w:sz w:val="12"/>
        </w:rPr>
      </w:pPr>
    </w:p>
    <w:p>
      <w:pPr>
        <w:pStyle w:val="BodyText"/>
        <w:spacing w:before="10"/>
        <w:rPr>
          <w:sz w:val="11"/>
        </w:rPr>
      </w:pPr>
    </w:p>
    <w:p>
      <w:pPr>
        <w:pStyle w:val="Heading4"/>
        <w:spacing w:before="0"/>
        <w:ind w:left="190"/>
      </w:pPr>
      <w:r>
        <w:rPr>
          <w:color w:val="0093C1"/>
        </w:rPr>
        <w:t>Chart 1.11</w:t>
      </w:r>
    </w:p>
    <w:p>
      <w:pPr>
        <w:pStyle w:val="Heading4"/>
        <w:spacing w:line="249" w:lineRule="auto"/>
        <w:ind w:left="190" w:right="1502"/>
      </w:pPr>
      <w:r>
        <w:rPr>
          <w:color w:val="0093C1"/>
        </w:rPr>
        <w:t>Implied distribution for sterling three-month interest rate</w:t>
      </w:r>
    </w:p>
    <w:p>
      <w:pPr>
        <w:pStyle w:val="BodyText"/>
        <w:rPr>
          <w:b/>
        </w:rPr>
      </w:pPr>
    </w:p>
    <w:p>
      <w:pPr>
        <w:tabs>
          <w:tab w:pos="3009" w:val="left" w:leader="none"/>
        </w:tabs>
        <w:spacing w:line="482" w:lineRule="auto" w:before="0"/>
        <w:ind w:left="3438" w:right="769" w:hanging="3188"/>
        <w:jc w:val="right"/>
        <w:rPr>
          <w:sz w:val="12"/>
        </w:rPr>
      </w:pPr>
      <w:r>
        <w:rPr/>
        <w:drawing>
          <wp:anchor distT="0" distB="0" distL="0" distR="0" allowOverlap="1" layoutInCell="1" locked="0" behindDoc="1" simplePos="0" relativeHeight="481978880">
            <wp:simplePos x="0" y="0"/>
            <wp:positionH relativeFrom="page">
              <wp:posOffset>577532</wp:posOffset>
            </wp:positionH>
            <wp:positionV relativeFrom="paragraph">
              <wp:posOffset>266592</wp:posOffset>
            </wp:positionV>
            <wp:extent cx="46989" cy="6350"/>
            <wp:effectExtent l="0" t="0" r="0" b="0"/>
            <wp:wrapNone/>
            <wp:docPr id="37" name="image10.png"/>
            <wp:cNvGraphicFramePr>
              <a:graphicFrameLocks noChangeAspect="1"/>
            </wp:cNvGraphicFramePr>
            <a:graphic>
              <a:graphicData uri="http://schemas.openxmlformats.org/drawingml/2006/picture">
                <pic:pic>
                  <pic:nvPicPr>
                    <pic:cNvPr id="38" name="image10.png"/>
                    <pic:cNvPicPr/>
                  </pic:nvPicPr>
                  <pic:blipFill>
                    <a:blip r:embed="rId37" cstate="print"/>
                    <a:stretch>
                      <a:fillRect/>
                    </a:stretch>
                  </pic:blipFill>
                  <pic:spPr>
                    <a:xfrm>
                      <a:off x="0" y="0"/>
                      <a:ext cx="46989" cy="6350"/>
                    </a:xfrm>
                    <a:prstGeom prst="rect">
                      <a:avLst/>
                    </a:prstGeom>
                  </pic:spPr>
                </pic:pic>
              </a:graphicData>
            </a:graphic>
          </wp:anchor>
        </w:drawing>
      </w:r>
      <w:r>
        <w:rPr/>
        <w:drawing>
          <wp:anchor distT="0" distB="0" distL="0" distR="0" allowOverlap="1" layoutInCell="1" locked="0" behindDoc="1" simplePos="0" relativeHeight="481979904">
            <wp:simplePos x="0" y="0"/>
            <wp:positionH relativeFrom="page">
              <wp:posOffset>2522334</wp:posOffset>
            </wp:positionH>
            <wp:positionV relativeFrom="paragraph">
              <wp:posOffset>266592</wp:posOffset>
            </wp:positionV>
            <wp:extent cx="46989" cy="6350"/>
            <wp:effectExtent l="0" t="0" r="0" b="0"/>
            <wp:wrapNone/>
            <wp:docPr id="39" name="image11.png"/>
            <wp:cNvGraphicFramePr>
              <a:graphicFrameLocks noChangeAspect="1"/>
            </wp:cNvGraphicFramePr>
            <a:graphic>
              <a:graphicData uri="http://schemas.openxmlformats.org/drawingml/2006/picture">
                <pic:pic>
                  <pic:nvPicPr>
                    <pic:cNvPr id="40" name="image11.png"/>
                    <pic:cNvPicPr/>
                  </pic:nvPicPr>
                  <pic:blipFill>
                    <a:blip r:embed="rId38" cstate="print"/>
                    <a:stretch>
                      <a:fillRect/>
                    </a:stretch>
                  </pic:blipFill>
                  <pic:spPr>
                    <a:xfrm>
                      <a:off x="0" y="0"/>
                      <a:ext cx="46989" cy="6350"/>
                    </a:xfrm>
                    <a:prstGeom prst="rect">
                      <a:avLst/>
                    </a:prstGeom>
                  </pic:spPr>
                </pic:pic>
              </a:graphicData>
            </a:graphic>
          </wp:anchor>
        </w:drawing>
      </w:r>
      <w:r>
        <w:rPr/>
        <w:drawing>
          <wp:anchor distT="0" distB="0" distL="0" distR="0" allowOverlap="1" layoutInCell="1" locked="0" behindDoc="1" simplePos="0" relativeHeight="481980928">
            <wp:simplePos x="0" y="0"/>
            <wp:positionH relativeFrom="page">
              <wp:posOffset>572769</wp:posOffset>
            </wp:positionH>
            <wp:positionV relativeFrom="paragraph">
              <wp:posOffset>91332</wp:posOffset>
            </wp:positionV>
            <wp:extent cx="46989" cy="6350"/>
            <wp:effectExtent l="0" t="0" r="0" b="0"/>
            <wp:wrapNone/>
            <wp:docPr id="41" name="image12.png"/>
            <wp:cNvGraphicFramePr>
              <a:graphicFrameLocks noChangeAspect="1"/>
            </wp:cNvGraphicFramePr>
            <a:graphic>
              <a:graphicData uri="http://schemas.openxmlformats.org/drawingml/2006/picture">
                <pic:pic>
                  <pic:nvPicPr>
                    <pic:cNvPr id="42" name="image12.png"/>
                    <pic:cNvPicPr/>
                  </pic:nvPicPr>
                  <pic:blipFill>
                    <a:blip r:embed="rId39" cstate="print"/>
                    <a:stretch>
                      <a:fillRect/>
                    </a:stretch>
                  </pic:blipFill>
                  <pic:spPr>
                    <a:xfrm>
                      <a:off x="0" y="0"/>
                      <a:ext cx="46989" cy="6350"/>
                    </a:xfrm>
                    <a:prstGeom prst="rect">
                      <a:avLst/>
                    </a:prstGeom>
                  </pic:spPr>
                </pic:pic>
              </a:graphicData>
            </a:graphic>
          </wp:anchor>
        </w:drawing>
      </w:r>
      <w:r>
        <w:rPr/>
        <w:drawing>
          <wp:anchor distT="0" distB="0" distL="0" distR="0" allowOverlap="1" layoutInCell="1" locked="0" behindDoc="1" simplePos="0" relativeHeight="481981440">
            <wp:simplePos x="0" y="0"/>
            <wp:positionH relativeFrom="page">
              <wp:posOffset>2520746</wp:posOffset>
            </wp:positionH>
            <wp:positionV relativeFrom="paragraph">
              <wp:posOffset>91332</wp:posOffset>
            </wp:positionV>
            <wp:extent cx="46989" cy="6350"/>
            <wp:effectExtent l="0" t="0" r="0" b="0"/>
            <wp:wrapNone/>
            <wp:docPr id="43" name="image12.png"/>
            <wp:cNvGraphicFramePr>
              <a:graphicFrameLocks noChangeAspect="1"/>
            </wp:cNvGraphicFramePr>
            <a:graphic>
              <a:graphicData uri="http://schemas.openxmlformats.org/drawingml/2006/picture">
                <pic:pic>
                  <pic:nvPicPr>
                    <pic:cNvPr id="44" name="image12.png"/>
                    <pic:cNvPicPr/>
                  </pic:nvPicPr>
                  <pic:blipFill>
                    <a:blip r:embed="rId39" cstate="print"/>
                    <a:stretch>
                      <a:fillRect/>
                    </a:stretch>
                  </pic:blipFill>
                  <pic:spPr>
                    <a:xfrm>
                      <a:off x="0" y="0"/>
                      <a:ext cx="46989" cy="6350"/>
                    </a:xfrm>
                    <a:prstGeom prst="rect">
                      <a:avLst/>
                    </a:prstGeom>
                  </pic:spPr>
                </pic:pic>
              </a:graphicData>
            </a:graphic>
          </wp:anchor>
        </w:drawing>
      </w:r>
      <w:r>
        <w:rPr>
          <w:color w:val="231F20"/>
          <w:sz w:val="12"/>
        </w:rPr>
        <w:t>Expectations as at c.o.b. 5 May 1999</w:t>
        <w:tab/>
        <w:t>Per cent</w:t>
      </w:r>
      <w:r>
        <w:rPr>
          <w:color w:val="231F20"/>
          <w:spacing w:val="10"/>
          <w:sz w:val="12"/>
        </w:rPr>
        <w:t> </w:t>
      </w:r>
      <w:r>
        <w:rPr>
          <w:color w:val="231F20"/>
          <w:spacing w:val="-4"/>
          <w:position w:val="-5"/>
          <w:sz w:val="12"/>
        </w:rPr>
        <w:t>8.75</w:t>
      </w:r>
      <w:r>
        <w:rPr>
          <w:color w:val="231F20"/>
          <w:position w:val="-5"/>
          <w:sz w:val="12"/>
        </w:rPr>
        <w:t> </w:t>
      </w:r>
      <w:r>
        <w:rPr>
          <w:color w:val="231F20"/>
          <w:sz w:val="12"/>
        </w:rPr>
        <w:t>8.25</w:t>
      </w:r>
    </w:p>
    <w:p>
      <w:pPr>
        <w:spacing w:line="133" w:lineRule="exact" w:before="0"/>
        <w:ind w:left="3438" w:right="0" w:firstLine="0"/>
        <w:jc w:val="left"/>
        <w:rPr>
          <w:sz w:val="12"/>
        </w:rPr>
      </w:pPr>
      <w:r>
        <w:rPr/>
        <w:pict>
          <v:group style="position:absolute;margin-left:45.474998pt;margin-top:3.872925pt;width:156.85pt;height:100.5pt;mso-position-horizontal-relative:page;mso-position-vertical-relative:paragraph;z-index:15795712" coordorigin="909,77" coordsize="3137,2010">
            <v:shape style="position:absolute;left:910;top:82;width:3136;height:2005" type="#_x0000_t75" stroked="false">
              <v:imagedata r:id="rId40" o:title=""/>
            </v:shape>
            <v:shape style="position:absolute;left:914;top:1983;width:74;height:10" type="#_x0000_t75" stroked="false">
              <v:imagedata r:id="rId37" o:title=""/>
            </v:shape>
            <v:shape style="position:absolute;left:914;top:1711;width:74;height:10" type="#_x0000_t75" stroked="false">
              <v:imagedata r:id="rId39" o:title=""/>
            </v:shape>
            <v:shape style="position:absolute;left:914;top:1439;width:74;height:10" type="#_x0000_t75" stroked="false">
              <v:imagedata r:id="rId37" o:title=""/>
            </v:shape>
            <v:shape style="position:absolute;left:914;top:1166;width:74;height:10" type="#_x0000_t75" stroked="false">
              <v:imagedata r:id="rId37" o:title=""/>
            </v:shape>
            <v:shape style="position:absolute;left:914;top:894;width:74;height:10" type="#_x0000_t75" stroked="false">
              <v:imagedata r:id="rId39" o:title=""/>
            </v:shape>
            <v:shape style="position:absolute;left:909;top:349;width:74;height:10" type="#_x0000_t75" stroked="false">
              <v:imagedata r:id="rId37" o:title=""/>
            </v:shape>
            <v:shape style="position:absolute;left:909;top:77;width:74;height:10" type="#_x0000_t75" stroked="false">
              <v:imagedata r:id="rId39" o:title=""/>
            </v:shape>
            <v:shape style="position:absolute;left:3972;top:349;width:74;height:10" type="#_x0000_t75" stroked="false">
              <v:imagedata r:id="rId38" o:title=""/>
            </v:shape>
            <v:shape style="position:absolute;left:3972;top:77;width:74;height:10" type="#_x0000_t75" stroked="false">
              <v:imagedata r:id="rId41" o:title=""/>
            </v:shape>
            <w10:wrap type="none"/>
          </v:group>
        </w:pict>
      </w:r>
      <w:r>
        <w:rPr>
          <w:color w:val="231F20"/>
          <w:sz w:val="12"/>
        </w:rPr>
        <w:t>7.75</w:t>
      </w:r>
    </w:p>
    <w:p>
      <w:pPr>
        <w:pStyle w:val="BodyText"/>
        <w:spacing w:before="8"/>
        <w:rPr>
          <w:sz w:val="11"/>
        </w:rPr>
      </w:pPr>
    </w:p>
    <w:p>
      <w:pPr>
        <w:spacing w:before="0"/>
        <w:ind w:left="0" w:right="771" w:firstLine="0"/>
        <w:jc w:val="right"/>
        <w:rPr>
          <w:sz w:val="12"/>
        </w:rPr>
      </w:pPr>
      <w:r>
        <w:rPr>
          <w:color w:val="231F20"/>
          <w:sz w:val="12"/>
        </w:rPr>
        <w:t>7.25</w:t>
      </w:r>
    </w:p>
    <w:p>
      <w:pPr>
        <w:pStyle w:val="BodyText"/>
        <w:spacing w:before="8"/>
        <w:rPr>
          <w:sz w:val="11"/>
        </w:rPr>
      </w:pPr>
    </w:p>
    <w:p>
      <w:pPr>
        <w:spacing w:before="0"/>
        <w:ind w:left="0" w:right="771" w:firstLine="0"/>
        <w:jc w:val="right"/>
        <w:rPr>
          <w:sz w:val="12"/>
        </w:rPr>
      </w:pPr>
      <w:r>
        <w:rPr>
          <w:color w:val="231F20"/>
          <w:sz w:val="12"/>
        </w:rPr>
        <w:t>6.75</w:t>
      </w:r>
    </w:p>
    <w:p>
      <w:pPr>
        <w:pStyle w:val="BodyText"/>
        <w:spacing w:before="8"/>
        <w:rPr>
          <w:sz w:val="11"/>
        </w:rPr>
      </w:pPr>
    </w:p>
    <w:p>
      <w:pPr>
        <w:spacing w:before="0"/>
        <w:ind w:left="0" w:right="771" w:firstLine="0"/>
        <w:jc w:val="right"/>
        <w:rPr>
          <w:sz w:val="12"/>
        </w:rPr>
      </w:pPr>
      <w:r>
        <w:rPr>
          <w:color w:val="231F20"/>
          <w:sz w:val="12"/>
        </w:rPr>
        <w:t>6.25</w:t>
      </w:r>
    </w:p>
    <w:p>
      <w:pPr>
        <w:pStyle w:val="BodyText"/>
        <w:spacing w:before="7"/>
        <w:rPr>
          <w:sz w:val="11"/>
        </w:rPr>
      </w:pPr>
    </w:p>
    <w:p>
      <w:pPr>
        <w:spacing w:before="1"/>
        <w:ind w:left="0" w:right="771" w:firstLine="0"/>
        <w:jc w:val="right"/>
        <w:rPr>
          <w:sz w:val="12"/>
        </w:rPr>
      </w:pPr>
      <w:r>
        <w:rPr>
          <w:color w:val="231F20"/>
          <w:sz w:val="12"/>
        </w:rPr>
        <w:t>5.75</w:t>
      </w:r>
    </w:p>
    <w:p>
      <w:pPr>
        <w:pStyle w:val="BodyText"/>
        <w:spacing w:before="7"/>
        <w:rPr>
          <w:sz w:val="11"/>
        </w:rPr>
      </w:pPr>
    </w:p>
    <w:p>
      <w:pPr>
        <w:spacing w:before="1"/>
        <w:ind w:left="0" w:right="771" w:firstLine="0"/>
        <w:jc w:val="right"/>
        <w:rPr>
          <w:sz w:val="12"/>
        </w:rPr>
      </w:pPr>
      <w:r>
        <w:rPr>
          <w:color w:val="231F20"/>
          <w:sz w:val="12"/>
        </w:rPr>
        <w:t>5.25</w:t>
      </w:r>
    </w:p>
    <w:p>
      <w:pPr>
        <w:pStyle w:val="BodyText"/>
        <w:spacing w:before="7"/>
        <w:rPr>
          <w:sz w:val="11"/>
        </w:rPr>
      </w:pPr>
    </w:p>
    <w:p>
      <w:pPr>
        <w:spacing w:before="0"/>
        <w:ind w:left="0" w:right="771" w:firstLine="0"/>
        <w:jc w:val="right"/>
        <w:rPr>
          <w:sz w:val="12"/>
        </w:rPr>
      </w:pPr>
      <w:r>
        <w:rPr>
          <w:color w:val="231F20"/>
          <w:sz w:val="12"/>
        </w:rPr>
        <w:t>4.75</w:t>
      </w:r>
    </w:p>
    <w:p>
      <w:pPr>
        <w:pStyle w:val="BodyText"/>
        <w:spacing w:before="8"/>
        <w:rPr>
          <w:sz w:val="11"/>
        </w:rPr>
      </w:pPr>
    </w:p>
    <w:p>
      <w:pPr>
        <w:spacing w:before="0"/>
        <w:ind w:left="0" w:right="771" w:firstLine="0"/>
        <w:jc w:val="right"/>
        <w:rPr>
          <w:sz w:val="12"/>
        </w:rPr>
      </w:pPr>
      <w:r>
        <w:rPr>
          <w:color w:val="231F20"/>
          <w:sz w:val="12"/>
        </w:rPr>
        <w:t>4.25</w:t>
      </w:r>
    </w:p>
    <w:p>
      <w:pPr>
        <w:pStyle w:val="BodyText"/>
        <w:spacing w:before="8"/>
        <w:rPr>
          <w:sz w:val="11"/>
        </w:rPr>
      </w:pPr>
    </w:p>
    <w:p>
      <w:pPr>
        <w:spacing w:before="0"/>
        <w:ind w:left="0" w:right="771" w:firstLine="0"/>
        <w:jc w:val="right"/>
        <w:rPr>
          <w:sz w:val="12"/>
        </w:rPr>
      </w:pPr>
      <w:r>
        <w:rPr/>
        <w:drawing>
          <wp:anchor distT="0" distB="0" distL="0" distR="0" allowOverlap="1" layoutInCell="1" locked="0" behindDoc="0" simplePos="0" relativeHeight="15796224">
            <wp:simplePos x="0" y="0"/>
            <wp:positionH relativeFrom="page">
              <wp:posOffset>580707</wp:posOffset>
            </wp:positionH>
            <wp:positionV relativeFrom="paragraph">
              <wp:posOffset>52178</wp:posOffset>
            </wp:positionV>
            <wp:extent cx="46989" cy="6350"/>
            <wp:effectExtent l="0" t="0" r="0" b="0"/>
            <wp:wrapNone/>
            <wp:docPr id="45" name="image10.png"/>
            <wp:cNvGraphicFramePr>
              <a:graphicFrameLocks noChangeAspect="1"/>
            </wp:cNvGraphicFramePr>
            <a:graphic>
              <a:graphicData uri="http://schemas.openxmlformats.org/drawingml/2006/picture">
                <pic:pic>
                  <pic:nvPicPr>
                    <pic:cNvPr id="46" name="image10.png"/>
                    <pic:cNvPicPr/>
                  </pic:nvPicPr>
                  <pic:blipFill>
                    <a:blip r:embed="rId37" cstate="print"/>
                    <a:stretch>
                      <a:fillRect/>
                    </a:stretch>
                  </pic:blipFill>
                  <pic:spPr>
                    <a:xfrm>
                      <a:off x="0" y="0"/>
                      <a:ext cx="46989" cy="6350"/>
                    </a:xfrm>
                    <a:prstGeom prst="rect">
                      <a:avLst/>
                    </a:prstGeom>
                  </pic:spPr>
                </pic:pic>
              </a:graphicData>
            </a:graphic>
          </wp:anchor>
        </w:drawing>
      </w:r>
      <w:r>
        <w:rPr/>
        <w:drawing>
          <wp:anchor distT="0" distB="0" distL="0" distR="0" allowOverlap="1" layoutInCell="1" locked="0" behindDoc="0" simplePos="0" relativeHeight="15797248">
            <wp:simplePos x="0" y="0"/>
            <wp:positionH relativeFrom="page">
              <wp:posOffset>2522334</wp:posOffset>
            </wp:positionH>
            <wp:positionV relativeFrom="paragraph">
              <wp:posOffset>52178</wp:posOffset>
            </wp:positionV>
            <wp:extent cx="46989" cy="6350"/>
            <wp:effectExtent l="0" t="0" r="0" b="0"/>
            <wp:wrapNone/>
            <wp:docPr id="47" name="image11.png"/>
            <wp:cNvGraphicFramePr>
              <a:graphicFrameLocks noChangeAspect="1"/>
            </wp:cNvGraphicFramePr>
            <a:graphic>
              <a:graphicData uri="http://schemas.openxmlformats.org/drawingml/2006/picture">
                <pic:pic>
                  <pic:nvPicPr>
                    <pic:cNvPr id="48" name="image11.png"/>
                    <pic:cNvPicPr/>
                  </pic:nvPicPr>
                  <pic:blipFill>
                    <a:blip r:embed="rId38" cstate="print"/>
                    <a:stretch>
                      <a:fillRect/>
                    </a:stretch>
                  </pic:blipFill>
                  <pic:spPr>
                    <a:xfrm>
                      <a:off x="0" y="0"/>
                      <a:ext cx="46989" cy="6350"/>
                    </a:xfrm>
                    <a:prstGeom prst="rect">
                      <a:avLst/>
                    </a:prstGeom>
                  </pic:spPr>
                </pic:pic>
              </a:graphicData>
            </a:graphic>
          </wp:anchor>
        </w:drawing>
      </w:r>
      <w:r>
        <w:rPr>
          <w:color w:val="231F20"/>
          <w:sz w:val="12"/>
        </w:rPr>
        <w:t>3.75</w:t>
      </w:r>
    </w:p>
    <w:p>
      <w:pPr>
        <w:pStyle w:val="BodyText"/>
        <w:spacing w:before="8"/>
        <w:rPr>
          <w:sz w:val="11"/>
        </w:rPr>
      </w:pPr>
    </w:p>
    <w:p>
      <w:pPr>
        <w:spacing w:line="106" w:lineRule="exact" w:before="0"/>
        <w:ind w:left="3438" w:right="0" w:firstLine="0"/>
        <w:jc w:val="left"/>
        <w:rPr>
          <w:sz w:val="12"/>
        </w:rPr>
      </w:pPr>
      <w:r>
        <w:rPr/>
        <w:drawing>
          <wp:anchor distT="0" distB="0" distL="0" distR="0" allowOverlap="1" layoutInCell="1" locked="0" behindDoc="0" simplePos="0" relativeHeight="15798272">
            <wp:simplePos x="0" y="0"/>
            <wp:positionH relativeFrom="page">
              <wp:posOffset>578599</wp:posOffset>
            </wp:positionH>
            <wp:positionV relativeFrom="paragraph">
              <wp:posOffset>52165</wp:posOffset>
            </wp:positionV>
            <wp:extent cx="2006600" cy="85902"/>
            <wp:effectExtent l="0" t="0" r="0" b="0"/>
            <wp:wrapNone/>
            <wp:docPr id="49" name="image15.png"/>
            <wp:cNvGraphicFramePr>
              <a:graphicFrameLocks noChangeAspect="1"/>
            </wp:cNvGraphicFramePr>
            <a:graphic>
              <a:graphicData uri="http://schemas.openxmlformats.org/drawingml/2006/picture">
                <pic:pic>
                  <pic:nvPicPr>
                    <pic:cNvPr id="50" name="image15.png"/>
                    <pic:cNvPicPr/>
                  </pic:nvPicPr>
                  <pic:blipFill>
                    <a:blip r:embed="rId42" cstate="print"/>
                    <a:stretch>
                      <a:fillRect/>
                    </a:stretch>
                  </pic:blipFill>
                  <pic:spPr>
                    <a:xfrm>
                      <a:off x="0" y="0"/>
                      <a:ext cx="2006600" cy="85902"/>
                    </a:xfrm>
                    <a:prstGeom prst="rect">
                      <a:avLst/>
                    </a:prstGeom>
                  </pic:spPr>
                </pic:pic>
              </a:graphicData>
            </a:graphic>
          </wp:anchor>
        </w:drawing>
      </w:r>
      <w:r>
        <w:rPr>
          <w:color w:val="231F20"/>
          <w:sz w:val="12"/>
        </w:rPr>
        <w:t>3.25</w:t>
      </w:r>
    </w:p>
    <w:p>
      <w:pPr>
        <w:pStyle w:val="Heading1"/>
        <w:tabs>
          <w:tab w:pos="1892" w:val="left" w:leader="none"/>
          <w:tab w:pos="5672" w:val="left" w:leader="none"/>
        </w:tabs>
        <w:ind w:left="152"/>
      </w:pPr>
      <w:r>
        <w:rPr>
          <w:b w:val="0"/>
        </w:rPr>
        <w:br w:type="column"/>
      </w:r>
      <w:r>
        <w:rPr>
          <w:color w:val="009483"/>
          <w:u w:val="thick" w:color="0093C1"/>
        </w:rPr>
        <w:t>1.2</w:t>
        <w:tab/>
        <w:t>Interest rates and asset</w:t>
      </w:r>
      <w:r>
        <w:rPr>
          <w:color w:val="009483"/>
          <w:spacing w:val="-6"/>
          <w:u w:val="thick" w:color="0093C1"/>
        </w:rPr>
        <w:t> </w:t>
      </w:r>
      <w:r>
        <w:rPr>
          <w:color w:val="009483"/>
          <w:u w:val="thick" w:color="0093C1"/>
        </w:rPr>
        <w:t>prices</w:t>
        <w:tab/>
      </w:r>
    </w:p>
    <w:p>
      <w:pPr>
        <w:pStyle w:val="Heading2"/>
        <w:spacing w:before="260"/>
        <w:rPr>
          <w:i/>
        </w:rPr>
      </w:pPr>
      <w:r>
        <w:rPr>
          <w:i/>
          <w:color w:val="009483"/>
        </w:rPr>
        <w:t>Short-term interest rates</w:t>
      </w:r>
    </w:p>
    <w:p>
      <w:pPr>
        <w:spacing w:before="164"/>
        <w:ind w:left="152" w:right="0" w:firstLine="0"/>
        <w:jc w:val="left"/>
        <w:rPr>
          <w:sz w:val="24"/>
        </w:rPr>
      </w:pPr>
      <w:r>
        <w:rPr>
          <w:color w:val="231F20"/>
          <w:sz w:val="24"/>
        </w:rPr>
        <w:t>Short-term official interest rates have been reduced by</w:t>
      </w:r>
    </w:p>
    <w:p>
      <w:pPr>
        <w:spacing w:line="242" w:lineRule="auto" w:before="4"/>
        <w:ind w:left="152" w:right="819" w:firstLine="0"/>
        <w:jc w:val="left"/>
        <w:rPr>
          <w:sz w:val="24"/>
        </w:rPr>
      </w:pPr>
      <w:r>
        <w:rPr>
          <w:color w:val="231F20"/>
          <w:sz w:val="24"/>
        </w:rPr>
        <w:t>2.25 percentage points since October 1998. The short-run impact of changes in monetary policy on</w:t>
      </w:r>
    </w:p>
    <w:p>
      <w:pPr>
        <w:spacing w:line="242" w:lineRule="auto" w:before="3"/>
        <w:ind w:left="152" w:right="275" w:firstLine="0"/>
        <w:jc w:val="left"/>
        <w:rPr>
          <w:sz w:val="24"/>
        </w:rPr>
      </w:pPr>
      <w:r>
        <w:rPr>
          <w:color w:val="231F20"/>
          <w:sz w:val="24"/>
        </w:rPr>
        <w:t>aggregate demand and the exchange rate will depend on a number of factors. These include the extent to which changes in the central bank’s official short-term interest rate were anticipated and the speed with which they are passed on to consumers and firms.</w:t>
      </w:r>
      <w:r>
        <w:rPr>
          <w:color w:val="231F20"/>
          <w:position w:val="5"/>
          <w:sz w:val="16"/>
        </w:rPr>
        <w:t>(1) </w:t>
      </w:r>
      <w:r>
        <w:rPr>
          <w:color w:val="231F20"/>
          <w:sz w:val="24"/>
        </w:rPr>
        <w:t>Short-term administered rates, such as mortgage and deposit rates, generally respond fully to changes in official interest rates, but there can be significant time-lags (see</w:t>
      </w:r>
    </w:p>
    <w:p>
      <w:pPr>
        <w:spacing w:line="242" w:lineRule="auto" w:before="10"/>
        <w:ind w:left="152" w:right="295" w:firstLine="0"/>
        <w:jc w:val="left"/>
        <w:rPr>
          <w:sz w:val="24"/>
        </w:rPr>
      </w:pPr>
      <w:r>
        <w:rPr>
          <w:color w:val="231F20"/>
          <w:sz w:val="24"/>
        </w:rPr>
        <w:t>Chart 1.10). The pass-through of the interest rate cut of 8 April has so far been less than complete (see</w:t>
      </w:r>
    </w:p>
    <w:p>
      <w:pPr>
        <w:spacing w:line="242" w:lineRule="auto" w:before="3"/>
        <w:ind w:left="152" w:right="927" w:firstLine="0"/>
        <w:jc w:val="left"/>
        <w:rPr>
          <w:sz w:val="24"/>
        </w:rPr>
      </w:pPr>
      <w:r>
        <w:rPr>
          <w:color w:val="231F20"/>
          <w:sz w:val="24"/>
        </w:rPr>
        <w:t>Table 1.B), in contrast to the other cuts since the beginning of October which were passed through relatively quickly.</w:t>
      </w:r>
    </w:p>
    <w:p>
      <w:pPr>
        <w:pStyle w:val="BodyText"/>
        <w:spacing w:before="10"/>
        <w:rPr>
          <w:sz w:val="22"/>
        </w:rPr>
      </w:pPr>
    </w:p>
    <w:p>
      <w:pPr>
        <w:spacing w:before="0"/>
        <w:ind w:left="152" w:right="0" w:firstLine="0"/>
        <w:jc w:val="left"/>
        <w:rPr>
          <w:sz w:val="24"/>
        </w:rPr>
      </w:pPr>
      <w:r>
        <w:rPr>
          <w:color w:val="231F20"/>
          <w:sz w:val="24"/>
        </w:rPr>
        <w:t>Risk-neutral probability distributions of expected</w:t>
      </w:r>
    </w:p>
    <w:p>
      <w:pPr>
        <w:spacing w:line="242" w:lineRule="auto" w:before="5"/>
        <w:ind w:left="152" w:right="161" w:firstLine="0"/>
        <w:jc w:val="left"/>
        <w:rPr>
          <w:sz w:val="24"/>
        </w:rPr>
      </w:pPr>
      <w:r>
        <w:rPr>
          <w:color w:val="231F20"/>
          <w:sz w:val="24"/>
        </w:rPr>
        <w:t>three-month market rates derived from options prices on 5 May are shown in Chart 1.11. Uncertainty about the likely path of interest rates over the next year, as measured by the width of the blue fan, has narrowed a little on the downside since the February </w:t>
      </w:r>
      <w:r>
        <w:rPr>
          <w:i/>
          <w:color w:val="231F20"/>
          <w:sz w:val="24"/>
        </w:rPr>
        <w:t>Report</w:t>
      </w:r>
      <w:r>
        <w:rPr>
          <w:color w:val="231F20"/>
          <w:sz w:val="24"/>
        </w:rPr>
        <w:t>. Market expectations for the most likely outcome shown by the darkest blue band were, on balance, for rates to remain close to their current level, though there were some expectations of a rise in 2000.</w:t>
      </w:r>
    </w:p>
    <w:p>
      <w:pPr>
        <w:pStyle w:val="BodyText"/>
        <w:spacing w:before="6"/>
        <w:rPr>
          <w:sz w:val="23"/>
        </w:rPr>
      </w:pPr>
    </w:p>
    <w:p>
      <w:pPr>
        <w:spacing w:before="0"/>
        <w:ind w:left="152" w:right="0" w:firstLine="0"/>
        <w:jc w:val="left"/>
        <w:rPr>
          <w:sz w:val="24"/>
        </w:rPr>
      </w:pPr>
      <w:r>
        <w:rPr>
          <w:color w:val="231F20"/>
          <w:sz w:val="24"/>
        </w:rPr>
        <w:t>The European Central Bank cut its refinancing rate by</w:t>
      </w:r>
    </w:p>
    <w:p>
      <w:pPr>
        <w:spacing w:line="242" w:lineRule="auto" w:before="4"/>
        <w:ind w:left="152" w:right="295" w:firstLine="0"/>
        <w:jc w:val="left"/>
        <w:rPr>
          <w:sz w:val="24"/>
        </w:rPr>
      </w:pPr>
      <w:r>
        <w:rPr>
          <w:color w:val="231F20"/>
          <w:sz w:val="24"/>
        </w:rPr>
        <w:t>0.5 percentage points to 2.5% on 8 April. The market expects short-term rates in the euro area to remain close to their current level over the next year. The Bank of Japan cut its official target rate, the overnight call rate, by 0.1 percentage points to 0.15% on 12 February, and by a further 0.12 percentage points to 0.03% on</w:t>
      </w:r>
    </w:p>
    <w:p>
      <w:pPr>
        <w:spacing w:line="242" w:lineRule="auto" w:before="8"/>
        <w:ind w:left="152" w:right="0" w:firstLine="0"/>
        <w:jc w:val="left"/>
        <w:rPr>
          <w:sz w:val="24"/>
        </w:rPr>
      </w:pPr>
      <w:r>
        <w:rPr>
          <w:color w:val="231F20"/>
          <w:sz w:val="24"/>
        </w:rPr>
        <w:t>4 March. The US Federal Reserve has not changed rates since November.</w:t>
      </w:r>
    </w:p>
    <w:p>
      <w:pPr>
        <w:pStyle w:val="BodyText"/>
        <w:spacing w:before="6"/>
        <w:rPr>
          <w:sz w:val="24"/>
        </w:rPr>
      </w:pPr>
    </w:p>
    <w:p>
      <w:pPr>
        <w:pStyle w:val="Heading2"/>
        <w:rPr>
          <w:i/>
        </w:rPr>
      </w:pPr>
      <w:r>
        <w:rPr>
          <w:i/>
          <w:color w:val="009483"/>
        </w:rPr>
        <w:t>Long-term interest rates</w:t>
      </w:r>
    </w:p>
    <w:p>
      <w:pPr>
        <w:spacing w:line="242" w:lineRule="auto" w:before="164"/>
        <w:ind w:left="152" w:right="274" w:firstLine="0"/>
        <w:jc w:val="left"/>
        <w:rPr>
          <w:sz w:val="24"/>
        </w:rPr>
      </w:pPr>
      <w:r>
        <w:rPr>
          <w:color w:val="231F20"/>
          <w:sz w:val="24"/>
        </w:rPr>
        <w:t>Nominal yields on UK government bonds at all maturities have fallen substantially since 1996, but have</w:t>
      </w:r>
    </w:p>
    <w:p>
      <w:pPr>
        <w:spacing w:after="0" w:line="242" w:lineRule="auto"/>
        <w:jc w:val="left"/>
        <w:rPr>
          <w:sz w:val="24"/>
        </w:rPr>
        <w:sectPr>
          <w:type w:val="continuous"/>
          <w:pgSz w:w="11900" w:h="16840"/>
          <w:pgMar w:top="1220" w:bottom="280" w:left="640" w:right="640"/>
          <w:cols w:num="2" w:equalWidth="0">
            <w:col w:w="4423" w:space="365"/>
            <w:col w:w="5832"/>
          </w:cols>
        </w:sectPr>
      </w:pPr>
    </w:p>
    <w:p>
      <w:pPr>
        <w:pStyle w:val="BodyText"/>
        <w:spacing w:before="4"/>
        <w:rPr>
          <w:sz w:val="9"/>
        </w:rPr>
      </w:pPr>
    </w:p>
    <w:p>
      <w:pPr>
        <w:tabs>
          <w:tab w:pos="1145" w:val="left" w:leader="none"/>
          <w:tab w:pos="1705" w:val="left" w:leader="none"/>
          <w:tab w:pos="2260" w:val="left" w:leader="none"/>
          <w:tab w:pos="2840" w:val="left" w:leader="none"/>
        </w:tabs>
        <w:spacing w:before="1"/>
        <w:ind w:left="545" w:right="0" w:firstLine="0"/>
        <w:jc w:val="left"/>
        <w:rPr>
          <w:sz w:val="12"/>
        </w:rPr>
      </w:pPr>
      <w:r>
        <w:rPr>
          <w:color w:val="231F20"/>
          <w:sz w:val="12"/>
        </w:rPr>
        <w:t>1995</w:t>
        <w:tab/>
        <w:t>96</w:t>
        <w:tab/>
        <w:t>97</w:t>
        <w:tab/>
        <w:t>98</w:t>
        <w:tab/>
      </w:r>
      <w:r>
        <w:rPr>
          <w:color w:val="231F20"/>
          <w:spacing w:val="-10"/>
          <w:sz w:val="12"/>
        </w:rPr>
        <w:t>99</w:t>
      </w:r>
    </w:p>
    <w:p>
      <w:pPr>
        <w:pStyle w:val="BodyText"/>
        <w:spacing w:before="8"/>
        <w:rPr>
          <w:sz w:val="15"/>
        </w:rPr>
      </w:pPr>
    </w:p>
    <w:p>
      <w:pPr>
        <w:spacing w:line="133" w:lineRule="exact" w:before="0"/>
        <w:ind w:left="160" w:right="0" w:firstLine="0"/>
        <w:jc w:val="left"/>
        <w:rPr>
          <w:sz w:val="12"/>
        </w:rPr>
      </w:pPr>
      <w:r>
        <w:rPr>
          <w:color w:val="231F20"/>
          <w:sz w:val="12"/>
        </w:rPr>
        <w:t>Sources: LIFFE and Bank of England.</w:t>
      </w:r>
    </w:p>
    <w:p>
      <w:pPr>
        <w:spacing w:line="117" w:lineRule="exact" w:before="12"/>
        <w:ind w:left="418" w:right="0" w:firstLine="0"/>
        <w:jc w:val="left"/>
        <w:rPr>
          <w:sz w:val="12"/>
        </w:rPr>
      </w:pPr>
      <w:r>
        <w:rPr/>
        <w:br w:type="column"/>
      </w:r>
      <w:r>
        <w:rPr>
          <w:color w:val="231F20"/>
          <w:sz w:val="12"/>
        </w:rPr>
        <w:t>0.00</w:t>
      </w:r>
    </w:p>
    <w:p>
      <w:pPr>
        <w:spacing w:line="117" w:lineRule="exact" w:before="0"/>
        <w:ind w:left="160" w:right="0" w:firstLine="0"/>
        <w:jc w:val="left"/>
        <w:rPr>
          <w:sz w:val="12"/>
        </w:rPr>
      </w:pPr>
      <w:r>
        <w:rPr>
          <w:color w:val="231F20"/>
          <w:sz w:val="12"/>
        </w:rPr>
        <w:t>2000</w:t>
      </w:r>
    </w:p>
    <w:p>
      <w:pPr>
        <w:spacing w:line="242" w:lineRule="auto" w:before="0"/>
        <w:ind w:left="160" w:right="426" w:firstLine="0"/>
        <w:jc w:val="left"/>
        <w:rPr>
          <w:sz w:val="24"/>
        </w:rPr>
      </w:pPr>
      <w:r>
        <w:rPr/>
        <w:br w:type="column"/>
      </w:r>
      <w:r>
        <w:rPr>
          <w:color w:val="231F20"/>
          <w:sz w:val="24"/>
        </w:rPr>
        <w:t>risen since the February </w:t>
      </w:r>
      <w:r>
        <w:rPr>
          <w:i/>
          <w:color w:val="231F20"/>
          <w:sz w:val="24"/>
        </w:rPr>
        <w:t>Report</w:t>
      </w:r>
      <w:r>
        <w:rPr>
          <w:color w:val="231F20"/>
          <w:sz w:val="24"/>
        </w:rPr>
        <w:t>. The nominal yield on ten-year gilts rose by 0.4 percentage points to 4.8%</w:t>
      </w:r>
    </w:p>
    <w:p>
      <w:pPr>
        <w:spacing w:after="0" w:line="242" w:lineRule="auto"/>
        <w:jc w:val="left"/>
        <w:rPr>
          <w:sz w:val="24"/>
        </w:rPr>
        <w:sectPr>
          <w:type w:val="continuous"/>
          <w:pgSz w:w="11900" w:h="16840"/>
          <w:pgMar w:top="1220" w:bottom="280" w:left="640" w:right="640"/>
          <w:cols w:num="3" w:equalWidth="0">
            <w:col w:w="2961" w:space="61"/>
            <w:col w:w="669" w:space="1089"/>
            <w:col w:w="5840"/>
          </w:cols>
        </w:sectPr>
      </w:pPr>
    </w:p>
    <w:p>
      <w:pPr>
        <w:pStyle w:val="BodyText"/>
        <w:spacing w:before="7"/>
        <w:rPr>
          <w:sz w:val="10"/>
        </w:rPr>
      </w:pPr>
    </w:p>
    <w:p>
      <w:pPr>
        <w:spacing w:line="208" w:lineRule="auto" w:before="0"/>
        <w:ind w:left="160" w:right="38" w:firstLine="0"/>
        <w:jc w:val="left"/>
        <w:rPr>
          <w:sz w:val="12"/>
        </w:rPr>
      </w:pPr>
      <w:r>
        <w:rPr>
          <w:color w:val="231F20"/>
          <w:sz w:val="12"/>
        </w:rPr>
        <w:t>The chart depicts the probability distribution for short-term interest rates and is rather like a contour map. So at any given point, the depth of shading represents the height of the probability density function implied by the markets over a range of outcomes for short-term interest rates. The</w:t>
      </w:r>
    </w:p>
    <w:p>
      <w:pPr>
        <w:spacing w:line="242" w:lineRule="auto" w:before="0"/>
        <w:ind w:left="160" w:right="268" w:firstLine="0"/>
        <w:jc w:val="left"/>
        <w:rPr>
          <w:sz w:val="24"/>
        </w:rPr>
      </w:pPr>
      <w:r>
        <w:rPr/>
        <w:br w:type="column"/>
      </w:r>
      <w:r>
        <w:rPr>
          <w:color w:val="231F20"/>
          <w:sz w:val="24"/>
        </w:rPr>
        <w:t>between 10 February and 5 May, largely driven by higher interest rate expectations at the shorter end of the</w:t>
      </w:r>
    </w:p>
    <w:p>
      <w:pPr>
        <w:spacing w:after="0" w:line="242" w:lineRule="auto"/>
        <w:jc w:val="left"/>
        <w:rPr>
          <w:sz w:val="24"/>
        </w:rPr>
        <w:sectPr>
          <w:type w:val="continuous"/>
          <w:pgSz w:w="11900" w:h="16840"/>
          <w:pgMar w:top="1220" w:bottom="280" w:left="640" w:right="640"/>
          <w:cols w:num="2" w:equalWidth="0">
            <w:col w:w="3766" w:space="1014"/>
            <w:col w:w="5840"/>
          </w:cols>
        </w:sectPr>
      </w:pPr>
    </w:p>
    <w:p>
      <w:pPr>
        <w:tabs>
          <w:tab w:pos="4929" w:val="left" w:leader="none"/>
          <w:tab w:pos="10469" w:val="left" w:leader="none"/>
        </w:tabs>
        <w:spacing w:line="111" w:lineRule="exact" w:before="0"/>
        <w:ind w:left="160" w:right="0" w:firstLine="0"/>
        <w:jc w:val="left"/>
        <w:rPr>
          <w:sz w:val="12"/>
        </w:rPr>
      </w:pPr>
      <w:r>
        <w:rPr>
          <w:color w:val="231F20"/>
          <w:sz w:val="12"/>
        </w:rPr>
        <w:t>markets judge that there is a 10% chance of interest rates being within the</w:t>
        <w:tab/>
      </w:r>
      <w:r>
        <w:rPr>
          <w:color w:val="231F20"/>
          <w:sz w:val="12"/>
          <w:u w:val="single" w:color="231F20"/>
        </w:rPr>
        <w:t> </w:t>
        <w:tab/>
      </w:r>
    </w:p>
    <w:p>
      <w:pPr>
        <w:spacing w:after="0" w:line="111" w:lineRule="exact"/>
        <w:jc w:val="left"/>
        <w:rPr>
          <w:sz w:val="12"/>
        </w:rPr>
        <w:sectPr>
          <w:type w:val="continuous"/>
          <w:pgSz w:w="11900" w:h="16840"/>
          <w:pgMar w:top="1220" w:bottom="280" w:left="640" w:right="640"/>
        </w:sectPr>
      </w:pPr>
    </w:p>
    <w:p>
      <w:pPr>
        <w:spacing w:line="208" w:lineRule="auto" w:before="9"/>
        <w:ind w:left="160" w:right="20" w:firstLine="0"/>
        <w:jc w:val="left"/>
        <w:rPr>
          <w:sz w:val="12"/>
        </w:rPr>
      </w:pPr>
      <w:r>
        <w:rPr>
          <w:color w:val="231F20"/>
          <w:sz w:val="12"/>
        </w:rPr>
        <w:t>darkest, central band at any date. Each successive pair of bands covers a further 20% of the probability distribution until 90% of the distribution is covered. The bands widen as the time horizon is extended, indicating increased uncertainty about interest rate outcomes.</w:t>
      </w:r>
    </w:p>
    <w:p>
      <w:pPr>
        <w:spacing w:line="208" w:lineRule="auto" w:before="44"/>
        <w:ind w:left="400" w:right="890" w:hanging="240"/>
        <w:jc w:val="left"/>
        <w:rPr>
          <w:sz w:val="16"/>
        </w:rPr>
      </w:pPr>
      <w:r>
        <w:rPr/>
        <w:br w:type="column"/>
      </w:r>
      <w:r>
        <w:rPr>
          <w:color w:val="231F20"/>
          <w:sz w:val="16"/>
        </w:rPr>
        <w:t>(1) For a discussion of how official interest rate decisions affect economic activity and inflation, see ‘The transmission mechanism of monetary policy’ in the May 1999 </w:t>
      </w:r>
      <w:r>
        <w:rPr>
          <w:i/>
          <w:color w:val="231F20"/>
          <w:sz w:val="16"/>
        </w:rPr>
        <w:t>Quarterly Bulletin</w:t>
      </w:r>
      <w:r>
        <w:rPr>
          <w:color w:val="231F20"/>
          <w:sz w:val="16"/>
        </w:rPr>
        <w:t>, pages 161–70.</w:t>
      </w:r>
    </w:p>
    <w:p>
      <w:pPr>
        <w:spacing w:after="0" w:line="208" w:lineRule="auto"/>
        <w:jc w:val="left"/>
        <w:rPr>
          <w:sz w:val="16"/>
        </w:rPr>
        <w:sectPr>
          <w:type w:val="continuous"/>
          <w:pgSz w:w="11900" w:h="16840"/>
          <w:pgMar w:top="1220" w:bottom="280" w:left="640" w:right="640"/>
          <w:cols w:num="2" w:equalWidth="0">
            <w:col w:w="3723" w:space="1077"/>
            <w:col w:w="582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7"/>
        <w:rPr>
          <w:sz w:val="19"/>
        </w:rPr>
      </w:pPr>
    </w:p>
    <w:p>
      <w:pPr>
        <w:pStyle w:val="Heading4"/>
        <w:spacing w:before="0"/>
      </w:pPr>
      <w:bookmarkStart w:name="Equity prices" w:id="22"/>
      <w:bookmarkEnd w:id="22"/>
      <w:r>
        <w:rPr>
          <w:b w:val="0"/>
        </w:rPr>
      </w:r>
      <w:bookmarkStart w:name="_bookmark7" w:id="23"/>
      <w:bookmarkEnd w:id="23"/>
      <w:r>
        <w:rPr>
          <w:b w:val="0"/>
        </w:rPr>
      </w:r>
      <w:r>
        <w:rPr>
          <w:color w:val="0093C1"/>
        </w:rPr>
        <w:t>Chart 1.12</w:t>
      </w:r>
    </w:p>
    <w:p>
      <w:pPr>
        <w:pStyle w:val="Heading4"/>
        <w:spacing w:line="249" w:lineRule="auto"/>
        <w:ind w:right="105"/>
        <w:rPr>
          <w:b w:val="0"/>
          <w:sz w:val="12"/>
        </w:rPr>
      </w:pPr>
      <w:r>
        <w:rPr>
          <w:color w:val="0093C1"/>
        </w:rPr>
        <w:t>UK implied forward nominal interest rate curves</w:t>
      </w:r>
      <w:r>
        <w:rPr>
          <w:b w:val="0"/>
          <w:color w:val="231F20"/>
          <w:position w:val="4"/>
          <w:sz w:val="12"/>
        </w:rPr>
        <w:t>(a)</w:t>
      </w:r>
    </w:p>
    <w:p>
      <w:pPr>
        <w:spacing w:line="124" w:lineRule="exact" w:before="21"/>
        <w:ind w:left="3145" w:right="0" w:firstLine="0"/>
        <w:jc w:val="left"/>
        <w:rPr>
          <w:sz w:val="12"/>
        </w:rPr>
      </w:pPr>
      <w:r>
        <w:rPr>
          <w:color w:val="231F20"/>
          <w:sz w:val="12"/>
        </w:rPr>
        <w:t>Per cent</w:t>
      </w:r>
    </w:p>
    <w:p>
      <w:pPr>
        <w:spacing w:line="124" w:lineRule="exact" w:before="0"/>
        <w:ind w:left="3412" w:right="0" w:firstLine="0"/>
        <w:jc w:val="center"/>
        <w:rPr>
          <w:sz w:val="12"/>
        </w:rPr>
      </w:pPr>
      <w:r>
        <w:rPr/>
        <w:drawing>
          <wp:anchor distT="0" distB="0" distL="0" distR="0" allowOverlap="1" layoutInCell="1" locked="0" behindDoc="0" simplePos="0" relativeHeight="15800832">
            <wp:simplePos x="0" y="0"/>
            <wp:positionH relativeFrom="page">
              <wp:posOffset>545071</wp:posOffset>
            </wp:positionH>
            <wp:positionV relativeFrom="paragraph">
              <wp:posOffset>27050</wp:posOffset>
            </wp:positionV>
            <wp:extent cx="55029" cy="6350"/>
            <wp:effectExtent l="0" t="0" r="0" b="0"/>
            <wp:wrapNone/>
            <wp:docPr id="51" name="image7.png"/>
            <wp:cNvGraphicFramePr>
              <a:graphicFrameLocks noChangeAspect="1"/>
            </wp:cNvGraphicFramePr>
            <a:graphic>
              <a:graphicData uri="http://schemas.openxmlformats.org/drawingml/2006/picture">
                <pic:pic>
                  <pic:nvPicPr>
                    <pic:cNvPr id="52"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01856">
            <wp:simplePos x="0" y="0"/>
            <wp:positionH relativeFrom="page">
              <wp:posOffset>2595295</wp:posOffset>
            </wp:positionH>
            <wp:positionV relativeFrom="paragraph">
              <wp:posOffset>26301</wp:posOffset>
            </wp:positionV>
            <wp:extent cx="55029" cy="6350"/>
            <wp:effectExtent l="0" t="0" r="0" b="0"/>
            <wp:wrapNone/>
            <wp:docPr id="53" name="image16.png"/>
            <wp:cNvGraphicFramePr>
              <a:graphicFrameLocks noChangeAspect="1"/>
            </wp:cNvGraphicFramePr>
            <a:graphic>
              <a:graphicData uri="http://schemas.openxmlformats.org/drawingml/2006/picture">
                <pic:pic>
                  <pic:nvPicPr>
                    <pic:cNvPr id="54" name="image16.png"/>
                    <pic:cNvPicPr/>
                  </pic:nvPicPr>
                  <pic:blipFill>
                    <a:blip r:embed="rId43" cstate="print"/>
                    <a:stretch>
                      <a:fillRect/>
                    </a:stretch>
                  </pic:blipFill>
                  <pic:spPr>
                    <a:xfrm>
                      <a:off x="0" y="0"/>
                      <a:ext cx="55029" cy="6350"/>
                    </a:xfrm>
                    <a:prstGeom prst="rect">
                      <a:avLst/>
                    </a:prstGeom>
                  </pic:spPr>
                </pic:pic>
              </a:graphicData>
            </a:graphic>
          </wp:anchor>
        </w:drawing>
      </w:r>
      <w:r>
        <w:rPr>
          <w:color w:val="231F20"/>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3"/>
        </w:rPr>
      </w:pPr>
    </w:p>
    <w:p>
      <w:pPr>
        <w:spacing w:before="0"/>
        <w:ind w:left="3615" w:right="0" w:firstLine="0"/>
        <w:jc w:val="left"/>
        <w:rPr>
          <w:sz w:val="12"/>
        </w:rPr>
      </w:pPr>
      <w:r>
        <w:rPr/>
        <w:pict>
          <v:group style="position:absolute;margin-left:42.918999pt;margin-top:.327328pt;width:165.8pt;height:42.4pt;mso-position-horizontal-relative:page;mso-position-vertical-relative:paragraph;z-index:15800320" coordorigin="858,7" coordsize="3316,848">
            <v:shape style="position:absolute;left:858;top:29;width:3316;height:825" type="#_x0000_t75" stroked="false">
              <v:imagedata r:id="rId44" o:title=""/>
            </v:shape>
            <v:shape style="position:absolute;left:858;top:6;width:3316;height:848" type="#_x0000_t202" filled="false" stroked="false">
              <v:textbox inset="0,0,0,0">
                <w:txbxContent>
                  <w:p>
                    <w:pPr>
                      <w:spacing w:line="133" w:lineRule="exact" w:before="0"/>
                      <w:ind w:left="1390" w:right="958" w:firstLine="0"/>
                      <w:jc w:val="center"/>
                      <w:rPr>
                        <w:sz w:val="12"/>
                      </w:rPr>
                    </w:pPr>
                    <w:r>
                      <w:rPr>
                        <w:color w:val="231F20"/>
                        <w:sz w:val="12"/>
                      </w:rPr>
                      <w:t>11 November 1998</w:t>
                    </w:r>
                  </w:p>
                  <w:p>
                    <w:pPr>
                      <w:spacing w:line="240" w:lineRule="auto" w:before="0"/>
                      <w:rPr>
                        <w:sz w:val="12"/>
                      </w:rPr>
                    </w:pPr>
                  </w:p>
                  <w:p>
                    <w:pPr>
                      <w:spacing w:before="83"/>
                      <w:ind w:left="1364" w:right="958" w:firstLine="0"/>
                      <w:jc w:val="center"/>
                      <w:rPr>
                        <w:sz w:val="12"/>
                      </w:rPr>
                    </w:pPr>
                    <w:r>
                      <w:rPr>
                        <w:color w:val="231F20"/>
                        <w:sz w:val="12"/>
                      </w:rPr>
                      <w:t>5 May 1999</w:t>
                    </w:r>
                  </w:p>
                </w:txbxContent>
              </v:textbox>
              <w10:wrap type="none"/>
            </v:shape>
            <w10:wrap type="none"/>
          </v:group>
        </w:pict>
      </w:r>
      <w:r>
        <w:rPr>
          <w:color w:val="231F20"/>
          <w:sz w:val="12"/>
        </w:rPr>
        <w:t>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spacing w:line="124" w:lineRule="exact" w:before="0"/>
        <w:ind w:left="912" w:right="0" w:firstLine="0"/>
        <w:jc w:val="left"/>
        <w:rPr>
          <w:sz w:val="12"/>
        </w:rPr>
      </w:pPr>
      <w:r>
        <w:rPr>
          <w:color w:val="231F20"/>
          <w:sz w:val="12"/>
        </w:rPr>
        <w:t>10 February 1999</w:t>
      </w:r>
    </w:p>
    <w:p>
      <w:pPr>
        <w:pStyle w:val="BodyText"/>
        <w:spacing w:before="6"/>
        <w:rPr>
          <w:sz w:val="2"/>
        </w:rPr>
      </w:pPr>
    </w:p>
    <w:p>
      <w:pPr>
        <w:tabs>
          <w:tab w:pos="3447" w:val="left" w:leader="none"/>
        </w:tabs>
        <w:spacing w:line="20" w:lineRule="exact"/>
        <w:ind w:left="218" w:right="0" w:firstLine="0"/>
        <w:rPr>
          <w:sz w:val="2"/>
        </w:rPr>
      </w:pPr>
      <w:r>
        <w:rPr>
          <w:sz w:val="2"/>
        </w:rPr>
        <w:drawing>
          <wp:inline distT="0" distB="0" distL="0" distR="0">
            <wp:extent cx="54478" cy="6286"/>
            <wp:effectExtent l="0" t="0" r="0" b="0"/>
            <wp:docPr id="55" name="image7.png"/>
            <wp:cNvGraphicFramePr>
              <a:graphicFrameLocks noChangeAspect="1"/>
            </wp:cNvGraphicFramePr>
            <a:graphic>
              <a:graphicData uri="http://schemas.openxmlformats.org/drawingml/2006/picture">
                <pic:pic>
                  <pic:nvPicPr>
                    <pic:cNvPr id="56" name="image7.png"/>
                    <pic:cNvPicPr/>
                  </pic:nvPicPr>
                  <pic:blipFill>
                    <a:blip r:embed="rId34" cstate="print"/>
                    <a:stretch>
                      <a:fillRect/>
                    </a:stretch>
                  </pic:blipFill>
                  <pic:spPr>
                    <a:xfrm>
                      <a:off x="0" y="0"/>
                      <a:ext cx="54478" cy="6286"/>
                    </a:xfrm>
                    <a:prstGeom prst="rect">
                      <a:avLst/>
                    </a:prstGeom>
                  </pic:spPr>
                </pic:pic>
              </a:graphicData>
            </a:graphic>
          </wp:inline>
        </w:drawing>
      </w:r>
      <w:r>
        <w:rPr>
          <w:sz w:val="2"/>
        </w:rPr>
      </w:r>
      <w:r>
        <w:rPr>
          <w:sz w:val="2"/>
        </w:rPr>
        <w:tab/>
      </w:r>
      <w:r>
        <w:rPr>
          <w:sz w:val="2"/>
        </w:rPr>
        <w:drawing>
          <wp:inline distT="0" distB="0" distL="0" distR="0">
            <wp:extent cx="54478" cy="6286"/>
            <wp:effectExtent l="0" t="0" r="0" b="0"/>
            <wp:docPr id="57" name="image18.png"/>
            <wp:cNvGraphicFramePr>
              <a:graphicFrameLocks noChangeAspect="1"/>
            </wp:cNvGraphicFramePr>
            <a:graphic>
              <a:graphicData uri="http://schemas.openxmlformats.org/drawingml/2006/picture">
                <pic:pic>
                  <pic:nvPicPr>
                    <pic:cNvPr id="58" name="image18.png"/>
                    <pic:cNvPicPr/>
                  </pic:nvPicPr>
                  <pic:blipFill>
                    <a:blip r:embed="rId45" cstate="print"/>
                    <a:stretch>
                      <a:fillRect/>
                    </a:stretch>
                  </pic:blipFill>
                  <pic:spPr>
                    <a:xfrm>
                      <a:off x="0" y="0"/>
                      <a:ext cx="54478" cy="6286"/>
                    </a:xfrm>
                    <a:prstGeom prst="rect">
                      <a:avLst/>
                    </a:prstGeom>
                  </pic:spPr>
                </pic:pic>
              </a:graphicData>
            </a:graphic>
          </wp:inline>
        </w:drawing>
      </w:r>
      <w:r>
        <w:rPr>
          <w:sz w:val="2"/>
        </w:rPr>
      </w:r>
    </w:p>
    <w:p>
      <w:pPr>
        <w:spacing w:line="75" w:lineRule="exact" w:before="0"/>
        <w:ind w:left="3412" w:right="0" w:firstLine="0"/>
        <w:jc w:val="center"/>
        <w:rPr>
          <w:sz w:val="12"/>
        </w:rPr>
      </w:pPr>
      <w:r>
        <w:rPr>
          <w:color w:val="231F20"/>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3"/>
        </w:rPr>
      </w:pPr>
    </w:p>
    <w:p>
      <w:pPr>
        <w:spacing w:line="126" w:lineRule="exact" w:before="0"/>
        <w:ind w:left="3412" w:right="0" w:firstLine="0"/>
        <w:jc w:val="center"/>
        <w:rPr>
          <w:sz w:val="12"/>
        </w:rPr>
      </w:pPr>
      <w:r>
        <w:rPr/>
        <w:drawing>
          <wp:anchor distT="0" distB="0" distL="0" distR="0" allowOverlap="1" layoutInCell="1" locked="0" behindDoc="0" simplePos="0" relativeHeight="15801344">
            <wp:simplePos x="0" y="0"/>
            <wp:positionH relativeFrom="page">
              <wp:posOffset>539724</wp:posOffset>
            </wp:positionH>
            <wp:positionV relativeFrom="paragraph">
              <wp:posOffset>35617</wp:posOffset>
            </wp:positionV>
            <wp:extent cx="2129802" cy="90601"/>
            <wp:effectExtent l="0" t="0" r="0" b="0"/>
            <wp:wrapNone/>
            <wp:docPr id="59" name="image19.png"/>
            <wp:cNvGraphicFramePr>
              <a:graphicFrameLocks noChangeAspect="1"/>
            </wp:cNvGraphicFramePr>
            <a:graphic>
              <a:graphicData uri="http://schemas.openxmlformats.org/drawingml/2006/picture">
                <pic:pic>
                  <pic:nvPicPr>
                    <pic:cNvPr id="60" name="image19.png"/>
                    <pic:cNvPicPr/>
                  </pic:nvPicPr>
                  <pic:blipFill>
                    <a:blip r:embed="rId46" cstate="print"/>
                    <a:stretch>
                      <a:fillRect/>
                    </a:stretch>
                  </pic:blipFill>
                  <pic:spPr>
                    <a:xfrm>
                      <a:off x="0" y="0"/>
                      <a:ext cx="2129802" cy="90601"/>
                    </a:xfrm>
                    <a:prstGeom prst="rect">
                      <a:avLst/>
                    </a:prstGeom>
                  </pic:spPr>
                </pic:pic>
              </a:graphicData>
            </a:graphic>
          </wp:anchor>
        </w:drawing>
      </w:r>
      <w:r>
        <w:rPr>
          <w:color w:val="231F20"/>
          <w:sz w:val="12"/>
        </w:rPr>
        <w:t>3</w:t>
      </w:r>
    </w:p>
    <w:p>
      <w:pPr>
        <w:spacing w:line="110" w:lineRule="exact" w:before="0"/>
        <w:ind w:left="3412" w:right="0" w:firstLine="0"/>
        <w:jc w:val="center"/>
        <w:rPr>
          <w:sz w:val="12"/>
        </w:rPr>
      </w:pPr>
      <w:r>
        <w:rPr>
          <w:color w:val="231F20"/>
          <w:sz w:val="12"/>
        </w:rPr>
        <w:t>0</w:t>
      </w:r>
    </w:p>
    <w:p>
      <w:pPr>
        <w:tabs>
          <w:tab w:pos="334" w:val="left" w:leader="none"/>
          <w:tab w:pos="669" w:val="left" w:leader="none"/>
          <w:tab w:pos="1002" w:val="left" w:leader="none"/>
          <w:tab w:pos="1310" w:val="left" w:leader="none"/>
          <w:tab w:pos="1645" w:val="left" w:leader="none"/>
          <w:tab w:pos="1980" w:val="left" w:leader="none"/>
          <w:tab w:pos="2312" w:val="left" w:leader="none"/>
          <w:tab w:pos="2647" w:val="left" w:leader="none"/>
          <w:tab w:pos="2982" w:val="left" w:leader="none"/>
        </w:tabs>
        <w:spacing w:line="111" w:lineRule="exact" w:before="0"/>
        <w:ind w:left="0" w:right="122" w:firstLine="0"/>
        <w:jc w:val="center"/>
        <w:rPr>
          <w:sz w:val="12"/>
        </w:rPr>
      </w:pPr>
      <w:r>
        <w:rPr>
          <w:color w:val="231F20"/>
          <w:sz w:val="12"/>
        </w:rPr>
        <w:t>2</w:t>
        <w:tab/>
        <w:t>4</w:t>
        <w:tab/>
        <w:t>6</w:t>
        <w:tab/>
        <w:t>8</w:t>
        <w:tab/>
        <w:t>10</w:t>
        <w:tab/>
        <w:t>12</w:t>
        <w:tab/>
        <w:t>14</w:t>
        <w:tab/>
        <w:t>16</w:t>
        <w:tab/>
        <w:t>18</w:t>
        <w:tab/>
        <w:t>20</w:t>
      </w:r>
    </w:p>
    <w:p>
      <w:pPr>
        <w:spacing w:line="127" w:lineRule="exact" w:before="0"/>
        <w:ind w:left="0" w:right="105" w:firstLine="0"/>
        <w:jc w:val="center"/>
        <w:rPr>
          <w:sz w:val="12"/>
        </w:rPr>
      </w:pPr>
      <w:r>
        <w:rPr>
          <w:color w:val="231F20"/>
          <w:sz w:val="12"/>
        </w:rPr>
        <w:t>Years</w:t>
      </w:r>
    </w:p>
    <w:p>
      <w:pPr>
        <w:spacing w:before="46"/>
        <w:ind w:left="0" w:right="2265" w:firstLine="0"/>
        <w:jc w:val="center"/>
        <w:rPr>
          <w:sz w:val="12"/>
        </w:rPr>
      </w:pPr>
      <w:r>
        <w:rPr>
          <w:color w:val="231F20"/>
          <w:sz w:val="12"/>
        </w:rPr>
        <w:t>Source: Bank of England.</w:t>
      </w:r>
    </w:p>
    <w:p>
      <w:pPr>
        <w:spacing w:before="82"/>
        <w:ind w:left="170" w:right="0" w:firstLine="0"/>
        <w:jc w:val="left"/>
        <w:rPr>
          <w:sz w:val="12"/>
        </w:rPr>
      </w:pPr>
      <w:r>
        <w:rPr>
          <w:color w:val="231F20"/>
          <w:sz w:val="12"/>
        </w:rPr>
        <w:t>(a) Estimated from the prices of conventional gilts.</w:t>
      </w:r>
    </w:p>
    <w:p>
      <w:pPr>
        <w:pStyle w:val="BodyText"/>
        <w:rPr>
          <w:sz w:val="12"/>
        </w:rPr>
      </w:pPr>
    </w:p>
    <w:p>
      <w:pPr>
        <w:pStyle w:val="BodyText"/>
        <w:spacing w:before="5"/>
        <w:rPr>
          <w:sz w:val="13"/>
        </w:rPr>
      </w:pPr>
    </w:p>
    <w:p>
      <w:pPr>
        <w:pStyle w:val="Heading4"/>
        <w:spacing w:before="0"/>
        <w:ind w:left="165"/>
      </w:pPr>
      <w:r>
        <w:rPr>
          <w:color w:val="0093C1"/>
        </w:rPr>
        <w:t>Chart 1.13</w:t>
      </w:r>
    </w:p>
    <w:p>
      <w:pPr>
        <w:pStyle w:val="Heading4"/>
        <w:spacing w:line="249" w:lineRule="auto"/>
        <w:ind w:left="165" w:right="21"/>
        <w:rPr>
          <w:b w:val="0"/>
          <w:sz w:val="12"/>
        </w:rPr>
      </w:pPr>
      <w:r>
        <w:rPr>
          <w:color w:val="0093C1"/>
        </w:rPr>
        <w:t>International ten-year break-even inflation rates</w:t>
      </w:r>
      <w:r>
        <w:rPr>
          <w:b w:val="0"/>
          <w:color w:val="231F20"/>
          <w:position w:val="4"/>
          <w:sz w:val="12"/>
        </w:rPr>
        <w:t>(a)</w:t>
      </w:r>
    </w:p>
    <w:p>
      <w:pPr>
        <w:spacing w:line="118" w:lineRule="exact" w:before="39"/>
        <w:ind w:left="3172" w:right="0" w:firstLine="0"/>
        <w:jc w:val="left"/>
        <w:rPr>
          <w:sz w:val="12"/>
        </w:rPr>
      </w:pPr>
      <w:r>
        <w:rPr>
          <w:color w:val="231F20"/>
          <w:sz w:val="12"/>
        </w:rPr>
        <w:t>Per cent</w:t>
      </w:r>
    </w:p>
    <w:p>
      <w:pPr>
        <w:spacing w:line="118" w:lineRule="exact" w:before="0"/>
        <w:ind w:left="3655" w:right="0" w:firstLine="0"/>
        <w:jc w:val="left"/>
        <w:rPr>
          <w:sz w:val="12"/>
        </w:rPr>
      </w:pPr>
      <w:r>
        <w:rPr/>
        <w:drawing>
          <wp:anchor distT="0" distB="0" distL="0" distR="0" allowOverlap="1" layoutInCell="1" locked="0" behindDoc="0" simplePos="0" relativeHeight="15804416">
            <wp:simplePos x="0" y="0"/>
            <wp:positionH relativeFrom="page">
              <wp:posOffset>527837</wp:posOffset>
            </wp:positionH>
            <wp:positionV relativeFrom="paragraph">
              <wp:posOffset>37398</wp:posOffset>
            </wp:positionV>
            <wp:extent cx="55029" cy="6350"/>
            <wp:effectExtent l="0" t="0" r="0" b="0"/>
            <wp:wrapNone/>
            <wp:docPr id="61" name="image20.png"/>
            <wp:cNvGraphicFramePr>
              <a:graphicFrameLocks noChangeAspect="1"/>
            </wp:cNvGraphicFramePr>
            <a:graphic>
              <a:graphicData uri="http://schemas.openxmlformats.org/drawingml/2006/picture">
                <pic:pic>
                  <pic:nvPicPr>
                    <pic:cNvPr id="62" name="image20.png"/>
                    <pic:cNvPicPr/>
                  </pic:nvPicPr>
                  <pic:blipFill>
                    <a:blip r:embed="rId47"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09536">
            <wp:simplePos x="0" y="0"/>
            <wp:positionH relativeFrom="page">
              <wp:posOffset>2619095</wp:posOffset>
            </wp:positionH>
            <wp:positionV relativeFrom="paragraph">
              <wp:posOffset>37664</wp:posOffset>
            </wp:positionV>
            <wp:extent cx="55041" cy="6350"/>
            <wp:effectExtent l="0" t="0" r="0" b="0"/>
            <wp:wrapNone/>
            <wp:docPr id="63" name="image20.png"/>
            <wp:cNvGraphicFramePr>
              <a:graphicFrameLocks noChangeAspect="1"/>
            </wp:cNvGraphicFramePr>
            <a:graphic>
              <a:graphicData uri="http://schemas.openxmlformats.org/drawingml/2006/picture">
                <pic:pic>
                  <pic:nvPicPr>
                    <pic:cNvPr id="64" name="image20.png"/>
                    <pic:cNvPicPr/>
                  </pic:nvPicPr>
                  <pic:blipFill>
                    <a:blip r:embed="rId47" cstate="print"/>
                    <a:stretch>
                      <a:fillRect/>
                    </a:stretch>
                  </pic:blipFill>
                  <pic:spPr>
                    <a:xfrm>
                      <a:off x="0" y="0"/>
                      <a:ext cx="55041" cy="6350"/>
                    </a:xfrm>
                    <a:prstGeom prst="rect">
                      <a:avLst/>
                    </a:prstGeom>
                  </pic:spPr>
                </pic:pic>
              </a:graphicData>
            </a:graphic>
          </wp:anchor>
        </w:drawing>
      </w:r>
      <w:r>
        <w:rPr>
          <w:color w:val="231F20"/>
          <w:sz w:val="12"/>
        </w:rPr>
        <w:t>4.4</w:t>
      </w:r>
    </w:p>
    <w:p>
      <w:pPr>
        <w:pStyle w:val="BodyText"/>
        <w:spacing w:before="10"/>
        <w:rPr>
          <w:sz w:val="13"/>
        </w:rPr>
      </w:pPr>
    </w:p>
    <w:p>
      <w:pPr>
        <w:spacing w:before="0"/>
        <w:ind w:left="3655" w:right="0" w:firstLine="0"/>
        <w:jc w:val="left"/>
        <w:rPr>
          <w:sz w:val="12"/>
        </w:rPr>
      </w:pPr>
      <w:r>
        <w:rPr/>
        <w:pict>
          <v:group style="position:absolute;margin-left:50.395pt;margin-top:.727356pt;width:151.4pt;height:134pt;mso-position-horizontal-relative:page;mso-position-vertical-relative:paragraph;z-index:15803904" coordorigin="1008,15" coordsize="3028,2680">
            <v:shape style="position:absolute;left:1007;top:14;width:3028;height:2680" type="#_x0000_t75" stroked="false">
              <v:imagedata r:id="rId48" o:title=""/>
            </v:shape>
            <v:shape style="position:absolute;left:2298;top:565;width:830;height:134" type="#_x0000_t202" filled="false" stroked="false">
              <v:textbox inset="0,0,0,0">
                <w:txbxContent>
                  <w:p>
                    <w:pPr>
                      <w:spacing w:line="133" w:lineRule="exact" w:before="0"/>
                      <w:ind w:left="0" w:right="0" w:firstLine="0"/>
                      <w:jc w:val="left"/>
                      <w:rPr>
                        <w:sz w:val="12"/>
                      </w:rPr>
                    </w:pPr>
                    <w:r>
                      <w:rPr>
                        <w:color w:val="231F20"/>
                        <w:sz w:val="12"/>
                      </w:rPr>
                      <w:t>United Kingdom</w:t>
                    </w:r>
                  </w:p>
                </w:txbxContent>
              </v:textbox>
              <w10:wrap type="none"/>
            </v:shape>
            <v:shape style="position:absolute;left:3211;top:1880;width:347;height:133" type="#_x0000_t202" filled="false" stroked="false">
              <v:textbox inset="0,0,0,0">
                <w:txbxContent>
                  <w:p>
                    <w:pPr>
                      <w:spacing w:line="133" w:lineRule="exact" w:before="0"/>
                      <w:ind w:left="0" w:right="0" w:firstLine="0"/>
                      <w:jc w:val="left"/>
                      <w:rPr>
                        <w:sz w:val="12"/>
                      </w:rPr>
                    </w:pPr>
                    <w:r>
                      <w:rPr>
                        <w:color w:val="231F20"/>
                        <w:sz w:val="12"/>
                      </w:rPr>
                      <w:t>France</w:t>
                    </w:r>
                  </w:p>
                </w:txbxContent>
              </v:textbox>
              <w10:wrap type="none"/>
            </v:shape>
            <v:shape style="position:absolute;left:1917;top:2039;width:664;height:133" type="#_x0000_t202" filled="false" stroked="false">
              <v:textbox inset="0,0,0,0">
                <w:txbxContent>
                  <w:p>
                    <w:pPr>
                      <w:spacing w:line="133" w:lineRule="exact" w:before="0"/>
                      <w:ind w:left="0" w:right="0" w:firstLine="0"/>
                      <w:jc w:val="left"/>
                      <w:rPr>
                        <w:sz w:val="12"/>
                      </w:rPr>
                    </w:pPr>
                    <w:r>
                      <w:rPr>
                        <w:color w:val="231F20"/>
                        <w:sz w:val="12"/>
                      </w:rPr>
                      <w:t>United States</w:t>
                    </w:r>
                  </w:p>
                </w:txbxContent>
              </v:textbox>
              <w10:wrap type="none"/>
            </v:shape>
            <w10:wrap type="none"/>
          </v:group>
        </w:pict>
      </w:r>
      <w:r>
        <w:rPr/>
        <w:drawing>
          <wp:anchor distT="0" distB="0" distL="0" distR="0" allowOverlap="1" layoutInCell="1" locked="0" behindDoc="0" simplePos="0" relativeHeight="15804928">
            <wp:simplePos x="0" y="0"/>
            <wp:positionH relativeFrom="page">
              <wp:posOffset>527837</wp:posOffset>
            </wp:positionH>
            <wp:positionV relativeFrom="paragraph">
              <wp:posOffset>50499</wp:posOffset>
            </wp:positionV>
            <wp:extent cx="55029" cy="6350"/>
            <wp:effectExtent l="0" t="0" r="0" b="0"/>
            <wp:wrapNone/>
            <wp:docPr id="65" name="image22.png"/>
            <wp:cNvGraphicFramePr>
              <a:graphicFrameLocks noChangeAspect="1"/>
            </wp:cNvGraphicFramePr>
            <a:graphic>
              <a:graphicData uri="http://schemas.openxmlformats.org/drawingml/2006/picture">
                <pic:pic>
                  <pic:nvPicPr>
                    <pic:cNvPr id="66"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0048">
            <wp:simplePos x="0" y="0"/>
            <wp:positionH relativeFrom="page">
              <wp:posOffset>2619095</wp:posOffset>
            </wp:positionH>
            <wp:positionV relativeFrom="paragraph">
              <wp:posOffset>50766</wp:posOffset>
            </wp:positionV>
            <wp:extent cx="55041" cy="6350"/>
            <wp:effectExtent l="0" t="0" r="0" b="0"/>
            <wp:wrapNone/>
            <wp:docPr id="67" name="image22.png"/>
            <wp:cNvGraphicFramePr>
              <a:graphicFrameLocks noChangeAspect="1"/>
            </wp:cNvGraphicFramePr>
            <a:graphic>
              <a:graphicData uri="http://schemas.openxmlformats.org/drawingml/2006/picture">
                <pic:pic>
                  <pic:nvPicPr>
                    <pic:cNvPr id="68"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4.0</w:t>
      </w:r>
    </w:p>
    <w:p>
      <w:pPr>
        <w:pStyle w:val="BodyText"/>
        <w:spacing w:before="10"/>
        <w:rPr>
          <w:sz w:val="13"/>
        </w:rPr>
      </w:pPr>
    </w:p>
    <w:p>
      <w:pPr>
        <w:spacing w:before="0"/>
        <w:ind w:left="3655" w:right="0" w:firstLine="0"/>
        <w:jc w:val="left"/>
        <w:rPr>
          <w:sz w:val="12"/>
        </w:rPr>
      </w:pPr>
      <w:r>
        <w:rPr/>
        <w:drawing>
          <wp:anchor distT="0" distB="0" distL="0" distR="0" allowOverlap="1" layoutInCell="1" locked="0" behindDoc="0" simplePos="0" relativeHeight="15805440">
            <wp:simplePos x="0" y="0"/>
            <wp:positionH relativeFrom="page">
              <wp:posOffset>527837</wp:posOffset>
            </wp:positionH>
            <wp:positionV relativeFrom="paragraph">
              <wp:posOffset>50497</wp:posOffset>
            </wp:positionV>
            <wp:extent cx="55029" cy="6350"/>
            <wp:effectExtent l="0" t="0" r="0" b="0"/>
            <wp:wrapNone/>
            <wp:docPr id="69" name="image22.png"/>
            <wp:cNvGraphicFramePr>
              <a:graphicFrameLocks noChangeAspect="1"/>
            </wp:cNvGraphicFramePr>
            <a:graphic>
              <a:graphicData uri="http://schemas.openxmlformats.org/drawingml/2006/picture">
                <pic:pic>
                  <pic:nvPicPr>
                    <pic:cNvPr id="70"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0560">
            <wp:simplePos x="0" y="0"/>
            <wp:positionH relativeFrom="page">
              <wp:posOffset>2619095</wp:posOffset>
            </wp:positionH>
            <wp:positionV relativeFrom="paragraph">
              <wp:posOffset>50764</wp:posOffset>
            </wp:positionV>
            <wp:extent cx="55041" cy="6350"/>
            <wp:effectExtent l="0" t="0" r="0" b="0"/>
            <wp:wrapNone/>
            <wp:docPr id="71" name="image22.png"/>
            <wp:cNvGraphicFramePr>
              <a:graphicFrameLocks noChangeAspect="1"/>
            </wp:cNvGraphicFramePr>
            <a:graphic>
              <a:graphicData uri="http://schemas.openxmlformats.org/drawingml/2006/picture">
                <pic:pic>
                  <pic:nvPicPr>
                    <pic:cNvPr id="72"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3.6</w:t>
      </w:r>
    </w:p>
    <w:p>
      <w:pPr>
        <w:pStyle w:val="BodyText"/>
        <w:spacing w:before="1"/>
        <w:rPr>
          <w:sz w:val="14"/>
        </w:rPr>
      </w:pPr>
    </w:p>
    <w:p>
      <w:pPr>
        <w:spacing w:before="0"/>
        <w:ind w:left="3655" w:right="0" w:firstLine="0"/>
        <w:jc w:val="left"/>
        <w:rPr>
          <w:sz w:val="12"/>
        </w:rPr>
      </w:pPr>
      <w:r>
        <w:rPr/>
        <w:drawing>
          <wp:anchor distT="0" distB="0" distL="0" distR="0" allowOverlap="1" layoutInCell="1" locked="0" behindDoc="0" simplePos="0" relativeHeight="15805952">
            <wp:simplePos x="0" y="0"/>
            <wp:positionH relativeFrom="page">
              <wp:posOffset>527837</wp:posOffset>
            </wp:positionH>
            <wp:positionV relativeFrom="paragraph">
              <wp:posOffset>50497</wp:posOffset>
            </wp:positionV>
            <wp:extent cx="55029" cy="6350"/>
            <wp:effectExtent l="0" t="0" r="0" b="0"/>
            <wp:wrapNone/>
            <wp:docPr id="73" name="image22.png"/>
            <wp:cNvGraphicFramePr>
              <a:graphicFrameLocks noChangeAspect="1"/>
            </wp:cNvGraphicFramePr>
            <a:graphic>
              <a:graphicData uri="http://schemas.openxmlformats.org/drawingml/2006/picture">
                <pic:pic>
                  <pic:nvPicPr>
                    <pic:cNvPr id="74"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1072">
            <wp:simplePos x="0" y="0"/>
            <wp:positionH relativeFrom="page">
              <wp:posOffset>2619095</wp:posOffset>
            </wp:positionH>
            <wp:positionV relativeFrom="paragraph">
              <wp:posOffset>50764</wp:posOffset>
            </wp:positionV>
            <wp:extent cx="55041" cy="6350"/>
            <wp:effectExtent l="0" t="0" r="0" b="0"/>
            <wp:wrapNone/>
            <wp:docPr id="75" name="image22.png"/>
            <wp:cNvGraphicFramePr>
              <a:graphicFrameLocks noChangeAspect="1"/>
            </wp:cNvGraphicFramePr>
            <a:graphic>
              <a:graphicData uri="http://schemas.openxmlformats.org/drawingml/2006/picture">
                <pic:pic>
                  <pic:nvPicPr>
                    <pic:cNvPr id="76"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3.2</w:t>
      </w:r>
    </w:p>
    <w:p>
      <w:pPr>
        <w:pStyle w:val="BodyText"/>
        <w:spacing w:before="10"/>
        <w:rPr>
          <w:sz w:val="13"/>
        </w:rPr>
      </w:pPr>
    </w:p>
    <w:p>
      <w:pPr>
        <w:spacing w:before="0"/>
        <w:ind w:left="3655" w:right="0" w:firstLine="0"/>
        <w:jc w:val="left"/>
        <w:rPr>
          <w:sz w:val="12"/>
        </w:rPr>
      </w:pPr>
      <w:r>
        <w:rPr/>
        <w:drawing>
          <wp:anchor distT="0" distB="0" distL="0" distR="0" allowOverlap="1" layoutInCell="1" locked="0" behindDoc="0" simplePos="0" relativeHeight="15806464">
            <wp:simplePos x="0" y="0"/>
            <wp:positionH relativeFrom="page">
              <wp:posOffset>527837</wp:posOffset>
            </wp:positionH>
            <wp:positionV relativeFrom="paragraph">
              <wp:posOffset>48932</wp:posOffset>
            </wp:positionV>
            <wp:extent cx="55029" cy="6350"/>
            <wp:effectExtent l="0" t="0" r="0" b="0"/>
            <wp:wrapNone/>
            <wp:docPr id="77" name="image22.png"/>
            <wp:cNvGraphicFramePr>
              <a:graphicFrameLocks noChangeAspect="1"/>
            </wp:cNvGraphicFramePr>
            <a:graphic>
              <a:graphicData uri="http://schemas.openxmlformats.org/drawingml/2006/picture">
                <pic:pic>
                  <pic:nvPicPr>
                    <pic:cNvPr id="78"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1584">
            <wp:simplePos x="0" y="0"/>
            <wp:positionH relativeFrom="page">
              <wp:posOffset>2619095</wp:posOffset>
            </wp:positionH>
            <wp:positionV relativeFrom="paragraph">
              <wp:posOffset>49186</wp:posOffset>
            </wp:positionV>
            <wp:extent cx="55041" cy="6350"/>
            <wp:effectExtent l="0" t="0" r="0" b="0"/>
            <wp:wrapNone/>
            <wp:docPr id="79" name="image22.png"/>
            <wp:cNvGraphicFramePr>
              <a:graphicFrameLocks noChangeAspect="1"/>
            </wp:cNvGraphicFramePr>
            <a:graphic>
              <a:graphicData uri="http://schemas.openxmlformats.org/drawingml/2006/picture">
                <pic:pic>
                  <pic:nvPicPr>
                    <pic:cNvPr id="80"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2.8</w:t>
      </w:r>
    </w:p>
    <w:p>
      <w:pPr>
        <w:pStyle w:val="BodyText"/>
        <w:spacing w:before="10"/>
        <w:rPr>
          <w:sz w:val="13"/>
        </w:rPr>
      </w:pPr>
    </w:p>
    <w:p>
      <w:pPr>
        <w:spacing w:before="0"/>
        <w:ind w:left="3655" w:right="0" w:firstLine="0"/>
        <w:jc w:val="left"/>
        <w:rPr>
          <w:sz w:val="12"/>
        </w:rPr>
      </w:pPr>
      <w:r>
        <w:rPr/>
        <w:drawing>
          <wp:anchor distT="0" distB="0" distL="0" distR="0" allowOverlap="1" layoutInCell="1" locked="0" behindDoc="0" simplePos="0" relativeHeight="15806976">
            <wp:simplePos x="0" y="0"/>
            <wp:positionH relativeFrom="page">
              <wp:posOffset>527837</wp:posOffset>
            </wp:positionH>
            <wp:positionV relativeFrom="paragraph">
              <wp:posOffset>50517</wp:posOffset>
            </wp:positionV>
            <wp:extent cx="55029" cy="6350"/>
            <wp:effectExtent l="0" t="0" r="0" b="0"/>
            <wp:wrapNone/>
            <wp:docPr id="81" name="image22.png"/>
            <wp:cNvGraphicFramePr>
              <a:graphicFrameLocks noChangeAspect="1"/>
            </wp:cNvGraphicFramePr>
            <a:graphic>
              <a:graphicData uri="http://schemas.openxmlformats.org/drawingml/2006/picture">
                <pic:pic>
                  <pic:nvPicPr>
                    <pic:cNvPr id="82"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2096">
            <wp:simplePos x="0" y="0"/>
            <wp:positionH relativeFrom="page">
              <wp:posOffset>2619095</wp:posOffset>
            </wp:positionH>
            <wp:positionV relativeFrom="paragraph">
              <wp:posOffset>50771</wp:posOffset>
            </wp:positionV>
            <wp:extent cx="55041" cy="6350"/>
            <wp:effectExtent l="0" t="0" r="0" b="0"/>
            <wp:wrapNone/>
            <wp:docPr id="83" name="image22.png"/>
            <wp:cNvGraphicFramePr>
              <a:graphicFrameLocks noChangeAspect="1"/>
            </wp:cNvGraphicFramePr>
            <a:graphic>
              <a:graphicData uri="http://schemas.openxmlformats.org/drawingml/2006/picture">
                <pic:pic>
                  <pic:nvPicPr>
                    <pic:cNvPr id="84"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2.4</w:t>
      </w:r>
    </w:p>
    <w:p>
      <w:pPr>
        <w:pStyle w:val="BodyText"/>
        <w:spacing w:before="1"/>
        <w:rPr>
          <w:sz w:val="14"/>
        </w:rPr>
      </w:pPr>
    </w:p>
    <w:p>
      <w:pPr>
        <w:spacing w:before="0"/>
        <w:ind w:left="3655" w:right="0" w:firstLine="0"/>
        <w:jc w:val="left"/>
        <w:rPr>
          <w:sz w:val="12"/>
        </w:rPr>
      </w:pPr>
      <w:r>
        <w:rPr/>
        <w:drawing>
          <wp:anchor distT="0" distB="0" distL="0" distR="0" allowOverlap="1" layoutInCell="1" locked="0" behindDoc="0" simplePos="0" relativeHeight="15807488">
            <wp:simplePos x="0" y="0"/>
            <wp:positionH relativeFrom="page">
              <wp:posOffset>527837</wp:posOffset>
            </wp:positionH>
            <wp:positionV relativeFrom="paragraph">
              <wp:posOffset>50720</wp:posOffset>
            </wp:positionV>
            <wp:extent cx="55029" cy="6350"/>
            <wp:effectExtent l="0" t="0" r="0" b="0"/>
            <wp:wrapNone/>
            <wp:docPr id="85" name="image22.png"/>
            <wp:cNvGraphicFramePr>
              <a:graphicFrameLocks noChangeAspect="1"/>
            </wp:cNvGraphicFramePr>
            <a:graphic>
              <a:graphicData uri="http://schemas.openxmlformats.org/drawingml/2006/picture">
                <pic:pic>
                  <pic:nvPicPr>
                    <pic:cNvPr id="86"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2608">
            <wp:simplePos x="0" y="0"/>
            <wp:positionH relativeFrom="page">
              <wp:posOffset>2619095</wp:posOffset>
            </wp:positionH>
            <wp:positionV relativeFrom="paragraph">
              <wp:posOffset>50987</wp:posOffset>
            </wp:positionV>
            <wp:extent cx="55041" cy="6350"/>
            <wp:effectExtent l="0" t="0" r="0" b="0"/>
            <wp:wrapNone/>
            <wp:docPr id="87" name="image22.png"/>
            <wp:cNvGraphicFramePr>
              <a:graphicFrameLocks noChangeAspect="1"/>
            </wp:cNvGraphicFramePr>
            <a:graphic>
              <a:graphicData uri="http://schemas.openxmlformats.org/drawingml/2006/picture">
                <pic:pic>
                  <pic:nvPicPr>
                    <pic:cNvPr id="88"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2.0</w:t>
      </w:r>
    </w:p>
    <w:p>
      <w:pPr>
        <w:pStyle w:val="BodyText"/>
        <w:spacing w:before="10"/>
        <w:rPr>
          <w:sz w:val="13"/>
        </w:rPr>
      </w:pPr>
    </w:p>
    <w:p>
      <w:pPr>
        <w:spacing w:before="0"/>
        <w:ind w:left="3655" w:right="0" w:firstLine="0"/>
        <w:jc w:val="left"/>
        <w:rPr>
          <w:sz w:val="12"/>
        </w:rPr>
      </w:pPr>
      <w:r>
        <w:rPr/>
        <w:drawing>
          <wp:anchor distT="0" distB="0" distL="0" distR="0" allowOverlap="1" layoutInCell="1" locked="0" behindDoc="0" simplePos="0" relativeHeight="15808000">
            <wp:simplePos x="0" y="0"/>
            <wp:positionH relativeFrom="page">
              <wp:posOffset>527837</wp:posOffset>
            </wp:positionH>
            <wp:positionV relativeFrom="paragraph">
              <wp:posOffset>48927</wp:posOffset>
            </wp:positionV>
            <wp:extent cx="55029" cy="6350"/>
            <wp:effectExtent l="0" t="0" r="0" b="0"/>
            <wp:wrapNone/>
            <wp:docPr id="89" name="image20.png"/>
            <wp:cNvGraphicFramePr>
              <a:graphicFrameLocks noChangeAspect="1"/>
            </wp:cNvGraphicFramePr>
            <a:graphic>
              <a:graphicData uri="http://schemas.openxmlformats.org/drawingml/2006/picture">
                <pic:pic>
                  <pic:nvPicPr>
                    <pic:cNvPr id="90" name="image20.png"/>
                    <pic:cNvPicPr/>
                  </pic:nvPicPr>
                  <pic:blipFill>
                    <a:blip r:embed="rId47"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3120">
            <wp:simplePos x="0" y="0"/>
            <wp:positionH relativeFrom="page">
              <wp:posOffset>2619095</wp:posOffset>
            </wp:positionH>
            <wp:positionV relativeFrom="paragraph">
              <wp:posOffset>49181</wp:posOffset>
            </wp:positionV>
            <wp:extent cx="55041" cy="6350"/>
            <wp:effectExtent l="0" t="0" r="0" b="0"/>
            <wp:wrapNone/>
            <wp:docPr id="91" name="image20.png"/>
            <wp:cNvGraphicFramePr>
              <a:graphicFrameLocks noChangeAspect="1"/>
            </wp:cNvGraphicFramePr>
            <a:graphic>
              <a:graphicData uri="http://schemas.openxmlformats.org/drawingml/2006/picture">
                <pic:pic>
                  <pic:nvPicPr>
                    <pic:cNvPr id="92" name="image20.png"/>
                    <pic:cNvPicPr/>
                  </pic:nvPicPr>
                  <pic:blipFill>
                    <a:blip r:embed="rId47" cstate="print"/>
                    <a:stretch>
                      <a:fillRect/>
                    </a:stretch>
                  </pic:blipFill>
                  <pic:spPr>
                    <a:xfrm>
                      <a:off x="0" y="0"/>
                      <a:ext cx="55041" cy="6350"/>
                    </a:xfrm>
                    <a:prstGeom prst="rect">
                      <a:avLst/>
                    </a:prstGeom>
                  </pic:spPr>
                </pic:pic>
              </a:graphicData>
            </a:graphic>
          </wp:anchor>
        </w:drawing>
      </w:r>
      <w:r>
        <w:rPr>
          <w:color w:val="231F20"/>
          <w:sz w:val="12"/>
        </w:rPr>
        <w:t>1.6</w:t>
      </w:r>
    </w:p>
    <w:p>
      <w:pPr>
        <w:pStyle w:val="BodyText"/>
        <w:spacing w:before="1"/>
        <w:rPr>
          <w:sz w:val="14"/>
        </w:rPr>
      </w:pPr>
    </w:p>
    <w:p>
      <w:pPr>
        <w:spacing w:before="0"/>
        <w:ind w:left="3655" w:right="0" w:firstLine="0"/>
        <w:jc w:val="left"/>
        <w:rPr>
          <w:sz w:val="12"/>
        </w:rPr>
      </w:pPr>
      <w:r>
        <w:rPr/>
        <w:drawing>
          <wp:anchor distT="0" distB="0" distL="0" distR="0" allowOverlap="1" layoutInCell="1" locked="0" behindDoc="0" simplePos="0" relativeHeight="15808512">
            <wp:simplePos x="0" y="0"/>
            <wp:positionH relativeFrom="page">
              <wp:posOffset>527837</wp:posOffset>
            </wp:positionH>
            <wp:positionV relativeFrom="paragraph">
              <wp:posOffset>48927</wp:posOffset>
            </wp:positionV>
            <wp:extent cx="55029" cy="6350"/>
            <wp:effectExtent l="0" t="0" r="0" b="0"/>
            <wp:wrapNone/>
            <wp:docPr id="93" name="image20.png"/>
            <wp:cNvGraphicFramePr>
              <a:graphicFrameLocks noChangeAspect="1"/>
            </wp:cNvGraphicFramePr>
            <a:graphic>
              <a:graphicData uri="http://schemas.openxmlformats.org/drawingml/2006/picture">
                <pic:pic>
                  <pic:nvPicPr>
                    <pic:cNvPr id="94" name="image20.png"/>
                    <pic:cNvPicPr/>
                  </pic:nvPicPr>
                  <pic:blipFill>
                    <a:blip r:embed="rId47"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3632">
            <wp:simplePos x="0" y="0"/>
            <wp:positionH relativeFrom="page">
              <wp:posOffset>2619095</wp:posOffset>
            </wp:positionH>
            <wp:positionV relativeFrom="paragraph">
              <wp:posOffset>49181</wp:posOffset>
            </wp:positionV>
            <wp:extent cx="55041" cy="6350"/>
            <wp:effectExtent l="0" t="0" r="0" b="0"/>
            <wp:wrapNone/>
            <wp:docPr id="95" name="image20.png"/>
            <wp:cNvGraphicFramePr>
              <a:graphicFrameLocks noChangeAspect="1"/>
            </wp:cNvGraphicFramePr>
            <a:graphic>
              <a:graphicData uri="http://schemas.openxmlformats.org/drawingml/2006/picture">
                <pic:pic>
                  <pic:nvPicPr>
                    <pic:cNvPr id="96" name="image20.png"/>
                    <pic:cNvPicPr/>
                  </pic:nvPicPr>
                  <pic:blipFill>
                    <a:blip r:embed="rId47" cstate="print"/>
                    <a:stretch>
                      <a:fillRect/>
                    </a:stretch>
                  </pic:blipFill>
                  <pic:spPr>
                    <a:xfrm>
                      <a:off x="0" y="0"/>
                      <a:ext cx="55041" cy="6350"/>
                    </a:xfrm>
                    <a:prstGeom prst="rect">
                      <a:avLst/>
                    </a:prstGeom>
                  </pic:spPr>
                </pic:pic>
              </a:graphicData>
            </a:graphic>
          </wp:anchor>
        </w:drawing>
      </w:r>
      <w:r>
        <w:rPr>
          <w:color w:val="231F20"/>
          <w:sz w:val="12"/>
        </w:rPr>
        <w:t>1.2</w:t>
      </w:r>
    </w:p>
    <w:p>
      <w:pPr>
        <w:pStyle w:val="BodyText"/>
        <w:spacing w:before="7"/>
        <w:rPr>
          <w:sz w:val="15"/>
        </w:rPr>
      </w:pPr>
    </w:p>
    <w:p>
      <w:pPr>
        <w:spacing w:before="0"/>
        <w:ind w:left="3655" w:right="0" w:firstLine="0"/>
        <w:jc w:val="left"/>
        <w:rPr>
          <w:sz w:val="12"/>
        </w:rPr>
      </w:pPr>
      <w:r>
        <w:rPr/>
        <w:drawing>
          <wp:anchor distT="0" distB="0" distL="0" distR="0" allowOverlap="1" layoutInCell="1" locked="0" behindDoc="0" simplePos="0" relativeHeight="15809024">
            <wp:simplePos x="0" y="0"/>
            <wp:positionH relativeFrom="page">
              <wp:posOffset>527837</wp:posOffset>
            </wp:positionH>
            <wp:positionV relativeFrom="paragraph">
              <wp:posOffset>36230</wp:posOffset>
            </wp:positionV>
            <wp:extent cx="55029" cy="6350"/>
            <wp:effectExtent l="0" t="0" r="0" b="0"/>
            <wp:wrapNone/>
            <wp:docPr id="97" name="image22.png"/>
            <wp:cNvGraphicFramePr>
              <a:graphicFrameLocks noChangeAspect="1"/>
            </wp:cNvGraphicFramePr>
            <a:graphic>
              <a:graphicData uri="http://schemas.openxmlformats.org/drawingml/2006/picture">
                <pic:pic>
                  <pic:nvPicPr>
                    <pic:cNvPr id="98" name="image22.png"/>
                    <pic:cNvPicPr/>
                  </pic:nvPicPr>
                  <pic:blipFill>
                    <a:blip r:embed="rId49"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14144">
            <wp:simplePos x="0" y="0"/>
            <wp:positionH relativeFrom="page">
              <wp:posOffset>2619095</wp:posOffset>
            </wp:positionH>
            <wp:positionV relativeFrom="paragraph">
              <wp:posOffset>36484</wp:posOffset>
            </wp:positionV>
            <wp:extent cx="55041" cy="6350"/>
            <wp:effectExtent l="0" t="0" r="0" b="0"/>
            <wp:wrapNone/>
            <wp:docPr id="99" name="image22.png"/>
            <wp:cNvGraphicFramePr>
              <a:graphicFrameLocks noChangeAspect="1"/>
            </wp:cNvGraphicFramePr>
            <a:graphic>
              <a:graphicData uri="http://schemas.openxmlformats.org/drawingml/2006/picture">
                <pic:pic>
                  <pic:nvPicPr>
                    <pic:cNvPr id="100" name="image22.png"/>
                    <pic:cNvPicPr/>
                  </pic:nvPicPr>
                  <pic:blipFill>
                    <a:blip r:embed="rId49" cstate="print"/>
                    <a:stretch>
                      <a:fillRect/>
                    </a:stretch>
                  </pic:blipFill>
                  <pic:spPr>
                    <a:xfrm>
                      <a:off x="0" y="0"/>
                      <a:ext cx="55041" cy="6350"/>
                    </a:xfrm>
                    <a:prstGeom prst="rect">
                      <a:avLst/>
                    </a:prstGeom>
                  </pic:spPr>
                </pic:pic>
              </a:graphicData>
            </a:graphic>
          </wp:anchor>
        </w:drawing>
      </w:r>
      <w:r>
        <w:rPr>
          <w:color w:val="231F20"/>
          <w:sz w:val="12"/>
        </w:rPr>
        <w:t>0.8</w:t>
      </w:r>
    </w:p>
    <w:p>
      <w:pPr>
        <w:pStyle w:val="BodyText"/>
        <w:spacing w:before="10"/>
        <w:rPr>
          <w:sz w:val="13"/>
        </w:rPr>
      </w:pPr>
    </w:p>
    <w:p>
      <w:pPr>
        <w:spacing w:line="103" w:lineRule="exact" w:before="0"/>
        <w:ind w:left="3655" w:right="0" w:firstLine="0"/>
        <w:jc w:val="left"/>
        <w:rPr>
          <w:sz w:val="12"/>
        </w:rPr>
      </w:pPr>
      <w:r>
        <w:rPr/>
        <w:drawing>
          <wp:anchor distT="0" distB="0" distL="0" distR="0" allowOverlap="1" layoutInCell="1" locked="0" behindDoc="0" simplePos="0" relativeHeight="15814656">
            <wp:simplePos x="0" y="0"/>
            <wp:positionH relativeFrom="page">
              <wp:posOffset>525614</wp:posOffset>
            </wp:positionH>
            <wp:positionV relativeFrom="paragraph">
              <wp:posOffset>38589</wp:posOffset>
            </wp:positionV>
            <wp:extent cx="2162378" cy="91274"/>
            <wp:effectExtent l="0" t="0" r="0" b="0"/>
            <wp:wrapNone/>
            <wp:docPr id="101" name="image23.png"/>
            <wp:cNvGraphicFramePr>
              <a:graphicFrameLocks noChangeAspect="1"/>
            </wp:cNvGraphicFramePr>
            <a:graphic>
              <a:graphicData uri="http://schemas.openxmlformats.org/drawingml/2006/picture">
                <pic:pic>
                  <pic:nvPicPr>
                    <pic:cNvPr id="102" name="image23.png"/>
                    <pic:cNvPicPr/>
                  </pic:nvPicPr>
                  <pic:blipFill>
                    <a:blip r:embed="rId50" cstate="print"/>
                    <a:stretch>
                      <a:fillRect/>
                    </a:stretch>
                  </pic:blipFill>
                  <pic:spPr>
                    <a:xfrm>
                      <a:off x="0" y="0"/>
                      <a:ext cx="2162378" cy="91274"/>
                    </a:xfrm>
                    <a:prstGeom prst="rect">
                      <a:avLst/>
                    </a:prstGeom>
                  </pic:spPr>
                </pic:pic>
              </a:graphicData>
            </a:graphic>
          </wp:anchor>
        </w:drawing>
      </w:r>
      <w:r>
        <w:rPr>
          <w:color w:val="231F20"/>
          <w:sz w:val="12"/>
        </w:rPr>
        <w:t>0.4</w:t>
      </w:r>
    </w:p>
    <w:p>
      <w:pPr>
        <w:spacing w:line="242" w:lineRule="auto" w:before="206"/>
        <w:ind w:left="165" w:right="221" w:firstLine="0"/>
        <w:jc w:val="left"/>
        <w:rPr>
          <w:sz w:val="24"/>
        </w:rPr>
      </w:pPr>
      <w:r>
        <w:rPr/>
        <w:br w:type="column"/>
      </w:r>
      <w:r>
        <w:rPr>
          <w:color w:val="231F20"/>
          <w:sz w:val="24"/>
        </w:rPr>
        <w:t>curve (see Chart 1.12). The nominal yield on ten-year US and euro-area government bonds also rose over the same period, by around 0.5 percentage points, though this reflected higher short and medium-term interest rate expectations.</w:t>
      </w:r>
    </w:p>
    <w:p>
      <w:pPr>
        <w:spacing w:line="242" w:lineRule="auto" w:before="186"/>
        <w:ind w:left="165" w:right="435" w:firstLine="0"/>
        <w:jc w:val="left"/>
        <w:rPr>
          <w:sz w:val="24"/>
        </w:rPr>
      </w:pPr>
      <w:r>
        <w:rPr>
          <w:color w:val="231F20"/>
          <w:sz w:val="24"/>
        </w:rPr>
        <w:t>Changes in nominal interest rate expectations reflect revisions to expectations about inflation, real interest rates and/or risk premia. The recent increases in nominal bond yields appear to have been driven by higher inflation expectations. In addition, the forward real rate of interest in France also fell (see Charts 1.13 and 1.14).</w:t>
      </w:r>
    </w:p>
    <w:p>
      <w:pPr>
        <w:spacing w:line="242" w:lineRule="auto" w:before="189"/>
        <w:ind w:left="165" w:right="180" w:firstLine="0"/>
        <w:jc w:val="left"/>
        <w:rPr>
          <w:sz w:val="24"/>
        </w:rPr>
      </w:pPr>
      <w:r>
        <w:rPr>
          <w:color w:val="231F20"/>
          <w:sz w:val="24"/>
        </w:rPr>
        <w:t>Despite the recent rise in UK long-term real yields, they remain close to their lowest levels since index-linked government bonds were first introduced in 1981; and well below those in other countries (see Chart 1.14). A number of UK-specific institutional factors could account for part of this difference. For example, the minimum funding requirement (MFR) for pension funds has led to strong institutional demand for bonds, particularly long-maturity and index-linked bonds. In addition, there has been substantial demand from insurance companies for bonds, perhaps to hold as a hedge against liabilities arising from guarantees of minimum returns on annuities sold when yields were higher than they are at present. These factors have led to a strong demand for sterling bonds, which has put upward pressure on the price of both conventional and index-linked UK government securities.</w:t>
      </w:r>
    </w:p>
    <w:p>
      <w:pPr>
        <w:spacing w:before="202"/>
        <w:ind w:left="165" w:right="0" w:firstLine="0"/>
        <w:jc w:val="left"/>
        <w:rPr>
          <w:sz w:val="24"/>
        </w:rPr>
      </w:pPr>
      <w:r>
        <w:rPr>
          <w:color w:val="231F20"/>
          <w:sz w:val="24"/>
        </w:rPr>
        <w:t>To the extent that yields on UK index-linked bonds have</w:t>
      </w:r>
    </w:p>
    <w:p>
      <w:pPr>
        <w:spacing w:after="0"/>
        <w:jc w:val="left"/>
        <w:rPr>
          <w:sz w:val="24"/>
        </w:rPr>
        <w:sectPr>
          <w:type w:val="continuous"/>
          <w:pgSz w:w="11900" w:h="16840"/>
          <w:pgMar w:top="1220" w:bottom="280" w:left="640" w:right="640"/>
          <w:cols w:num="2" w:equalWidth="0">
            <w:col w:w="3878" w:space="917"/>
            <w:col w:w="5825"/>
          </w:cols>
        </w:sectPr>
      </w:pPr>
    </w:p>
    <w:p>
      <w:pPr>
        <w:pStyle w:val="BodyText"/>
        <w:spacing w:before="8"/>
        <w:rPr>
          <w:sz w:val="10"/>
        </w:rPr>
      </w:pPr>
    </w:p>
    <w:p>
      <w:pPr>
        <w:spacing w:before="0"/>
        <w:ind w:left="352" w:right="0" w:firstLine="0"/>
        <w:jc w:val="left"/>
        <w:rPr>
          <w:sz w:val="12"/>
        </w:rPr>
      </w:pPr>
      <w:r>
        <w:rPr>
          <w:color w:val="231F20"/>
          <w:sz w:val="12"/>
        </w:rPr>
        <w:t>F A J A O D F A J A O D F A</w:t>
      </w:r>
    </w:p>
    <w:p>
      <w:pPr>
        <w:spacing w:before="29"/>
        <w:ind w:left="22" w:right="0" w:firstLine="0"/>
        <w:jc w:val="left"/>
        <w:rPr>
          <w:sz w:val="12"/>
        </w:rPr>
      </w:pPr>
      <w:r>
        <w:rPr/>
        <w:br w:type="column"/>
      </w:r>
      <w:r>
        <w:rPr>
          <w:color w:val="231F20"/>
          <w:sz w:val="12"/>
        </w:rPr>
        <w:t>0.0</w:t>
      </w:r>
    </w:p>
    <w:p>
      <w:pPr>
        <w:spacing w:line="267" w:lineRule="exact" w:before="0"/>
        <w:ind w:left="187" w:right="0" w:firstLine="0"/>
        <w:jc w:val="left"/>
        <w:rPr>
          <w:sz w:val="24"/>
        </w:rPr>
      </w:pPr>
      <w:r>
        <w:rPr/>
        <w:br w:type="column"/>
      </w:r>
      <w:r>
        <w:rPr>
          <w:color w:val="231F20"/>
          <w:sz w:val="24"/>
        </w:rPr>
        <w:t>been depressed by these factors, measures of implied</w:t>
      </w:r>
    </w:p>
    <w:p>
      <w:pPr>
        <w:spacing w:after="0" w:line="267" w:lineRule="exact"/>
        <w:jc w:val="left"/>
        <w:rPr>
          <w:sz w:val="24"/>
        </w:rPr>
        <w:sectPr>
          <w:type w:val="continuous"/>
          <w:pgSz w:w="11900" w:h="16840"/>
          <w:pgMar w:top="1220" w:bottom="280" w:left="640" w:right="640"/>
          <w:cols w:num="3" w:equalWidth="0">
            <w:col w:w="3594" w:space="40"/>
            <w:col w:w="213" w:space="925"/>
            <w:col w:w="5848"/>
          </w:cols>
        </w:sectPr>
      </w:pPr>
    </w:p>
    <w:p>
      <w:pPr>
        <w:spacing w:before="6"/>
        <w:ind w:left="0" w:right="38" w:firstLine="0"/>
        <w:jc w:val="right"/>
        <w:rPr>
          <w:sz w:val="12"/>
        </w:rPr>
      </w:pPr>
      <w:r>
        <w:rPr>
          <w:color w:val="231F20"/>
          <w:sz w:val="12"/>
        </w:rPr>
        <w:t>1997</w:t>
      </w:r>
    </w:p>
    <w:p>
      <w:pPr>
        <w:tabs>
          <w:tab w:pos="1845" w:val="left" w:leader="none"/>
        </w:tabs>
        <w:spacing w:before="9"/>
        <w:ind w:left="800" w:right="0" w:firstLine="0"/>
        <w:jc w:val="left"/>
        <w:rPr>
          <w:sz w:val="12"/>
        </w:rPr>
      </w:pPr>
      <w:r>
        <w:rPr/>
        <w:br w:type="column"/>
      </w:r>
      <w:r>
        <w:rPr>
          <w:color w:val="231F20"/>
          <w:sz w:val="12"/>
        </w:rPr>
        <w:t>98</w:t>
        <w:tab/>
        <w:t>99</w:t>
      </w:r>
    </w:p>
    <w:p>
      <w:pPr>
        <w:spacing w:line="215" w:lineRule="exact" w:before="4"/>
        <w:ind w:left="779" w:right="634" w:firstLine="0"/>
        <w:jc w:val="center"/>
        <w:rPr>
          <w:sz w:val="24"/>
        </w:rPr>
      </w:pPr>
      <w:r>
        <w:rPr/>
        <w:br w:type="column"/>
      </w:r>
      <w:r>
        <w:rPr>
          <w:color w:val="231F20"/>
          <w:sz w:val="24"/>
        </w:rPr>
        <w:t>inflation expectations derived from the index-linked</w:t>
      </w:r>
    </w:p>
    <w:p>
      <w:pPr>
        <w:spacing w:after="0" w:line="215" w:lineRule="exact"/>
        <w:jc w:val="center"/>
        <w:rPr>
          <w:sz w:val="24"/>
        </w:rPr>
        <w:sectPr>
          <w:type w:val="continuous"/>
          <w:pgSz w:w="11900" w:h="16840"/>
          <w:pgMar w:top="1220" w:bottom="280" w:left="640" w:right="640"/>
          <w:cols w:num="3" w:equalWidth="0">
            <w:col w:w="1081" w:space="317"/>
            <w:col w:w="2006" w:space="756"/>
            <w:col w:w="6460"/>
          </w:cols>
        </w:sectPr>
      </w:pPr>
    </w:p>
    <w:p>
      <w:pPr>
        <w:spacing w:line="208" w:lineRule="auto" w:before="9"/>
        <w:ind w:left="405" w:right="125" w:hanging="240"/>
        <w:jc w:val="left"/>
        <w:rPr>
          <w:sz w:val="12"/>
        </w:rPr>
      </w:pPr>
      <w:r>
        <w:rPr>
          <w:color w:val="231F20"/>
          <w:sz w:val="12"/>
        </w:rPr>
        <w:t>(a) The break-even inflation rate is the average inflation rate over the </w:t>
      </w:r>
      <w:r>
        <w:rPr>
          <w:color w:val="231F20"/>
          <w:spacing w:val="-5"/>
          <w:sz w:val="12"/>
        </w:rPr>
        <w:t>life </w:t>
      </w:r>
      <w:r>
        <w:rPr>
          <w:color w:val="231F20"/>
          <w:sz w:val="12"/>
        </w:rPr>
        <w:t>of the bonds which would equalise the returns from holding a conventional bond and an index-linked bond of similar maturity.</w:t>
      </w:r>
    </w:p>
    <w:p>
      <w:pPr>
        <w:pStyle w:val="BodyText"/>
        <w:rPr>
          <w:sz w:val="12"/>
        </w:rPr>
      </w:pPr>
    </w:p>
    <w:p>
      <w:pPr>
        <w:pStyle w:val="BodyText"/>
        <w:spacing w:before="9"/>
        <w:rPr>
          <w:sz w:val="12"/>
        </w:rPr>
      </w:pPr>
    </w:p>
    <w:p>
      <w:pPr>
        <w:pStyle w:val="Heading4"/>
        <w:spacing w:before="1"/>
        <w:ind w:left="174"/>
      </w:pPr>
      <w:r>
        <w:rPr>
          <w:color w:val="0093C1"/>
        </w:rPr>
        <w:t>Chart 1.14</w:t>
      </w:r>
    </w:p>
    <w:p>
      <w:pPr>
        <w:pStyle w:val="Heading4"/>
        <w:ind w:left="174"/>
        <w:rPr>
          <w:b w:val="0"/>
          <w:sz w:val="12"/>
        </w:rPr>
      </w:pPr>
      <w:r>
        <w:rPr>
          <w:color w:val="0093C1"/>
        </w:rPr>
        <w:t>International ten-year real yields</w:t>
      </w:r>
      <w:r>
        <w:rPr>
          <w:b w:val="0"/>
          <w:color w:val="231F20"/>
          <w:position w:val="4"/>
          <w:sz w:val="12"/>
        </w:rPr>
        <w:t>(a)</w:t>
      </w:r>
    </w:p>
    <w:p>
      <w:pPr>
        <w:spacing w:line="117" w:lineRule="exact" w:before="58"/>
        <w:ind w:left="3200" w:right="0" w:firstLine="0"/>
        <w:jc w:val="left"/>
        <w:rPr>
          <w:sz w:val="12"/>
        </w:rPr>
      </w:pPr>
      <w:r>
        <w:rPr>
          <w:color w:val="231F20"/>
          <w:sz w:val="12"/>
        </w:rPr>
        <w:t>Per cent</w:t>
      </w:r>
    </w:p>
    <w:p>
      <w:pPr>
        <w:spacing w:line="117" w:lineRule="exact" w:before="0"/>
        <w:ind w:left="3684" w:right="0" w:firstLine="0"/>
        <w:jc w:val="left"/>
        <w:rPr>
          <w:sz w:val="12"/>
        </w:rPr>
      </w:pPr>
      <w:r>
        <w:rPr/>
        <w:drawing>
          <wp:anchor distT="0" distB="0" distL="0" distR="0" allowOverlap="1" layoutInCell="1" locked="0" behindDoc="0" simplePos="0" relativeHeight="15822848">
            <wp:simplePos x="0" y="0"/>
            <wp:positionH relativeFrom="page">
              <wp:posOffset>2634348</wp:posOffset>
            </wp:positionH>
            <wp:positionV relativeFrom="paragraph">
              <wp:posOffset>29837</wp:posOffset>
            </wp:positionV>
            <wp:extent cx="55041" cy="6350"/>
            <wp:effectExtent l="0" t="0" r="0" b="0"/>
            <wp:wrapNone/>
            <wp:docPr id="103" name="image7.png"/>
            <wp:cNvGraphicFramePr>
              <a:graphicFrameLocks noChangeAspect="1"/>
            </wp:cNvGraphicFramePr>
            <a:graphic>
              <a:graphicData uri="http://schemas.openxmlformats.org/drawingml/2006/picture">
                <pic:pic>
                  <pic:nvPicPr>
                    <pic:cNvPr id="104" name="image7.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5.4</w:t>
      </w:r>
    </w:p>
    <w:p>
      <w:pPr>
        <w:pStyle w:val="BodyText"/>
        <w:spacing w:line="20" w:lineRule="exact"/>
        <w:ind w:left="207"/>
        <w:rPr>
          <w:sz w:val="2"/>
        </w:rPr>
      </w:pPr>
      <w:r>
        <w:rPr>
          <w:sz w:val="2"/>
        </w:rPr>
        <w:drawing>
          <wp:inline distT="0" distB="0" distL="0" distR="0">
            <wp:extent cx="54478" cy="6286"/>
            <wp:effectExtent l="0" t="0" r="0" b="0"/>
            <wp:docPr id="105" name="image9.png"/>
            <wp:cNvGraphicFramePr>
              <a:graphicFrameLocks noChangeAspect="1"/>
            </wp:cNvGraphicFramePr>
            <a:graphic>
              <a:graphicData uri="http://schemas.openxmlformats.org/drawingml/2006/picture">
                <pic:pic>
                  <pic:nvPicPr>
                    <pic:cNvPr id="106" name="image9.png"/>
                    <pic:cNvPicPr/>
                  </pic:nvPicPr>
                  <pic:blipFill>
                    <a:blip r:embed="rId36" cstate="print"/>
                    <a:stretch>
                      <a:fillRect/>
                    </a:stretch>
                  </pic:blipFill>
                  <pic:spPr>
                    <a:xfrm>
                      <a:off x="0" y="0"/>
                      <a:ext cx="54478" cy="6286"/>
                    </a:xfrm>
                    <a:prstGeom prst="rect">
                      <a:avLst/>
                    </a:prstGeom>
                  </pic:spPr>
                </pic:pic>
              </a:graphicData>
            </a:graphic>
          </wp:inline>
        </w:drawing>
      </w:r>
      <w:r>
        <w:rPr>
          <w:sz w:val="2"/>
        </w:rPr>
      </w:r>
    </w:p>
    <w:p>
      <w:pPr>
        <w:pStyle w:val="BodyText"/>
        <w:spacing w:before="7"/>
        <w:rPr>
          <w:sz w:val="15"/>
        </w:rPr>
      </w:pPr>
    </w:p>
    <w:p>
      <w:pPr>
        <w:spacing w:before="0"/>
        <w:ind w:left="3684" w:right="0" w:firstLine="0"/>
        <w:jc w:val="left"/>
        <w:rPr>
          <w:sz w:val="12"/>
        </w:rPr>
      </w:pPr>
      <w:r>
        <w:rPr/>
        <w:pict>
          <v:group style="position:absolute;margin-left:50.845001pt;margin-top:.602966pt;width:150pt;height:127.65pt;mso-position-horizontal-relative:page;mso-position-vertical-relative:paragraph;z-index:15817216" coordorigin="1017,12" coordsize="3000,2553">
            <v:shape style="position:absolute;left:1016;top:12;width:3000;height:2553" type="#_x0000_t75" stroked="false">
              <v:imagedata r:id="rId51" o:title=""/>
            </v:shape>
            <v:shape style="position:absolute;left:1926;top:32;width:380;height:133" type="#_x0000_t202" filled="false" stroked="false">
              <v:textbox inset="0,0,0,0">
                <w:txbxContent>
                  <w:p>
                    <w:pPr>
                      <w:spacing w:line="133" w:lineRule="exact" w:before="0"/>
                      <w:ind w:left="0" w:right="0" w:firstLine="0"/>
                      <w:jc w:val="left"/>
                      <w:rPr>
                        <w:sz w:val="12"/>
                      </w:rPr>
                    </w:pPr>
                    <w:r>
                      <w:rPr>
                        <w:color w:val="231F20"/>
                        <w:sz w:val="12"/>
                      </w:rPr>
                      <w:t>Canada</w:t>
                    </w:r>
                  </w:p>
                </w:txbxContent>
              </v:textbox>
              <w10:wrap type="none"/>
            </v:shape>
            <v:shape style="position:absolute;left:1163;top:595;width:664;height:133" type="#_x0000_t202" filled="false" stroked="false">
              <v:textbox inset="0,0,0,0">
                <w:txbxContent>
                  <w:p>
                    <w:pPr>
                      <w:spacing w:line="133" w:lineRule="exact" w:before="0"/>
                      <w:ind w:left="0" w:right="0" w:firstLine="0"/>
                      <w:jc w:val="left"/>
                      <w:rPr>
                        <w:sz w:val="12"/>
                      </w:rPr>
                    </w:pPr>
                    <w:r>
                      <w:rPr>
                        <w:color w:val="231F20"/>
                        <w:sz w:val="12"/>
                      </w:rPr>
                      <w:t>United States</w:t>
                    </w:r>
                  </w:p>
                </w:txbxContent>
              </v:textbox>
              <w10:wrap type="none"/>
            </v:shape>
            <v:shape style="position:absolute;left:3440;top:1293;width:347;height:133" type="#_x0000_t202" filled="false" stroked="false">
              <v:textbox inset="0,0,0,0">
                <w:txbxContent>
                  <w:p>
                    <w:pPr>
                      <w:spacing w:line="133" w:lineRule="exact" w:before="0"/>
                      <w:ind w:left="0" w:right="0" w:firstLine="0"/>
                      <w:jc w:val="left"/>
                      <w:rPr>
                        <w:sz w:val="12"/>
                      </w:rPr>
                    </w:pPr>
                    <w:r>
                      <w:rPr>
                        <w:color w:val="231F20"/>
                        <w:sz w:val="12"/>
                      </w:rPr>
                      <w:t>France</w:t>
                    </w:r>
                  </w:p>
                </w:txbxContent>
              </v:textbox>
              <w10:wrap type="none"/>
            </v:shape>
            <v:shape style="position:absolute;left:1800;top:1685;width:830;height:134" type="#_x0000_t202" filled="false" stroked="false">
              <v:textbox inset="0,0,0,0">
                <w:txbxContent>
                  <w:p>
                    <w:pPr>
                      <w:spacing w:line="133" w:lineRule="exact" w:before="0"/>
                      <w:ind w:left="0" w:right="0" w:firstLine="0"/>
                      <w:jc w:val="left"/>
                      <w:rPr>
                        <w:sz w:val="12"/>
                      </w:rPr>
                    </w:pPr>
                    <w:r>
                      <w:rPr>
                        <w:color w:val="231F20"/>
                        <w:sz w:val="12"/>
                      </w:rPr>
                      <w:t>United Kingdom</w:t>
                    </w:r>
                  </w:p>
                </w:txbxContent>
              </v:textbox>
              <w10:wrap type="none"/>
            </v:shape>
            <w10:wrap type="none"/>
          </v:group>
        </w:pict>
      </w:r>
      <w:r>
        <w:rPr/>
        <w:drawing>
          <wp:anchor distT="0" distB="0" distL="0" distR="0" allowOverlap="1" layoutInCell="1" locked="0" behindDoc="0" simplePos="0" relativeHeight="15817728">
            <wp:simplePos x="0" y="0"/>
            <wp:positionH relativeFrom="page">
              <wp:posOffset>538391</wp:posOffset>
            </wp:positionH>
            <wp:positionV relativeFrom="paragraph">
              <wp:posOffset>48945</wp:posOffset>
            </wp:positionV>
            <wp:extent cx="55029" cy="6350"/>
            <wp:effectExtent l="0" t="0" r="0" b="0"/>
            <wp:wrapNone/>
            <wp:docPr id="107" name="image9.png"/>
            <wp:cNvGraphicFramePr>
              <a:graphicFrameLocks noChangeAspect="1"/>
            </wp:cNvGraphicFramePr>
            <a:graphic>
              <a:graphicData uri="http://schemas.openxmlformats.org/drawingml/2006/picture">
                <pic:pic>
                  <pic:nvPicPr>
                    <pic:cNvPr id="108"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3360">
            <wp:simplePos x="0" y="0"/>
            <wp:positionH relativeFrom="page">
              <wp:posOffset>2634348</wp:posOffset>
            </wp:positionH>
            <wp:positionV relativeFrom="paragraph">
              <wp:posOffset>48945</wp:posOffset>
            </wp:positionV>
            <wp:extent cx="55041" cy="6350"/>
            <wp:effectExtent l="0" t="0" r="0" b="0"/>
            <wp:wrapNone/>
            <wp:docPr id="109" name="image9.png"/>
            <wp:cNvGraphicFramePr>
              <a:graphicFrameLocks noChangeAspect="1"/>
            </wp:cNvGraphicFramePr>
            <a:graphic>
              <a:graphicData uri="http://schemas.openxmlformats.org/drawingml/2006/picture">
                <pic:pic>
                  <pic:nvPicPr>
                    <pic:cNvPr id="110" name="image9.png"/>
                    <pic:cNvPicPr/>
                  </pic:nvPicPr>
                  <pic:blipFill>
                    <a:blip r:embed="rId36" cstate="print"/>
                    <a:stretch>
                      <a:fillRect/>
                    </a:stretch>
                  </pic:blipFill>
                  <pic:spPr>
                    <a:xfrm>
                      <a:off x="0" y="0"/>
                      <a:ext cx="55041" cy="6350"/>
                    </a:xfrm>
                    <a:prstGeom prst="rect">
                      <a:avLst/>
                    </a:prstGeom>
                  </pic:spPr>
                </pic:pic>
              </a:graphicData>
            </a:graphic>
          </wp:anchor>
        </w:drawing>
      </w:r>
      <w:r>
        <w:rPr>
          <w:color w:val="231F20"/>
          <w:sz w:val="12"/>
        </w:rPr>
        <w:t>5.0</w:t>
      </w:r>
    </w:p>
    <w:p>
      <w:pPr>
        <w:pStyle w:val="BodyText"/>
        <w:spacing w:before="10"/>
        <w:rPr>
          <w:sz w:val="13"/>
        </w:rPr>
      </w:pPr>
    </w:p>
    <w:p>
      <w:pPr>
        <w:spacing w:before="0"/>
        <w:ind w:left="3684" w:right="0" w:firstLine="0"/>
        <w:jc w:val="left"/>
        <w:rPr>
          <w:sz w:val="12"/>
        </w:rPr>
      </w:pPr>
      <w:r>
        <w:rPr/>
        <w:drawing>
          <wp:anchor distT="0" distB="0" distL="0" distR="0" allowOverlap="1" layoutInCell="1" locked="0" behindDoc="0" simplePos="0" relativeHeight="15818240">
            <wp:simplePos x="0" y="0"/>
            <wp:positionH relativeFrom="page">
              <wp:posOffset>538391</wp:posOffset>
            </wp:positionH>
            <wp:positionV relativeFrom="paragraph">
              <wp:posOffset>45767</wp:posOffset>
            </wp:positionV>
            <wp:extent cx="55029" cy="6350"/>
            <wp:effectExtent l="0" t="0" r="0" b="0"/>
            <wp:wrapNone/>
            <wp:docPr id="111" name="image9.png"/>
            <wp:cNvGraphicFramePr>
              <a:graphicFrameLocks noChangeAspect="1"/>
            </wp:cNvGraphicFramePr>
            <a:graphic>
              <a:graphicData uri="http://schemas.openxmlformats.org/drawingml/2006/picture">
                <pic:pic>
                  <pic:nvPicPr>
                    <pic:cNvPr id="112"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3872">
            <wp:simplePos x="0" y="0"/>
            <wp:positionH relativeFrom="page">
              <wp:posOffset>2634348</wp:posOffset>
            </wp:positionH>
            <wp:positionV relativeFrom="paragraph">
              <wp:posOffset>45767</wp:posOffset>
            </wp:positionV>
            <wp:extent cx="55041" cy="6350"/>
            <wp:effectExtent l="0" t="0" r="0" b="0"/>
            <wp:wrapNone/>
            <wp:docPr id="113" name="image9.png"/>
            <wp:cNvGraphicFramePr>
              <a:graphicFrameLocks noChangeAspect="1"/>
            </wp:cNvGraphicFramePr>
            <a:graphic>
              <a:graphicData uri="http://schemas.openxmlformats.org/drawingml/2006/picture">
                <pic:pic>
                  <pic:nvPicPr>
                    <pic:cNvPr id="114" name="image9.png"/>
                    <pic:cNvPicPr/>
                  </pic:nvPicPr>
                  <pic:blipFill>
                    <a:blip r:embed="rId36" cstate="print"/>
                    <a:stretch>
                      <a:fillRect/>
                    </a:stretch>
                  </pic:blipFill>
                  <pic:spPr>
                    <a:xfrm>
                      <a:off x="0" y="0"/>
                      <a:ext cx="55041" cy="6350"/>
                    </a:xfrm>
                    <a:prstGeom prst="rect">
                      <a:avLst/>
                    </a:prstGeom>
                  </pic:spPr>
                </pic:pic>
              </a:graphicData>
            </a:graphic>
          </wp:anchor>
        </w:drawing>
      </w:r>
      <w:r>
        <w:rPr>
          <w:color w:val="231F20"/>
          <w:sz w:val="12"/>
        </w:rPr>
        <w:t>4.6</w:t>
      </w:r>
    </w:p>
    <w:p>
      <w:pPr>
        <w:pStyle w:val="BodyText"/>
        <w:spacing w:before="8"/>
        <w:rPr>
          <w:sz w:val="13"/>
        </w:rPr>
      </w:pPr>
    </w:p>
    <w:p>
      <w:pPr>
        <w:spacing w:before="0"/>
        <w:ind w:left="3684" w:right="0" w:firstLine="0"/>
        <w:jc w:val="left"/>
        <w:rPr>
          <w:sz w:val="12"/>
        </w:rPr>
      </w:pPr>
      <w:r>
        <w:rPr/>
        <w:drawing>
          <wp:anchor distT="0" distB="0" distL="0" distR="0" allowOverlap="1" layoutInCell="1" locked="0" behindDoc="0" simplePos="0" relativeHeight="15818752">
            <wp:simplePos x="0" y="0"/>
            <wp:positionH relativeFrom="page">
              <wp:posOffset>538391</wp:posOffset>
            </wp:positionH>
            <wp:positionV relativeFrom="paragraph">
              <wp:posOffset>44182</wp:posOffset>
            </wp:positionV>
            <wp:extent cx="55029" cy="6350"/>
            <wp:effectExtent l="0" t="0" r="0" b="0"/>
            <wp:wrapNone/>
            <wp:docPr id="115" name="image9.png"/>
            <wp:cNvGraphicFramePr>
              <a:graphicFrameLocks noChangeAspect="1"/>
            </wp:cNvGraphicFramePr>
            <a:graphic>
              <a:graphicData uri="http://schemas.openxmlformats.org/drawingml/2006/picture">
                <pic:pic>
                  <pic:nvPicPr>
                    <pic:cNvPr id="116"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4384">
            <wp:simplePos x="0" y="0"/>
            <wp:positionH relativeFrom="page">
              <wp:posOffset>2634348</wp:posOffset>
            </wp:positionH>
            <wp:positionV relativeFrom="paragraph">
              <wp:posOffset>44182</wp:posOffset>
            </wp:positionV>
            <wp:extent cx="55041" cy="6350"/>
            <wp:effectExtent l="0" t="0" r="0" b="0"/>
            <wp:wrapNone/>
            <wp:docPr id="117" name="image9.png"/>
            <wp:cNvGraphicFramePr>
              <a:graphicFrameLocks noChangeAspect="1"/>
            </wp:cNvGraphicFramePr>
            <a:graphic>
              <a:graphicData uri="http://schemas.openxmlformats.org/drawingml/2006/picture">
                <pic:pic>
                  <pic:nvPicPr>
                    <pic:cNvPr id="118" name="image9.png"/>
                    <pic:cNvPicPr/>
                  </pic:nvPicPr>
                  <pic:blipFill>
                    <a:blip r:embed="rId36" cstate="print"/>
                    <a:stretch>
                      <a:fillRect/>
                    </a:stretch>
                  </pic:blipFill>
                  <pic:spPr>
                    <a:xfrm>
                      <a:off x="0" y="0"/>
                      <a:ext cx="55041" cy="6350"/>
                    </a:xfrm>
                    <a:prstGeom prst="rect">
                      <a:avLst/>
                    </a:prstGeom>
                  </pic:spPr>
                </pic:pic>
              </a:graphicData>
            </a:graphic>
          </wp:anchor>
        </w:drawing>
      </w:r>
      <w:r>
        <w:rPr>
          <w:color w:val="231F20"/>
          <w:sz w:val="12"/>
        </w:rPr>
        <w:t>4.2</w:t>
      </w:r>
    </w:p>
    <w:p>
      <w:pPr>
        <w:pStyle w:val="BodyText"/>
        <w:spacing w:before="1"/>
        <w:rPr>
          <w:sz w:val="12"/>
        </w:rPr>
      </w:pPr>
    </w:p>
    <w:p>
      <w:pPr>
        <w:spacing w:before="0"/>
        <w:ind w:left="3684" w:right="0" w:firstLine="0"/>
        <w:jc w:val="left"/>
        <w:rPr>
          <w:sz w:val="12"/>
        </w:rPr>
      </w:pPr>
      <w:r>
        <w:rPr/>
        <w:drawing>
          <wp:anchor distT="0" distB="0" distL="0" distR="0" allowOverlap="1" layoutInCell="1" locked="0" behindDoc="0" simplePos="0" relativeHeight="15819264">
            <wp:simplePos x="0" y="0"/>
            <wp:positionH relativeFrom="page">
              <wp:posOffset>538391</wp:posOffset>
            </wp:positionH>
            <wp:positionV relativeFrom="paragraph">
              <wp:posOffset>53707</wp:posOffset>
            </wp:positionV>
            <wp:extent cx="55029" cy="6350"/>
            <wp:effectExtent l="0" t="0" r="0" b="0"/>
            <wp:wrapNone/>
            <wp:docPr id="119" name="image9.png"/>
            <wp:cNvGraphicFramePr>
              <a:graphicFrameLocks noChangeAspect="1"/>
            </wp:cNvGraphicFramePr>
            <a:graphic>
              <a:graphicData uri="http://schemas.openxmlformats.org/drawingml/2006/picture">
                <pic:pic>
                  <pic:nvPicPr>
                    <pic:cNvPr id="120" name="image9.png"/>
                    <pic:cNvPicPr/>
                  </pic:nvPicPr>
                  <pic:blipFill>
                    <a:blip r:embed="rId36"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4896">
            <wp:simplePos x="0" y="0"/>
            <wp:positionH relativeFrom="page">
              <wp:posOffset>2634348</wp:posOffset>
            </wp:positionH>
            <wp:positionV relativeFrom="paragraph">
              <wp:posOffset>53707</wp:posOffset>
            </wp:positionV>
            <wp:extent cx="55041" cy="6350"/>
            <wp:effectExtent l="0" t="0" r="0" b="0"/>
            <wp:wrapNone/>
            <wp:docPr id="121" name="image9.png"/>
            <wp:cNvGraphicFramePr>
              <a:graphicFrameLocks noChangeAspect="1"/>
            </wp:cNvGraphicFramePr>
            <a:graphic>
              <a:graphicData uri="http://schemas.openxmlformats.org/drawingml/2006/picture">
                <pic:pic>
                  <pic:nvPicPr>
                    <pic:cNvPr id="122" name="image9.png"/>
                    <pic:cNvPicPr/>
                  </pic:nvPicPr>
                  <pic:blipFill>
                    <a:blip r:embed="rId36" cstate="print"/>
                    <a:stretch>
                      <a:fillRect/>
                    </a:stretch>
                  </pic:blipFill>
                  <pic:spPr>
                    <a:xfrm>
                      <a:off x="0" y="0"/>
                      <a:ext cx="55041" cy="6350"/>
                    </a:xfrm>
                    <a:prstGeom prst="rect">
                      <a:avLst/>
                    </a:prstGeom>
                  </pic:spPr>
                </pic:pic>
              </a:graphicData>
            </a:graphic>
          </wp:anchor>
        </w:drawing>
      </w:r>
      <w:r>
        <w:rPr>
          <w:color w:val="231F20"/>
          <w:sz w:val="12"/>
        </w:rPr>
        <w:t>3.8</w:t>
      </w:r>
    </w:p>
    <w:p>
      <w:pPr>
        <w:pStyle w:val="BodyText"/>
        <w:spacing w:before="1"/>
        <w:rPr>
          <w:sz w:val="14"/>
        </w:rPr>
      </w:pPr>
    </w:p>
    <w:p>
      <w:pPr>
        <w:spacing w:before="0"/>
        <w:ind w:left="3684" w:right="0" w:firstLine="0"/>
        <w:jc w:val="left"/>
        <w:rPr>
          <w:sz w:val="12"/>
        </w:rPr>
      </w:pPr>
      <w:r>
        <w:rPr/>
        <w:drawing>
          <wp:anchor distT="0" distB="0" distL="0" distR="0" allowOverlap="1" layoutInCell="1" locked="0" behindDoc="0" simplePos="0" relativeHeight="15819776">
            <wp:simplePos x="0" y="0"/>
            <wp:positionH relativeFrom="page">
              <wp:posOffset>538391</wp:posOffset>
            </wp:positionH>
            <wp:positionV relativeFrom="paragraph">
              <wp:posOffset>47357</wp:posOffset>
            </wp:positionV>
            <wp:extent cx="55029" cy="6350"/>
            <wp:effectExtent l="0" t="0" r="0" b="0"/>
            <wp:wrapNone/>
            <wp:docPr id="123" name="image7.png"/>
            <wp:cNvGraphicFramePr>
              <a:graphicFrameLocks noChangeAspect="1"/>
            </wp:cNvGraphicFramePr>
            <a:graphic>
              <a:graphicData uri="http://schemas.openxmlformats.org/drawingml/2006/picture">
                <pic:pic>
                  <pic:nvPicPr>
                    <pic:cNvPr id="124"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5408">
            <wp:simplePos x="0" y="0"/>
            <wp:positionH relativeFrom="page">
              <wp:posOffset>2634348</wp:posOffset>
            </wp:positionH>
            <wp:positionV relativeFrom="paragraph">
              <wp:posOffset>47357</wp:posOffset>
            </wp:positionV>
            <wp:extent cx="55041" cy="6350"/>
            <wp:effectExtent l="0" t="0" r="0" b="0"/>
            <wp:wrapNone/>
            <wp:docPr id="125" name="image7.png"/>
            <wp:cNvGraphicFramePr>
              <a:graphicFrameLocks noChangeAspect="1"/>
            </wp:cNvGraphicFramePr>
            <a:graphic>
              <a:graphicData uri="http://schemas.openxmlformats.org/drawingml/2006/picture">
                <pic:pic>
                  <pic:nvPicPr>
                    <pic:cNvPr id="126" name="image7.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3.4</w:t>
      </w:r>
    </w:p>
    <w:p>
      <w:pPr>
        <w:pStyle w:val="BodyText"/>
        <w:spacing w:before="10"/>
        <w:rPr>
          <w:sz w:val="13"/>
        </w:rPr>
      </w:pPr>
    </w:p>
    <w:p>
      <w:pPr>
        <w:spacing w:before="0"/>
        <w:ind w:left="3684" w:right="0" w:firstLine="0"/>
        <w:jc w:val="left"/>
        <w:rPr>
          <w:sz w:val="12"/>
        </w:rPr>
      </w:pPr>
      <w:r>
        <w:rPr/>
        <w:drawing>
          <wp:anchor distT="0" distB="0" distL="0" distR="0" allowOverlap="1" layoutInCell="1" locked="0" behindDoc="0" simplePos="0" relativeHeight="15820288">
            <wp:simplePos x="0" y="0"/>
            <wp:positionH relativeFrom="page">
              <wp:posOffset>538391</wp:posOffset>
            </wp:positionH>
            <wp:positionV relativeFrom="paragraph">
              <wp:posOffset>44180</wp:posOffset>
            </wp:positionV>
            <wp:extent cx="55029" cy="6350"/>
            <wp:effectExtent l="0" t="0" r="0" b="0"/>
            <wp:wrapNone/>
            <wp:docPr id="127" name="image7.png"/>
            <wp:cNvGraphicFramePr>
              <a:graphicFrameLocks noChangeAspect="1"/>
            </wp:cNvGraphicFramePr>
            <a:graphic>
              <a:graphicData uri="http://schemas.openxmlformats.org/drawingml/2006/picture">
                <pic:pic>
                  <pic:nvPicPr>
                    <pic:cNvPr id="128"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5920">
            <wp:simplePos x="0" y="0"/>
            <wp:positionH relativeFrom="page">
              <wp:posOffset>2634348</wp:posOffset>
            </wp:positionH>
            <wp:positionV relativeFrom="paragraph">
              <wp:posOffset>44180</wp:posOffset>
            </wp:positionV>
            <wp:extent cx="55041" cy="6350"/>
            <wp:effectExtent l="0" t="0" r="0" b="0"/>
            <wp:wrapNone/>
            <wp:docPr id="129" name="image7.png"/>
            <wp:cNvGraphicFramePr>
              <a:graphicFrameLocks noChangeAspect="1"/>
            </wp:cNvGraphicFramePr>
            <a:graphic>
              <a:graphicData uri="http://schemas.openxmlformats.org/drawingml/2006/picture">
                <pic:pic>
                  <pic:nvPicPr>
                    <pic:cNvPr id="130" name="image7.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3.0</w:t>
      </w:r>
    </w:p>
    <w:p>
      <w:pPr>
        <w:pStyle w:val="BodyText"/>
        <w:spacing w:before="8"/>
        <w:rPr>
          <w:sz w:val="13"/>
        </w:rPr>
      </w:pPr>
    </w:p>
    <w:p>
      <w:pPr>
        <w:spacing w:before="0"/>
        <w:ind w:left="3684" w:right="0" w:firstLine="0"/>
        <w:jc w:val="left"/>
        <w:rPr>
          <w:sz w:val="12"/>
        </w:rPr>
      </w:pPr>
      <w:r>
        <w:rPr/>
        <w:drawing>
          <wp:anchor distT="0" distB="0" distL="0" distR="0" allowOverlap="1" layoutInCell="1" locked="0" behindDoc="0" simplePos="0" relativeHeight="15820800">
            <wp:simplePos x="0" y="0"/>
            <wp:positionH relativeFrom="page">
              <wp:posOffset>538391</wp:posOffset>
            </wp:positionH>
            <wp:positionV relativeFrom="paragraph">
              <wp:posOffset>42595</wp:posOffset>
            </wp:positionV>
            <wp:extent cx="55029" cy="6350"/>
            <wp:effectExtent l="0" t="0" r="0" b="0"/>
            <wp:wrapNone/>
            <wp:docPr id="131" name="image7.png"/>
            <wp:cNvGraphicFramePr>
              <a:graphicFrameLocks noChangeAspect="1"/>
            </wp:cNvGraphicFramePr>
            <a:graphic>
              <a:graphicData uri="http://schemas.openxmlformats.org/drawingml/2006/picture">
                <pic:pic>
                  <pic:nvPicPr>
                    <pic:cNvPr id="132"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6432">
            <wp:simplePos x="0" y="0"/>
            <wp:positionH relativeFrom="page">
              <wp:posOffset>2634348</wp:posOffset>
            </wp:positionH>
            <wp:positionV relativeFrom="paragraph">
              <wp:posOffset>42595</wp:posOffset>
            </wp:positionV>
            <wp:extent cx="55041" cy="6350"/>
            <wp:effectExtent l="0" t="0" r="0" b="0"/>
            <wp:wrapNone/>
            <wp:docPr id="133" name="image7.png"/>
            <wp:cNvGraphicFramePr>
              <a:graphicFrameLocks noChangeAspect="1"/>
            </wp:cNvGraphicFramePr>
            <a:graphic>
              <a:graphicData uri="http://schemas.openxmlformats.org/drawingml/2006/picture">
                <pic:pic>
                  <pic:nvPicPr>
                    <pic:cNvPr id="134" name="image7.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2.6</w:t>
      </w:r>
    </w:p>
    <w:p>
      <w:pPr>
        <w:pStyle w:val="BodyText"/>
        <w:spacing w:before="1"/>
        <w:rPr>
          <w:sz w:val="12"/>
        </w:rPr>
      </w:pPr>
    </w:p>
    <w:p>
      <w:pPr>
        <w:spacing w:before="1"/>
        <w:ind w:left="3684" w:right="0" w:firstLine="0"/>
        <w:jc w:val="left"/>
        <w:rPr>
          <w:sz w:val="12"/>
        </w:rPr>
      </w:pPr>
      <w:r>
        <w:rPr/>
        <w:drawing>
          <wp:anchor distT="0" distB="0" distL="0" distR="0" allowOverlap="1" layoutInCell="1" locked="0" behindDoc="0" simplePos="0" relativeHeight="15821312">
            <wp:simplePos x="0" y="0"/>
            <wp:positionH relativeFrom="page">
              <wp:posOffset>538391</wp:posOffset>
            </wp:positionH>
            <wp:positionV relativeFrom="paragraph">
              <wp:posOffset>52755</wp:posOffset>
            </wp:positionV>
            <wp:extent cx="55029" cy="6350"/>
            <wp:effectExtent l="0" t="0" r="0" b="0"/>
            <wp:wrapNone/>
            <wp:docPr id="135" name="image7.png"/>
            <wp:cNvGraphicFramePr>
              <a:graphicFrameLocks noChangeAspect="1"/>
            </wp:cNvGraphicFramePr>
            <a:graphic>
              <a:graphicData uri="http://schemas.openxmlformats.org/drawingml/2006/picture">
                <pic:pic>
                  <pic:nvPicPr>
                    <pic:cNvPr id="136"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6944">
            <wp:simplePos x="0" y="0"/>
            <wp:positionH relativeFrom="page">
              <wp:posOffset>2634348</wp:posOffset>
            </wp:positionH>
            <wp:positionV relativeFrom="paragraph">
              <wp:posOffset>52755</wp:posOffset>
            </wp:positionV>
            <wp:extent cx="55041" cy="6350"/>
            <wp:effectExtent l="0" t="0" r="0" b="0"/>
            <wp:wrapNone/>
            <wp:docPr id="137" name="image7.png"/>
            <wp:cNvGraphicFramePr>
              <a:graphicFrameLocks noChangeAspect="1"/>
            </wp:cNvGraphicFramePr>
            <a:graphic>
              <a:graphicData uri="http://schemas.openxmlformats.org/drawingml/2006/picture">
                <pic:pic>
                  <pic:nvPicPr>
                    <pic:cNvPr id="138" name="image7.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2.2</w:t>
      </w:r>
    </w:p>
    <w:p>
      <w:pPr>
        <w:pStyle w:val="BodyText"/>
        <w:spacing w:before="9"/>
        <w:rPr>
          <w:sz w:val="13"/>
        </w:rPr>
      </w:pPr>
    </w:p>
    <w:p>
      <w:pPr>
        <w:spacing w:before="1"/>
        <w:ind w:left="3684" w:right="0" w:firstLine="0"/>
        <w:jc w:val="left"/>
        <w:rPr>
          <w:sz w:val="12"/>
        </w:rPr>
      </w:pPr>
      <w:r>
        <w:rPr/>
        <w:drawing>
          <wp:anchor distT="0" distB="0" distL="0" distR="0" allowOverlap="1" layoutInCell="1" locked="0" behindDoc="0" simplePos="0" relativeHeight="15821824">
            <wp:simplePos x="0" y="0"/>
            <wp:positionH relativeFrom="page">
              <wp:posOffset>538391</wp:posOffset>
            </wp:positionH>
            <wp:positionV relativeFrom="paragraph">
              <wp:posOffset>49577</wp:posOffset>
            </wp:positionV>
            <wp:extent cx="55029" cy="6350"/>
            <wp:effectExtent l="0" t="0" r="0" b="0"/>
            <wp:wrapNone/>
            <wp:docPr id="139" name="image7.png"/>
            <wp:cNvGraphicFramePr>
              <a:graphicFrameLocks noChangeAspect="1"/>
            </wp:cNvGraphicFramePr>
            <a:graphic>
              <a:graphicData uri="http://schemas.openxmlformats.org/drawingml/2006/picture">
                <pic:pic>
                  <pic:nvPicPr>
                    <pic:cNvPr id="140" name="image7.png"/>
                    <pic:cNvPicPr/>
                  </pic:nvPicPr>
                  <pic:blipFill>
                    <a:blip r:embed="rId34" cstate="print"/>
                    <a:stretch>
                      <a:fillRect/>
                    </a:stretch>
                  </pic:blipFill>
                  <pic:spPr>
                    <a:xfrm>
                      <a:off x="0" y="0"/>
                      <a:ext cx="55029" cy="6350"/>
                    </a:xfrm>
                    <a:prstGeom prst="rect">
                      <a:avLst/>
                    </a:prstGeom>
                  </pic:spPr>
                </pic:pic>
              </a:graphicData>
            </a:graphic>
          </wp:anchor>
        </w:drawing>
      </w:r>
      <w:r>
        <w:rPr/>
        <w:drawing>
          <wp:anchor distT="0" distB="0" distL="0" distR="0" allowOverlap="1" layoutInCell="1" locked="0" behindDoc="0" simplePos="0" relativeHeight="15827456">
            <wp:simplePos x="0" y="0"/>
            <wp:positionH relativeFrom="page">
              <wp:posOffset>2634348</wp:posOffset>
            </wp:positionH>
            <wp:positionV relativeFrom="paragraph">
              <wp:posOffset>43583</wp:posOffset>
            </wp:positionV>
            <wp:extent cx="55041" cy="6350"/>
            <wp:effectExtent l="0" t="0" r="0" b="0"/>
            <wp:wrapNone/>
            <wp:docPr id="141" name="image7.png"/>
            <wp:cNvGraphicFramePr>
              <a:graphicFrameLocks noChangeAspect="1"/>
            </wp:cNvGraphicFramePr>
            <a:graphic>
              <a:graphicData uri="http://schemas.openxmlformats.org/drawingml/2006/picture">
                <pic:pic>
                  <pic:nvPicPr>
                    <pic:cNvPr id="142" name="image7.png"/>
                    <pic:cNvPicPr/>
                  </pic:nvPicPr>
                  <pic:blipFill>
                    <a:blip r:embed="rId34" cstate="print"/>
                    <a:stretch>
                      <a:fillRect/>
                    </a:stretch>
                  </pic:blipFill>
                  <pic:spPr>
                    <a:xfrm>
                      <a:off x="0" y="0"/>
                      <a:ext cx="55041" cy="6350"/>
                    </a:xfrm>
                    <a:prstGeom prst="rect">
                      <a:avLst/>
                    </a:prstGeom>
                  </pic:spPr>
                </pic:pic>
              </a:graphicData>
            </a:graphic>
          </wp:anchor>
        </w:drawing>
      </w:r>
      <w:r>
        <w:rPr>
          <w:color w:val="231F20"/>
          <w:sz w:val="12"/>
        </w:rPr>
        <w:t>1.8</w:t>
      </w:r>
    </w:p>
    <w:p>
      <w:pPr>
        <w:pStyle w:val="BodyText"/>
        <w:spacing w:before="9"/>
        <w:rPr>
          <w:sz w:val="13"/>
        </w:rPr>
      </w:pPr>
    </w:p>
    <w:p>
      <w:pPr>
        <w:spacing w:before="1"/>
        <w:ind w:left="3684" w:right="0" w:firstLine="0"/>
        <w:jc w:val="left"/>
        <w:rPr>
          <w:sz w:val="12"/>
        </w:rPr>
      </w:pPr>
      <w:r>
        <w:rPr/>
        <w:drawing>
          <wp:anchor distT="0" distB="0" distL="0" distR="0" allowOverlap="1" layoutInCell="1" locked="0" behindDoc="0" simplePos="0" relativeHeight="15822336">
            <wp:simplePos x="0" y="0"/>
            <wp:positionH relativeFrom="page">
              <wp:posOffset>536181</wp:posOffset>
            </wp:positionH>
            <wp:positionV relativeFrom="paragraph">
              <wp:posOffset>45981</wp:posOffset>
            </wp:positionV>
            <wp:extent cx="2175598" cy="91681"/>
            <wp:effectExtent l="0" t="0" r="0" b="0"/>
            <wp:wrapNone/>
            <wp:docPr id="143" name="image25.png"/>
            <wp:cNvGraphicFramePr>
              <a:graphicFrameLocks noChangeAspect="1"/>
            </wp:cNvGraphicFramePr>
            <a:graphic>
              <a:graphicData uri="http://schemas.openxmlformats.org/drawingml/2006/picture">
                <pic:pic>
                  <pic:nvPicPr>
                    <pic:cNvPr id="144" name="image25.png"/>
                    <pic:cNvPicPr/>
                  </pic:nvPicPr>
                  <pic:blipFill>
                    <a:blip r:embed="rId52" cstate="print"/>
                    <a:stretch>
                      <a:fillRect/>
                    </a:stretch>
                  </pic:blipFill>
                  <pic:spPr>
                    <a:xfrm>
                      <a:off x="0" y="0"/>
                      <a:ext cx="2175598" cy="91681"/>
                    </a:xfrm>
                    <a:prstGeom prst="rect">
                      <a:avLst/>
                    </a:prstGeom>
                  </pic:spPr>
                </pic:pic>
              </a:graphicData>
            </a:graphic>
          </wp:anchor>
        </w:drawing>
      </w:r>
      <w:r>
        <w:rPr>
          <w:color w:val="231F20"/>
          <w:sz w:val="12"/>
        </w:rPr>
        <w:t>1.4</w:t>
      </w:r>
    </w:p>
    <w:p>
      <w:pPr>
        <w:spacing w:line="117" w:lineRule="exact" w:before="1"/>
        <w:ind w:left="3684" w:right="0" w:firstLine="0"/>
        <w:jc w:val="left"/>
        <w:rPr>
          <w:sz w:val="12"/>
        </w:rPr>
      </w:pPr>
      <w:r>
        <w:rPr>
          <w:color w:val="231F20"/>
          <w:sz w:val="12"/>
        </w:rPr>
        <w:t>0.0</w:t>
      </w:r>
    </w:p>
    <w:p>
      <w:pPr>
        <w:spacing w:line="117" w:lineRule="exact" w:before="0"/>
        <w:ind w:left="356" w:right="0" w:firstLine="0"/>
        <w:jc w:val="left"/>
        <w:rPr>
          <w:sz w:val="12"/>
        </w:rPr>
      </w:pPr>
      <w:r>
        <w:rPr>
          <w:color w:val="231F20"/>
          <w:sz w:val="12"/>
        </w:rPr>
        <w:t>F A J A O D F A J A O D F A</w:t>
      </w:r>
    </w:p>
    <w:p>
      <w:pPr>
        <w:spacing w:line="242" w:lineRule="auto" w:before="65"/>
        <w:ind w:left="165" w:right="314" w:firstLine="0"/>
        <w:jc w:val="left"/>
        <w:rPr>
          <w:sz w:val="24"/>
        </w:rPr>
      </w:pPr>
      <w:r>
        <w:rPr/>
        <w:br w:type="column"/>
      </w:r>
      <w:r>
        <w:rPr>
          <w:color w:val="231F20"/>
          <w:sz w:val="24"/>
        </w:rPr>
        <w:t>market will be exaggerated. The implied rate of inflation in five years’ time derived from the bond market has risen by 0.4 percentage points since the February </w:t>
      </w:r>
      <w:r>
        <w:rPr>
          <w:i/>
          <w:color w:val="231F20"/>
          <w:sz w:val="24"/>
        </w:rPr>
        <w:t>Report </w:t>
      </w:r>
      <w:r>
        <w:rPr>
          <w:color w:val="231F20"/>
          <w:sz w:val="24"/>
        </w:rPr>
        <w:t>to 2.6%. That is a larger rise than is implied by measures derived from other sources. For example, inflation expectations over the same period derived from the Consensus Economics survey stood at 2.5% in April, 0.1–0.2 percentage points higher than in October. And shorter-term inflation expectations derived from a variety of UK surveys fell further in </w:t>
      </w:r>
      <w:hyperlink w:history="true" w:anchor="_bookmark19">
        <w:r>
          <w:rPr>
            <w:color w:val="231F20"/>
            <w:sz w:val="24"/>
          </w:rPr>
          <w:t>1999 Q2 (see Section 3).</w:t>
        </w:r>
      </w:hyperlink>
    </w:p>
    <w:p>
      <w:pPr>
        <w:pStyle w:val="BodyText"/>
        <w:spacing w:before="3"/>
        <w:rPr>
          <w:sz w:val="27"/>
        </w:rPr>
      </w:pPr>
    </w:p>
    <w:p>
      <w:pPr>
        <w:pStyle w:val="Heading2"/>
        <w:ind w:left="165"/>
        <w:rPr>
          <w:i/>
        </w:rPr>
      </w:pPr>
      <w:r>
        <w:rPr>
          <w:i/>
          <w:color w:val="009483"/>
        </w:rPr>
        <w:t>Equity prices</w:t>
      </w:r>
    </w:p>
    <w:p>
      <w:pPr>
        <w:spacing w:line="242" w:lineRule="auto" w:before="144"/>
        <w:ind w:left="165" w:right="294" w:firstLine="0"/>
        <w:jc w:val="left"/>
        <w:rPr>
          <w:sz w:val="24"/>
        </w:rPr>
      </w:pPr>
      <w:r>
        <w:rPr>
          <w:color w:val="231F20"/>
          <w:sz w:val="24"/>
        </w:rPr>
        <w:t>Since the publication of the February </w:t>
      </w:r>
      <w:r>
        <w:rPr>
          <w:i/>
          <w:color w:val="231F20"/>
          <w:sz w:val="24"/>
        </w:rPr>
        <w:t>Report</w:t>
      </w:r>
      <w:r>
        <w:rPr>
          <w:color w:val="231F20"/>
          <w:sz w:val="24"/>
        </w:rPr>
        <w:t>, share prices have risen sharply in most developed economies, to record levels in some cases, including in the United</w:t>
      </w:r>
    </w:p>
    <w:p>
      <w:pPr>
        <w:spacing w:after="0" w:line="242" w:lineRule="auto"/>
        <w:jc w:val="left"/>
        <w:rPr>
          <w:sz w:val="24"/>
        </w:rPr>
        <w:sectPr>
          <w:type w:val="continuous"/>
          <w:pgSz w:w="11900" w:h="16840"/>
          <w:pgMar w:top="1220" w:bottom="280" w:left="640" w:right="640"/>
          <w:cols w:num="2" w:equalWidth="0">
            <w:col w:w="3875" w:space="920"/>
            <w:col w:w="5825"/>
          </w:cols>
        </w:sectPr>
      </w:pPr>
    </w:p>
    <w:p>
      <w:pPr>
        <w:tabs>
          <w:tab w:pos="2201" w:val="left" w:leader="none"/>
          <w:tab w:pos="3246" w:val="left" w:leader="none"/>
        </w:tabs>
        <w:spacing w:line="14" w:lineRule="exact" w:before="0"/>
        <w:ind w:left="804" w:right="0" w:firstLine="0"/>
        <w:jc w:val="left"/>
        <w:rPr>
          <w:sz w:val="12"/>
        </w:rPr>
      </w:pPr>
      <w:r>
        <w:rPr>
          <w:color w:val="231F20"/>
          <w:sz w:val="12"/>
        </w:rPr>
        <w:t>1997</w:t>
        <w:tab/>
        <w:t>98</w:t>
        <w:tab/>
        <w:t>99</w:t>
      </w:r>
    </w:p>
    <w:p>
      <w:pPr>
        <w:spacing w:after="0" w:line="14" w:lineRule="exact"/>
        <w:jc w:val="left"/>
        <w:rPr>
          <w:sz w:val="12"/>
        </w:rPr>
        <w:sectPr>
          <w:type w:val="continuous"/>
          <w:pgSz w:w="11900" w:h="16840"/>
          <w:pgMar w:top="1220" w:bottom="280" w:left="640" w:right="640"/>
        </w:sectPr>
      </w:pPr>
    </w:p>
    <w:p>
      <w:pPr>
        <w:pStyle w:val="BodyText"/>
        <w:spacing w:before="5"/>
        <w:rPr>
          <w:sz w:val="9"/>
        </w:rPr>
      </w:pPr>
    </w:p>
    <w:p>
      <w:pPr>
        <w:spacing w:before="0"/>
        <w:ind w:left="174" w:right="0" w:firstLine="0"/>
        <w:jc w:val="left"/>
        <w:rPr>
          <w:sz w:val="12"/>
        </w:rPr>
      </w:pPr>
      <w:r>
        <w:rPr>
          <w:color w:val="231F20"/>
          <w:sz w:val="12"/>
        </w:rPr>
        <w:t>(a) Calculated using the appropriate market conventions.</w:t>
      </w:r>
    </w:p>
    <w:p>
      <w:pPr>
        <w:spacing w:line="266" w:lineRule="exact" w:before="0"/>
        <w:ind w:left="174" w:right="0" w:firstLine="0"/>
        <w:jc w:val="left"/>
        <w:rPr>
          <w:sz w:val="24"/>
        </w:rPr>
      </w:pPr>
      <w:r>
        <w:rPr/>
        <w:br w:type="column"/>
      </w:r>
      <w:r>
        <w:rPr>
          <w:color w:val="231F20"/>
          <w:sz w:val="24"/>
        </w:rPr>
        <w:t>Kingdom. Share price indices of smaller and</w:t>
      </w:r>
    </w:p>
    <w:p>
      <w:pPr>
        <w:spacing w:after="0" w:line="266" w:lineRule="exact"/>
        <w:jc w:val="left"/>
        <w:rPr>
          <w:sz w:val="24"/>
        </w:rPr>
        <w:sectPr>
          <w:type w:val="continuous"/>
          <w:pgSz w:w="11900" w:h="16840"/>
          <w:pgMar w:top="1220" w:bottom="280" w:left="640" w:right="640"/>
          <w:cols w:num="2" w:equalWidth="0">
            <w:col w:w="3014" w:space="1772"/>
            <w:col w:w="5834"/>
          </w:cols>
        </w:sectPr>
      </w:pPr>
    </w:p>
    <w:p>
      <w:pPr>
        <w:pStyle w:val="BodyText"/>
        <w:rPr>
          <w:sz w:val="20"/>
        </w:rPr>
      </w:pPr>
    </w:p>
    <w:p>
      <w:pPr>
        <w:spacing w:after="0"/>
        <w:rPr>
          <w:sz w:val="20"/>
        </w:rPr>
        <w:sectPr>
          <w:headerReference w:type="default" r:id="rId53"/>
          <w:headerReference w:type="even" r:id="rId54"/>
          <w:footerReference w:type="default" r:id="rId55"/>
          <w:footerReference w:type="even" r:id="rId56"/>
          <w:pgSz w:w="11900" w:h="16840"/>
          <w:pgMar w:header="584" w:footer="617" w:top="780" w:bottom="800" w:left="640" w:right="640"/>
          <w:pgNumType w:start="9"/>
        </w:sectPr>
      </w:pPr>
    </w:p>
    <w:p>
      <w:pPr>
        <w:pStyle w:val="BodyText"/>
        <w:spacing w:before="7"/>
        <w:rPr>
          <w:sz w:val="19"/>
        </w:rPr>
      </w:pPr>
    </w:p>
    <w:p>
      <w:pPr>
        <w:pStyle w:val="Heading4"/>
        <w:spacing w:before="0"/>
        <w:ind w:left="155"/>
      </w:pPr>
      <w:bookmarkStart w:name="Property prices" w:id="24"/>
      <w:bookmarkEnd w:id="24"/>
      <w:r>
        <w:rPr>
          <w:b w:val="0"/>
        </w:rPr>
      </w:r>
      <w:bookmarkStart w:name="_bookmark8" w:id="25"/>
      <w:bookmarkEnd w:id="25"/>
      <w:r>
        <w:rPr>
          <w:b w:val="0"/>
        </w:rPr>
      </w:r>
      <w:r>
        <w:rPr>
          <w:color w:val="0093C1"/>
        </w:rPr>
        <w:t>Chart 1.15</w:t>
      </w:r>
    </w:p>
    <w:p>
      <w:pPr>
        <w:pStyle w:val="Heading4"/>
        <w:ind w:left="155"/>
      </w:pPr>
      <w:r>
        <w:rPr>
          <w:color w:val="0093C1"/>
        </w:rPr>
        <w:t>UK share prices by company size</w:t>
      </w:r>
    </w:p>
    <w:p>
      <w:pPr>
        <w:spacing w:line="396" w:lineRule="auto" w:before="93"/>
        <w:ind w:left="2452" w:right="0" w:firstLine="162"/>
        <w:jc w:val="left"/>
        <w:rPr>
          <w:sz w:val="12"/>
        </w:rPr>
      </w:pPr>
      <w:r>
        <w:rPr/>
        <w:pict>
          <v:group style="position:absolute;margin-left:51.154999pt;margin-top:20.128698pt;width:150.4pt;height:128.15pt;mso-position-horizontal-relative:page;mso-position-vertical-relative:paragraph;z-index:-21298176" coordorigin="1023,403" coordsize="3008,2563">
            <v:shape style="position:absolute;left:1033;top:2362;width:548;height:478" coordorigin="1033,2363" coordsize="548,478" path="m1033,2770l1066,2658m1066,2658l1103,2375m1103,2375l1136,2438m1136,2438l1171,2363m1171,2363l1206,2445m1206,2445l1238,2515m1238,2515l1273,2800m1273,2800l1308,2840m1308,2840l1341,2683m1341,2683l1376,2420m1376,2420l1411,2563m1411,2563l1446,2453m1446,2453l1478,2568m1478,2568l1513,2800m1513,2800l1548,2775m1548,2775l1581,2758e" filled="false" stroked="true" strokeweight="1pt" strokecolor="#ed1b2d">
              <v:path arrowok="t"/>
              <v:stroke dashstyle="solid"/>
            </v:shape>
            <v:line style="position:absolute" from="1571,2756" to="1628,2756" stroked="true" strokeweight="1.125pt" strokecolor="#ed1b2d">
              <v:stroke dashstyle="solid"/>
            </v:line>
            <v:shape style="position:absolute;left:1618;top:2045;width:788;height:758" coordorigin="1618,2045" coordsize="788,758" path="m1618,2755l1651,2743m1651,2743l1683,2688m1683,2688l1721,2498m1721,2498l1753,2465m1753,2465l1788,2563m1788,2563l1823,2555m1823,2555l1856,2673m1856,2673l1891,2700m1891,2700l1926,2783m1926,2783l1961,2803m1961,2803l1993,2630m1993,2630l2028,2543m2028,2543l2063,2448m2063,2448l2096,2325m2096,2325l2133,2370m2133,2370l2166,2385m2166,2385l2198,2438m2198,2438l2236,2380m2236,2380l2268,2260m2268,2260l2303,2045m2303,2045l2338,2178m2338,2178l2371,2215m2371,2215l2406,2365e" filled="false" stroked="true" strokeweight="1pt" strokecolor="#ed1b2d">
              <v:path arrowok="t"/>
              <v:stroke dashstyle="solid"/>
            </v:shape>
            <v:line style="position:absolute" from="2396,2363" to="2451,2363" stroked="true" strokeweight="1.25pt" strokecolor="#ed1b2d">
              <v:stroke dashstyle="solid"/>
            </v:line>
            <v:shape style="position:absolute;left:2440;top:1907;width:310;height:465" coordorigin="2441,1908" coordsize="310,465" path="m2441,2360l2476,2373m2476,2373l2508,2293m2508,2293l2543,2138m2543,2138l2578,2128m2578,2128l2611,2080m2611,2080l2646,2065m2646,2065l2681,1908m2681,1908l2713,1958m2713,1958l2751,2073e" filled="false" stroked="true" strokeweight="1pt" strokecolor="#ed1b2d">
              <v:path arrowok="t"/>
              <v:stroke dashstyle="solid"/>
            </v:shape>
            <v:line style="position:absolute" from="2741,2075" to="2793,2075" stroked="true" strokeweight="1.25pt" strokecolor="#ed1b2d">
              <v:stroke dashstyle="solid"/>
            </v:line>
            <v:shape style="position:absolute;left:2783;top:1915;width:413;height:438" coordorigin="2783,1915" coordsize="413,438" path="m2783,2078l2818,2170m2818,2170l2853,2215m2853,2215l2886,2133m2886,2133l2921,2148m2921,2148l2956,2278m2956,2278l2991,2353m2991,2353l3023,2250m3023,2250l3058,2178m3058,2178l3093,2018m3093,2018l3126,2003m3126,2003l3161,1958m3161,1958l3196,1915e" filled="false" stroked="true" strokeweight="1pt" strokecolor="#ed1b2d">
              <v:path arrowok="t"/>
              <v:stroke dashstyle="solid"/>
            </v:shape>
            <v:shape style="position:absolute;left:3185;top:1916;width:90;height:2" coordorigin="3186,1916" coordsize="90,0" path="m3186,1916l3238,1916m3218,1916l3276,1916e" filled="false" stroked="true" strokeweight="1.125pt" strokecolor="#ed1b2d">
              <v:path arrowok="t"/>
              <v:stroke dashstyle="solid"/>
            </v:shape>
            <v:shape style="position:absolute;left:3265;top:1535;width:375;height:380" coordorigin="3266,1535" coordsize="375,380" path="m3266,1915l3298,1798m3298,1798l3333,1708m3333,1708l3368,1748m3368,1748l3401,1685m3401,1685l3436,1733m3436,1733l3471,1623m3471,1623l3506,1633m3506,1633l3538,1650m3538,1650l3573,1683m3573,1683l3608,1535m3608,1535l3641,1833e" filled="false" stroked="true" strokeweight="1pt" strokecolor="#ed1b2d">
              <v:path arrowok="t"/>
              <v:stroke dashstyle="solid"/>
            </v:shape>
            <v:line style="position:absolute" from="3631,1835" to="3686,1835" stroked="true" strokeweight="1.25pt" strokecolor="#ed1b2d">
              <v:stroke dashstyle="solid"/>
            </v:line>
            <v:shape style="position:absolute;left:3675;top:1420;width:240;height:418" coordorigin="3676,1420" coordsize="240,418" path="m3676,1838l3711,1685m3711,1685l3743,1665m3743,1665l3781,1558m3781,1558l3813,1428m3813,1428l3848,1420m3848,1420l3883,1555m3883,1555l3916,1468e" filled="false" stroked="true" strokeweight="1pt" strokecolor="#ed1b2d">
              <v:path arrowok="t"/>
              <v:stroke dashstyle="solid"/>
            </v:shape>
            <v:line style="position:absolute" from="3906,1469" to="3961,1469" stroked="true" strokeweight="1.125pt" strokecolor="#ed1b2d">
              <v:stroke dashstyle="solid"/>
            </v:line>
            <v:shape style="position:absolute;left:3950;top:1467;width:70;height:208" coordorigin="3951,1468" coordsize="70,208" path="m3951,1468l3986,1480m3986,1480l4021,1675e" filled="false" stroked="true" strokeweight="1pt" strokecolor="#ed1b2d">
              <v:path arrowok="t"/>
              <v:stroke dashstyle="solid"/>
            </v:shape>
            <v:shape style="position:absolute;left:1033;top:2322;width:688;height:548" coordorigin="1033,2323" coordsize="688,548" path="m1033,2770l1066,2640m1066,2640l1103,2323m1103,2323l1136,2403m1136,2403l1171,2325m1171,2325l1206,2428m1206,2428l1238,2515m1238,2515l1273,2820m1273,2820l1308,2870m1308,2870l1341,2670m1341,2670l1376,2363m1376,2363l1411,2525m1411,2525l1446,2395m1446,2395l1478,2533m1478,2533l1513,2803m1513,2803l1548,2768m1548,2768l1581,2760m1581,2760l1618,2778m1618,2778l1651,2785m1651,2785l1683,2745m1683,2745l1721,2550e" filled="false" stroked="true" strokeweight="1pt" strokecolor="#9aca3c">
              <v:path arrowok="t"/>
              <v:stroke dashstyle="solid"/>
            </v:shape>
            <v:line style="position:absolute" from="1711,2551" to="1763,2551" stroked="true" strokeweight="1.125pt" strokecolor="#9aca3c">
              <v:stroke dashstyle="solid"/>
            </v:line>
            <v:line style="position:absolute" from="1753,2550" to="1788,2673" stroked="true" strokeweight="1pt" strokecolor="#9aca3c">
              <v:stroke dashstyle="solid"/>
            </v:line>
            <v:line style="position:absolute" from="1778,2674" to="1833,2674" stroked="true" strokeweight="1.125pt" strokecolor="#9aca3c">
              <v:stroke dashstyle="solid"/>
            </v:line>
            <v:shape style="position:absolute;left:1823;top:2057;width:583;height:898" coordorigin="1823,2058" coordsize="583,898" path="m1823,2673l1856,2813m1856,2813l1891,2848m1891,2848l1926,2938m1926,2938l1961,2955m1961,2955l1993,2758m1993,2758l2028,2653m2028,2653l2063,2533m2063,2533l2096,2390m2096,2390l2133,2440m2133,2440l2166,2448m2166,2448l2198,2518m2198,2518l2236,2455m2236,2455l2268,2310m2268,2310l2303,2058m2303,2058l2338,2228m2338,2228l2371,2280m2371,2280l2406,2468e" filled="false" stroked="true" strokeweight="1pt" strokecolor="#9aca3c">
              <v:path arrowok="t"/>
              <v:stroke dashstyle="solid"/>
            </v:shape>
            <v:line style="position:absolute" from="2396,2469" to="2451,2469" stroked="true" strokeweight="1.125pt" strokecolor="#9aca3c">
              <v:stroke dashstyle="solid"/>
            </v:line>
            <v:shape style="position:absolute;left:2440;top:2227;width:103;height:265" coordorigin="2441,2228" coordsize="103,265" path="m2441,2468l2476,2493m2476,2493l2508,2403m2508,2403l2543,2228e" filled="false" stroked="true" strokeweight="1pt" strokecolor="#9aca3c">
              <v:path arrowok="t"/>
              <v:stroke dashstyle="solid"/>
            </v:shape>
            <v:line style="position:absolute" from="2533,2225" to="2588,2225" stroked="true" strokeweight="1.25pt" strokecolor="#9aca3c">
              <v:stroke dashstyle="solid"/>
            </v:line>
            <v:shape style="position:absolute;left:2578;top:2010;width:618;height:533" coordorigin="2578,2010" coordsize="618,533" path="m2578,2223l2611,2175m2611,2175l2646,2168m2646,2168l2681,2010m2681,2010l2713,2100m2713,2100l2751,2225m2751,2225l2783,2233m2783,2233l2818,2338m2818,2338l2853,2380m2853,2380l2886,2298m2886,2298l2921,2315m2921,2315l2956,2470m2956,2470l2991,2543m2991,2543l3023,2428m3023,2428l3058,2338m3058,2338l3093,2148m3093,2148l3126,2130m3126,2130l3161,2078m3161,2078l3196,2020e" filled="false" stroked="true" strokeweight="1pt" strokecolor="#9aca3c">
              <v:path arrowok="t"/>
              <v:stroke dashstyle="solid"/>
            </v:shape>
            <v:shape style="position:absolute;left:3185;top:2021;width:90;height:2" coordorigin="3186,2021" coordsize="90,0" path="m3186,2021l3238,2021m3218,2021l3276,2021e" filled="false" stroked="true" strokeweight="1.125pt" strokecolor="#9aca3c">
              <v:path arrowok="t"/>
              <v:stroke dashstyle="solid"/>
            </v:shape>
            <v:shape style="position:absolute;left:3265;top:1710;width:343;height:310" coordorigin="3266,1710" coordsize="343,310" path="m3266,2020l3298,1878m3298,1878l3333,1780m3333,1780l3368,1840m3368,1840l3401,1783m3401,1783l3436,1835m3436,1835l3471,1715m3471,1715l3506,1745m3506,1745l3538,1793m3538,1793l3573,1870m3573,1870l3608,1710e" filled="false" stroked="true" strokeweight="1pt" strokecolor="#9aca3c">
              <v:path arrowok="t"/>
              <v:stroke dashstyle="solid"/>
            </v:shape>
            <v:line style="position:absolute" from="3624,1700" to="3624,2045" stroked="true" strokeweight="2.625pt" strokecolor="#9aca3c">
              <v:stroke dashstyle="solid"/>
            </v:line>
            <v:shape style="position:absolute;left:3640;top:1570;width:275;height:483" coordorigin="3641,1570" coordsize="275,483" path="m3641,2035l3676,2053m3676,2053l3711,1880m3711,1880l3743,1855m3743,1855l3781,1730m3781,1730l3813,1578m3813,1578l3848,1570m3848,1570l3883,1740m3883,1740l3916,1650e" filled="false" stroked="true" strokeweight="1pt" strokecolor="#9aca3c">
              <v:path arrowok="t"/>
              <v:stroke dashstyle="solid"/>
            </v:shape>
            <v:line style="position:absolute" from="3906,1651" to="3961,1651" stroked="true" strokeweight="1.125pt" strokecolor="#9aca3c">
              <v:stroke dashstyle="solid"/>
            </v:line>
            <v:shape style="position:absolute;left:3950;top:1650;width:70;height:250" coordorigin="3951,1650" coordsize="70,250" path="m3951,1650l3986,1680m3986,1680l4021,1900e" filled="false" stroked="true" strokeweight="1pt" strokecolor="#9aca3c">
              <v:path arrowok="t"/>
              <v:stroke dashstyle="solid"/>
            </v:shape>
            <v:shape style="position:absolute;left:1033;top:2582;width:70;height:188" coordorigin="1033,2583" coordsize="70,188" path="m1033,2770l1066,2733m1066,2733l1103,2583e" filled="false" stroked="true" strokeweight="1pt" strokecolor="#ffc40c">
              <v:path arrowok="t"/>
              <v:stroke dashstyle="solid"/>
            </v:shape>
            <v:line style="position:absolute" from="1093,2580" to="1146,2580" stroked="true" strokeweight="1.25pt" strokecolor="#ffc40c">
              <v:stroke dashstyle="solid"/>
            </v:line>
            <v:shape style="position:absolute;left:1135;top:2507;width:138;height:218" coordorigin="1136,2508" coordsize="138,218" path="m1136,2578l1171,2518m1171,2518l1206,2508m1206,2508l1238,2518m1238,2518l1273,2725e" filled="false" stroked="true" strokeweight="1pt" strokecolor="#ffc40c">
              <v:path arrowok="t"/>
              <v:stroke dashstyle="solid"/>
            </v:shape>
            <v:line style="position:absolute" from="1263,2726" to="1318,2726" stroked="true" strokeweight="1.125pt" strokecolor="#ffc40c">
              <v:stroke dashstyle="solid"/>
            </v:line>
            <v:shape style="position:absolute;left:1308;top:2000;width:685;height:815" coordorigin="1308,2000" coordsize="685,815" path="m1308,2728l1341,2760m1341,2760l1376,2665m1376,2665l1411,2725m1411,2725l1446,2703m1446,2703l1478,2723m1478,2723l1513,2815m1513,2815l1548,2805m1548,2805l1581,2760m1581,2760l1618,2668m1618,2668l1651,2555m1651,2555l1683,2420m1683,2420l1721,2225m1721,2225l1753,2033m1753,2033l1788,2040m1788,2040l1823,2000m1823,2000l1856,2043m1856,2043l1891,2055m1891,2055l1926,2113m1926,2113l1961,2153m1961,2153l1993,2090e" filled="false" stroked="true" strokeweight="1pt" strokecolor="#ffc40c">
              <v:path arrowok="t"/>
              <v:stroke dashstyle="solid"/>
            </v:shape>
            <v:line style="position:absolute" from="1983,2091" to="2038,2091" stroked="true" strokeweight="1.125pt" strokecolor="#ffc40c">
              <v:stroke dashstyle="solid"/>
            </v:line>
            <v:shape style="position:absolute;left:2028;top:1335;width:723;height:825" coordorigin="2028,1335" coordsize="723,825" path="m2028,2090l2063,2113m2063,2113l2096,2065m2096,2065l2133,2118m2133,2118l2166,2160m2166,2160l2198,2120m2198,2120l2236,2105m2236,2105l2268,2095m2268,2095l2303,2025m2303,2025l2338,2013m2338,2013l2371,1968m2371,1968l2406,1948m2406,1948l2441,1908m2441,1908l2476,1890m2476,1890l2508,1833m2508,1833l2543,1765m2543,1765l2578,1743m2578,1743l2611,1710m2611,1710l2646,1645m2646,1645l2681,1473m2681,1473l2713,1335m2713,1335l2751,1423e" filled="false" stroked="true" strokeweight="1pt" strokecolor="#ffc40c">
              <v:path arrowok="t"/>
              <v:stroke dashstyle="solid"/>
            </v:shape>
            <v:line style="position:absolute" from="2741,1421" to="2793,1421" stroked="true" strokeweight="1.125pt" strokecolor="#ffc40c">
              <v:stroke dashstyle="solid"/>
            </v:line>
            <v:shape style="position:absolute;left:2783;top:1420;width:343;height:170" coordorigin="2783,1420" coordsize="343,170" path="m2783,1420l2818,1490m2818,1490l2853,1535m2853,1535l2886,1455m2886,1455l2921,1483m2921,1483l2956,1508m2956,1508l2991,1590m2991,1590l3023,1535m3023,1535l3058,1553m3058,1553l3093,1520m3093,1520l3126,1508e" filled="false" stroked="true" strokeweight="1pt" strokecolor="#ffc40c">
              <v:path arrowok="t"/>
              <v:stroke dashstyle="solid"/>
            </v:shape>
            <v:line style="position:absolute" from="3116,1509" to="3171,1509" stroked="true" strokeweight="1.125pt" strokecolor="#ffc40c">
              <v:stroke dashstyle="solid"/>
            </v:line>
            <v:line style="position:absolute" from="3161,1508" to="3196,1553" stroked="true" strokeweight="1pt" strokecolor="#ffc40c">
              <v:stroke dashstyle="solid"/>
            </v:line>
            <v:shape style="position:absolute;left:3185;top:1553;width:90;height:2" coordorigin="3186,1554" coordsize="90,0" path="m3186,1554l3238,1554m3218,1554l3276,1554e" filled="false" stroked="true" strokeweight="1.125pt" strokecolor="#ffc40c">
              <v:path arrowok="t"/>
              <v:stroke dashstyle="solid"/>
            </v:shape>
            <v:line style="position:absolute" from="3256,1550" to="3308,1550" stroked="true" strokeweight="1.25pt" strokecolor="#ffc40c">
              <v:stroke dashstyle="solid"/>
            </v:line>
            <v:shape style="position:absolute;left:3298;top:752;width:550;height:795" coordorigin="3298,753" coordsize="550,795" path="m3298,1548l3333,1460m3333,1460l3368,1430m3368,1430l3401,1330m3401,1330l3436,1340m3436,1340l3471,1273m3471,1273l3506,1180m3506,1180l3538,1040m3538,1040l3573,860m3573,860l3608,753m3608,753l3641,945m3641,945l3676,925m3676,925l3711,868m3711,868l3743,883m3743,883l3781,875m3781,875l3813,833m3813,833l3848,823e" filled="false" stroked="true" strokeweight="1pt" strokecolor="#ffc40c">
              <v:path arrowok="t"/>
              <v:stroke dashstyle="solid"/>
            </v:shape>
            <v:line style="position:absolute" from="3838,820" to="3893,820" stroked="true" strokeweight="1.25pt" strokecolor="#ffc40c">
              <v:stroke dashstyle="solid"/>
            </v:line>
            <v:line style="position:absolute" from="3883,818" to="3916,753" stroked="true" strokeweight="1pt" strokecolor="#ffc40c">
              <v:stroke dashstyle="solid"/>
            </v:line>
            <v:line style="position:absolute" from="3906,754" to="3961,754" stroked="true" strokeweight="1.125pt" strokecolor="#ffc40c">
              <v:stroke dashstyle="solid"/>
            </v:line>
            <v:shape style="position:absolute;left:3950;top:672;width:70;height:88" coordorigin="3951,673" coordsize="70,88" path="m3951,753l3986,673m3986,673l4021,760e" filled="false" stroked="true" strokeweight="1pt" strokecolor="#ffc40c">
              <v:path arrowok="t"/>
              <v:stroke dashstyle="solid"/>
            </v:shape>
            <v:shape style="position:absolute;left:1033;top:2497;width:240;height:273" coordorigin="1033,2498" coordsize="240,273" path="m1033,2770l1066,2740m1066,2740l1103,2643m1103,2643l1136,2598m1136,2598l1171,2533m1171,2533l1206,2498m1206,2498l1238,2505m1238,2505l1273,2650e" filled="false" stroked="true" strokeweight="1pt" strokecolor="#95459a">
              <v:path arrowok="t"/>
              <v:stroke dashstyle="solid"/>
            </v:shape>
            <v:line style="position:absolute" from="1263,2651" to="1318,2651" stroked="true" strokeweight="1.125pt" strokecolor="#95459a">
              <v:stroke dashstyle="solid"/>
            </v:line>
            <v:shape style="position:absolute;left:1308;top:1430;width:1405;height:1303" coordorigin="1308,1430" coordsize="1405,1303" path="m1308,2653l1341,2690m1341,2690l1376,2665m1376,2665l1411,2678m1411,2678l1446,2653m1446,2653l1478,2668m1478,2668l1513,2725m1513,2725l1548,2733m1548,2733l1581,2713m1581,2713l1618,2678m1618,2678l1651,2620m1651,2620l1683,2543m1683,2543l1721,2435m1721,2435l1753,2363m1753,2363l1788,2303m1788,2303l1823,2215m1823,2215l1856,2173m1856,2173l1891,2138m1891,2138l1926,2118m1926,2118l1961,2143m1961,2143l1993,2100m1993,2100l2028,2045m2028,2045l2063,2028m2063,2028l2096,1993m2096,1993l2133,1983m2133,1983l2166,2003m2166,2003l2198,1990m2198,1990l2236,1958m2236,1958l2268,1920m2268,1920l2303,1898m2303,1898l2338,1885m2338,1885l2371,1855m2371,1855l2406,1848m2406,1848l2441,1860m2441,1860l2476,1830m2476,1830l2508,1798m2508,1798l2543,1728m2543,1728l2578,1673m2578,1673l2611,1643m2611,1643l2646,1590m2646,1590l2681,1498m2681,1498l2713,1430e" filled="false" stroked="true" strokeweight="1pt" strokecolor="#95459a">
              <v:path arrowok="t"/>
              <v:stroke dashstyle="solid"/>
            </v:shape>
            <v:line style="position:absolute" from="2703,1433" to="2761,1433" stroked="true" strokeweight="1.25pt" strokecolor="#95459a">
              <v:stroke dashstyle="solid"/>
            </v:line>
            <v:shape style="position:absolute;left:2750;top:1280;width:308;height:155" coordorigin="2751,1280" coordsize="308,155" path="m2751,1435l2783,1390m2783,1390l2853,1400m2853,1400l2886,1340m2886,1340l2921,1280m2921,1280l2956,1303m2956,1303l2991,1363m2991,1363l3023,1333m3023,1333l3058,1305e" filled="false" stroked="true" strokeweight="1pt" strokecolor="#95459a">
              <v:path arrowok="t"/>
              <v:stroke dashstyle="solid"/>
            </v:shape>
            <v:line style="position:absolute" from="3048,1306" to="3103,1306" stroked="true" strokeweight="1.125pt" strokecolor="#95459a">
              <v:stroke dashstyle="solid"/>
            </v:line>
            <v:shape style="position:absolute;left:3093;top:1255;width:103;height:50" coordorigin="3093,1255" coordsize="103,50" path="m3093,1305l3126,1293m3126,1293l3161,1278m3161,1278l3196,1255e" filled="false" stroked="true" strokeweight="1pt" strokecolor="#95459a">
              <v:path arrowok="t"/>
              <v:stroke dashstyle="solid"/>
            </v:shape>
            <v:shape style="position:absolute;left:3185;top:1256;width:90;height:2" coordorigin="3186,1256" coordsize="90,0" path="m3186,1256l3238,1256m3218,1256l3276,1256e" filled="false" stroked="true" strokeweight="1.125pt" strokecolor="#95459a">
              <v:path arrowok="t"/>
              <v:stroke dashstyle="solid"/>
            </v:shape>
            <v:shape style="position:absolute;left:3265;top:475;width:650;height:780" coordorigin="3266,475" coordsize="650,780" path="m3266,1255l3298,1245m3298,1245l3333,1225m3333,1225l3368,1178m3368,1178l3401,1168m3401,1168l3436,1193m3436,1193l3471,1143m3471,1143l3506,1070m3506,1070l3538,1045m3538,1045l3573,963m3573,963l3608,855m3608,855l3641,933m3641,933l3676,875m3676,875l3711,768m3711,768l3743,703m3743,703l3781,645m3781,645l3813,605m3813,605l3848,578m3848,578l3883,535m3883,535l3916,475e" filled="false" stroked="true" strokeweight="1pt" strokecolor="#95459a">
              <v:path arrowok="t"/>
              <v:stroke dashstyle="solid"/>
            </v:shape>
            <v:line style="position:absolute" from="3906,476" to="3961,476" stroked="true" strokeweight="1.125pt" strokecolor="#95459a">
              <v:stroke dashstyle="solid"/>
            </v:line>
            <v:shape style="position:absolute;left:3950;top:412;width:70;height:63" coordorigin="3951,413" coordsize="70,63" path="m3951,475l3986,413m3986,413l4021,463e" filled="false" stroked="true" strokeweight="1pt" strokecolor="#95459a">
              <v:path arrowok="t"/>
              <v:stroke dashstyle="solid"/>
            </v:shape>
            <v:line style="position:absolute" from="2621,1840" to="2268,1487" stroked="true" strokeweight=".5pt" strokecolor="#231f20">
              <v:stroke dashstyle="solid"/>
            </v:line>
            <v:shape style="position:absolute;left:2591;top:1810;width:78;height:78" coordorigin="2592,1810" coordsize="78,78" path="m2627,1810l2592,1846,2607,1853,2619,1858,2669,1888,2664,1881,2658,1872,2652,1861,2645,1849,2640,1839,2627,1810xe" filled="true" fillcolor="#231f20" stroked="false">
              <v:path arrowok="t"/>
              <v:fill type="solid"/>
            </v:shape>
            <v:shape style="position:absolute;left:1285;top:1347;width:1177;height:623" type="#_x0000_t202" filled="false" stroked="false">
              <v:textbox inset="0,0,0,0">
                <w:txbxContent>
                  <w:p>
                    <w:pPr>
                      <w:spacing w:line="133" w:lineRule="exact" w:before="0"/>
                      <w:ind w:left="339" w:right="0" w:firstLine="0"/>
                      <w:jc w:val="left"/>
                      <w:rPr>
                        <w:sz w:val="12"/>
                      </w:rPr>
                    </w:pPr>
                    <w:r>
                      <w:rPr>
                        <w:color w:val="231F20"/>
                        <w:sz w:val="12"/>
                      </w:rPr>
                      <w:t>FT-SE All-Share</w:t>
                    </w:r>
                  </w:p>
                  <w:p>
                    <w:pPr>
                      <w:spacing w:line="240" w:lineRule="auto" w:before="0"/>
                      <w:rPr>
                        <w:sz w:val="12"/>
                      </w:rPr>
                    </w:pPr>
                  </w:p>
                  <w:p>
                    <w:pPr>
                      <w:spacing w:line="240" w:lineRule="auto" w:before="0"/>
                      <w:rPr>
                        <w:sz w:val="12"/>
                      </w:rPr>
                    </w:pPr>
                  </w:p>
                  <w:p>
                    <w:pPr>
                      <w:spacing w:before="75"/>
                      <w:ind w:left="0" w:right="0" w:firstLine="0"/>
                      <w:jc w:val="left"/>
                      <w:rPr>
                        <w:sz w:val="12"/>
                      </w:rPr>
                    </w:pPr>
                    <w:r>
                      <w:rPr>
                        <w:color w:val="231F20"/>
                        <w:sz w:val="12"/>
                      </w:rPr>
                      <w:t>FT-SE 250</w:t>
                    </w:r>
                  </w:p>
                </w:txbxContent>
              </v:textbox>
              <w10:wrap type="none"/>
            </v:shape>
            <v:shape style="position:absolute;left:2405;top:2520;width:551;height:133" type="#_x0000_t202" filled="false" stroked="false">
              <v:textbox inset="0,0,0,0">
                <w:txbxContent>
                  <w:p>
                    <w:pPr>
                      <w:spacing w:line="133" w:lineRule="exact" w:before="0"/>
                      <w:ind w:left="0" w:right="0" w:firstLine="0"/>
                      <w:jc w:val="left"/>
                      <w:rPr>
                        <w:sz w:val="12"/>
                      </w:rPr>
                    </w:pPr>
                    <w:r>
                      <w:rPr>
                        <w:color w:val="231F20"/>
                        <w:sz w:val="12"/>
                      </w:rPr>
                      <w:t>FT-SE 100</w:t>
                    </w:r>
                  </w:p>
                </w:txbxContent>
              </v:textbox>
              <w10:wrap type="none"/>
            </v:shape>
            <w10:wrap type="none"/>
          </v:group>
        </w:pict>
      </w:r>
      <w:r>
        <w:rPr/>
        <w:pict>
          <v:line style="position:absolute;mso-position-horizontal-relative:page;mso-position-vertical-relative:paragraph;z-index:-21297664" from="205.947006pt,16.002699pt" to="210.280006pt,16.002699pt" stroked="true" strokeweight=".5pt" strokecolor="#231f20">
            <v:stroke dashstyle="solid"/>
            <w10:wrap type="none"/>
          </v:line>
        </w:pict>
      </w:r>
      <w:r>
        <w:rPr/>
        <w:pict>
          <v:line style="position:absolute;mso-position-horizontal-relative:page;mso-position-vertical-relative:paragraph;z-index:15837184" from="41.904999pt,16.003698pt" to="46.237999pt,16.003698pt" stroked="true" strokeweight=".5pt" strokecolor="#231f20">
            <v:stroke dashstyle="solid"/>
            <w10:wrap type="none"/>
          </v:line>
        </w:pict>
      </w:r>
      <w:r>
        <w:rPr>
          <w:color w:val="231F20"/>
          <w:sz w:val="12"/>
        </w:rPr>
        <w:t>January 1999 = 100 FT-SE SmallCap</w:t>
      </w:r>
    </w:p>
    <w:p>
      <w:pPr>
        <w:pStyle w:val="BodyText"/>
        <w:spacing w:before="6"/>
        <w:rPr>
          <w:sz w:val="22"/>
        </w:rPr>
      </w:pPr>
    </w:p>
    <w:p>
      <w:pPr>
        <w:tabs>
          <w:tab w:pos="3473" w:val="left" w:leader="none"/>
        </w:tabs>
        <w:spacing w:line="20" w:lineRule="exact"/>
        <w:ind w:left="193"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rPr>
          <w:sz w:val="20"/>
        </w:rPr>
      </w:pPr>
    </w:p>
    <w:p>
      <w:pPr>
        <w:pStyle w:val="BodyText"/>
        <w:spacing w:before="5"/>
        <w:rPr>
          <w:sz w:val="20"/>
        </w:rPr>
      </w:pPr>
    </w:p>
    <w:p>
      <w:pPr>
        <w:tabs>
          <w:tab w:pos="3473" w:val="left" w:leader="none"/>
        </w:tabs>
        <w:spacing w:line="20" w:lineRule="exact"/>
        <w:ind w:left="193" w:right="-72" w:firstLine="0"/>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3"/>
        <w:ind w:left="10" w:right="0" w:firstLine="0"/>
        <w:jc w:val="left"/>
        <w:rPr>
          <w:sz w:val="12"/>
        </w:rPr>
      </w:pPr>
      <w:r>
        <w:rPr>
          <w:color w:val="231F20"/>
          <w:sz w:val="12"/>
        </w:rPr>
        <w:t>125</w:t>
      </w:r>
    </w:p>
    <w:p>
      <w:pPr>
        <w:pStyle w:val="BodyText"/>
        <w:rPr>
          <w:sz w:val="12"/>
        </w:rPr>
      </w:pPr>
    </w:p>
    <w:p>
      <w:pPr>
        <w:pStyle w:val="BodyText"/>
        <w:rPr>
          <w:sz w:val="12"/>
        </w:rPr>
      </w:pPr>
    </w:p>
    <w:p>
      <w:pPr>
        <w:spacing w:before="79"/>
        <w:ind w:left="10" w:right="0" w:firstLine="0"/>
        <w:jc w:val="left"/>
        <w:rPr>
          <w:sz w:val="12"/>
        </w:rPr>
      </w:pPr>
      <w:r>
        <w:rPr>
          <w:color w:val="231F20"/>
          <w:sz w:val="12"/>
        </w:rPr>
        <w:t>120</w:t>
      </w:r>
    </w:p>
    <w:p>
      <w:pPr>
        <w:pStyle w:val="BodyText"/>
        <w:rPr>
          <w:sz w:val="12"/>
        </w:rPr>
      </w:pPr>
    </w:p>
    <w:p>
      <w:pPr>
        <w:pStyle w:val="BodyText"/>
        <w:rPr>
          <w:sz w:val="12"/>
        </w:rPr>
      </w:pPr>
    </w:p>
    <w:p>
      <w:pPr>
        <w:spacing w:before="76"/>
        <w:ind w:left="10" w:right="0" w:firstLine="0"/>
        <w:jc w:val="left"/>
        <w:rPr>
          <w:sz w:val="12"/>
        </w:rPr>
      </w:pPr>
      <w:r>
        <w:rPr>
          <w:color w:val="231F20"/>
          <w:sz w:val="12"/>
        </w:rPr>
        <w:t>115</w:t>
      </w:r>
    </w:p>
    <w:p>
      <w:pPr>
        <w:spacing w:line="242" w:lineRule="auto" w:before="216"/>
        <w:ind w:left="155" w:right="581" w:firstLine="0"/>
        <w:jc w:val="left"/>
        <w:rPr>
          <w:sz w:val="24"/>
        </w:rPr>
      </w:pPr>
      <w:r>
        <w:rPr/>
        <w:br w:type="column"/>
      </w:r>
      <w:r>
        <w:rPr>
          <w:color w:val="231F20"/>
          <w:sz w:val="24"/>
        </w:rPr>
        <w:t>medium-sized UK companies have risen particularly strongly since February (see Chart 1.15). Previous work at the Bank suggests that domestic economic prospects are more likely to influence changes in share prices of these companies than of larger companies, which tend to be more internationally orientated.</w:t>
      </w:r>
    </w:p>
    <w:p>
      <w:pPr>
        <w:spacing w:after="0" w:line="242" w:lineRule="auto"/>
        <w:jc w:val="left"/>
        <w:rPr>
          <w:sz w:val="24"/>
        </w:rPr>
        <w:sectPr>
          <w:type w:val="continuous"/>
          <w:pgSz w:w="11900" w:h="16840"/>
          <w:pgMar w:top="1220" w:bottom="280" w:left="640" w:right="640"/>
          <w:cols w:num="3" w:equalWidth="0">
            <w:col w:w="3566" w:space="40"/>
            <w:col w:w="231" w:space="968"/>
            <w:col w:w="5815"/>
          </w:cols>
        </w:sectPr>
      </w:pPr>
    </w:p>
    <w:p>
      <w:pPr>
        <w:pStyle w:val="BodyText"/>
        <w:spacing w:before="3"/>
        <w:rPr>
          <w:sz w:val="12"/>
        </w:rPr>
      </w:pPr>
    </w:p>
    <w:p>
      <w:pPr>
        <w:spacing w:after="0"/>
        <w:rPr>
          <w:sz w:val="12"/>
        </w:rPr>
        <w:sectPr>
          <w:type w:val="continuous"/>
          <w:pgSz w:w="11900" w:h="16840"/>
          <w:pgMar w:top="1220" w:bottom="280" w:left="640" w:right="640"/>
        </w:sectPr>
      </w:pPr>
    </w:p>
    <w:p>
      <w:pPr>
        <w:pStyle w:val="BodyText"/>
        <w:spacing w:before="2" w:after="1"/>
        <w:rPr>
          <w:sz w:val="15"/>
        </w:rPr>
      </w:pPr>
    </w:p>
    <w:p>
      <w:pPr>
        <w:pStyle w:val="BodyText"/>
        <w:spacing w:line="20" w:lineRule="exact"/>
        <w:ind w:left="193"/>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rPr>
          <w:sz w:val="20"/>
        </w:rPr>
      </w:pPr>
    </w:p>
    <w:p>
      <w:pPr>
        <w:pStyle w:val="BodyText"/>
        <w:spacing w:before="8"/>
        <w:rPr>
          <w:sz w:val="17"/>
        </w:rPr>
      </w:pPr>
      <w:r>
        <w:rPr/>
        <w:pict>
          <v:shape style="position:absolute;margin-left:41.904999pt;margin-top:12.375977pt;width:4.350pt;height:.1pt;mso-position-horizontal-relative:page;mso-position-vertical-relative:paragraph;z-index:-15626752;mso-wrap-distance-left:0;mso-wrap-distance-right:0" coordorigin="838,248" coordsize="87,0" path="m838,248l925,248e" filled="false" stroked="true" strokeweight=".5pt" strokecolor="#231f20">
            <v:path arrowok="t"/>
            <v:stroke dashstyle="solid"/>
            <w10:wrap type="topAndBottom"/>
          </v:shape>
        </w:pict>
      </w:r>
    </w:p>
    <w:p>
      <w:pPr>
        <w:pStyle w:val="BodyText"/>
        <w:rPr>
          <w:sz w:val="20"/>
        </w:rPr>
      </w:pPr>
    </w:p>
    <w:p>
      <w:pPr>
        <w:pStyle w:val="BodyText"/>
        <w:spacing w:before="4"/>
        <w:rPr>
          <w:sz w:val="15"/>
        </w:rPr>
      </w:pPr>
      <w:r>
        <w:rPr/>
        <w:pict>
          <v:shape style="position:absolute;margin-left:41.904999pt;margin-top:11.051976pt;width:4.350pt;height:.1pt;mso-position-horizontal-relative:page;mso-position-vertical-relative:paragraph;z-index:-15626240;mso-wrap-distance-left:0;mso-wrap-distance-right:0" coordorigin="838,221" coordsize="87,0" path="m838,221l925,221e" filled="false" stroked="true" strokeweight=".5pt" strokecolor="#231f20">
            <v:path arrowok="t"/>
            <v:stroke dashstyle="solid"/>
            <w10:wrap type="topAndBottom"/>
          </v:shape>
        </w:pict>
      </w:r>
    </w:p>
    <w:p>
      <w:pPr>
        <w:pStyle w:val="BodyText"/>
        <w:rPr>
          <w:sz w:val="20"/>
        </w:rPr>
      </w:pPr>
    </w:p>
    <w:p>
      <w:pPr>
        <w:pStyle w:val="BodyText"/>
        <w:spacing w:before="1"/>
        <w:rPr>
          <w:sz w:val="16"/>
        </w:rPr>
      </w:pPr>
      <w:r>
        <w:rPr/>
        <w:pict>
          <v:shape style="position:absolute;margin-left:41.904999pt;margin-top:11.466976pt;width:4.350pt;height:.1pt;mso-position-horizontal-relative:page;mso-position-vertical-relative:paragraph;z-index:-15625728;mso-wrap-distance-left:0;mso-wrap-distance-right:0" coordorigin="838,229" coordsize="87,0" path="m838,229l925,229e" filled="false" stroked="true" strokeweight=".5pt" strokecolor="#231f20">
            <v:path arrowok="t"/>
            <v:stroke dashstyle="solid"/>
            <w10:wrap type="topAndBottom"/>
          </v:shape>
        </w:pict>
      </w:r>
    </w:p>
    <w:p>
      <w:pPr>
        <w:tabs>
          <w:tab w:pos="722" w:val="left" w:leader="none"/>
          <w:tab w:pos="1430" w:val="left" w:leader="none"/>
          <w:tab w:pos="2160" w:val="left" w:leader="none"/>
        </w:tabs>
        <w:spacing w:before="3"/>
        <w:ind w:left="7" w:right="0" w:firstLine="0"/>
        <w:jc w:val="center"/>
        <w:rPr>
          <w:sz w:val="12"/>
        </w:rPr>
      </w:pPr>
      <w:r>
        <w:rPr>
          <w:color w:val="231F20"/>
          <w:sz w:val="12"/>
        </w:rPr>
        <w:t>Jan.</w:t>
        <w:tab/>
        <w:t>Feb.</w:t>
        <w:tab/>
        <w:t>Mar.</w:t>
        <w:tab/>
        <w:t>Apr.</w:t>
      </w:r>
    </w:p>
    <w:p>
      <w:pPr>
        <w:spacing w:before="30"/>
        <w:ind w:left="697" w:right="0" w:firstLine="0"/>
        <w:jc w:val="center"/>
        <w:rPr>
          <w:sz w:val="12"/>
        </w:rPr>
      </w:pPr>
      <w:r>
        <w:rPr/>
        <w:pict>
          <v:group style="position:absolute;margin-left:51.210999pt;margin-top:-11.106453pt;width:150.1pt;height:2.7pt;mso-position-horizontal-relative:page;mso-position-vertical-relative:paragraph;z-index:15834624" coordorigin="1024,-222" coordsize="3002,54">
            <v:line style="position:absolute" from="1033,-176" to="4021,-174" stroked="true" strokeweight=".5pt" strokecolor="#231f20">
              <v:stroke dashstyle="solid"/>
            </v:line>
            <v:shape style="position:absolute;left:1029;top:-223;width:2889;height:54" coordorigin="1029,-222" coordsize="2889,54" path="m1029,-222l1029,-169m3198,-222l3198,-169m3918,-222l3918,-169m2478,-222l2478,-169m1752,-222l1752,-169e" filled="false" stroked="true" strokeweight=".5pt" strokecolor="#231f20">
              <v:path arrowok="t"/>
              <v:stroke dashstyle="solid"/>
            </v:shape>
            <w10:wrap type="none"/>
          </v:group>
        </w:pict>
      </w:r>
      <w:r>
        <w:rPr>
          <w:color w:val="231F20"/>
          <w:sz w:val="12"/>
        </w:rPr>
        <w:t>1999</w:t>
      </w:r>
    </w:p>
    <w:p>
      <w:pPr>
        <w:spacing w:before="33"/>
        <w:ind w:left="7" w:right="1639" w:firstLine="0"/>
        <w:jc w:val="center"/>
        <w:rPr>
          <w:sz w:val="12"/>
        </w:rPr>
      </w:pPr>
      <w:r>
        <w:rPr>
          <w:color w:val="231F20"/>
          <w:sz w:val="12"/>
        </w:rPr>
        <w:t>Source: Datastream.</w:t>
      </w:r>
    </w:p>
    <w:p>
      <w:pPr>
        <w:pStyle w:val="BodyText"/>
        <w:rPr>
          <w:sz w:val="12"/>
        </w:rPr>
      </w:pPr>
    </w:p>
    <w:p>
      <w:pPr>
        <w:pStyle w:val="BodyText"/>
        <w:rPr>
          <w:sz w:val="12"/>
        </w:rPr>
      </w:pPr>
    </w:p>
    <w:p>
      <w:pPr>
        <w:pStyle w:val="BodyText"/>
        <w:spacing w:before="4"/>
        <w:rPr>
          <w:sz w:val="15"/>
        </w:rPr>
      </w:pPr>
    </w:p>
    <w:p>
      <w:pPr>
        <w:pStyle w:val="Heading4"/>
        <w:spacing w:before="0"/>
        <w:ind w:left="160"/>
      </w:pPr>
      <w:r>
        <w:rPr>
          <w:color w:val="0093C1"/>
        </w:rPr>
        <w:t>Chart 1.16</w:t>
      </w:r>
    </w:p>
    <w:p>
      <w:pPr>
        <w:pStyle w:val="Heading4"/>
        <w:spacing w:line="249" w:lineRule="auto"/>
        <w:ind w:left="160" w:right="20"/>
      </w:pPr>
      <w:r>
        <w:rPr>
          <w:color w:val="0093C1"/>
        </w:rPr>
        <w:t>Fund managers’ forecasts of UK earnings per share growth</w:t>
      </w:r>
    </w:p>
    <w:p>
      <w:pPr>
        <w:pStyle w:val="BodyText"/>
        <w:spacing w:before="10" w:after="39"/>
        <w:rPr>
          <w:b/>
          <w:sz w:val="20"/>
        </w:rPr>
      </w:pPr>
    </w:p>
    <w:p>
      <w:pPr>
        <w:pStyle w:val="BodyText"/>
        <w:spacing w:line="20" w:lineRule="exact"/>
        <w:ind w:left="243"/>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9"/>
        <w:rPr>
          <w:b/>
          <w:sz w:val="11"/>
        </w:rPr>
      </w:pPr>
      <w:r>
        <w:rPr/>
        <w:pict>
          <v:shape style="position:absolute;margin-left:205.947006pt;margin-top:9.017379pt;width:4.350pt;height:.1pt;mso-position-horizontal-relative:page;mso-position-vertical-relative:paragraph;z-index:-15624704;mso-wrap-distance-left:0;mso-wrap-distance-right:0" coordorigin="4119,180" coordsize="87,0" path="m4119,180l4206,180e" filled="false" stroked="true" strokeweight=".5pt" strokecolor="#231f20">
            <v:path arrowok="t"/>
            <v:stroke dashstyle="solid"/>
            <w10:wrap type="topAndBottom"/>
          </v:shape>
        </w:pict>
      </w:r>
      <w:r>
        <w:rPr/>
        <w:br w:type="column"/>
      </w:r>
      <w:r>
        <w:rPr>
          <w:b/>
          <w:sz w:val="11"/>
        </w:rPr>
      </w:r>
    </w:p>
    <w:p>
      <w:pPr>
        <w:pStyle w:val="BodyText"/>
        <w:rPr>
          <w:b/>
          <w:sz w:val="20"/>
        </w:rPr>
      </w:pPr>
    </w:p>
    <w:p>
      <w:pPr>
        <w:pStyle w:val="BodyText"/>
        <w:rPr>
          <w:b/>
          <w:sz w:val="16"/>
        </w:rPr>
      </w:pPr>
      <w:r>
        <w:rPr/>
        <w:pict>
          <v:shape style="position:absolute;margin-left:205.947006pt;margin-top:11.425977pt;width:4.350pt;height:.1pt;mso-position-horizontal-relative:page;mso-position-vertical-relative:paragraph;z-index:-15624192;mso-wrap-distance-left:0;mso-wrap-distance-right:0" coordorigin="4119,229" coordsize="87,0" path="m4119,229l4206,229e" filled="false" stroked="true" strokeweight=".5pt" strokecolor="#231f20">
            <v:path arrowok="t"/>
            <v:stroke dashstyle="solid"/>
            <w10:wrap type="topAndBottom"/>
          </v:shape>
        </w:pict>
      </w:r>
    </w:p>
    <w:p>
      <w:pPr>
        <w:pStyle w:val="BodyText"/>
        <w:rPr>
          <w:b/>
          <w:sz w:val="20"/>
        </w:rPr>
      </w:pPr>
    </w:p>
    <w:p>
      <w:pPr>
        <w:pStyle w:val="BodyText"/>
        <w:spacing w:before="4"/>
        <w:rPr>
          <w:b/>
          <w:sz w:val="15"/>
        </w:rPr>
      </w:pPr>
      <w:r>
        <w:rPr/>
        <w:pict>
          <v:shape style="position:absolute;margin-left:205.947006pt;margin-top:11.052977pt;width:4.350pt;height:.1pt;mso-position-horizontal-relative:page;mso-position-vertical-relative:paragraph;z-index:-15623680;mso-wrap-distance-left:0;mso-wrap-distance-right:0" coordorigin="4119,221" coordsize="87,0" path="m4119,221l4206,221e" filled="false" stroked="true" strokeweight=".5pt" strokecolor="#231f20">
            <v:path arrowok="t"/>
            <v:stroke dashstyle="solid"/>
            <w10:wrap type="topAndBottom"/>
          </v:shape>
        </w:pict>
      </w:r>
    </w:p>
    <w:p>
      <w:pPr>
        <w:pStyle w:val="BodyText"/>
        <w:rPr>
          <w:b/>
          <w:sz w:val="20"/>
        </w:rPr>
      </w:pPr>
    </w:p>
    <w:p>
      <w:pPr>
        <w:pStyle w:val="BodyText"/>
        <w:spacing w:before="1"/>
        <w:rPr>
          <w:b/>
          <w:sz w:val="16"/>
        </w:rPr>
      </w:pPr>
      <w:r>
        <w:rPr/>
        <w:pict>
          <v:shape style="position:absolute;margin-left:205.947006pt;margin-top:11.466976pt;width:4.350pt;height:.1pt;mso-position-horizontal-relative:page;mso-position-vertical-relative:paragraph;z-index:-15623168;mso-wrap-distance-left:0;mso-wrap-distance-right:0" coordorigin="4119,229" coordsize="87,0" path="m4119,229l4206,229e" filled="false" stroked="true" strokeweight=".5pt" strokecolor="#231f20">
            <v:path arrowok="t"/>
            <v:stroke dashstyle="solid"/>
            <w10:wrap type="topAndBottom"/>
          </v:shape>
        </w:pict>
      </w:r>
    </w:p>
    <w:p>
      <w:pPr>
        <w:spacing w:before="3"/>
        <w:ind w:left="160" w:right="0" w:firstLine="0"/>
        <w:jc w:val="left"/>
        <w:rPr>
          <w:sz w:val="12"/>
        </w:rPr>
      </w:pPr>
      <w:r>
        <w:rPr>
          <w:color w:val="231F20"/>
          <w:sz w:val="12"/>
        </w:rPr>
        <w:t>May</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0"/>
        </w:rPr>
      </w:pPr>
    </w:p>
    <w:p>
      <w:pPr>
        <w:spacing w:before="0"/>
        <w:ind w:left="171" w:right="0" w:firstLine="0"/>
        <w:jc w:val="left"/>
        <w:rPr>
          <w:sz w:val="12"/>
        </w:rPr>
      </w:pPr>
      <w:r>
        <w:rPr>
          <w:sz w:val="12"/>
        </w:rPr>
        <w:t>Per ce</w:t>
      </w:r>
      <w:r>
        <w:rPr>
          <w:sz w:val="12"/>
          <w:u w:val="single"/>
        </w:rPr>
        <w:t>n</w:t>
      </w:r>
      <w:r>
        <w:rPr>
          <w:sz w:val="12"/>
        </w:rPr>
        <w:t>t</w:t>
      </w:r>
    </w:p>
    <w:p>
      <w:pPr>
        <w:spacing w:before="96"/>
        <w:ind w:left="-7" w:right="0" w:firstLine="0"/>
        <w:jc w:val="left"/>
        <w:rPr>
          <w:sz w:val="12"/>
        </w:rPr>
      </w:pPr>
      <w:r>
        <w:rPr/>
        <w:br w:type="column"/>
      </w:r>
      <w:r>
        <w:rPr>
          <w:color w:val="231F20"/>
          <w:sz w:val="12"/>
        </w:rPr>
        <w:t>110</w:t>
      </w:r>
    </w:p>
    <w:p>
      <w:pPr>
        <w:pStyle w:val="BodyText"/>
        <w:rPr>
          <w:sz w:val="12"/>
        </w:rPr>
      </w:pPr>
    </w:p>
    <w:p>
      <w:pPr>
        <w:pStyle w:val="BodyText"/>
        <w:rPr>
          <w:sz w:val="12"/>
        </w:rPr>
      </w:pPr>
    </w:p>
    <w:p>
      <w:pPr>
        <w:spacing w:before="78"/>
        <w:ind w:left="-7" w:right="0" w:firstLine="0"/>
        <w:jc w:val="left"/>
        <w:rPr>
          <w:sz w:val="12"/>
        </w:rPr>
      </w:pPr>
      <w:r>
        <w:rPr>
          <w:color w:val="231F20"/>
          <w:sz w:val="12"/>
        </w:rPr>
        <w:t>105</w:t>
      </w:r>
    </w:p>
    <w:p>
      <w:pPr>
        <w:pStyle w:val="BodyText"/>
        <w:rPr>
          <w:sz w:val="12"/>
        </w:rPr>
      </w:pPr>
    </w:p>
    <w:p>
      <w:pPr>
        <w:pStyle w:val="BodyText"/>
        <w:rPr>
          <w:sz w:val="12"/>
        </w:rPr>
      </w:pPr>
    </w:p>
    <w:p>
      <w:pPr>
        <w:spacing w:before="76"/>
        <w:ind w:left="-7" w:right="0" w:firstLine="0"/>
        <w:jc w:val="left"/>
        <w:rPr>
          <w:sz w:val="12"/>
        </w:rPr>
      </w:pPr>
      <w:r>
        <w:rPr>
          <w:color w:val="231F20"/>
          <w:sz w:val="12"/>
        </w:rPr>
        <w:t>100</w:t>
      </w:r>
    </w:p>
    <w:p>
      <w:pPr>
        <w:pStyle w:val="BodyText"/>
        <w:rPr>
          <w:sz w:val="12"/>
        </w:rPr>
      </w:pPr>
    </w:p>
    <w:p>
      <w:pPr>
        <w:pStyle w:val="BodyText"/>
        <w:rPr>
          <w:sz w:val="12"/>
        </w:rPr>
      </w:pPr>
    </w:p>
    <w:p>
      <w:pPr>
        <w:spacing w:before="76"/>
        <w:ind w:left="53" w:right="0" w:firstLine="0"/>
        <w:jc w:val="left"/>
        <w:rPr>
          <w:sz w:val="12"/>
        </w:rPr>
      </w:pPr>
      <w:r>
        <w:rPr>
          <w:color w:val="231F20"/>
          <w:sz w:val="12"/>
        </w:rPr>
        <w:t>95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11" w:right="0" w:firstLine="0"/>
        <w:jc w:val="left"/>
        <w:rPr>
          <w:sz w:val="12"/>
        </w:rPr>
      </w:pPr>
      <w:r>
        <w:rPr>
          <w:sz w:val="12"/>
        </w:rPr>
        <w:t>8</w:t>
      </w:r>
    </w:p>
    <w:p>
      <w:pPr>
        <w:pStyle w:val="BodyText"/>
        <w:rPr>
          <w:sz w:val="12"/>
        </w:rPr>
      </w:pPr>
    </w:p>
    <w:p>
      <w:pPr>
        <w:spacing w:before="94"/>
        <w:ind w:left="11" w:right="0" w:firstLine="0"/>
        <w:jc w:val="left"/>
        <w:rPr>
          <w:sz w:val="12"/>
        </w:rPr>
      </w:pPr>
      <w:r>
        <w:rPr>
          <w:sz w:val="12"/>
        </w:rPr>
        <w:t>7</w:t>
      </w:r>
    </w:p>
    <w:p>
      <w:pPr>
        <w:pStyle w:val="BodyText"/>
        <w:rPr>
          <w:sz w:val="12"/>
        </w:rPr>
      </w:pPr>
    </w:p>
    <w:p>
      <w:pPr>
        <w:spacing w:before="94"/>
        <w:ind w:left="11" w:right="0" w:firstLine="0"/>
        <w:jc w:val="left"/>
        <w:rPr>
          <w:sz w:val="12"/>
        </w:rPr>
      </w:pPr>
      <w:r>
        <w:rPr>
          <w:sz w:val="12"/>
        </w:rPr>
        <w:t>6</w:t>
      </w:r>
    </w:p>
    <w:p>
      <w:pPr>
        <w:pStyle w:val="BodyText"/>
        <w:rPr>
          <w:sz w:val="12"/>
        </w:rPr>
      </w:pPr>
    </w:p>
    <w:p>
      <w:pPr>
        <w:spacing w:before="93"/>
        <w:ind w:left="11" w:right="0" w:firstLine="0"/>
        <w:jc w:val="left"/>
        <w:rPr>
          <w:sz w:val="12"/>
        </w:rPr>
      </w:pPr>
      <w:r>
        <w:rPr>
          <w:sz w:val="12"/>
        </w:rPr>
        <w:t>5</w:t>
      </w:r>
    </w:p>
    <w:p>
      <w:pPr>
        <w:pStyle w:val="BodyText"/>
        <w:rPr>
          <w:sz w:val="12"/>
        </w:rPr>
      </w:pPr>
    </w:p>
    <w:p>
      <w:pPr>
        <w:spacing w:before="94"/>
        <w:ind w:left="11" w:right="0" w:firstLine="0"/>
        <w:jc w:val="left"/>
        <w:rPr>
          <w:sz w:val="12"/>
        </w:rPr>
      </w:pPr>
      <w:r>
        <w:rPr>
          <w:sz w:val="12"/>
        </w:rPr>
        <w:t>4</w:t>
      </w:r>
    </w:p>
    <w:p>
      <w:pPr>
        <w:pStyle w:val="BodyText"/>
        <w:rPr>
          <w:sz w:val="12"/>
        </w:rPr>
      </w:pPr>
    </w:p>
    <w:p>
      <w:pPr>
        <w:spacing w:before="94"/>
        <w:ind w:left="11" w:right="0" w:firstLine="0"/>
        <w:jc w:val="left"/>
        <w:rPr>
          <w:sz w:val="12"/>
        </w:rPr>
      </w:pPr>
      <w:r>
        <w:rPr>
          <w:sz w:val="12"/>
        </w:rPr>
        <w:t>3</w:t>
      </w:r>
    </w:p>
    <w:p>
      <w:pPr>
        <w:spacing w:line="242" w:lineRule="auto" w:before="228"/>
        <w:ind w:left="160" w:right="350" w:firstLine="0"/>
        <w:jc w:val="left"/>
        <w:rPr>
          <w:sz w:val="24"/>
        </w:rPr>
      </w:pPr>
      <w:r>
        <w:rPr/>
        <w:br w:type="column"/>
      </w:r>
      <w:r>
        <w:rPr>
          <w:color w:val="231F20"/>
          <w:sz w:val="24"/>
        </w:rPr>
        <w:t>Equity prices are positively related to expectations about future profits, but are negatively related to risk. Uncertainty about the future level of UK share </w:t>
      </w:r>
      <w:r>
        <w:rPr>
          <w:color w:val="231F20"/>
          <w:spacing w:val="-3"/>
          <w:sz w:val="24"/>
        </w:rPr>
        <w:t>prices, </w:t>
      </w:r>
      <w:r>
        <w:rPr>
          <w:color w:val="231F20"/>
          <w:sz w:val="24"/>
        </w:rPr>
        <w:t>as measured by options prices on the F</w:t>
      </w:r>
      <w:r>
        <w:rPr>
          <w:color w:val="231F20"/>
          <w:sz w:val="20"/>
        </w:rPr>
        <w:t>T-SE </w:t>
      </w:r>
      <w:r>
        <w:rPr>
          <w:color w:val="231F20"/>
          <w:sz w:val="24"/>
        </w:rPr>
        <w:t>100,</w:t>
      </w:r>
      <w:r>
        <w:rPr>
          <w:color w:val="231F20"/>
          <w:spacing w:val="8"/>
          <w:sz w:val="24"/>
        </w:rPr>
        <w:t> </w:t>
      </w:r>
      <w:r>
        <w:rPr>
          <w:color w:val="231F20"/>
          <w:sz w:val="24"/>
        </w:rPr>
        <w:t>has</w:t>
      </w:r>
    </w:p>
    <w:p>
      <w:pPr>
        <w:spacing w:line="242" w:lineRule="auto" w:before="5"/>
        <w:ind w:left="160" w:right="208" w:firstLine="0"/>
        <w:jc w:val="left"/>
        <w:rPr>
          <w:sz w:val="24"/>
        </w:rPr>
      </w:pPr>
      <w:r>
        <w:rPr>
          <w:color w:val="231F20"/>
          <w:sz w:val="24"/>
        </w:rPr>
        <w:t>fallen steadily since the beginning of 1999, more so </w:t>
      </w:r>
      <w:r>
        <w:rPr>
          <w:color w:val="231F20"/>
          <w:spacing w:val="-5"/>
          <w:sz w:val="24"/>
        </w:rPr>
        <w:t>than </w:t>
      </w:r>
      <w:r>
        <w:rPr>
          <w:color w:val="231F20"/>
          <w:sz w:val="24"/>
        </w:rPr>
        <w:t>a similar measure for the United States. The latest Merrill </w:t>
      </w:r>
      <w:r>
        <w:rPr>
          <w:color w:val="231F20"/>
          <w:spacing w:val="-3"/>
          <w:sz w:val="24"/>
        </w:rPr>
        <w:t>Lynch </w:t>
      </w:r>
      <w:r>
        <w:rPr>
          <w:color w:val="231F20"/>
          <w:sz w:val="24"/>
        </w:rPr>
        <w:t>survey of UK fund managers showed a positive balance of 33% who thought that the prospects for UK corporate profits were favourable—compared with a negative balance of 44% in February. These factors are consistent with the strong pick-up in expectations for UK earnings per share growth since</w:t>
      </w:r>
    </w:p>
    <w:p>
      <w:pPr>
        <w:spacing w:line="242" w:lineRule="auto" w:before="10"/>
        <w:ind w:left="160" w:right="284" w:firstLine="0"/>
        <w:jc w:val="left"/>
        <w:rPr>
          <w:sz w:val="24"/>
        </w:rPr>
      </w:pPr>
      <w:r>
        <w:rPr>
          <w:color w:val="231F20"/>
          <w:sz w:val="24"/>
        </w:rPr>
        <w:t>the beginning of 1999, for both this year and next, as reported in the Merrill Lynch survey (see Chart 1.16).</w:t>
      </w:r>
    </w:p>
    <w:p>
      <w:pPr>
        <w:pStyle w:val="BodyText"/>
        <w:spacing w:before="9"/>
        <w:rPr>
          <w:sz w:val="29"/>
        </w:rPr>
      </w:pPr>
    </w:p>
    <w:p>
      <w:pPr>
        <w:spacing w:line="242" w:lineRule="auto" w:before="0"/>
        <w:ind w:left="160" w:right="312" w:firstLine="0"/>
        <w:jc w:val="left"/>
        <w:rPr>
          <w:sz w:val="24"/>
        </w:rPr>
      </w:pPr>
      <w:r>
        <w:rPr>
          <w:color w:val="231F20"/>
          <w:sz w:val="24"/>
        </w:rPr>
        <w:t>The MPC assumes that there is a greater risk of a fall in UK equity prices than of a further rise, relative to the central-case assumption of growth in line with nominal demand.</w:t>
      </w:r>
    </w:p>
    <w:p>
      <w:pPr>
        <w:spacing w:after="0" w:line="242" w:lineRule="auto"/>
        <w:jc w:val="left"/>
        <w:rPr>
          <w:sz w:val="24"/>
        </w:rPr>
        <w:sectPr>
          <w:type w:val="continuous"/>
          <w:pgSz w:w="11900" w:h="16840"/>
          <w:pgMar w:top="1220" w:bottom="280" w:left="640" w:right="640"/>
          <w:cols w:num="4" w:equalWidth="0">
            <w:col w:w="2978" w:space="43"/>
            <w:col w:w="562" w:space="39"/>
            <w:col w:w="214" w:space="964"/>
            <w:col w:w="582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5"/>
        </w:rPr>
      </w:pPr>
    </w:p>
    <w:p>
      <w:pPr>
        <w:spacing w:line="206" w:lineRule="auto" w:before="1"/>
        <w:ind w:left="280" w:right="-18" w:hanging="60"/>
        <w:jc w:val="left"/>
        <w:rPr>
          <w:sz w:val="12"/>
        </w:rPr>
      </w:pPr>
      <w:r>
        <w:rPr>
          <w:sz w:val="12"/>
        </w:rPr>
        <w:t>Survey date:</w:t>
      </w:r>
    </w:p>
    <w:p>
      <w:pPr>
        <w:pStyle w:val="BodyText"/>
        <w:rPr>
          <w:sz w:val="13"/>
        </w:rPr>
      </w:pPr>
      <w:r>
        <w:rPr/>
        <w:br w:type="column"/>
      </w:r>
      <w:r>
        <w:rPr>
          <w:sz w:val="13"/>
        </w:rPr>
      </w:r>
    </w:p>
    <w:p>
      <w:pPr>
        <w:spacing w:before="0"/>
        <w:ind w:left="0" w:right="38" w:firstLine="0"/>
        <w:jc w:val="right"/>
        <w:rPr>
          <w:sz w:val="12"/>
        </w:rPr>
      </w:pPr>
      <w:r>
        <w:rPr>
          <w:sz w:val="12"/>
        </w:rPr>
        <w:t>2</w:t>
      </w:r>
    </w:p>
    <w:p>
      <w:pPr>
        <w:pStyle w:val="BodyText"/>
        <w:rPr>
          <w:sz w:val="12"/>
        </w:rPr>
      </w:pPr>
    </w:p>
    <w:p>
      <w:pPr>
        <w:spacing w:before="94"/>
        <w:ind w:left="0" w:right="38" w:firstLine="0"/>
        <w:jc w:val="right"/>
        <w:rPr>
          <w:sz w:val="12"/>
        </w:rPr>
      </w:pPr>
      <w:r>
        <w:rPr/>
        <w:pict>
          <v:group style="position:absolute;margin-left:44.417pt;margin-top:-106.027237pt;width:166.7pt;height:119.35pt;mso-position-horizontal-relative:page;mso-position-vertical-relative:paragraph;z-index:15838720" coordorigin="888,-2121" coordsize="3334,2387">
            <v:shape style="position:absolute;left:1050;top:-2111;width:3028;height:2367" coordorigin="1050,-2111" coordsize="3028,2367" path="m1050,-2111l1283,-2038,1515,-2001,1748,-1891,1980,-1668,2213,-1298,2445,-1113,2680,-153,2913,-81,3145,254,3378,256,3613,-41,3845,-523,4078,-928e" filled="false" stroked="true" strokeweight="1pt" strokecolor="#0066a5">
              <v:path arrowok="t"/>
              <v:stroke dashstyle="solid"/>
            </v:shape>
            <v:shape style="position:absolute;left:3377;top:-2076;width:700;height:740" coordorigin="3378,-2076" coordsize="700,740" path="m3378,-1336l3613,-1373,3845,-1853,4078,-2076e" filled="false" stroked="true" strokeweight="1pt" strokecolor="#00a995">
              <v:path arrowok="t"/>
              <v:stroke dashstyle="solid"/>
            </v:shape>
            <v:shape style="position:absolute;left:888;top:-2039;width:3334;height:2219" coordorigin="888,-2038" coordsize="3334,2219" path="m888,-2038l975,-2038m888,-1669l975,-1669m888,-1299l975,-1299m888,-929l975,-929m888,-560l975,-560m888,-190l975,-190m888,180l975,180m4135,-2038l4222,-2038m4135,-1669l4222,-1669m4135,-1299l4222,-1299m4135,-929l4222,-929m4135,-560l4222,-560m4135,-190l4222,-190m4135,180l4222,180e" filled="false" stroked="true" strokeweight=".5pt" strokecolor="#000000">
              <v:path arrowok="t"/>
              <v:stroke dashstyle="solid"/>
            </v:shape>
            <v:shape style="position:absolute;left:3469;top:-2038;width:444;height:133" type="#_x0000_t202" filled="false" stroked="false">
              <v:textbox inset="0,0,0,0">
                <w:txbxContent>
                  <w:p>
                    <w:pPr>
                      <w:spacing w:line="133" w:lineRule="exact" w:before="0"/>
                      <w:ind w:left="0" w:right="0" w:firstLine="0"/>
                      <w:jc w:val="left"/>
                      <w:rPr>
                        <w:sz w:val="12"/>
                      </w:rPr>
                    </w:pPr>
                    <w:r>
                      <w:rPr>
                        <w:sz w:val="12"/>
                      </w:rPr>
                      <w:t>FY 2000</w:t>
                    </w:r>
                  </w:p>
                </w:txbxContent>
              </v:textbox>
              <w10:wrap type="none"/>
            </v:shape>
            <v:shape style="position:absolute;left:3553;top:-908;width:444;height:133" type="#_x0000_t202" filled="false" stroked="false">
              <v:textbox inset="0,0,0,0">
                <w:txbxContent>
                  <w:p>
                    <w:pPr>
                      <w:spacing w:line="133" w:lineRule="exact" w:before="0"/>
                      <w:ind w:left="0" w:right="0" w:firstLine="0"/>
                      <w:jc w:val="left"/>
                      <w:rPr>
                        <w:sz w:val="12"/>
                      </w:rPr>
                    </w:pPr>
                    <w:r>
                      <w:rPr>
                        <w:sz w:val="12"/>
                      </w:rPr>
                      <w:t>FY 1999</w:t>
                    </w:r>
                  </w:p>
                </w:txbxContent>
              </v:textbox>
              <w10:wrap type="none"/>
            </v:shape>
            <w10:wrap type="none"/>
          </v:group>
        </w:pict>
      </w:r>
      <w:r>
        <w:rPr>
          <w:sz w:val="12"/>
        </w:rPr>
        <w:t>1</w:t>
      </w:r>
    </w:p>
    <w:p>
      <w:pPr>
        <w:pStyle w:val="BodyText"/>
        <w:rPr>
          <w:sz w:val="12"/>
        </w:rPr>
      </w:pPr>
    </w:p>
    <w:p>
      <w:pPr>
        <w:spacing w:before="94"/>
        <w:ind w:left="0" w:right="38" w:firstLine="0"/>
        <w:jc w:val="right"/>
        <w:rPr>
          <w:sz w:val="12"/>
        </w:rPr>
      </w:pPr>
      <w:r>
        <w:rPr/>
        <w:pict>
          <v:shape style="position:absolute;margin-left:44.417pt;margin-top:3.113574pt;width:166.7pt;height:5.95pt;mso-position-horizontal-relative:page;mso-position-vertical-relative:paragraph;z-index:15839232" coordorigin="888,62" coordsize="3334,119" path="m888,180l975,180m4135,180l4222,180m1044,181l4084,181m1044,120l1044,181m3845,120l3845,181m3378,62l3378,181m2911,120l2911,181m2445,120l2445,181m1978,120l1978,181m1511,120l1511,181e" filled="false" stroked="true" strokeweight=".5pt" strokecolor="#000000">
            <v:path arrowok="t"/>
            <v:stroke dashstyle="solid"/>
            <w10:wrap type="none"/>
          </v:shape>
        </w:pict>
      </w:r>
      <w:r>
        <w:rPr>
          <w:sz w:val="12"/>
        </w:rPr>
        <w:t>0</w:t>
      </w:r>
    </w:p>
    <w:p>
      <w:pPr>
        <w:tabs>
          <w:tab w:pos="515" w:val="left" w:leader="none"/>
          <w:tab w:pos="960" w:val="left" w:leader="none"/>
          <w:tab w:pos="1424" w:val="left" w:leader="none"/>
          <w:tab w:pos="1909" w:val="left" w:leader="none"/>
          <w:tab w:pos="2357" w:val="left" w:leader="none"/>
        </w:tabs>
        <w:spacing w:before="88"/>
        <w:ind w:left="0" w:right="267" w:firstLine="0"/>
        <w:jc w:val="center"/>
        <w:rPr>
          <w:sz w:val="12"/>
        </w:rPr>
      </w:pPr>
      <w:r>
        <w:rPr>
          <w:sz w:val="12"/>
        </w:rPr>
        <w:t>May</w:t>
        <w:tab/>
        <w:t>July</w:t>
        <w:tab/>
        <w:t>Sept.</w:t>
        <w:tab/>
        <w:t>Nov.</w:t>
        <w:tab/>
        <w:t>Jan.</w:t>
        <w:tab/>
        <w:t>Mar.</w:t>
      </w:r>
    </w:p>
    <w:p>
      <w:pPr>
        <w:tabs>
          <w:tab w:pos="1968" w:val="left" w:leader="none"/>
        </w:tabs>
        <w:spacing w:before="2"/>
        <w:ind w:left="0" w:right="251" w:firstLine="0"/>
        <w:jc w:val="center"/>
        <w:rPr>
          <w:sz w:val="12"/>
        </w:rPr>
      </w:pPr>
      <w:r>
        <w:rPr>
          <w:sz w:val="12"/>
        </w:rPr>
        <w:t>1998</w:t>
        <w:tab/>
        <w:t>99</w:t>
      </w:r>
    </w:p>
    <w:p>
      <w:pPr>
        <w:pStyle w:val="BodyText"/>
        <w:spacing w:before="5"/>
        <w:rPr>
          <w:sz w:val="33"/>
        </w:rPr>
      </w:pPr>
      <w:r>
        <w:rPr/>
        <w:br w:type="column"/>
      </w:r>
      <w:r>
        <w:rPr>
          <w:sz w:val="33"/>
        </w:rPr>
      </w:r>
    </w:p>
    <w:p>
      <w:pPr>
        <w:pStyle w:val="Heading2"/>
        <w:ind w:left="221"/>
        <w:rPr>
          <w:i/>
        </w:rPr>
      </w:pPr>
      <w:r>
        <w:rPr>
          <w:i/>
          <w:color w:val="009483"/>
        </w:rPr>
        <w:t>Property prices</w:t>
      </w:r>
    </w:p>
    <w:p>
      <w:pPr>
        <w:spacing w:line="242" w:lineRule="auto" w:before="184"/>
        <w:ind w:left="221" w:right="322" w:firstLine="0"/>
        <w:jc w:val="left"/>
        <w:rPr>
          <w:sz w:val="24"/>
        </w:rPr>
      </w:pPr>
      <w:r>
        <w:rPr>
          <w:color w:val="231F20"/>
          <w:sz w:val="24"/>
        </w:rPr>
        <w:t>Growth in the capital value of commercial property has been declining since the beginning of 1998. And there</w:t>
      </w:r>
    </w:p>
    <w:p>
      <w:pPr>
        <w:spacing w:after="0" w:line="242" w:lineRule="auto"/>
        <w:jc w:val="left"/>
        <w:rPr>
          <w:sz w:val="24"/>
        </w:rPr>
        <w:sectPr>
          <w:type w:val="continuous"/>
          <w:pgSz w:w="11900" w:h="16840"/>
          <w:pgMar w:top="1220" w:bottom="280" w:left="640" w:right="640"/>
          <w:cols w:num="3" w:equalWidth="0">
            <w:col w:w="562" w:space="40"/>
            <w:col w:w="3132" w:space="1004"/>
            <w:col w:w="5882"/>
          </w:cols>
        </w:sectPr>
      </w:pPr>
    </w:p>
    <w:p>
      <w:pPr>
        <w:spacing w:before="52"/>
        <w:ind w:left="145" w:right="0" w:firstLine="0"/>
        <w:jc w:val="left"/>
        <w:rPr>
          <w:sz w:val="12"/>
        </w:rPr>
      </w:pPr>
      <w:r>
        <w:rPr>
          <w:color w:val="231F20"/>
          <w:sz w:val="12"/>
        </w:rPr>
        <w:t>Source: Merrill Lynch.</w:t>
      </w:r>
    </w:p>
    <w:p>
      <w:pPr>
        <w:spacing w:line="242" w:lineRule="auto" w:before="2"/>
        <w:ind w:left="145" w:right="435" w:firstLine="0"/>
        <w:jc w:val="left"/>
        <w:rPr>
          <w:sz w:val="24"/>
        </w:rPr>
      </w:pPr>
      <w:r>
        <w:rPr/>
        <w:br w:type="column"/>
      </w:r>
      <w:r>
        <w:rPr>
          <w:color w:val="231F20"/>
          <w:sz w:val="24"/>
        </w:rPr>
        <w:t>was a slight decline in the annual rate of growth in the rental value of commercial property. Inflation indicators in the housing market were more mixed.</w:t>
      </w:r>
    </w:p>
    <w:p>
      <w:pPr>
        <w:spacing w:line="242" w:lineRule="auto" w:before="4"/>
        <w:ind w:left="145" w:right="322" w:firstLine="0"/>
        <w:jc w:val="left"/>
        <w:rPr>
          <w:sz w:val="24"/>
        </w:rPr>
      </w:pPr>
      <w:r>
        <w:rPr>
          <w:color w:val="231F20"/>
          <w:sz w:val="24"/>
        </w:rPr>
        <w:t>Despite a strong rise in March, on both the Halifax and the Nationwide measures annual house price inflation remained weaker in the first few months of 1999 than in 1998. Annual house price inflation in London and the South East, which has in the past led national house</w:t>
      </w:r>
    </w:p>
    <w:p>
      <w:pPr>
        <w:spacing w:line="242" w:lineRule="auto" w:before="6"/>
        <w:ind w:left="145" w:right="172" w:firstLine="0"/>
        <w:jc w:val="left"/>
        <w:rPr>
          <w:sz w:val="24"/>
        </w:rPr>
      </w:pPr>
      <w:r>
        <w:rPr>
          <w:color w:val="231F20"/>
          <w:sz w:val="24"/>
        </w:rPr>
        <w:t>price inflation, weakened by less in the year to 1999 Q1. And the March Royal Institute of Chartered Surveyors (R</w:t>
      </w:r>
      <w:r>
        <w:rPr>
          <w:color w:val="231F20"/>
          <w:sz w:val="20"/>
        </w:rPr>
        <w:t>ICS</w:t>
      </w:r>
      <w:r>
        <w:rPr>
          <w:color w:val="231F20"/>
          <w:sz w:val="24"/>
        </w:rPr>
        <w:t>) survey showed a net positive balance of 76% of estate agents reporting an increase in house prices in London, considerably higher than elsewhere. The R</w:t>
      </w:r>
      <w:r>
        <w:rPr>
          <w:color w:val="231F20"/>
          <w:sz w:val="20"/>
        </w:rPr>
        <w:t>ICS </w:t>
      </w:r>
      <w:r>
        <w:rPr>
          <w:color w:val="231F20"/>
          <w:sz w:val="24"/>
        </w:rPr>
        <w:t>survey also reported a fall to historical lows in the number of properties on estate agents’ books, which </w:t>
      </w:r>
      <w:r>
        <w:rPr>
          <w:color w:val="231F20"/>
          <w:spacing w:val="-6"/>
          <w:sz w:val="24"/>
        </w:rPr>
        <w:t>may </w:t>
      </w:r>
      <w:r>
        <w:rPr>
          <w:color w:val="231F20"/>
          <w:sz w:val="24"/>
        </w:rPr>
        <w:t>constrain activity in the short run. However, as noted above, loan approvals nationally for house purchases rose strongly in 1999 Q1, indicating continued strength in demand.</w:t>
      </w:r>
    </w:p>
    <w:p>
      <w:pPr>
        <w:spacing w:after="0" w:line="242" w:lineRule="auto"/>
        <w:jc w:val="left"/>
        <w:rPr>
          <w:sz w:val="24"/>
        </w:rPr>
        <w:sectPr>
          <w:type w:val="continuous"/>
          <w:pgSz w:w="11900" w:h="16840"/>
          <w:pgMar w:top="1220" w:bottom="280" w:left="640" w:right="640"/>
          <w:cols w:num="2" w:equalWidth="0">
            <w:col w:w="1319" w:space="3495"/>
            <w:col w:w="5806"/>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4"/>
        <w:spacing w:before="0"/>
        <w:ind w:left="180"/>
      </w:pPr>
      <w:bookmarkStart w:name="Exchange rates" w:id="26"/>
      <w:bookmarkEnd w:id="26"/>
      <w:r>
        <w:rPr>
          <w:b w:val="0"/>
        </w:rPr>
      </w:r>
      <w:bookmarkStart w:name="_bookmark9" w:id="27"/>
      <w:bookmarkEnd w:id="27"/>
      <w:r>
        <w:rPr>
          <w:b w:val="0"/>
        </w:rPr>
      </w:r>
      <w:r>
        <w:rPr>
          <w:color w:val="0093C1"/>
        </w:rPr>
        <w:t>Chart 1.17</w:t>
      </w:r>
    </w:p>
    <w:p>
      <w:pPr>
        <w:pStyle w:val="Heading4"/>
        <w:ind w:left="180"/>
        <w:rPr>
          <w:b w:val="0"/>
          <w:sz w:val="12"/>
        </w:rPr>
      </w:pPr>
      <w:r>
        <w:rPr>
          <w:color w:val="0093C1"/>
        </w:rPr>
        <w:t>Sterling effective exchange rates</w:t>
      </w:r>
      <w:r>
        <w:rPr>
          <w:b w:val="0"/>
          <w:color w:val="231F20"/>
          <w:position w:val="4"/>
          <w:sz w:val="12"/>
        </w:rPr>
        <w:t>(a)</w:t>
      </w:r>
    </w:p>
    <w:p>
      <w:pPr>
        <w:spacing w:before="128"/>
        <w:ind w:left="0" w:right="521" w:firstLine="0"/>
        <w:jc w:val="right"/>
        <w:rPr>
          <w:sz w:val="12"/>
        </w:rPr>
      </w:pPr>
      <w:r>
        <w:rPr/>
        <w:pict>
          <v:line style="position:absolute;mso-position-horizontal-relative:page;mso-position-vertical-relative:paragraph;z-index:15844352" from="43.375pt,13.835051pt" to="47.708pt,13.835051pt" stroked="true" strokeweight=".5pt" strokecolor="#000000">
            <v:stroke dashstyle="solid"/>
            <w10:wrap type="none"/>
          </v:line>
        </w:pict>
      </w:r>
      <w:r>
        <w:rPr>
          <w:sz w:val="12"/>
        </w:rPr>
        <w:t>1990 =</w:t>
      </w:r>
      <w:r>
        <w:rPr>
          <w:spacing w:val="8"/>
          <w:sz w:val="12"/>
        </w:rPr>
        <w:t> </w:t>
      </w:r>
      <w:r>
        <w:rPr>
          <w:sz w:val="12"/>
        </w:rPr>
        <w:t>1</w:t>
      </w:r>
      <w:r>
        <w:rPr>
          <w:sz w:val="12"/>
          <w:u w:val="single"/>
        </w:rPr>
        <w:t>00</w:t>
      </w:r>
      <w:r>
        <w:rPr>
          <w:position w:val="-7"/>
          <w:sz w:val="12"/>
        </w:rPr>
        <w:t>130</w:t>
      </w:r>
    </w:p>
    <w:p>
      <w:pPr>
        <w:pStyle w:val="BodyText"/>
        <w:rPr>
          <w:sz w:val="20"/>
        </w:rPr>
      </w:pPr>
    </w:p>
    <w:p>
      <w:pPr>
        <w:pStyle w:val="BodyText"/>
        <w:spacing w:before="1"/>
      </w:pPr>
    </w:p>
    <w:p>
      <w:pPr>
        <w:spacing w:before="0"/>
        <w:ind w:left="0" w:right="521" w:firstLine="0"/>
        <w:jc w:val="right"/>
        <w:rPr>
          <w:sz w:val="12"/>
        </w:rPr>
      </w:pPr>
      <w:r>
        <w:rPr/>
        <w:pict>
          <v:group style="position:absolute;margin-left:51.75pt;margin-top:-5.323914pt;width:156.950pt;height:116.25pt;mso-position-horizontal-relative:page;mso-position-vertical-relative:paragraph;z-index:15841280" coordorigin="1035,-106" coordsize="3139,2325">
            <v:shape style="position:absolute;left:1045;top:1318;width:55;height:168" coordorigin="1045,1319" coordsize="55,168" path="m1045,1424l1073,1319m1073,1319l1100,1486e" filled="false" stroked="true" strokeweight="1pt" strokecolor="#40ad49">
              <v:path arrowok="t"/>
              <v:stroke dashstyle="solid"/>
            </v:shape>
            <v:line style="position:absolute" from="1090,1485" to="1138,1485" stroked="true" strokeweight="1.125pt" strokecolor="#40ad49">
              <v:stroke dashstyle="solid"/>
            </v:line>
            <v:shape style="position:absolute;left:1127;top:981;width:238;height:503" coordorigin="1128,981" coordsize="238,503" path="m1128,1484l1153,1424m1153,1424l1178,1274m1178,1274l1205,1089m1205,1089l1233,981m1233,981l1260,1064m1260,1064l1285,1009m1285,1009l1313,1054m1313,1054l1340,1109m1340,1109l1365,1054e" filled="false" stroked="true" strokeweight="1pt" strokecolor="#40ad49">
              <v:path arrowok="t"/>
              <v:stroke dashstyle="solid"/>
            </v:shape>
            <v:line style="position:absolute" from="1355,1055" to="1403,1055" stroked="true" strokeweight="1.125pt" strokecolor="#40ad49">
              <v:stroke dashstyle="solid"/>
            </v:line>
            <v:shape style="position:absolute;left:1392;top:1053;width:240;height:203" coordorigin="1393,1054" coordsize="240,203" path="m1393,1054l1418,1116m1418,1116l1448,1131m1448,1131l1473,1169m1473,1169l1500,1256m1500,1256l1525,1244m1525,1244l1553,1231m1553,1231l1580,1214m1580,1214l1605,1246m1605,1246l1633,1226e" filled="false" stroked="true" strokeweight="1pt" strokecolor="#40ad49">
              <v:path arrowok="t"/>
              <v:stroke dashstyle="solid"/>
            </v:shape>
            <v:line style="position:absolute" from="1623,1225" to="1670,1225" stroked="true" strokeweight="1.125pt" strokecolor="#40ad49">
              <v:stroke dashstyle="solid"/>
            </v:line>
            <v:shape style="position:absolute;left:1660;top:1123;width:133;height:163" coordorigin="1660,1124" coordsize="133,163" path="m1660,1224l1688,1246m1688,1246l1713,1239m1713,1239l1740,1286m1740,1286l1765,1211m1765,1211l1793,1124e" filled="false" stroked="true" strokeweight="1pt" strokecolor="#40ad49">
              <v:path arrowok="t"/>
              <v:stroke dashstyle="solid"/>
            </v:shape>
            <v:line style="position:absolute" from="1783,1125" to="1830,1125" stroked="true" strokeweight="1.125pt" strokecolor="#40ad49">
              <v:stroke dashstyle="solid"/>
            </v:line>
            <v:shape style="position:absolute;left:1820;top:1123;width:80;height:298" coordorigin="1820,1124" coordsize="80,298" path="m1820,1124l1845,1159m1845,1159l1873,1194m1873,1194l1900,1421e" filled="false" stroked="true" strokeweight="1pt" strokecolor="#40ad49">
              <v:path arrowok="t"/>
              <v:stroke dashstyle="solid"/>
            </v:shape>
            <v:line style="position:absolute" from="1914,1411" to="1914,1881" stroked="true" strokeweight="2.375pt" strokecolor="#40ad49">
              <v:stroke dashstyle="solid"/>
            </v:line>
            <v:shape style="position:absolute;left:1927;top:1863;width:158;height:238" coordorigin="1928,1864" coordsize="158,238" path="m1928,1871l1953,2014m1953,2014l1980,1904m1980,1904l2005,1866m2005,1866l2033,2101m2033,2101l2060,2009m2060,2009l2085,1864e" filled="false" stroked="true" strokeweight="1pt" strokecolor="#40ad49">
              <v:path arrowok="t"/>
              <v:stroke dashstyle="solid"/>
            </v:shape>
            <v:line style="position:absolute" from="2075,1862" to="2123,1862" stroked="true" strokeweight="1.125pt" strokecolor="#40ad49">
              <v:stroke dashstyle="solid"/>
            </v:line>
            <v:shape style="position:absolute;left:2112;top:1683;width:453;height:245" coordorigin="2113,1684" coordsize="453,245" path="m2113,1861l2140,1896m2140,1896l2168,1771m2168,1771l2193,1786m2193,1786l2218,1814m2218,1814l2248,1834m2248,1834l2273,1789m2273,1789l2300,1744m2300,1744l2325,1684m2325,1684l2353,1776m2353,1776l2380,1814m2380,1814l2408,1846m2408,1846l2433,1861m2433,1861l2460,1851m2460,1851l2488,1919m2488,1919l2513,1929m2513,1929l2540,1906m2540,1906l2565,1854e" filled="false" stroked="true" strokeweight="1pt" strokecolor="#40ad49">
              <v:path arrowok="t"/>
              <v:stroke dashstyle="solid"/>
            </v:shape>
            <v:line style="position:absolute" from="2555,1855" to="2605,1855" stroked="true" strokeweight="1.125pt" strokecolor="#40ad49">
              <v:stroke dashstyle="solid"/>
            </v:line>
            <v:shape style="position:absolute;left:2595;top:953;width:1013;height:1255" coordorigin="2595,954" coordsize="1013,1255" path="m2595,1854l2620,1856m2620,1854l2645,1884m2645,1884l2673,1949m2673,1949l2700,2049m2700,2049l2728,2119m2728,2119l2753,2126m2753,2126l2780,2141m2780,2141l2805,2169m2805,2169l2835,2121m2835,2121l2860,2096m2860,2096l2885,2129m2885,2129l2913,2186m2913,2186l2940,2209m2940,2209l2968,2189m2968,2189l2993,2156m2993,2156l3020,2171m3020,2171l3048,2159m3048,2159l3073,2111m3073,2111l3100,2031m3100,2031l3125,2046m3125,2046l3153,2104m3153,2104l3180,2024m3180,2024l3208,1894m3208,1894l3233,1686m3233,1686l3260,1579m3260,1579l3288,1459m3288,1459l3313,1371m3313,1371l3340,1376m3340,1376l3365,1254m3365,1254l3395,1276m3395,1276l3420,1201m3420,1201l3448,964m3448,964l3473,1079m3473,1079l3500,1201m3500,1201l3528,1161m3528,1161l3553,1006m3553,1006l3580,974m3580,974l3608,954e" filled="false" stroked="true" strokeweight="1pt" strokecolor="#40ad49">
              <v:path arrowok="t"/>
              <v:stroke dashstyle="solid"/>
            </v:shape>
            <v:line style="position:absolute" from="3598,952" to="3645,952" stroked="true" strokeweight="1.125pt" strokecolor="#40ad49">
              <v:stroke dashstyle="solid"/>
            </v:line>
            <v:shape style="position:absolute;left:3635;top:813;width:373;height:435" coordorigin="3635,814" coordsize="373,435" path="m3635,951l3660,834m3660,834l3688,814m3688,814l3713,1029m3713,1029l3740,909m3740,909l3768,916m3768,916l3793,961m3793,961l3820,1031m3820,1031l3848,1184m3848,1184l3875,1191m3875,1191l3900,1201m3900,1201l3925,1249m3925,1249l3953,1176m3953,1176l3980,1059m3980,1059l4008,1046e" filled="false" stroked="true" strokeweight="1pt" strokecolor="#40ad49">
              <v:path arrowok="t"/>
              <v:stroke dashstyle="solid"/>
            </v:shape>
            <v:shape style="position:absolute;left:1045;top:821;width:1708;height:995" coordorigin="1045,821" coordsize="1708,995" path="m1045,1521l1073,1384m1073,1384l1100,1526m1100,1526l1128,1499m1128,1499l1153,1429m1153,1429l1178,1286m1178,1286l1205,1079m1205,1079l1233,924m1233,924l1260,1016m1260,1016l1285,931m1285,931l1313,946m1313,946l1340,994m1340,994l1365,929m1365,929l1393,906m1393,906l1418,1011m1418,1011l1448,1054m1448,1054l1473,1091m1473,1091l1500,1189m1500,1189l1525,1171m1525,1171l1553,1134m1553,1134l1580,1099m1580,1099l1605,1114m1605,1114l1633,1056m1633,1056l1660,1019m1660,1019l1688,1039m1688,1039l1713,1031m1713,1031l1740,1071m1740,1071l1765,979m1765,979l1793,866m1793,866l1820,834m1820,834l1845,821m1845,821l1873,834m1873,834l1900,1069m1900,1069l1928,1554m1928,1554l1953,1731m1953,1731l1980,1606m1980,1606l2005,1564m2005,1564l2033,1816m2033,1816l2060,1716m2060,1716l2085,1531m2085,1531l2113,1516m2113,1516l2140,1556m2140,1556l2168,1436m2168,1436l2193,1439m2193,1436l2218,1424m2218,1424l2248,1446m2248,1446l2273,1404m2273,1404l2300,1344m2300,1344l2325,1246m2325,1246l2353,1321m2353,1321l2380,1326m2380,1326l2408,1334m2408,1334l2433,1324m2433,1324l2460,1289m2460,1289l2488,1344m2488,1344l2513,1356m2513,1356l2540,1326m2540,1326l2565,1254m2565,1254l2595,1264m2595,1264l2620,1274m2620,1274l2645,1281m2645,1281l2673,1346m2673,1346l2700,1429m2700,1429l2728,1504m2728,1504l2753,1529e" filled="false" stroked="true" strokeweight="1pt" strokecolor="#9aca3c">
              <v:path arrowok="t"/>
              <v:stroke dashstyle="solid"/>
            </v:shape>
            <v:line style="position:absolute" from="2743,1530" to="2790,1530" stroked="true" strokeweight="1.125pt" strokecolor="#9aca3c">
              <v:stroke dashstyle="solid"/>
            </v:line>
            <v:shape style="position:absolute;left:2780;top:1211;width:428;height:358" coordorigin="2780,1211" coordsize="428,358" path="m2780,1529l2805,1551m2805,1551l2835,1506m2835,1506l2860,1476m2860,1476l2885,1494m2885,1494l2913,1546m2913,1546l2940,1569m2940,1569l2968,1559m2968,1559l2993,1521m2993,1521l3020,1541m3020,1541l3048,1531m3048,1531l3073,1484m3073,1484l3100,1384m3100,1384l3125,1386m3125,1386l3153,1441m3153,1441l3180,1356m3180,1356l3208,1211e" filled="false" stroked="true" strokeweight="1pt" strokecolor="#9aca3c">
              <v:path arrowok="t"/>
              <v:stroke dashstyle="solid"/>
            </v:shape>
            <v:line style="position:absolute" from="3220,959" to="3220,1221" stroked="true" strokeweight="2.25pt" strokecolor="#9aca3c">
              <v:stroke dashstyle="solid"/>
            </v:line>
            <v:shape style="position:absolute;left:3232;top:-97;width:775;height:1065" coordorigin="3233,-96" coordsize="775,1065" path="m3233,969l3260,856m3260,856l3288,741m3288,741l3313,669m3313,669l3340,676m3340,676l3365,541m3365,541l3395,566m3395,566l3420,484m3420,484l3448,231m3448,231l3473,359m3473,359l3500,459m3500,459l3528,379m3528,379l3553,164m3553,164l3580,109m3580,109l3608,24m3608,24l3635,46m3635,46l3660,-76m3660,-76l3688,-96m3688,-96l3713,116m3713,116l3740,-39m3740,-39l3768,-31m3768,-31l3793,4m3793,4l3820,49m3820,49l3848,216m3848,216l3875,244m3875,244l3900,251m3900,251l3925,301m3925,301l3953,224m3953,224l3980,101m3980,101l4008,106e" filled="false" stroked="true" strokeweight="1pt" strokecolor="#9aca3c">
              <v:path arrowok="t"/>
              <v:stroke dashstyle="solid"/>
            </v:shape>
            <v:shape style="position:absolute;left:4086;top:69;width:87;height:1729" coordorigin="4087,69" coordsize="87,1729" path="m4087,69l4173,69m4087,645l4173,645m4087,1222l4173,1222m4087,1798l4173,1798e" filled="false" stroked="true" strokeweight=".5pt" strokecolor="#000000">
              <v:path arrowok="t"/>
              <v:stroke dashstyle="solid"/>
            </v:shape>
            <v:shape style="position:absolute;left:3030;top:-7;width:537;height:133" type="#_x0000_t202" filled="false" stroked="false">
              <v:textbox inset="0,0,0,0">
                <w:txbxContent>
                  <w:p>
                    <w:pPr>
                      <w:spacing w:line="133" w:lineRule="exact" w:before="0"/>
                      <w:ind w:left="0" w:right="0" w:firstLine="0"/>
                      <w:jc w:val="left"/>
                      <w:rPr>
                        <w:sz w:val="12"/>
                      </w:rPr>
                    </w:pPr>
                    <w:r>
                      <w:rPr>
                        <w:sz w:val="12"/>
                      </w:rPr>
                      <w:t>Broad ERI</w:t>
                    </w:r>
                  </w:p>
                </w:txbxContent>
              </v:textbox>
              <w10:wrap type="none"/>
            </v:shape>
            <v:shape style="position:absolute;left:3283;top:1653;width:214;height:133" type="#_x0000_t202" filled="false" stroked="false">
              <v:textbox inset="0,0,0,0">
                <w:txbxContent>
                  <w:p>
                    <w:pPr>
                      <w:spacing w:line="133" w:lineRule="exact" w:before="0"/>
                      <w:ind w:left="0" w:right="0" w:firstLine="0"/>
                      <w:jc w:val="left"/>
                      <w:rPr>
                        <w:sz w:val="12"/>
                      </w:rPr>
                    </w:pPr>
                    <w:r>
                      <w:rPr>
                        <w:sz w:val="12"/>
                      </w:rPr>
                      <w:t>ERI</w:t>
                    </w:r>
                  </w:p>
                </w:txbxContent>
              </v:textbox>
              <w10:wrap type="none"/>
            </v:shape>
            <w10:wrap type="none"/>
          </v:group>
        </w:pict>
      </w:r>
      <w:r>
        <w:rPr/>
        <w:pict>
          <v:line style="position:absolute;mso-position-horizontal-relative:page;mso-position-vertical-relative:paragraph;z-index:15841792" from="43.375pt,3.439086pt" to="47.708pt,3.439086pt" stroked="true" strokeweight=".5pt" strokecolor="#000000">
            <v:stroke dashstyle="solid"/>
            <w10:wrap type="none"/>
          </v:line>
        </w:pict>
      </w:r>
      <w:r>
        <w:rPr>
          <w:sz w:val="12"/>
        </w:rPr>
        <w:t>120</w:t>
      </w:r>
    </w:p>
    <w:p>
      <w:pPr>
        <w:pStyle w:val="BodyText"/>
        <w:rPr>
          <w:sz w:val="12"/>
        </w:rPr>
      </w:pPr>
    </w:p>
    <w:p>
      <w:pPr>
        <w:pStyle w:val="BodyText"/>
        <w:rPr>
          <w:sz w:val="12"/>
        </w:rPr>
      </w:pPr>
    </w:p>
    <w:p>
      <w:pPr>
        <w:pStyle w:val="BodyText"/>
        <w:spacing w:before="1"/>
        <w:rPr>
          <w:sz w:val="14"/>
        </w:rPr>
      </w:pPr>
    </w:p>
    <w:p>
      <w:pPr>
        <w:spacing w:before="0"/>
        <w:ind w:left="0" w:right="521" w:firstLine="0"/>
        <w:jc w:val="right"/>
        <w:rPr>
          <w:sz w:val="12"/>
        </w:rPr>
      </w:pPr>
      <w:r>
        <w:rPr/>
        <w:pict>
          <v:line style="position:absolute;mso-position-horizontal-relative:page;mso-position-vertical-relative:paragraph;z-index:15842304" from="43.375pt,3.443038pt" to="47.708pt,3.443038pt" stroked="true" strokeweight=".5pt" strokecolor="#000000">
            <v:stroke dashstyle="solid"/>
            <w10:wrap type="none"/>
          </v:line>
        </w:pict>
      </w:r>
      <w:r>
        <w:rPr>
          <w:sz w:val="12"/>
        </w:rPr>
        <w:t>110</w:t>
      </w:r>
    </w:p>
    <w:p>
      <w:pPr>
        <w:pStyle w:val="BodyText"/>
        <w:rPr>
          <w:sz w:val="12"/>
        </w:rPr>
      </w:pPr>
    </w:p>
    <w:p>
      <w:pPr>
        <w:pStyle w:val="BodyText"/>
        <w:rPr>
          <w:sz w:val="12"/>
        </w:rPr>
      </w:pPr>
    </w:p>
    <w:p>
      <w:pPr>
        <w:pStyle w:val="BodyText"/>
        <w:spacing w:before="1"/>
        <w:rPr>
          <w:sz w:val="14"/>
        </w:rPr>
      </w:pPr>
    </w:p>
    <w:p>
      <w:pPr>
        <w:spacing w:before="0"/>
        <w:ind w:left="0" w:right="521" w:firstLine="0"/>
        <w:jc w:val="right"/>
        <w:rPr>
          <w:sz w:val="12"/>
        </w:rPr>
      </w:pPr>
      <w:r>
        <w:rPr/>
        <w:pict>
          <v:line style="position:absolute;mso-position-horizontal-relative:page;mso-position-vertical-relative:paragraph;z-index:15842816" from="43.375pt,3.44705pt" to="47.708pt,3.44705pt" stroked="true" strokeweight=".5pt" strokecolor="#000000">
            <v:stroke dashstyle="solid"/>
            <w10:wrap type="none"/>
          </v:line>
        </w:pict>
      </w:r>
      <w:r>
        <w:rPr>
          <w:sz w:val="12"/>
        </w:rPr>
        <w:t>100</w:t>
      </w:r>
    </w:p>
    <w:p>
      <w:pPr>
        <w:pStyle w:val="BodyText"/>
        <w:rPr>
          <w:sz w:val="12"/>
        </w:rPr>
      </w:pPr>
    </w:p>
    <w:p>
      <w:pPr>
        <w:pStyle w:val="BodyText"/>
        <w:rPr>
          <w:sz w:val="12"/>
        </w:rPr>
      </w:pPr>
    </w:p>
    <w:p>
      <w:pPr>
        <w:pStyle w:val="BodyText"/>
        <w:spacing w:before="1"/>
        <w:rPr>
          <w:sz w:val="14"/>
        </w:rPr>
      </w:pPr>
    </w:p>
    <w:p>
      <w:pPr>
        <w:spacing w:before="0"/>
        <w:ind w:left="0" w:right="521" w:firstLine="0"/>
        <w:jc w:val="right"/>
        <w:rPr>
          <w:sz w:val="12"/>
        </w:rPr>
      </w:pPr>
      <w:r>
        <w:rPr/>
        <w:pict>
          <v:line style="position:absolute;mso-position-horizontal-relative:page;mso-position-vertical-relative:paragraph;z-index:15843328" from="43.375pt,3.45155pt" to="47.708pt,3.45155pt" stroked="true" strokeweight=".5pt" strokecolor="#000000">
            <v:stroke dashstyle="solid"/>
            <w10:wrap type="none"/>
          </v:line>
        </w:pict>
      </w:r>
      <w:r>
        <w:rPr>
          <w:sz w:val="12"/>
        </w:rPr>
        <w:t>90</w:t>
      </w:r>
    </w:p>
    <w:p>
      <w:pPr>
        <w:pStyle w:val="BodyText"/>
        <w:rPr>
          <w:sz w:val="12"/>
        </w:rPr>
      </w:pPr>
    </w:p>
    <w:p>
      <w:pPr>
        <w:pStyle w:val="BodyText"/>
        <w:rPr>
          <w:sz w:val="12"/>
        </w:rPr>
      </w:pPr>
    </w:p>
    <w:p>
      <w:pPr>
        <w:pStyle w:val="BodyText"/>
        <w:spacing w:before="1"/>
        <w:rPr>
          <w:sz w:val="14"/>
        </w:rPr>
      </w:pPr>
    </w:p>
    <w:p>
      <w:pPr>
        <w:spacing w:line="119" w:lineRule="exact" w:before="0"/>
        <w:ind w:left="3530" w:right="453" w:firstLine="0"/>
        <w:jc w:val="center"/>
        <w:rPr>
          <w:sz w:val="12"/>
        </w:rPr>
      </w:pPr>
      <w:r>
        <w:rPr/>
        <w:pict>
          <v:line style="position:absolute;mso-position-horizontal-relative:page;mso-position-vertical-relative:paragraph;z-index:15843840" from="43.375pt,3.455563pt" to="47.708pt,3.455563pt" stroked="true" strokeweight=".5pt" strokecolor="#000000">
            <v:stroke dashstyle="solid"/>
            <w10:wrap type="none"/>
          </v:line>
        </w:pict>
      </w:r>
      <w:r>
        <w:rPr/>
        <w:pict>
          <v:line style="position:absolute;mso-position-horizontal-relative:page;mso-position-vertical-relative:paragraph;z-index:15844864" from="204.332993pt,3.486562pt" to="208.666993pt,3.486562pt" stroked="true" strokeweight=".5pt" strokecolor="#000000">
            <v:stroke dashstyle="solid"/>
            <w10:wrap type="none"/>
          </v:line>
        </w:pict>
      </w:r>
      <w:r>
        <w:rPr/>
        <w:pict>
          <v:shape style="position:absolute;margin-left:51.833pt;margin-top:.247562pt;width:148.35pt;height:3.25pt;mso-position-horizontal-relative:page;mso-position-vertical-relative:paragraph;z-index:15845376" coordorigin="1037,5" coordsize="2967,65" path="m1037,69l4003,69m1037,5l1037,65m1355,5l1355,65m1674,5l1674,65m1992,5l1992,65m2311,5l2311,65m2629,5l2629,65m2948,5l2948,65m3266,5l3266,65m3585,5l3585,65m3903,5l3903,65e" filled="false" stroked="true" strokeweight=".5pt" strokecolor="#000000">
            <v:path arrowok="t"/>
            <v:stroke dashstyle="solid"/>
            <w10:wrap type="none"/>
          </v:shape>
        </w:pict>
      </w:r>
      <w:r>
        <w:rPr>
          <w:sz w:val="12"/>
        </w:rPr>
        <w:t>80</w:t>
      </w:r>
    </w:p>
    <w:p>
      <w:pPr>
        <w:tabs>
          <w:tab w:pos="2418" w:val="left" w:leader="none"/>
        </w:tabs>
        <w:spacing w:line="119" w:lineRule="exact" w:before="0"/>
        <w:ind w:left="423" w:right="0" w:firstLine="0"/>
        <w:jc w:val="left"/>
        <w:rPr>
          <w:sz w:val="12"/>
        </w:rPr>
      </w:pPr>
      <w:r>
        <w:rPr>
          <w:sz w:val="12"/>
        </w:rPr>
        <w:t>1990     91       92       93     </w:t>
      </w:r>
      <w:r>
        <w:rPr>
          <w:spacing w:val="2"/>
          <w:sz w:val="12"/>
        </w:rPr>
        <w:t> </w:t>
      </w:r>
      <w:r>
        <w:rPr>
          <w:sz w:val="12"/>
        </w:rPr>
        <w:t>94     </w:t>
      </w:r>
      <w:r>
        <w:rPr>
          <w:spacing w:val="20"/>
          <w:sz w:val="12"/>
        </w:rPr>
        <w:t> </w:t>
      </w:r>
      <w:r>
        <w:rPr>
          <w:sz w:val="12"/>
        </w:rPr>
        <w:t>95</w:t>
        <w:tab/>
        <w:t>96 97 98 99</w:t>
      </w:r>
    </w:p>
    <w:p>
      <w:pPr>
        <w:pStyle w:val="BodyText"/>
        <w:spacing w:before="4"/>
        <w:rPr>
          <w:sz w:val="13"/>
        </w:rPr>
      </w:pPr>
    </w:p>
    <w:p>
      <w:pPr>
        <w:spacing w:before="0"/>
        <w:ind w:left="176" w:right="2789" w:firstLine="0"/>
        <w:jc w:val="center"/>
        <w:rPr>
          <w:sz w:val="12"/>
        </w:rPr>
      </w:pPr>
      <w:r>
        <w:rPr>
          <w:color w:val="231F20"/>
          <w:sz w:val="12"/>
        </w:rPr>
        <w:t>Source: Bank of England.</w:t>
      </w:r>
    </w:p>
    <w:p>
      <w:pPr>
        <w:pStyle w:val="BodyText"/>
        <w:spacing w:before="1"/>
        <w:rPr>
          <w:sz w:val="10"/>
        </w:rPr>
      </w:pPr>
    </w:p>
    <w:p>
      <w:pPr>
        <w:pStyle w:val="ListParagraph"/>
        <w:numPr>
          <w:ilvl w:val="0"/>
          <w:numId w:val="5"/>
        </w:numPr>
        <w:tabs>
          <w:tab w:pos="420" w:val="left" w:leader="none"/>
        </w:tabs>
        <w:spacing w:line="208" w:lineRule="auto" w:before="0" w:after="0"/>
        <w:ind w:left="420" w:right="247" w:hanging="240"/>
        <w:jc w:val="left"/>
        <w:rPr>
          <w:sz w:val="12"/>
        </w:rPr>
      </w:pPr>
      <w:r>
        <w:rPr>
          <w:color w:val="231F20"/>
          <w:sz w:val="12"/>
        </w:rPr>
        <w:t>The ERI is a trade-weighted index of 20 countries’ exchange rates against sterling. The broad ERI is constructed using 49 countries’ exchange </w:t>
      </w:r>
      <w:r>
        <w:rPr>
          <w:color w:val="231F20"/>
          <w:spacing w:val="-3"/>
          <w:sz w:val="12"/>
        </w:rPr>
        <w:t>rates.</w:t>
      </w:r>
    </w:p>
    <w:p>
      <w:pPr>
        <w:pStyle w:val="BodyText"/>
        <w:rPr>
          <w:sz w:val="12"/>
        </w:rPr>
      </w:pPr>
    </w:p>
    <w:p>
      <w:pPr>
        <w:pStyle w:val="BodyText"/>
        <w:rPr>
          <w:sz w:val="12"/>
        </w:rPr>
      </w:pPr>
    </w:p>
    <w:p>
      <w:pPr>
        <w:pStyle w:val="Heading4"/>
        <w:spacing w:before="70"/>
        <w:ind w:left="180"/>
      </w:pPr>
      <w:r>
        <w:rPr>
          <w:color w:val="0093C1"/>
        </w:rPr>
        <w:t>Chart 1.18</w:t>
      </w:r>
    </w:p>
    <w:p>
      <w:pPr>
        <w:pStyle w:val="Heading4"/>
        <w:ind w:left="180"/>
      </w:pPr>
      <w:r>
        <w:rPr>
          <w:color w:val="0093C1"/>
        </w:rPr>
        <w:t>The exchange rate and monetary news</w:t>
      </w:r>
    </w:p>
    <w:p>
      <w:pPr>
        <w:spacing w:before="159"/>
        <w:ind w:left="0" w:right="513" w:firstLine="0"/>
        <w:jc w:val="right"/>
        <w:rPr>
          <w:sz w:val="12"/>
        </w:rPr>
      </w:pPr>
      <w:r>
        <w:rPr/>
        <w:pict>
          <v:group style="position:absolute;margin-left:50pt;margin-top:16.636555pt;width:149.25pt;height:144.5pt;mso-position-horizontal-relative:page;mso-position-vertical-relative:paragraph;z-index:15846912" coordorigin="1000,333" coordsize="2985,2890">
            <v:shape style="position:absolute;left:1010;top:732;width:2965;height:2485" coordorigin="1010,733" coordsize="2965,2485" path="m3940,733l3905,1083,3798,1065,3763,968,3728,1115,3693,1148,3658,1143,3553,1300,3515,1350,3480,1413,3445,1500,3410,1483,3303,1520,3268,1523,3235,1673,3200,1670,3163,1640,3058,1610,3023,1620,2988,1828,2950,1930,2915,1850,2810,1898,2775,1900,2740,2008,2705,1840,2670,1918,2563,1953,2528,1913,2493,2000,2458,2030,2423,2100,2315,2105,2280,2095,2245,2163,2210,1945,2175,1893,2070,1870,2033,1933,1998,1905,1963,1845,1928,1933,1820,2028,1785,2088,1753,1930,1718,2153,1680,2135,1575,2488,1540,2510,1505,2590,1468,2488,1433,2453,1328,2403,1293,2413,1258,2335,1223,2538,1188,2373,1080,2625,1045,2665,1010,2718,1010,3218,3975,3218,3975,923,3940,733xe" filled="true" fillcolor="#0099d8" stroked="false">
              <v:path arrowok="t"/>
              <v:fill type="solid"/>
            </v:shape>
            <v:shape style="position:absolute;left:1010;top:1845;width:2965;height:1373" coordorigin="1010,1845" coordsize="2965,1373" path="m3975,1845l3940,1923,3905,1945,3798,2128,3763,1943,3728,1878,3693,1878,3658,1955,3553,1988,3515,2013,3480,2065,3445,2105,3410,2058,3303,2135,3268,2163,3235,2193,3200,2218,3163,2250,3058,2243,3023,2298,2988,2365,2950,2378,2915,2365,2775,2365,2740,2425,2705,2483,2670,2480,2563,2403,2528,2490,2493,2418,2458,2453,2423,2440,2315,2495,2280,2430,2245,2408,2210,2390,2175,2410,2070,2385,2033,2390,1998,2440,1963,2385,1928,2430,1820,2478,1785,2453,1753,2498,1718,2590,1680,2565,1575,2590,1540,2580,1505,2650,1468,2585,1433,2510,1328,2543,1293,2520,1258,2510,1223,2630,1188,2720,1080,2745,1045,2713,1010,2718,1010,3218,3975,3218,3975,1845xe" filled="true" fillcolor="#ffffff" stroked="false">
              <v:path arrowok="t"/>
              <v:fill type="solid"/>
            </v:shape>
            <v:shape style="position:absolute;left:1010;top:2450;width:175;height:310" coordorigin="1010,2450" coordsize="175,310" path="m1010,2718l1045,2760m1045,2760l1080,2590m1080,2590l1185,2450e" filled="false" stroked="true" strokeweight="1pt" strokecolor="#008256">
              <v:path arrowok="t"/>
              <v:stroke dashstyle="solid"/>
            </v:shape>
            <v:line style="position:absolute" from="1204,1990" to="1204,2460" stroked="true" strokeweight="2.875pt" strokecolor="#008256">
              <v:stroke dashstyle="solid"/>
            </v:line>
            <v:line style="position:absolute" from="1223,2000" to="1258,2073" stroked="true" strokeweight="1pt" strokecolor="#008256">
              <v:stroke dashstyle="solid"/>
            </v:line>
            <v:line style="position:absolute" from="1248,2070" to="1300,2070" stroked="true" strokeweight="1.25pt" strokecolor="#008256">
              <v:stroke dashstyle="solid"/>
            </v:line>
            <v:line style="position:absolute" from="1290,2068" to="1325,1758" stroked="true" strokeweight="1pt" strokecolor="#008256">
              <v:stroke dashstyle="solid"/>
            </v:line>
            <v:line style="position:absolute" from="1315,1759" to="1443,1759" stroked="true" strokeweight="1.125pt" strokecolor="#008256">
              <v:stroke dashstyle="solid"/>
            </v:line>
            <v:shape style="position:absolute;left:1432;top:1362;width:565;height:1023" coordorigin="1433,1363" coordsize="565,1023" path="m1433,1758l1468,1930m1468,1930l1503,2190m1503,2190l1538,2385m1538,2385l1575,2260m1575,2260l1680,1885m1680,1885l1715,1593m1715,1593l1750,1463m1750,1463l1785,1420m1785,1420l1820,1490m1820,1490l1928,1648m1928,1648l1963,1480m1963,1480l1998,1363e" filled="false" stroked="true" strokeweight="1pt" strokecolor="#008256">
              <v:path arrowok="t"/>
              <v:stroke dashstyle="solid"/>
            </v:shape>
            <v:line style="position:absolute" from="2015,950" to="2015,1373" stroked="true" strokeweight="2.75pt" strokecolor="#008256">
              <v:stroke dashstyle="solid"/>
            </v:line>
            <v:shape style="position:absolute;left:2032;top:777;width:708;height:768" coordorigin="2033,778" coordsize="708,768" path="m2033,960l2068,1143m2068,1143l2175,1545m2175,1545l2210,1320m2210,1320l2245,1495m2245,1495l2280,1445m2280,1445l2315,1288m2315,1288l2420,1228m2420,1228l2455,1105m2455,1105l2493,815m2493,815l2528,993m2528,993l2563,778m2563,778l2668,798m2668,798l2705,1095m2705,1095l2740,1283e" filled="false" stroked="true" strokeweight="1pt" strokecolor="#008256">
              <v:path arrowok="t"/>
              <v:stroke dashstyle="solid"/>
            </v:shape>
            <v:line style="position:absolute" from="2756,1273" to="2756,1613" stroked="true" strokeweight="2.625pt" strokecolor="#008256">
              <v:stroke dashstyle="solid"/>
            </v:line>
            <v:shape style="position:absolute;left:2762;top:1603;width:163;height:2" coordorigin="2763,1604" coordsize="163,0" path="m2763,1604l2818,1604m2798,1604l2925,1604e" filled="false" stroked="true" strokeweight="1.125pt" strokecolor="#008256">
              <v:path arrowok="t"/>
              <v:stroke dashstyle="solid"/>
            </v:shape>
            <v:shape style="position:absolute;left:2915;top:1602;width:70;height:260" coordorigin="2915,1603" coordsize="70,260" path="m2915,1603l2950,1863m2950,1863l2985,1780e" filled="false" stroked="true" strokeweight="1pt" strokecolor="#008256">
              <v:path arrowok="t"/>
              <v:stroke dashstyle="solid"/>
            </v:shape>
            <v:line style="position:absolute" from="3003,1418" to="3003,1790" stroked="true" strokeweight="2.75pt" strokecolor="#008256">
              <v:stroke dashstyle="solid"/>
            </v:line>
            <v:line style="position:absolute" from="3020,1428" to="3058,1388" stroked="true" strokeweight="1pt" strokecolor="#008256">
              <v:stroke dashstyle="solid"/>
            </v:line>
            <v:line style="position:absolute" from="3048,1381" to="3173,1381" stroked="true" strokeweight="1.625pt" strokecolor="#008256">
              <v:stroke dashstyle="solid"/>
            </v:line>
            <v:shape style="position:absolute;left:3162;top:740;width:248;height:635" coordorigin="3163,740" coordsize="248,635" path="m3163,1375l3198,1123m3198,1123l3235,1208m3235,1208l3268,1080m3268,1080l3303,980m3303,980l3410,740e" filled="false" stroked="true" strokeweight="1pt" strokecolor="#008256">
              <v:path arrowok="t"/>
              <v:stroke dashstyle="solid"/>
            </v:shape>
            <v:line style="position:absolute" from="3400,738" to="3455,738" stroked="true" strokeweight="1.25pt" strokecolor="#008256">
              <v:stroke dashstyle="solid"/>
            </v:line>
            <v:shape style="position:absolute;left:3445;top:622;width:105;height:205" coordorigin="3445,623" coordsize="105,205" path="m3445,735l3480,828m3480,828l3515,638m3515,638l3550,623e" filled="false" stroked="true" strokeweight="1pt" strokecolor="#008256">
              <v:path arrowok="t"/>
              <v:stroke dashstyle="solid"/>
            </v:shape>
            <v:line style="position:absolute" from="3540,624" to="3668,624" stroked="true" strokeweight="1.125pt" strokecolor="#008256">
              <v:stroke dashstyle="solid"/>
            </v:line>
            <v:shape style="position:absolute;left:3657;top:625;width:140;height:30" coordorigin="3658,625" coordsize="140,30" path="m3658,625l3693,638m3693,638l3728,655m3728,655l3763,645m3763,645l3798,625e" filled="false" stroked="true" strokeweight="1pt" strokecolor="#008256">
              <v:path arrowok="t"/>
              <v:stroke dashstyle="solid"/>
            </v:shape>
            <v:line style="position:absolute" from="3788,626" to="3913,626" stroked="true" strokeweight="1.125pt" strokecolor="#008256">
              <v:stroke dashstyle="solid"/>
            </v:line>
            <v:shape style="position:absolute;left:3902;top:342;width:73;height:283" coordorigin="3903,343" coordsize="73,283" path="m3903,625l3938,343m3938,343l3975,360e" filled="false" stroked="true" strokeweight="1pt" strokecolor="#008256">
              <v:path arrowok="t"/>
              <v:stroke dashstyle="solid"/>
            </v:shape>
            <v:line style="position:absolute" from="2435,2808" to="2662,2401" stroked="true" strokeweight=".5pt" strokecolor="#231f20">
              <v:stroke dashstyle="solid"/>
            </v:line>
            <v:shape style="position:absolute;left:2631;top:2342;width:64;height:87" coordorigin="2631,2342" coordsize="64,87" path="m2695,2342l2631,2404,2676,2429,2688,2361,2692,2351,2695,2342xe" filled="true" fillcolor="#231f20" stroked="false">
              <v:path arrowok="t"/>
              <v:fill type="solid"/>
            </v:shape>
            <v:shape style="position:absolute;left:1010;top:3168;width:2968;height:54" coordorigin="1010,3169" coordsize="2968,54" path="m1010,3169l1010,3222m3978,3169l3978,3222m2495,3169l2495,3222m2988,3169l2988,3222m2000,3169l2000,3222m1505,3169l1505,3222m3483,3169l3483,3222e" filled="false" stroked="true" strokeweight=".5pt" strokecolor="#231f20">
              <v:path arrowok="t"/>
              <v:stroke dashstyle="solid"/>
            </v:shape>
            <v:shape style="position:absolute;left:1005;top:2719;width:2975;height:498" coordorigin="1005,2719" coordsize="2975,498" path="m1007,3217l3980,3217m1005,2719l3978,2719e" filled="false" stroked="true" strokeweight=".5pt" strokecolor="#231f20">
              <v:path arrowok="t"/>
              <v:stroke dashstyle="solid"/>
            </v:shape>
            <v:shape style="position:absolute;left:1614;top:443;width:1092;height:260" type="#_x0000_t202" filled="false" stroked="false">
              <v:textbox inset="0,0,0,0">
                <w:txbxContent>
                  <w:p>
                    <w:pPr>
                      <w:spacing w:line="127" w:lineRule="exact" w:before="0"/>
                      <w:ind w:left="0" w:right="0" w:firstLine="0"/>
                      <w:jc w:val="left"/>
                      <w:rPr>
                        <w:sz w:val="12"/>
                      </w:rPr>
                    </w:pPr>
                    <w:r>
                      <w:rPr>
                        <w:color w:val="231F20"/>
                        <w:sz w:val="12"/>
                      </w:rPr>
                      <w:t>Cumulative change</w:t>
                    </w:r>
                  </w:p>
                  <w:p>
                    <w:pPr>
                      <w:spacing w:line="132" w:lineRule="exact" w:before="0"/>
                      <w:ind w:left="98" w:right="0" w:firstLine="0"/>
                      <w:jc w:val="left"/>
                      <w:rPr>
                        <w:sz w:val="12"/>
                      </w:rPr>
                    </w:pPr>
                    <w:r>
                      <w:rPr>
                        <w:color w:val="231F20"/>
                        <w:sz w:val="12"/>
                      </w:rPr>
                      <w:t>in ERI (per cent) (a)</w:t>
                    </w:r>
                  </w:p>
                </w:txbxContent>
              </v:textbox>
              <w10:wrap type="none"/>
            </v:shape>
            <v:shape style="position:absolute;left:1167;top:2799;width:1653;height:246" type="#_x0000_t202" filled="false" stroked="false">
              <v:textbox inset="0,0,0,0">
                <w:txbxContent>
                  <w:p>
                    <w:pPr>
                      <w:spacing w:line="196" w:lineRule="auto" w:before="15"/>
                      <w:ind w:left="90" w:right="0" w:hanging="90"/>
                      <w:jc w:val="left"/>
                      <w:rPr>
                        <w:sz w:val="12"/>
                      </w:rPr>
                    </w:pPr>
                    <w:r>
                      <w:rPr>
                        <w:color w:val="231F20"/>
                        <w:sz w:val="12"/>
                      </w:rPr>
                      <w:t>Band of estimated monetary news (percentage points) (b)</w:t>
                    </w:r>
                  </w:p>
                </w:txbxContent>
              </v:textbox>
              <w10:wrap type="none"/>
            </v:shape>
            <w10:wrap type="none"/>
          </v:group>
        </w:pict>
      </w:r>
      <w:r>
        <w:rPr/>
        <w:pict>
          <v:line style="position:absolute;mso-position-horizontal-relative:page;mso-position-vertical-relative:paragraph;z-index:15847424" from="203.020996pt,11.137554pt" to="207.353996pt,11.137554pt" stroked="true" strokeweight=".5pt" strokecolor="#000000">
            <v:stroke dashstyle="solid"/>
            <w10:wrap type="none"/>
          </v:line>
        </w:pict>
      </w:r>
      <w:r>
        <w:rPr/>
        <w:pict>
          <v:line style="position:absolute;mso-position-horizontal-relative:page;mso-position-vertical-relative:paragraph;z-index:15851008" from="42.021pt,11.089554pt" to="46.354pt,11.089554pt" stroked="true" strokeweight=".5pt" strokecolor="#000000">
            <v:stroke dashstyle="solid"/>
            <w10:wrap type="none"/>
          </v:line>
        </w:pict>
      </w:r>
      <w:r>
        <w:rPr>
          <w:color w:val="231F20"/>
          <w:sz w:val="12"/>
        </w:rPr>
        <w:t>5</w:t>
      </w:r>
    </w:p>
    <w:p>
      <w:pPr>
        <w:pStyle w:val="BodyText"/>
        <w:rPr>
          <w:sz w:val="12"/>
        </w:rPr>
      </w:pPr>
    </w:p>
    <w:p>
      <w:pPr>
        <w:pStyle w:val="BodyText"/>
        <w:rPr>
          <w:sz w:val="12"/>
        </w:rPr>
      </w:pPr>
    </w:p>
    <w:p>
      <w:pPr>
        <w:spacing w:before="100"/>
        <w:ind w:left="0" w:right="513" w:firstLine="0"/>
        <w:jc w:val="right"/>
        <w:rPr>
          <w:sz w:val="12"/>
        </w:rPr>
      </w:pPr>
      <w:r>
        <w:rPr/>
        <w:pict>
          <v:line style="position:absolute;mso-position-horizontal-relative:page;mso-position-vertical-relative:paragraph;z-index:15847936" from="203.020996pt,7.478356pt" to="207.353996pt,7.478356pt" stroked="true" strokeweight=".5pt" strokecolor="#000000">
            <v:stroke dashstyle="solid"/>
            <w10:wrap type="none"/>
          </v:line>
        </w:pict>
      </w:r>
      <w:r>
        <w:rPr/>
        <w:pict>
          <v:line style="position:absolute;mso-position-horizontal-relative:page;mso-position-vertical-relative:paragraph;z-index:15851520" from="42.021pt,7.430356pt" to="46.354pt,7.430356pt" stroked="true" strokeweight=".5pt" strokecolor="#000000">
            <v:stroke dashstyle="solid"/>
            <w10:wrap type="none"/>
          </v:line>
        </w:pict>
      </w:r>
      <w:r>
        <w:rPr>
          <w:color w:val="231F20"/>
          <w:sz w:val="12"/>
        </w:rPr>
        <w:t>4</w:t>
      </w:r>
    </w:p>
    <w:p>
      <w:pPr>
        <w:pStyle w:val="BodyText"/>
        <w:rPr>
          <w:sz w:val="12"/>
        </w:rPr>
      </w:pPr>
    </w:p>
    <w:p>
      <w:pPr>
        <w:pStyle w:val="BodyText"/>
        <w:rPr>
          <w:sz w:val="12"/>
        </w:rPr>
      </w:pPr>
    </w:p>
    <w:p>
      <w:pPr>
        <w:spacing w:before="86"/>
        <w:ind w:left="0" w:right="513" w:firstLine="0"/>
        <w:jc w:val="right"/>
        <w:rPr>
          <w:sz w:val="12"/>
        </w:rPr>
      </w:pPr>
      <w:r>
        <w:rPr/>
        <w:pict>
          <v:line style="position:absolute;mso-position-horizontal-relative:page;mso-position-vertical-relative:paragraph;z-index:15848448" from="203.020996pt,6.778173pt" to="207.353996pt,6.778173pt" stroked="true" strokeweight=".5pt" strokecolor="#000000">
            <v:stroke dashstyle="solid"/>
            <w10:wrap type="none"/>
          </v:line>
        </w:pict>
      </w:r>
      <w:r>
        <w:rPr/>
        <w:pict>
          <v:line style="position:absolute;mso-position-horizontal-relative:page;mso-position-vertical-relative:paragraph;z-index:15852032" from="42.021pt,6.730173pt" to="46.354pt,6.730173pt" stroked="true" strokeweight=".5pt" strokecolor="#000000">
            <v:stroke dashstyle="solid"/>
            <w10:wrap type="none"/>
          </v:line>
        </w:pict>
      </w:r>
      <w:r>
        <w:rPr>
          <w:color w:val="231F20"/>
          <w:sz w:val="12"/>
        </w:rPr>
        <w:t>3</w:t>
      </w:r>
    </w:p>
    <w:p>
      <w:pPr>
        <w:pStyle w:val="BodyText"/>
        <w:rPr>
          <w:sz w:val="12"/>
        </w:rPr>
      </w:pPr>
    </w:p>
    <w:p>
      <w:pPr>
        <w:pStyle w:val="BodyText"/>
        <w:rPr>
          <w:sz w:val="12"/>
        </w:rPr>
      </w:pPr>
    </w:p>
    <w:p>
      <w:pPr>
        <w:spacing w:before="86"/>
        <w:ind w:left="0" w:right="513" w:firstLine="0"/>
        <w:jc w:val="right"/>
        <w:rPr>
          <w:sz w:val="12"/>
        </w:rPr>
      </w:pPr>
      <w:r>
        <w:rPr/>
        <w:pict>
          <v:line style="position:absolute;mso-position-horizontal-relative:page;mso-position-vertical-relative:paragraph;z-index:15848960" from="203.020996pt,6.777959pt" to="207.353996pt,6.777959pt" stroked="true" strokeweight=".5pt" strokecolor="#000000">
            <v:stroke dashstyle="solid"/>
            <w10:wrap type="none"/>
          </v:line>
        </w:pict>
      </w:r>
      <w:r>
        <w:rPr/>
        <w:pict>
          <v:line style="position:absolute;mso-position-horizontal-relative:page;mso-position-vertical-relative:paragraph;z-index:15852544" from="42.021pt,6.729959pt" to="46.354pt,6.729959pt" stroked="true" strokeweight=".5pt" strokecolor="#000000">
            <v:stroke dashstyle="solid"/>
            <w10:wrap type="none"/>
          </v:line>
        </w:pict>
      </w:r>
      <w:r>
        <w:rPr>
          <w:color w:val="231F20"/>
          <w:sz w:val="12"/>
        </w:rPr>
        <w:t>2</w:t>
      </w:r>
    </w:p>
    <w:p>
      <w:pPr>
        <w:pStyle w:val="BodyText"/>
        <w:rPr>
          <w:sz w:val="12"/>
        </w:rPr>
      </w:pPr>
    </w:p>
    <w:p>
      <w:pPr>
        <w:pStyle w:val="BodyText"/>
        <w:rPr>
          <w:sz w:val="12"/>
        </w:rPr>
      </w:pPr>
    </w:p>
    <w:p>
      <w:pPr>
        <w:spacing w:before="81"/>
        <w:ind w:left="0" w:right="513" w:firstLine="0"/>
        <w:jc w:val="right"/>
        <w:rPr>
          <w:sz w:val="12"/>
        </w:rPr>
      </w:pPr>
      <w:r>
        <w:rPr/>
        <w:pict>
          <v:line style="position:absolute;mso-position-horizontal-relative:page;mso-position-vertical-relative:paragraph;z-index:15849472" from="203.020996pt,6.650959pt" to="207.353996pt,6.650959pt" stroked="true" strokeweight=".5pt" strokecolor="#000000">
            <v:stroke dashstyle="solid"/>
            <w10:wrap type="none"/>
          </v:line>
        </w:pict>
      </w:r>
      <w:r>
        <w:rPr/>
        <w:pict>
          <v:line style="position:absolute;mso-position-horizontal-relative:page;mso-position-vertical-relative:paragraph;z-index:15853056" from="42.021pt,6.603959pt" to="46.354pt,6.603959pt" stroked="true" strokeweight=".5pt" strokecolor="#000000">
            <v:stroke dashstyle="solid"/>
            <w10:wrap type="none"/>
          </v:line>
        </w:pict>
      </w:r>
      <w:r>
        <w:rPr>
          <w:color w:val="231F20"/>
          <w:sz w:val="12"/>
        </w:rPr>
        <w:t>1</w:t>
      </w:r>
    </w:p>
    <w:p>
      <w:pPr>
        <w:spacing w:before="75"/>
        <w:ind w:left="3556" w:right="0" w:firstLine="0"/>
        <w:jc w:val="left"/>
        <w:rPr>
          <w:sz w:val="16"/>
        </w:rPr>
      </w:pPr>
      <w:r>
        <w:rPr>
          <w:color w:val="231F20"/>
          <w:sz w:val="16"/>
        </w:rPr>
        <w:t>+</w:t>
      </w:r>
    </w:p>
    <w:p>
      <w:pPr>
        <w:spacing w:before="103"/>
        <w:ind w:left="0" w:right="513" w:firstLine="0"/>
        <w:jc w:val="right"/>
        <w:rPr>
          <w:sz w:val="12"/>
        </w:rPr>
      </w:pPr>
      <w:r>
        <w:rPr/>
        <w:pict>
          <v:line style="position:absolute;mso-position-horizontal-relative:page;mso-position-vertical-relative:paragraph;z-index:15849984" from="203.020996pt,7.750776pt" to="207.353996pt,7.750776pt" stroked="true" strokeweight=".5pt" strokecolor="#000000">
            <v:stroke dashstyle="solid"/>
            <w10:wrap type="none"/>
          </v:line>
        </w:pict>
      </w:r>
      <w:r>
        <w:rPr/>
        <w:pict>
          <v:line style="position:absolute;mso-position-horizontal-relative:page;mso-position-vertical-relative:paragraph;z-index:15853568" from="42.021pt,7.703776pt" to="46.354pt,7.703776pt" stroked="true" strokeweight=".5pt" strokecolor="#000000">
            <v:stroke dashstyle="solid"/>
            <w10:wrap type="none"/>
          </v:line>
        </w:pict>
      </w:r>
      <w:r>
        <w:rPr>
          <w:color w:val="231F20"/>
          <w:sz w:val="12"/>
        </w:rPr>
        <w:t>0</w:t>
      </w:r>
    </w:p>
    <w:p>
      <w:pPr>
        <w:spacing w:before="35"/>
        <w:ind w:left="3566" w:right="0" w:firstLine="0"/>
        <w:jc w:val="left"/>
        <w:rPr>
          <w:sz w:val="16"/>
        </w:rPr>
      </w:pPr>
      <w:r>
        <w:rPr>
          <w:color w:val="231F20"/>
          <w:sz w:val="16"/>
        </w:rPr>
        <w:t>–</w:t>
      </w:r>
    </w:p>
    <w:p>
      <w:pPr>
        <w:spacing w:line="115" w:lineRule="exact" w:before="143"/>
        <w:ind w:left="3154" w:right="0" w:firstLine="0"/>
        <w:jc w:val="center"/>
        <w:rPr>
          <w:sz w:val="12"/>
        </w:rPr>
      </w:pPr>
      <w:r>
        <w:rPr/>
        <w:pict>
          <v:line style="position:absolute;mso-position-horizontal-relative:page;mso-position-vertical-relative:paragraph;z-index:15850496" from="203.020996pt,9.589562pt" to="207.353996pt,9.589562pt" stroked="true" strokeweight=".5pt" strokecolor="#000000">
            <v:stroke dashstyle="solid"/>
            <w10:wrap type="none"/>
          </v:line>
        </w:pict>
      </w:r>
      <w:r>
        <w:rPr/>
        <w:pict>
          <v:line style="position:absolute;mso-position-horizontal-relative:page;mso-position-vertical-relative:paragraph;z-index:15854080" from="42.021pt,9.589562pt" to="46.354pt,9.589562pt" stroked="true" strokeweight=".5pt" strokecolor="#000000">
            <v:stroke dashstyle="solid"/>
            <w10:wrap type="none"/>
          </v:line>
        </w:pict>
      </w:r>
      <w:r>
        <w:rPr>
          <w:color w:val="231F20"/>
          <w:sz w:val="12"/>
        </w:rPr>
        <w:t>1</w:t>
      </w:r>
    </w:p>
    <w:p>
      <w:pPr>
        <w:spacing w:line="115" w:lineRule="exact" w:before="0"/>
        <w:ind w:left="176" w:right="696" w:firstLine="0"/>
        <w:jc w:val="center"/>
        <w:rPr>
          <w:sz w:val="12"/>
        </w:rPr>
      </w:pPr>
      <w:r>
        <w:rPr>
          <w:color w:val="231F20"/>
          <w:sz w:val="12"/>
        </w:rPr>
        <w:t>10 Feb.    24 Feb.    10 Mar.    24 Mar.    7 Apr.      21 Apr.    5</w:t>
      </w:r>
      <w:r>
        <w:rPr>
          <w:color w:val="231F20"/>
          <w:spacing w:val="6"/>
          <w:sz w:val="12"/>
        </w:rPr>
        <w:t> </w:t>
      </w:r>
      <w:r>
        <w:rPr>
          <w:color w:val="231F20"/>
          <w:sz w:val="12"/>
        </w:rPr>
        <w:t>May</w:t>
      </w:r>
    </w:p>
    <w:p>
      <w:pPr>
        <w:spacing w:before="17"/>
        <w:ind w:left="176" w:right="705" w:firstLine="0"/>
        <w:jc w:val="center"/>
        <w:rPr>
          <w:sz w:val="12"/>
        </w:rPr>
      </w:pPr>
      <w:r>
        <w:rPr>
          <w:color w:val="231F20"/>
          <w:sz w:val="12"/>
        </w:rPr>
        <w:t>1999</w:t>
      </w:r>
    </w:p>
    <w:p>
      <w:pPr>
        <w:spacing w:before="57"/>
        <w:ind w:left="176" w:right="2789" w:firstLine="0"/>
        <w:jc w:val="center"/>
        <w:rPr>
          <w:sz w:val="12"/>
        </w:rPr>
      </w:pPr>
      <w:r>
        <w:rPr>
          <w:color w:val="231F20"/>
          <w:sz w:val="12"/>
        </w:rPr>
        <w:t>Source: Bank of England.</w:t>
      </w:r>
    </w:p>
    <w:p>
      <w:pPr>
        <w:pStyle w:val="ListParagraph"/>
        <w:numPr>
          <w:ilvl w:val="0"/>
          <w:numId w:val="6"/>
        </w:numPr>
        <w:tabs>
          <w:tab w:pos="420" w:val="left" w:leader="none"/>
        </w:tabs>
        <w:spacing w:line="129" w:lineRule="exact" w:before="102" w:after="0"/>
        <w:ind w:left="419" w:right="0" w:hanging="240"/>
        <w:jc w:val="left"/>
        <w:rPr>
          <w:sz w:val="12"/>
        </w:rPr>
      </w:pPr>
      <w:r>
        <w:rPr>
          <w:color w:val="231F20"/>
          <w:sz w:val="12"/>
        </w:rPr>
        <w:t>The effective exchange rate index for sterling against the G7 economies.</w:t>
      </w:r>
    </w:p>
    <w:p>
      <w:pPr>
        <w:pStyle w:val="ListParagraph"/>
        <w:numPr>
          <w:ilvl w:val="0"/>
          <w:numId w:val="6"/>
        </w:numPr>
        <w:tabs>
          <w:tab w:pos="421" w:val="left" w:leader="none"/>
        </w:tabs>
        <w:spacing w:line="120" w:lineRule="exact" w:before="0" w:after="0"/>
        <w:ind w:left="420" w:right="0" w:hanging="241"/>
        <w:jc w:val="left"/>
        <w:rPr>
          <w:sz w:val="12"/>
        </w:rPr>
      </w:pPr>
      <w:r>
        <w:rPr>
          <w:color w:val="231F20"/>
          <w:sz w:val="12"/>
        </w:rPr>
        <w:t>The band shows the estimated range as the time from which it is assumed</w:t>
      </w:r>
    </w:p>
    <w:p>
      <w:pPr>
        <w:spacing w:line="208" w:lineRule="auto" w:before="5"/>
        <w:ind w:left="420" w:right="20" w:firstLine="0"/>
        <w:jc w:val="left"/>
        <w:rPr>
          <w:sz w:val="12"/>
        </w:rPr>
      </w:pPr>
      <w:r>
        <w:rPr>
          <w:color w:val="231F20"/>
          <w:sz w:val="12"/>
        </w:rPr>
        <w:t>that monetary policy no longer influences real interest rates varies from four to eight years.</w:t>
      </w:r>
    </w:p>
    <w:p>
      <w:pPr>
        <w:pStyle w:val="BodyText"/>
        <w:rPr>
          <w:sz w:val="17"/>
        </w:rPr>
      </w:pPr>
    </w:p>
    <w:p>
      <w:pPr>
        <w:pStyle w:val="Heading4"/>
        <w:spacing w:before="0"/>
        <w:ind w:left="180"/>
      </w:pPr>
      <w:r>
        <w:rPr>
          <w:color w:val="0093C1"/>
        </w:rPr>
        <w:t>Chart 1.19</w:t>
      </w:r>
    </w:p>
    <w:p>
      <w:pPr>
        <w:pStyle w:val="Heading4"/>
        <w:spacing w:line="249" w:lineRule="auto"/>
        <w:ind w:left="180" w:right="302"/>
        <w:rPr>
          <w:b w:val="0"/>
          <w:sz w:val="12"/>
        </w:rPr>
      </w:pPr>
      <w:r>
        <w:rPr>
          <w:color w:val="0093C1"/>
        </w:rPr>
        <w:t>Forecasts for the real sterling exchange rate against M6</w:t>
      </w:r>
      <w:r>
        <w:rPr>
          <w:b w:val="0"/>
          <w:color w:val="231F20"/>
          <w:position w:val="4"/>
          <w:sz w:val="12"/>
        </w:rPr>
        <w:t>(a) </w:t>
      </w:r>
      <w:r>
        <w:rPr>
          <w:color w:val="0093C1"/>
        </w:rPr>
        <w:t>currencies</w:t>
      </w:r>
      <w:r>
        <w:rPr>
          <w:b w:val="0"/>
          <w:color w:val="231F20"/>
          <w:position w:val="4"/>
          <w:sz w:val="12"/>
        </w:rPr>
        <w:t>(b)</w:t>
      </w:r>
    </w:p>
    <w:p>
      <w:pPr>
        <w:spacing w:line="123" w:lineRule="exact" w:before="40"/>
        <w:ind w:left="2754" w:right="0" w:firstLine="0"/>
        <w:jc w:val="left"/>
        <w:rPr>
          <w:sz w:val="12"/>
        </w:rPr>
      </w:pPr>
      <w:r>
        <w:rPr>
          <w:color w:val="231F20"/>
          <w:sz w:val="12"/>
        </w:rPr>
        <w:t>Feb. 1996 = 100</w:t>
      </w:r>
    </w:p>
    <w:p>
      <w:pPr>
        <w:spacing w:line="123" w:lineRule="exact" w:before="0"/>
        <w:ind w:left="3572" w:right="453" w:firstLine="0"/>
        <w:jc w:val="center"/>
        <w:rPr>
          <w:sz w:val="12"/>
        </w:rPr>
      </w:pPr>
      <w:r>
        <w:rPr/>
        <w:pict>
          <v:line style="position:absolute;mso-position-horizontal-relative:page;mso-position-vertical-relative:paragraph;z-index:15858176" from="43.458pt,2.963462pt" to="47.792pt,2.963462pt" stroked="true" strokeweight=".5pt" strokecolor="#000000">
            <v:stroke dashstyle="solid"/>
            <w10:wrap type="none"/>
          </v:line>
        </w:pict>
      </w:r>
      <w:r>
        <w:rPr/>
        <w:pict>
          <v:line style="position:absolute;mso-position-horizontal-relative:page;mso-position-vertical-relative:paragraph;z-index:15862272" from="204.792007pt,3.172462pt" to="209.125007pt,3.172462pt" stroked="true" strokeweight=".5pt" strokecolor="#000000">
            <v:stroke dashstyle="solid"/>
            <w10:wrap type="none"/>
          </v:line>
        </w:pict>
      </w:r>
      <w:r>
        <w:rPr>
          <w:color w:val="231F20"/>
          <w:sz w:val="12"/>
        </w:rPr>
        <w:t>135</w:t>
      </w:r>
    </w:p>
    <w:p>
      <w:pPr>
        <w:pStyle w:val="BodyText"/>
        <w:rPr>
          <w:sz w:val="12"/>
        </w:rPr>
      </w:pPr>
    </w:p>
    <w:p>
      <w:pPr>
        <w:spacing w:before="94"/>
        <w:ind w:left="0" w:right="470" w:firstLine="0"/>
        <w:jc w:val="right"/>
        <w:rPr>
          <w:sz w:val="12"/>
        </w:rPr>
      </w:pPr>
      <w:r>
        <w:rPr/>
        <w:pict>
          <v:group style="position:absolute;margin-left:75.000198pt;margin-top:3.111948pt;width:134.15pt;height:82.85pt;mso-position-horizontal-relative:page;mso-position-vertical-relative:paragraph;z-index:15857664" coordorigin="1500,62" coordsize="2683,1657">
            <v:shape style="position:absolute;left:1567;top:1178;width:2158;height:530" coordorigin="1567,1179" coordsize="2158,530" path="m1567,1179l1932,1276m1932,1276l2377,1444m2377,1444l2825,1664m2825,1664l3275,1609m3275,1609l3725,1709e" filled="false" stroked="true" strokeweight="1pt" strokecolor="#939598">
              <v:path arrowok="t"/>
              <v:stroke dashstyle="solid"/>
            </v:shape>
            <v:shape style="position:absolute;left:2057;top:208;width:1218;height:1150" coordorigin="2057,209" coordsize="1218,1150" path="m2057,209l2377,636m2377,636l2825,899m2825,899l3275,1359e" filled="false" stroked="true" strokeweight="1pt" strokecolor="#f7941d">
              <v:path arrowok="t"/>
              <v:stroke dashstyle="solid"/>
            </v:shape>
            <v:shape style="position:absolute;left:2280;top:756;width:1745;height:485" coordorigin="2280,756" coordsize="1745,485" path="m2280,779l2378,756m2378,756l2825,1009m2825,1009l3275,1164m3275,1164l3725,1241m3725,1241l4025,1141e" filled="false" stroked="true" strokeweight="1pt" strokecolor="#0066a5">
              <v:path arrowok="t"/>
              <v:stroke dashstyle="solid"/>
            </v:shape>
            <v:shape style="position:absolute;left:2425;top:806;width:1300;height:335" coordorigin="2425,806" coordsize="1300,335" path="m2425,806l2825,1036m2825,1036l3275,1141m3275,1141l3725,1064e" filled="false" stroked="true" strokeweight="1pt" strokecolor="#ed1b2d">
              <v:path arrowok="t"/>
              <v:stroke dashstyle="solid"/>
            </v:shape>
            <v:shape style="position:absolute;left:4095;top:166;width:87;height:1482" coordorigin="4096,166" coordsize="87,1482" path="m4096,166l4182,166m4096,538l4182,538m4096,906l4182,906m4096,1278l4182,1278m4096,1648l4182,1648e" filled="false" stroked="true" strokeweight=".5pt" strokecolor="#000000">
              <v:path arrowok="t"/>
              <v:stroke dashstyle="solid"/>
            </v:shape>
            <v:shape style="position:absolute;left:1547;top:62;width:657;height:133" type="#_x0000_t202" filled="false" stroked="false">
              <v:textbox inset="0,0,0,0">
                <w:txbxContent>
                  <w:p>
                    <w:pPr>
                      <w:spacing w:line="133" w:lineRule="exact" w:before="0"/>
                      <w:ind w:left="0" w:right="0" w:firstLine="0"/>
                      <w:jc w:val="left"/>
                      <w:rPr>
                        <w:sz w:val="12"/>
                      </w:rPr>
                    </w:pPr>
                    <w:r>
                      <w:rPr>
                        <w:color w:val="231F20"/>
                        <w:sz w:val="12"/>
                      </w:rPr>
                      <w:t>14 Apr. 1998</w:t>
                    </w:r>
                  </w:p>
                </w:txbxContent>
              </v:textbox>
              <w10:wrap type="none"/>
            </v:shape>
            <v:shape style="position:absolute;left:1605;top:711;width:644;height:133" type="#_x0000_t202" filled="false" stroked="false">
              <v:textbox inset="0,0,0,0">
                <w:txbxContent>
                  <w:p>
                    <w:pPr>
                      <w:spacing w:line="133" w:lineRule="exact" w:before="0"/>
                      <w:ind w:left="0" w:right="0" w:firstLine="0"/>
                      <w:jc w:val="left"/>
                      <w:rPr>
                        <w:sz w:val="12"/>
                      </w:rPr>
                    </w:pPr>
                    <w:r>
                      <w:rPr>
                        <w:color w:val="231F20"/>
                        <w:sz w:val="12"/>
                      </w:rPr>
                      <w:t>12 Oct. 1998</w:t>
                    </w:r>
                  </w:p>
                </w:txbxContent>
              </v:textbox>
              <w10:wrap type="none"/>
            </v:shape>
            <v:shape style="position:absolute;left:3265;top:925;width:790;height:414" type="#_x0000_t202" filled="false" stroked="false">
              <v:textbox inset="0,0,0,0">
                <w:txbxContent>
                  <w:p>
                    <w:pPr>
                      <w:spacing w:line="133" w:lineRule="exact" w:before="0"/>
                      <w:ind w:left="142" w:right="0" w:firstLine="0"/>
                      <w:jc w:val="left"/>
                      <w:rPr>
                        <w:sz w:val="12"/>
                      </w:rPr>
                    </w:pPr>
                    <w:r>
                      <w:rPr>
                        <w:color w:val="231F20"/>
                        <w:sz w:val="12"/>
                      </w:rPr>
                      <w:t>8 Feb.</w:t>
                    </w:r>
                    <w:r>
                      <w:rPr>
                        <w:color w:val="231F20"/>
                        <w:sz w:val="12"/>
                        <w:u w:val="thick" w:color="ED1B2D"/>
                      </w:rPr>
                      <w:t> 1999 </w:t>
                    </w:r>
                  </w:p>
                  <w:p>
                    <w:pPr>
                      <w:spacing w:line="240" w:lineRule="auto" w:before="4"/>
                      <w:rPr>
                        <w:sz w:val="12"/>
                      </w:rPr>
                    </w:pPr>
                  </w:p>
                  <w:p>
                    <w:pPr>
                      <w:tabs>
                        <w:tab w:pos="769" w:val="left" w:leader="none"/>
                      </w:tabs>
                      <w:spacing w:before="1"/>
                      <w:ind w:left="0" w:right="0" w:firstLine="0"/>
                      <w:jc w:val="left"/>
                      <w:rPr>
                        <w:sz w:val="12"/>
                      </w:rPr>
                    </w:pPr>
                    <w:r>
                      <w:rPr>
                        <w:color w:val="231F20"/>
                        <w:sz w:val="12"/>
                        <w:u w:val="thick" w:color="F7941D"/>
                      </w:rPr>
                      <w:t> </w:t>
                      <w:tab/>
                    </w:r>
                  </w:p>
                </w:txbxContent>
              </v:textbox>
              <w10:wrap type="none"/>
            </v:shape>
            <v:shape style="position:absolute;left:1500;top:1390;width:670;height:133" type="#_x0000_t202" filled="false" stroked="false">
              <v:textbox inset="0,0,0,0">
                <w:txbxContent>
                  <w:p>
                    <w:pPr>
                      <w:spacing w:line="133" w:lineRule="exact" w:before="0"/>
                      <w:ind w:left="0" w:right="0" w:firstLine="0"/>
                      <w:jc w:val="left"/>
                      <w:rPr>
                        <w:sz w:val="12"/>
                      </w:rPr>
                    </w:pPr>
                    <w:r>
                      <w:rPr>
                        <w:color w:val="231F20"/>
                        <w:sz w:val="12"/>
                      </w:rPr>
                      <w:t>10 Mar. 1997</w:t>
                    </w:r>
                  </w:p>
                </w:txbxContent>
              </v:textbox>
              <w10:wrap type="none"/>
            </v:shape>
            <v:shape style="position:absolute;left:3715;top:1576;width:340;height:133" type="#_x0000_t202" filled="false" stroked="false">
              <v:textbox inset="0,0,0,0">
                <w:txbxContent>
                  <w:p>
                    <w:pPr>
                      <w:tabs>
                        <w:tab w:pos="319" w:val="left" w:leader="none"/>
                      </w:tabs>
                      <w:spacing w:line="133" w:lineRule="exact" w:before="0"/>
                      <w:ind w:left="0" w:right="0" w:firstLine="0"/>
                      <w:jc w:val="left"/>
                      <w:rPr>
                        <w:sz w:val="12"/>
                      </w:rPr>
                    </w:pPr>
                    <w:r>
                      <w:rPr>
                        <w:color w:val="231F20"/>
                        <w:sz w:val="12"/>
                        <w:u w:val="thick" w:color="939598"/>
                      </w:rPr>
                      <w:t> </w:t>
                      <w:tab/>
                    </w:r>
                  </w:p>
                </w:txbxContent>
              </v:textbox>
              <w10:wrap type="none"/>
            </v:shape>
            <w10:wrap type="none"/>
          </v:group>
        </w:pict>
      </w:r>
      <w:r>
        <w:rPr/>
        <w:pict>
          <v:line style="position:absolute;mso-position-horizontal-relative:page;mso-position-vertical-relative:paragraph;z-index:15858688" from="43.458pt,8.302258pt" to="47.792pt,8.302258pt" stroked="true" strokeweight=".5pt" strokecolor="#000000">
            <v:stroke dashstyle="solid"/>
            <w10:wrap type="none"/>
          </v:line>
        </w:pict>
      </w:r>
      <w:r>
        <w:rPr>
          <w:color w:val="231F20"/>
          <w:sz w:val="12"/>
        </w:rPr>
        <w:t>130</w:t>
      </w:r>
    </w:p>
    <w:p>
      <w:pPr>
        <w:pStyle w:val="BodyText"/>
        <w:rPr>
          <w:sz w:val="12"/>
        </w:rPr>
      </w:pPr>
    </w:p>
    <w:p>
      <w:pPr>
        <w:spacing w:before="94"/>
        <w:ind w:left="0" w:right="470" w:firstLine="0"/>
        <w:jc w:val="right"/>
        <w:rPr>
          <w:sz w:val="12"/>
        </w:rPr>
      </w:pPr>
      <w:r>
        <w:rPr/>
        <w:pict>
          <v:line style="position:absolute;mso-position-horizontal-relative:page;mso-position-vertical-relative:paragraph;z-index:15859200" from="43.458pt,8.177456pt" to="47.792pt,8.177456pt" stroked="true" strokeweight=".5pt" strokecolor="#000000">
            <v:stroke dashstyle="solid"/>
            <w10:wrap type="none"/>
          </v:line>
        </w:pict>
      </w:r>
      <w:r>
        <w:rPr>
          <w:color w:val="231F20"/>
          <w:sz w:val="12"/>
        </w:rPr>
        <w:t>125</w:t>
      </w:r>
    </w:p>
    <w:p>
      <w:pPr>
        <w:pStyle w:val="BodyText"/>
        <w:rPr>
          <w:sz w:val="12"/>
        </w:rPr>
      </w:pPr>
    </w:p>
    <w:p>
      <w:pPr>
        <w:spacing w:before="94"/>
        <w:ind w:left="0" w:right="470" w:firstLine="0"/>
        <w:jc w:val="right"/>
        <w:rPr>
          <w:sz w:val="12"/>
        </w:rPr>
      </w:pPr>
      <w:r>
        <w:rPr/>
        <w:pict>
          <v:line style="position:absolute;mso-position-horizontal-relative:page;mso-position-vertical-relative:paragraph;z-index:15859712" from="43.458pt,8.302670pt" to="47.792pt,8.302670pt" stroked="true" strokeweight=".5pt" strokecolor="#000000">
            <v:stroke dashstyle="solid"/>
            <w10:wrap type="none"/>
          </v:line>
        </w:pict>
      </w:r>
      <w:r>
        <w:rPr>
          <w:color w:val="231F20"/>
          <w:sz w:val="12"/>
        </w:rPr>
        <w:t>120</w:t>
      </w:r>
    </w:p>
    <w:p>
      <w:pPr>
        <w:pStyle w:val="BodyText"/>
        <w:rPr>
          <w:sz w:val="12"/>
        </w:rPr>
      </w:pPr>
    </w:p>
    <w:p>
      <w:pPr>
        <w:spacing w:before="91"/>
        <w:ind w:left="0" w:right="470" w:firstLine="0"/>
        <w:jc w:val="right"/>
        <w:rPr>
          <w:sz w:val="12"/>
        </w:rPr>
      </w:pPr>
      <w:r>
        <w:rPr/>
        <w:pict>
          <v:line style="position:absolute;mso-position-horizontal-relative:page;mso-position-vertical-relative:paragraph;z-index:15860224" from="43.458pt,8.152669pt" to="47.792pt,8.152669pt" stroked="true" strokeweight=".5pt" strokecolor="#000000">
            <v:stroke dashstyle="solid"/>
            <w10:wrap type="none"/>
          </v:line>
        </w:pict>
      </w:r>
      <w:r>
        <w:rPr>
          <w:color w:val="231F20"/>
          <w:sz w:val="12"/>
        </w:rPr>
        <w:t>115</w:t>
      </w:r>
    </w:p>
    <w:p>
      <w:pPr>
        <w:pStyle w:val="BodyText"/>
        <w:rPr>
          <w:sz w:val="12"/>
        </w:rPr>
      </w:pPr>
    </w:p>
    <w:p>
      <w:pPr>
        <w:spacing w:before="94"/>
        <w:ind w:left="0" w:right="470" w:firstLine="0"/>
        <w:jc w:val="right"/>
        <w:rPr>
          <w:sz w:val="12"/>
        </w:rPr>
      </w:pPr>
      <w:r>
        <w:rPr/>
        <w:pict>
          <v:line style="position:absolute;mso-position-horizontal-relative:page;mso-position-vertical-relative:paragraph;z-index:15860736" from="43.458pt,8.302868pt" to="47.792pt,8.302868pt" stroked="true" strokeweight=".5pt" strokecolor="#000000">
            <v:stroke dashstyle="solid"/>
            <w10:wrap type="none"/>
          </v:line>
        </w:pict>
      </w:r>
      <w:r>
        <w:rPr>
          <w:color w:val="231F20"/>
          <w:sz w:val="12"/>
        </w:rPr>
        <w:t>110</w:t>
      </w:r>
    </w:p>
    <w:p>
      <w:pPr>
        <w:pStyle w:val="BodyText"/>
        <w:rPr>
          <w:sz w:val="12"/>
        </w:rPr>
      </w:pPr>
    </w:p>
    <w:p>
      <w:pPr>
        <w:tabs>
          <w:tab w:pos="319" w:val="left" w:leader="none"/>
        </w:tabs>
        <w:spacing w:before="92"/>
        <w:ind w:left="0" w:right="470" w:firstLine="0"/>
        <w:jc w:val="right"/>
        <w:rPr>
          <w:sz w:val="12"/>
        </w:rPr>
      </w:pPr>
      <w:r>
        <w:rPr/>
        <w:pict>
          <v:line style="position:absolute;mso-position-horizontal-relative:page;mso-position-vertical-relative:paragraph;z-index:15861760" from="43.458pt,8.325868pt" to="47.792pt,8.325868pt" stroked="true" strokeweight=".5pt" strokecolor="#000000">
            <v:stroke dashstyle="solid"/>
            <w10:wrap type="none"/>
          </v:line>
        </w:pict>
      </w:r>
      <w:r>
        <w:rPr/>
        <w:pict>
          <v:line style="position:absolute;mso-position-horizontal-relative:page;mso-position-vertical-relative:paragraph;z-index:-21271040" from="204.792007pt,8.534867pt" to="209.125007pt,8.534867pt" stroked="true" strokeweight=".5pt" strokecolor="#000000">
            <v:stroke dashstyle="solid"/>
            <w10:wrap type="none"/>
          </v:line>
        </w:pict>
      </w:r>
      <w:r>
        <w:rPr>
          <w:color w:val="231F20"/>
          <w:sz w:val="12"/>
          <w:u w:val="thick" w:color="008256"/>
        </w:rPr>
        <w:t> </w:t>
        <w:tab/>
      </w:r>
      <w:r>
        <w:rPr>
          <w:color w:val="231F20"/>
          <w:sz w:val="12"/>
        </w:rPr>
        <w:t>      </w:t>
      </w:r>
      <w:r>
        <w:rPr>
          <w:color w:val="231F20"/>
          <w:spacing w:val="-13"/>
          <w:sz w:val="12"/>
        </w:rPr>
        <w:t> </w:t>
      </w:r>
      <w:r>
        <w:rPr>
          <w:color w:val="231F20"/>
          <w:sz w:val="12"/>
        </w:rPr>
        <w:t>105</w:t>
      </w:r>
    </w:p>
    <w:p>
      <w:pPr>
        <w:pStyle w:val="BodyText"/>
        <w:spacing w:line="222" w:lineRule="exact"/>
        <w:ind w:left="578"/>
        <w:rPr>
          <w:sz w:val="20"/>
        </w:rPr>
      </w:pPr>
      <w:r>
        <w:rPr>
          <w:position w:val="-3"/>
          <w:sz w:val="20"/>
        </w:rPr>
        <w:pict>
          <v:group style="width:125.65pt;height:11.15pt;mso-position-horizontal-relative:char;mso-position-vertical-relative:line" coordorigin="0,0" coordsize="2513,223">
            <v:line style="position:absolute" from="0,149" to="270,149" stroked="true" strokeweight="1.375pt" strokecolor="#008256">
              <v:stroke dashstyle="solid"/>
            </v:line>
            <v:shape style="position:absolute;left:260;top:92;width:1343;height:120" coordorigin="260,93" coordsize="1343,120" path="m260,153l710,213m710,213l1155,193m1155,193l1603,93e" filled="false" stroked="true" strokeweight="1pt" strokecolor="#008256">
              <v:path arrowok="t"/>
              <v:stroke dashstyle="solid"/>
            </v:shape>
            <v:line style="position:absolute" from="1593,76" to="2063,76" stroked="true" strokeweight="2.625pt" strokecolor="#008256">
              <v:stroke dashstyle="solid"/>
            </v:line>
            <v:line style="position:absolute" from="2053,60" to="2503,10" stroked="true" strokeweight="1pt" strokecolor="#008256">
              <v:stroke dashstyle="solid"/>
            </v:line>
          </v:group>
        </w:pict>
      </w:r>
      <w:r>
        <w:rPr>
          <w:position w:val="-3"/>
          <w:sz w:val="20"/>
        </w:rPr>
      </w:r>
    </w:p>
    <w:p>
      <w:pPr>
        <w:pStyle w:val="Heading2"/>
        <w:spacing w:before="206"/>
        <w:ind w:left="180"/>
        <w:rPr>
          <w:i/>
        </w:rPr>
      </w:pPr>
      <w:r>
        <w:rPr>
          <w:i w:val="0"/>
        </w:rPr>
        <w:br w:type="column"/>
      </w:r>
      <w:r>
        <w:rPr>
          <w:i/>
          <w:color w:val="009483"/>
        </w:rPr>
        <w:t>Exchange rates</w:t>
      </w:r>
    </w:p>
    <w:p>
      <w:pPr>
        <w:spacing w:line="242" w:lineRule="auto" w:before="144"/>
        <w:ind w:left="180" w:right="546" w:firstLine="0"/>
        <w:jc w:val="left"/>
        <w:rPr>
          <w:sz w:val="24"/>
        </w:rPr>
      </w:pPr>
      <w:r>
        <w:rPr>
          <w:color w:val="231F20"/>
          <w:sz w:val="24"/>
        </w:rPr>
        <w:t>The sterling effective exchange rate index (ERI) averaged 104.0 in the 15 working days up to and including 5 May (see Chart 1.17). This is the starting-point for the current projection and is around 4</w:t>
      </w:r>
      <w:r>
        <w:rPr>
          <w:color w:val="231F20"/>
          <w:position w:val="8"/>
          <w:sz w:val="12"/>
        </w:rPr>
        <w:t>1</w:t>
      </w:r>
      <w:r>
        <w:rPr>
          <w:color w:val="231F20"/>
          <w:sz w:val="24"/>
        </w:rPr>
        <w:t>/</w:t>
      </w:r>
      <w:r>
        <w:rPr>
          <w:color w:val="231F20"/>
          <w:sz w:val="12"/>
        </w:rPr>
        <w:t>2</w:t>
      </w:r>
      <w:r>
        <w:rPr>
          <w:color w:val="231F20"/>
          <w:sz w:val="24"/>
        </w:rPr>
        <w:t>% higher than the path assumed at the time of the previous </w:t>
      </w:r>
      <w:r>
        <w:rPr>
          <w:i/>
          <w:color w:val="231F20"/>
          <w:sz w:val="24"/>
        </w:rPr>
        <w:t>Report</w:t>
      </w:r>
      <w:r>
        <w:rPr>
          <w:color w:val="231F20"/>
          <w:sz w:val="24"/>
        </w:rPr>
        <w:t>. The level of the ERI is 23% higher</w:t>
      </w:r>
    </w:p>
    <w:p>
      <w:pPr>
        <w:spacing w:line="242" w:lineRule="auto" w:before="7"/>
        <w:ind w:left="180" w:right="185" w:firstLine="0"/>
        <w:jc w:val="left"/>
        <w:rPr>
          <w:sz w:val="24"/>
        </w:rPr>
      </w:pPr>
      <w:r>
        <w:rPr>
          <w:color w:val="231F20"/>
          <w:sz w:val="24"/>
        </w:rPr>
        <w:t>than it was in August 1996, largely reflecting an </w:t>
      </w:r>
      <w:r>
        <w:rPr>
          <w:color w:val="231F20"/>
          <w:spacing w:val="-3"/>
          <w:sz w:val="24"/>
        </w:rPr>
        <w:t>increase </w:t>
      </w:r>
      <w:r>
        <w:rPr>
          <w:color w:val="231F20"/>
          <w:sz w:val="24"/>
        </w:rPr>
        <w:t>of 29% in the value of sterling against euro-area currencies. Sterling has risen by around 5% against the US dollar. Since 1990, however, the appreciation of the broader measure of the ERI, which includes a number of emerging market currencies, has been greater than that of the narrower measure.</w:t>
      </w:r>
    </w:p>
    <w:p>
      <w:pPr>
        <w:pStyle w:val="BodyText"/>
        <w:spacing w:before="2"/>
        <w:rPr>
          <w:sz w:val="25"/>
        </w:rPr>
      </w:pPr>
    </w:p>
    <w:p>
      <w:pPr>
        <w:spacing w:line="242" w:lineRule="auto" w:before="0"/>
        <w:ind w:left="180" w:right="434" w:firstLine="0"/>
        <w:jc w:val="left"/>
        <w:rPr>
          <w:sz w:val="24"/>
        </w:rPr>
      </w:pPr>
      <w:r>
        <w:rPr>
          <w:color w:val="231F20"/>
          <w:sz w:val="24"/>
        </w:rPr>
        <w:t>Previous </w:t>
      </w:r>
      <w:r>
        <w:rPr>
          <w:i/>
          <w:color w:val="231F20"/>
          <w:sz w:val="24"/>
        </w:rPr>
        <w:t>Reports </w:t>
      </w:r>
      <w:r>
        <w:rPr>
          <w:color w:val="231F20"/>
          <w:sz w:val="24"/>
        </w:rPr>
        <w:t>have discussed a number of possible explanations for the rise in the sterling exchange rate since August 1996. Around a half of the rise in the sterling ERI since February is consistent with the movements in the differential between expected UK interest rates and those overseas (see Chart 1.18). But estimates of monetary news based on relative yield curves can explain little of the overall increase in the ERI since August 1996.</w:t>
      </w:r>
    </w:p>
    <w:p>
      <w:pPr>
        <w:pStyle w:val="BodyText"/>
        <w:spacing w:before="4"/>
        <w:rPr>
          <w:sz w:val="25"/>
        </w:rPr>
      </w:pPr>
    </w:p>
    <w:p>
      <w:pPr>
        <w:spacing w:line="242" w:lineRule="auto" w:before="0"/>
        <w:ind w:left="180" w:right="234" w:firstLine="0"/>
        <w:jc w:val="left"/>
        <w:rPr>
          <w:sz w:val="24"/>
        </w:rPr>
      </w:pPr>
      <w:r>
        <w:rPr>
          <w:color w:val="231F20"/>
          <w:sz w:val="24"/>
        </w:rPr>
        <w:t>There is considerable ambiguity about the link between the exchange rate and observable capital flows. But the record surplus on investment income, which contributed to UK current account surpluses in 1997 and 1998, may explain part of the strength of sterling. A permanent improvement in the UK investment income surplus would imply that UK residents would be able to finance a larger trade deficit than previously, without putting downward pressure on the exchange rate, making sterling assets relatively more attractive to hold.</w:t>
      </w:r>
    </w:p>
    <w:p>
      <w:pPr>
        <w:pStyle w:val="BodyText"/>
        <w:spacing w:before="5"/>
        <w:rPr>
          <w:sz w:val="25"/>
        </w:rPr>
      </w:pPr>
    </w:p>
    <w:p>
      <w:pPr>
        <w:spacing w:line="242" w:lineRule="auto" w:before="0"/>
        <w:ind w:left="180" w:right="168" w:firstLine="0"/>
        <w:jc w:val="left"/>
        <w:rPr>
          <w:sz w:val="24"/>
        </w:rPr>
      </w:pPr>
      <w:r>
        <w:rPr>
          <w:color w:val="231F20"/>
          <w:sz w:val="24"/>
        </w:rPr>
        <w:t>International competitiveness depends on the level of the real exchange rate. By combining forecasts of the expected nominal exchange rate and inflation expectations from the Consensus Economics survey, it is possible to arrive at an estimate of the expected value of the real ERI. Chart 1.19 shows how successive expectations of a depreciation of the real exchange rate lessened over time.</w:t>
      </w:r>
    </w:p>
    <w:p>
      <w:pPr>
        <w:pStyle w:val="BodyText"/>
        <w:spacing w:before="3"/>
        <w:rPr>
          <w:sz w:val="25"/>
        </w:rPr>
      </w:pPr>
    </w:p>
    <w:p>
      <w:pPr>
        <w:spacing w:line="242" w:lineRule="auto" w:before="0"/>
        <w:ind w:left="180" w:right="426" w:firstLine="0"/>
        <w:jc w:val="left"/>
        <w:rPr>
          <w:sz w:val="24"/>
        </w:rPr>
      </w:pPr>
      <w:r>
        <w:rPr>
          <w:color w:val="231F20"/>
          <w:sz w:val="24"/>
        </w:rPr>
        <w:t>Chart 1.20 shows the path for the sterling ERI </w:t>
      </w:r>
      <w:r>
        <w:rPr>
          <w:color w:val="231F20"/>
          <w:spacing w:val="-3"/>
          <w:sz w:val="24"/>
        </w:rPr>
        <w:t>implied </w:t>
      </w:r>
      <w:r>
        <w:rPr>
          <w:color w:val="231F20"/>
          <w:sz w:val="24"/>
        </w:rPr>
        <w:t>by market nominal interest rate differentials.</w:t>
      </w:r>
      <w:r>
        <w:rPr>
          <w:color w:val="231F20"/>
          <w:spacing w:val="57"/>
          <w:sz w:val="24"/>
        </w:rPr>
        <w:t> </w:t>
      </w:r>
      <w:r>
        <w:rPr>
          <w:color w:val="231F20"/>
          <w:sz w:val="24"/>
        </w:rPr>
        <w:t>This</w:t>
      </w:r>
    </w:p>
    <w:p>
      <w:pPr>
        <w:spacing w:after="0" w:line="242" w:lineRule="auto"/>
        <w:jc w:val="left"/>
        <w:rPr>
          <w:sz w:val="24"/>
        </w:rPr>
        <w:sectPr>
          <w:type w:val="continuous"/>
          <w:pgSz w:w="11900" w:h="16840"/>
          <w:pgMar w:top="1220" w:bottom="280" w:left="640" w:right="640"/>
          <w:cols w:num="2" w:equalWidth="0">
            <w:col w:w="4246" w:space="534"/>
            <w:col w:w="5840"/>
          </w:cols>
        </w:sectPr>
      </w:pPr>
    </w:p>
    <w:p>
      <w:pPr>
        <w:spacing w:line="126" w:lineRule="exact" w:before="0"/>
        <w:ind w:left="705" w:right="0" w:firstLine="0"/>
        <w:jc w:val="left"/>
        <w:rPr>
          <w:sz w:val="12"/>
        </w:rPr>
      </w:pPr>
      <w:r>
        <w:rPr/>
        <w:pict>
          <v:line style="position:absolute;mso-position-horizontal-relative:page;mso-position-vertical-relative:paragraph;z-index:15861248" from="43.458pt,2.859273pt" to="47.792pt,2.859273pt" stroked="true" strokeweight=".5pt" strokecolor="#000000">
            <v:stroke dashstyle="solid"/>
            <w10:wrap type="none"/>
          </v:line>
        </w:pict>
      </w:r>
      <w:r>
        <w:rPr>
          <w:color w:val="231F20"/>
          <w:sz w:val="12"/>
        </w:rPr>
        <w:t>10 June 1996</w:t>
      </w:r>
    </w:p>
    <w:p>
      <w:pPr>
        <w:pStyle w:val="BodyText"/>
        <w:rPr>
          <w:sz w:val="12"/>
        </w:rPr>
      </w:pPr>
    </w:p>
    <w:p>
      <w:pPr>
        <w:pStyle w:val="BodyText"/>
        <w:spacing w:before="3"/>
        <w:rPr>
          <w:sz w:val="17"/>
        </w:rPr>
      </w:pPr>
    </w:p>
    <w:p>
      <w:pPr>
        <w:tabs>
          <w:tab w:pos="784" w:val="left" w:leader="none"/>
          <w:tab w:pos="1232" w:val="left" w:leader="none"/>
          <w:tab w:pos="1692" w:val="left" w:leader="none"/>
          <w:tab w:pos="2069" w:val="left" w:leader="none"/>
          <w:tab w:pos="2579" w:val="left" w:leader="none"/>
          <w:tab w:pos="3029" w:val="left" w:leader="none"/>
        </w:tabs>
        <w:spacing w:before="0"/>
        <w:ind w:left="275" w:right="0" w:firstLine="0"/>
        <w:jc w:val="left"/>
        <w:rPr>
          <w:sz w:val="12"/>
        </w:rPr>
      </w:pPr>
      <w:r>
        <w:rPr/>
        <w:pict>
          <v:group style="position:absolute;margin-left:43.458pt;margin-top:-4.976181pt;width:165.7pt;height:3.45pt;mso-position-horizontal-relative:page;mso-position-vertical-relative:paragraph;z-index:15854592" coordorigin="869,-100" coordsize="3314,69">
            <v:line style="position:absolute" from="1035,-40" to="4023,-38" stroked="true" strokeweight=".5pt" strokecolor="#231f20">
              <v:stroke dashstyle="solid"/>
            </v:line>
            <v:shape style="position:absolute;left:869;top:-100;width:3314;height:67" coordorigin="869,-100" coordsize="3314,67" path="m4096,-36l4183,-36m869,-40l956,-40m1030,-100l1030,-33m3730,-100l3730,-33m3280,-100l3280,-33m2830,-100l2830,-33m2380,-100l2380,-33m1930,-100l1930,-33m1480,-100l1480,-33e" filled="false" stroked="true" strokeweight=".5pt" strokecolor="#000000">
              <v:path arrowok="t"/>
              <v:stroke dashstyle="solid"/>
            </v:shape>
            <w10:wrap type="none"/>
          </v:group>
        </w:pict>
      </w:r>
      <w:r>
        <w:rPr>
          <w:color w:val="231F20"/>
          <w:sz w:val="12"/>
        </w:rPr>
        <w:t>1996</w:t>
        <w:tab/>
        <w:t>97</w:t>
        <w:tab/>
        <w:t>98</w:t>
        <w:tab/>
        <w:t>99</w:t>
        <w:tab/>
        <w:t>2000</w:t>
        <w:tab/>
        <w:t>01</w:t>
        <w:tab/>
        <w:t>02</w:t>
      </w:r>
    </w:p>
    <w:p>
      <w:pPr>
        <w:pStyle w:val="BodyText"/>
        <w:spacing w:before="8"/>
        <w:rPr>
          <w:sz w:val="9"/>
        </w:rPr>
      </w:pPr>
    </w:p>
    <w:p>
      <w:pPr>
        <w:spacing w:line="125" w:lineRule="exact" w:before="0"/>
        <w:ind w:left="180" w:right="0" w:firstLine="0"/>
        <w:jc w:val="left"/>
        <w:rPr>
          <w:sz w:val="12"/>
        </w:rPr>
      </w:pPr>
      <w:r>
        <w:rPr>
          <w:color w:val="231F20"/>
          <w:sz w:val="12"/>
        </w:rPr>
        <w:t>(a) Major six overseas economies.</w:t>
      </w:r>
    </w:p>
    <w:p>
      <w:pPr>
        <w:spacing w:line="123" w:lineRule="exact" w:before="0"/>
        <w:ind w:left="180" w:right="0" w:firstLine="0"/>
        <w:jc w:val="left"/>
        <w:rPr>
          <w:sz w:val="12"/>
        </w:rPr>
      </w:pPr>
      <w:r>
        <w:rPr/>
        <w:br w:type="column"/>
      </w:r>
      <w:r>
        <w:rPr>
          <w:color w:val="231F20"/>
          <w:sz w:val="12"/>
        </w:rPr>
        <w:t>100</w:t>
      </w:r>
    </w:p>
    <w:p>
      <w:pPr>
        <w:pStyle w:val="BodyText"/>
        <w:rPr>
          <w:sz w:val="12"/>
        </w:rPr>
      </w:pPr>
    </w:p>
    <w:p>
      <w:pPr>
        <w:spacing w:before="91"/>
        <w:ind w:left="240" w:right="0" w:firstLine="0"/>
        <w:jc w:val="left"/>
        <w:rPr>
          <w:sz w:val="12"/>
        </w:rPr>
      </w:pPr>
      <w:r>
        <w:rPr/>
        <w:pict>
          <v:line style="position:absolute;mso-position-horizontal-relative:page;mso-position-vertical-relative:paragraph;z-index:15862784" from="204.792007pt,-10.015437pt" to="209.125007pt,-10.015437pt" stroked="true" strokeweight=".5pt" strokecolor="#000000">
            <v:stroke dashstyle="solid"/>
            <w10:wrap type="none"/>
          </v:line>
        </w:pict>
      </w:r>
      <w:r>
        <w:rPr>
          <w:color w:val="231F20"/>
          <w:sz w:val="12"/>
        </w:rPr>
        <w:t>95</w:t>
      </w:r>
    </w:p>
    <w:p>
      <w:pPr>
        <w:spacing w:line="242" w:lineRule="auto" w:before="2"/>
        <w:ind w:left="180" w:right="221" w:firstLine="0"/>
        <w:jc w:val="left"/>
        <w:rPr>
          <w:sz w:val="24"/>
        </w:rPr>
      </w:pPr>
      <w:r>
        <w:rPr/>
        <w:br w:type="column"/>
      </w:r>
      <w:r>
        <w:rPr>
          <w:color w:val="231F20"/>
          <w:sz w:val="24"/>
        </w:rPr>
        <w:t>method is based on the assumption that, other things being equal, currencies should adjust to equalise the rate of return on assets across countries. So if UK forward</w:t>
      </w:r>
    </w:p>
    <w:p>
      <w:pPr>
        <w:spacing w:after="0" w:line="242" w:lineRule="auto"/>
        <w:jc w:val="left"/>
        <w:rPr>
          <w:sz w:val="24"/>
        </w:rPr>
        <w:sectPr>
          <w:type w:val="continuous"/>
          <w:pgSz w:w="11900" w:h="16840"/>
          <w:pgMar w:top="1220" w:bottom="280" w:left="640" w:right="640"/>
          <w:cols w:num="3" w:equalWidth="0">
            <w:col w:w="3190" w:space="222"/>
            <w:col w:w="401" w:space="967"/>
            <w:col w:w="5840"/>
          </w:cols>
        </w:sectPr>
      </w:pPr>
    </w:p>
    <w:p>
      <w:pPr>
        <w:pStyle w:val="ListParagraph"/>
        <w:numPr>
          <w:ilvl w:val="0"/>
          <w:numId w:val="5"/>
        </w:numPr>
        <w:tabs>
          <w:tab w:pos="421" w:val="left" w:leader="none"/>
        </w:tabs>
        <w:spacing w:line="208" w:lineRule="auto" w:before="8" w:after="0"/>
        <w:ind w:left="420" w:right="38" w:hanging="240"/>
        <w:jc w:val="left"/>
        <w:rPr>
          <w:sz w:val="12"/>
        </w:rPr>
      </w:pPr>
      <w:r>
        <w:rPr>
          <w:color w:val="231F20"/>
          <w:sz w:val="12"/>
        </w:rPr>
        <w:t>Derived from a combination of nominal exchange rate and inflation forecasts from Consensus Economics survey.</w:t>
      </w:r>
    </w:p>
    <w:p>
      <w:pPr>
        <w:spacing w:before="4"/>
        <w:ind w:left="180" w:right="0" w:firstLine="0"/>
        <w:jc w:val="left"/>
        <w:rPr>
          <w:sz w:val="24"/>
        </w:rPr>
      </w:pPr>
      <w:r>
        <w:rPr/>
        <w:br w:type="column"/>
      </w:r>
      <w:r>
        <w:rPr>
          <w:color w:val="231F20"/>
          <w:sz w:val="24"/>
        </w:rPr>
        <w:t>rates are above those overseas, sterling is expected to</w:t>
      </w:r>
    </w:p>
    <w:p>
      <w:pPr>
        <w:spacing w:after="0"/>
        <w:jc w:val="left"/>
        <w:rPr>
          <w:sz w:val="24"/>
        </w:rPr>
        <w:sectPr>
          <w:type w:val="continuous"/>
          <w:pgSz w:w="11900" w:h="16840"/>
          <w:pgMar w:top="1220" w:bottom="280" w:left="640" w:right="640"/>
          <w:cols w:num="2" w:equalWidth="0">
            <w:col w:w="3709" w:space="1071"/>
            <w:col w:w="5840"/>
          </w:cols>
        </w:sectPr>
      </w:pPr>
    </w:p>
    <w:p>
      <w:pPr>
        <w:pStyle w:val="BodyText"/>
        <w:rPr>
          <w:sz w:val="20"/>
        </w:rPr>
      </w:pPr>
    </w:p>
    <w:p>
      <w:pPr>
        <w:spacing w:after="0"/>
        <w:rPr>
          <w:sz w:val="20"/>
        </w:rPr>
        <w:sectPr>
          <w:headerReference w:type="default" r:id="rId57"/>
          <w:footerReference w:type="default" r:id="rId58"/>
          <w:footerReference w:type="even" r:id="rId59"/>
          <w:pgSz w:w="11900" w:h="16840"/>
          <w:pgMar w:header="584" w:footer="617" w:top="780" w:bottom="800" w:left="640" w:right="640"/>
          <w:pgNumType w:start="11"/>
        </w:sectPr>
      </w:pPr>
    </w:p>
    <w:p>
      <w:pPr>
        <w:pStyle w:val="BodyText"/>
        <w:spacing w:before="2"/>
        <w:rPr>
          <w:sz w:val="21"/>
        </w:rPr>
      </w:pPr>
    </w:p>
    <w:p>
      <w:pPr>
        <w:pStyle w:val="Heading4"/>
        <w:spacing w:before="0"/>
        <w:ind w:left="157"/>
      </w:pPr>
      <w:bookmarkStart w:name="Summary" w:id="28"/>
      <w:bookmarkEnd w:id="28"/>
      <w:r>
        <w:rPr>
          <w:b w:val="0"/>
        </w:rPr>
      </w:r>
      <w:bookmarkStart w:name="_bookmark10" w:id="29"/>
      <w:bookmarkEnd w:id="29"/>
      <w:r>
        <w:rPr>
          <w:b w:val="0"/>
        </w:rPr>
      </w:r>
      <w:r>
        <w:rPr>
          <w:color w:val="0093C1"/>
        </w:rPr>
        <w:t>Chart 1.20</w:t>
      </w:r>
    </w:p>
    <w:p>
      <w:pPr>
        <w:pStyle w:val="Heading4"/>
        <w:ind w:left="157"/>
        <w:rPr>
          <w:b w:val="0"/>
          <w:sz w:val="12"/>
        </w:rPr>
      </w:pPr>
      <w:r>
        <w:rPr>
          <w:color w:val="0093C1"/>
        </w:rPr>
        <w:t>UK effective exchange rate profiles</w:t>
      </w:r>
      <w:r>
        <w:rPr>
          <w:b w:val="0"/>
          <w:color w:val="231F20"/>
          <w:position w:val="4"/>
          <w:sz w:val="12"/>
        </w:rPr>
        <w:t>(a)</w:t>
      </w:r>
    </w:p>
    <w:p>
      <w:pPr>
        <w:spacing w:before="102"/>
        <w:ind w:left="192" w:right="0" w:firstLine="0"/>
        <w:jc w:val="left"/>
        <w:rPr>
          <w:sz w:val="12"/>
        </w:rPr>
      </w:pPr>
      <w:r>
        <w:rPr>
          <w:color w:val="231F20"/>
          <w:sz w:val="12"/>
        </w:rPr>
        <w:t>ERI implied:</w:t>
      </w:r>
    </w:p>
    <w:p>
      <w:pPr>
        <w:tabs>
          <w:tab w:pos="1661" w:val="left" w:leader="none"/>
        </w:tabs>
        <w:spacing w:line="160" w:lineRule="atLeast" w:before="17"/>
        <w:ind w:left="329" w:right="1492" w:firstLine="0"/>
        <w:jc w:val="left"/>
        <w:rPr>
          <w:sz w:val="12"/>
        </w:rPr>
      </w:pPr>
      <w:r>
        <w:rPr/>
        <w:pict>
          <v:group style="position:absolute;margin-left:42.02pt;margin-top:4.024728pt;width:3.9pt;height:3.8pt;mso-position-horizontal-relative:page;mso-position-vertical-relative:paragraph;z-index:15869440" coordorigin="840,80" coordsize="78,76">
            <v:shape style="position:absolute;left:845;top:85;width:68;height:66" coordorigin="845,85" coordsize="68,66" path="m913,85l845,85,879,151,913,85xe" filled="true" fillcolor="#9bd3ae" stroked="false">
              <v:path arrowok="t"/>
              <v:fill type="solid"/>
            </v:shape>
            <v:shape style="position:absolute;left:845;top:85;width:68;height:66" coordorigin="845,85" coordsize="68,66" path="m879,151l913,85,845,85,879,151e" filled="false" stroked="true" strokeweight=".5pt" strokecolor="#231f20">
              <v:path arrowok="t"/>
              <v:stroke dashstyle="solid"/>
            </v:shape>
            <w10:wrap type="none"/>
          </v:group>
        </w:pict>
      </w:r>
      <w:r>
        <w:rPr/>
        <w:pict>
          <v:group style="position:absolute;margin-left:107.647003pt;margin-top:3.642729pt;width:4.45pt;height:4.3pt;mso-position-horizontal-relative:page;mso-position-vertical-relative:paragraph;z-index:-21264384" coordorigin="2153,73" coordsize="89,86">
            <v:shape style="position:absolute;left:2157;top:77;width:79;height:76" coordorigin="2158,78" coordsize="79,76" path="m2197,78l2158,116,2197,154,2236,116,2197,78xe" filled="true" fillcolor="#a790c4" stroked="false">
              <v:path arrowok="t"/>
              <v:fill type="solid"/>
            </v:shape>
            <v:shape style="position:absolute;left:2157;top:77;width:79;height:76" coordorigin="2158,78" coordsize="79,76" path="m2197,78l2158,116,2197,154,2236,116,2197,78e" filled="false" stroked="true" strokeweight=".5pt" strokecolor="#231f20">
              <v:path arrowok="t"/>
              <v:stroke dashstyle="solid"/>
            </v:shape>
            <w10:wrap type="none"/>
          </v:group>
        </w:pict>
      </w:r>
      <w:r>
        <w:rPr>
          <w:color w:val="231F20"/>
          <w:sz w:val="12"/>
        </w:rPr>
        <w:t>Three months ahead</w:t>
        <w:tab/>
        <w:t>Six months </w:t>
      </w:r>
      <w:r>
        <w:rPr>
          <w:color w:val="231F20"/>
          <w:spacing w:val="-4"/>
          <w:sz w:val="12"/>
        </w:rPr>
        <w:t>ahead </w:t>
      </w:r>
      <w:r>
        <w:rPr>
          <w:color w:val="231F20"/>
          <w:sz w:val="12"/>
        </w:rPr>
        <w:t>Twelve months ahead</w:t>
        <w:tab/>
        <w:t>Five years ahead</w:t>
      </w:r>
    </w:p>
    <w:p>
      <w:pPr>
        <w:spacing w:line="136" w:lineRule="auto" w:before="0"/>
        <w:ind w:left="0" w:right="408" w:firstLine="0"/>
        <w:jc w:val="right"/>
        <w:rPr>
          <w:sz w:val="12"/>
        </w:rPr>
      </w:pPr>
      <w:r>
        <w:rPr>
          <w:color w:val="231F20"/>
          <w:sz w:val="12"/>
        </w:rPr>
        <w:t>1990 = 100</w:t>
      </w:r>
      <w:r>
        <w:rPr>
          <w:color w:val="231F20"/>
          <w:spacing w:val="7"/>
          <w:sz w:val="12"/>
        </w:rPr>
        <w:t> </w:t>
      </w:r>
      <w:r>
        <w:rPr>
          <w:color w:val="231F20"/>
          <w:position w:val="-7"/>
          <w:sz w:val="12"/>
        </w:rPr>
        <w:t>110</w:t>
      </w:r>
    </w:p>
    <w:p>
      <w:pPr>
        <w:spacing w:before="143"/>
        <w:ind w:left="0" w:right="408" w:firstLine="0"/>
        <w:jc w:val="right"/>
        <w:rPr>
          <w:sz w:val="12"/>
        </w:rPr>
      </w:pPr>
      <w:r>
        <w:rPr>
          <w:color w:val="231F20"/>
          <w:sz w:val="12"/>
        </w:rPr>
        <w:t>108</w:t>
      </w:r>
    </w:p>
    <w:p>
      <w:pPr>
        <w:pStyle w:val="BodyText"/>
        <w:spacing w:before="6"/>
        <w:rPr>
          <w:sz w:val="9"/>
        </w:rPr>
      </w:pPr>
    </w:p>
    <w:p>
      <w:pPr>
        <w:spacing w:before="0"/>
        <w:ind w:left="0" w:right="408" w:firstLine="0"/>
        <w:jc w:val="right"/>
        <w:rPr>
          <w:sz w:val="12"/>
        </w:rPr>
      </w:pPr>
      <w:r>
        <w:rPr>
          <w:color w:val="231F20"/>
          <w:sz w:val="12"/>
        </w:rPr>
        <w:t>106</w:t>
      </w:r>
    </w:p>
    <w:p>
      <w:pPr>
        <w:pStyle w:val="BodyText"/>
        <w:spacing w:before="1"/>
        <w:rPr>
          <w:sz w:val="11"/>
        </w:rPr>
      </w:pPr>
    </w:p>
    <w:p>
      <w:pPr>
        <w:spacing w:before="1"/>
        <w:ind w:left="0" w:right="408" w:firstLine="0"/>
        <w:jc w:val="right"/>
        <w:rPr>
          <w:sz w:val="12"/>
        </w:rPr>
      </w:pPr>
      <w:r>
        <w:rPr/>
        <w:pict>
          <v:line style="position:absolute;mso-position-horizontal-relative:page;mso-position-vertical-relative:paragraph;z-index:15864320" from="42.09pt,4.226355pt" to="44.05pt,4.226355pt" stroked="true" strokeweight=".5pt" strokecolor="#231f20">
            <v:stroke dashstyle="solid"/>
            <w10:wrap type="none"/>
          </v:line>
        </w:pict>
      </w:r>
      <w:r>
        <w:rPr/>
        <w:pict>
          <v:group style="position:absolute;margin-left:42.09pt;margin-top:-2.621645pt;width:158.8pt;height:77.4pt;mso-position-horizontal-relative:page;mso-position-vertical-relative:paragraph;z-index:15865856" coordorigin="842,-52" coordsize="3176,1548">
            <v:shape style="position:absolute;left:841;top:-11;width:3176;height:1387" coordorigin="842,-10" coordsize="3176,1387" path="m842,598l881,598m842,864l881,864m842,1130l881,1130m842,1377l881,1377m3978,85l4017,85m3978,351l4017,351m3978,598l4017,598m3978,864l4017,864m1214,-10l1214,-10e" filled="false" stroked="true" strokeweight=".5pt" strokecolor="#231f20">
              <v:path arrowok="t"/>
              <v:stroke dashstyle="solid"/>
            </v:shape>
            <v:shape style="position:absolute;left:1187;top:-43;width:2740;height:1000" coordorigin="1187,-42" coordsize="2740,1000" path="m1187,-42l1327,38,1467,138,1727,298,3927,958e" filled="false" stroked="true" strokeweight="1pt" strokecolor="#faab54">
              <v:path arrowok="t"/>
              <v:stroke dashstyle="solid"/>
            </v:shape>
            <v:shape style="position:absolute;left:1047;top:577;width:2740;height:300" coordorigin="1047,578" coordsize="2740,300" path="m1047,578l1187,658,1327,718,1587,858,3787,878e" filled="false" stroked="true" strokeweight="1pt" strokecolor="#0066a5">
              <v:path arrowok="t"/>
              <v:stroke dashstyle="solid"/>
            </v:shape>
            <v:shape style="position:absolute;left:907;top:677;width:2740;height:780" coordorigin="907,678" coordsize="2740,780" path="m907,678l1047,798,1187,898,1467,1078,3647,1458e" filled="false" stroked="true" strokeweight="1pt" strokecolor="#ed1b2d">
              <v:path arrowok="t"/>
              <v:stroke dashstyle="solid"/>
            </v:shape>
            <v:shape style="position:absolute;left:1294;top:13;width:68;height:66" coordorigin="1294,14" coordsize="68,66" path="m1362,14l1294,14,1328,79,1362,14xe" filled="true" fillcolor="#9bd3ae" stroked="false">
              <v:path arrowok="t"/>
              <v:fill type="solid"/>
            </v:shape>
            <v:shape style="position:absolute;left:1294;top:13;width:68;height:66" coordorigin="1294,14" coordsize="68,66" path="m1328,79l1362,14,1294,14,1328,79e" filled="false" stroked="true" strokeweight=".5pt" strokecolor="#231f20">
              <v:path arrowok="t"/>
              <v:stroke dashstyle="solid"/>
            </v:shape>
            <v:shape style="position:absolute;left:1429;top:99;width:79;height:76" coordorigin="1429,99" coordsize="79,76" path="m1468,99l1429,137,1468,175,1507,137,1468,99xe" filled="true" fillcolor="#a790c4" stroked="false">
              <v:path arrowok="t"/>
              <v:fill type="solid"/>
            </v:shape>
            <v:shape style="position:absolute;left:1429;top:99;width:79;height:76" coordorigin="1429,99" coordsize="79,76" path="m1468,99l1429,137,1468,175,1507,137,1468,99e" filled="false" stroked="true" strokeweight=".5pt" strokecolor="#231f20">
              <v:path arrowok="t"/>
              <v:stroke dashstyle="solid"/>
            </v:shape>
            <v:shape style="position:absolute;left:1152;top:629;width:68;height:66" coordorigin="1152,630" coordsize="68,66" path="m1220,630l1152,630,1186,696,1220,630xe" filled="true" fillcolor="#9bd3ae" stroked="false">
              <v:path arrowok="t"/>
              <v:fill type="solid"/>
            </v:shape>
            <v:shape style="position:absolute;left:1152;top:629;width:68;height:66" coordorigin="1152,630" coordsize="68,66" path="m1186,696l1220,630,1152,630,1186,696e" filled="false" stroked="true" strokeweight=".5pt" strokecolor="#231f20">
              <v:path arrowok="t"/>
              <v:stroke dashstyle="solid"/>
            </v:shape>
            <v:shape style="position:absolute;left:1010;top:767;width:68;height:66" coordorigin="1011,768" coordsize="68,66" path="m1078,768l1011,768,1045,833,1078,768xe" filled="true" fillcolor="#9bd3ae" stroked="false">
              <v:path arrowok="t"/>
              <v:fill type="solid"/>
            </v:shape>
            <v:shape style="position:absolute;left:1010;top:767;width:68;height:66" coordorigin="1011,768" coordsize="68,66" path="m1045,833l1078,768,1011,768,1045,833e" filled="false" stroked="true" strokeweight=".5pt" strokecolor="#231f20">
              <v:path arrowok="t"/>
              <v:stroke dashstyle="solid"/>
            </v:shape>
            <v:shape style="position:absolute;left:3614;top:1430;width:61;height:60" coordorigin="3614,1431" coordsize="61,60" path="m3644,1431l3633,1433,3623,1440,3616,1449,3614,1461,3616,1472,3623,1481,3633,1488,3644,1490,3656,1488,3666,1481,3673,1472,3675,1461,3673,1449,3666,1440,3656,1433,3644,1431xe" filled="true" fillcolor="#ed1b2d" stroked="false">
              <v:path arrowok="t"/>
              <v:fill type="solid"/>
            </v:shape>
            <v:shape style="position:absolute;left:3614;top:1430;width:61;height:60" coordorigin="3614,1431" coordsize="61,60" path="m3644,1490l3656,1488,3666,1481,3673,1472,3675,1461,3673,1449,3666,1440,3656,1433,3644,1431,3633,1433,3623,1440,3616,1449,3614,1461,3616,1472,3623,1481,3633,1488,3644,1490xe" filled="false" stroked="true" strokeweight=".5pt" strokecolor="#231f20">
              <v:path arrowok="t"/>
              <v:stroke dashstyle="solid"/>
            </v:shape>
            <v:shape style="position:absolute;left:3750;top:845;width:61;height:60" coordorigin="3751,845" coordsize="61,60" path="m3781,845l3769,847,3760,854,3753,863,3751,875,3753,886,3760,896,3769,902,3781,904,3793,902,3803,896,3809,886,3812,875,3809,863,3803,854,3793,847,3781,845xe" filled="true" fillcolor="#ed1b2d" stroked="false">
              <v:path arrowok="t"/>
              <v:fill type="solid"/>
            </v:shape>
            <v:shape style="position:absolute;left:3750;top:845;width:61;height:60" coordorigin="3751,845" coordsize="61,60" path="m3781,904l3793,902,3803,896,3809,886,3812,875,3809,863,3803,854,3793,847,3781,845,3769,847,3760,854,3753,863,3751,875,3753,886,3760,896,3769,902,3781,904xe" filled="false" stroked="true" strokeweight=".5pt" strokecolor="#231f20">
              <v:path arrowok="t"/>
              <v:stroke dashstyle="solid"/>
            </v:shape>
            <v:shape style="position:absolute;left:3899;top:928;width:61;height:60" coordorigin="3899,928" coordsize="61,60" path="m3929,928l3918,931,3908,937,3901,947,3899,958,3901,970,3908,979,3918,985,3929,988,3941,985,3951,979,3958,970,3960,958,3958,947,3951,937,3941,931,3929,928xe" filled="true" fillcolor="#ed1b2d" stroked="false">
              <v:path arrowok="t"/>
              <v:fill type="solid"/>
            </v:shape>
            <v:shape style="position:absolute;left:3899;top:928;width:61;height:60" coordorigin="3899,928" coordsize="61,60" path="m3929,988l3941,985,3951,979,3958,970,3960,958,3958,947,3951,937,3941,931,3929,928,3918,931,3908,937,3901,947,3899,958,3901,970,3908,979,3918,985,3929,988xe" filled="false" stroked="true" strokeweight=".5pt" strokecolor="#231f20">
              <v:path arrowok="t"/>
              <v:stroke dashstyle="solid"/>
            </v:shape>
            <v:rect style="position:absolute;left:1437;top:1047;width:62;height:60" filled="true" fillcolor="#f7a08b" stroked="false">
              <v:fill type="solid"/>
            </v:rect>
            <v:rect style="position:absolute;left:1437;top:1047;width:62;height:60" filled="false" stroked="true" strokeweight=".5pt" strokecolor="#231f20">
              <v:stroke dashstyle="solid"/>
            </v:rect>
            <v:rect style="position:absolute;left:1553;top:815;width:62;height:60" filled="true" fillcolor="#f7a08b" stroked="false">
              <v:fill type="solid"/>
            </v:rect>
            <v:rect style="position:absolute;left:1553;top:815;width:62;height:60" filled="false" stroked="true" strokeweight=".5pt" strokecolor="#231f20">
              <v:stroke dashstyle="solid"/>
            </v:rect>
            <v:rect style="position:absolute;left:1697;top:263;width:62;height:60" filled="true" fillcolor="#f7a08b" stroked="false">
              <v:fill type="solid"/>
            </v:rect>
            <v:rect style="position:absolute;left:1697;top:263;width:62;height:60" filled="false" stroked="true" strokeweight=".5pt" strokecolor="#231f20">
              <v:stroke dashstyle="solid"/>
            </v:rect>
            <v:shape style="position:absolute;left:1146;top:861;width:79;height:76" coordorigin="1146,862" coordsize="79,76" path="m1185,862l1146,900,1185,938,1224,900,1185,862xe" filled="true" fillcolor="#a790c4" stroked="false">
              <v:path arrowok="t"/>
              <v:fill type="solid"/>
            </v:shape>
            <v:shape style="position:absolute;left:1146;top:861;width:79;height:76" coordorigin="1146,862" coordsize="79,76" path="m1185,862l1146,900,1185,938,1224,900,1185,862e" filled="false" stroked="true" strokeweight=".5pt" strokecolor="#231f20">
              <v:path arrowok="t"/>
              <v:stroke dashstyle="solid"/>
            </v:shape>
            <v:shape style="position:absolute;left:1289;top:683;width:79;height:76" coordorigin="1290,683" coordsize="79,76" path="m1329,683l1290,721,1329,759,1368,721,1329,683xe" filled="true" fillcolor="#a790c4" stroked="false">
              <v:path arrowok="t"/>
              <v:fill type="solid"/>
            </v:shape>
            <v:shape style="position:absolute;left:1289;top:683;width:79;height:76" coordorigin="1290,683" coordsize="79,76" path="m1329,683l1290,721,1329,759,1368,721,1329,683e" filled="false" stroked="true" strokeweight=".5pt" strokecolor="#231f20">
              <v:path arrowok="t"/>
              <v:stroke dashstyle="solid"/>
            </v:shape>
            <v:shape style="position:absolute;left:841;top:-53;width:3176;height:1548" type="#_x0000_t202" filled="false" stroked="false">
              <v:textbox inset="0,0,0,0">
                <w:txbxContent>
                  <w:p>
                    <w:pPr>
                      <w:spacing w:line="240" w:lineRule="auto" w:before="0"/>
                      <w:rPr>
                        <w:sz w:val="12"/>
                      </w:rPr>
                    </w:pPr>
                  </w:p>
                  <w:p>
                    <w:pPr>
                      <w:spacing w:line="240" w:lineRule="auto" w:before="9"/>
                      <w:rPr>
                        <w:sz w:val="10"/>
                      </w:rPr>
                    </w:pPr>
                  </w:p>
                  <w:p>
                    <w:pPr>
                      <w:spacing w:before="0"/>
                      <w:ind w:left="1126" w:right="0" w:firstLine="0"/>
                      <w:jc w:val="left"/>
                      <w:rPr>
                        <w:sz w:val="12"/>
                      </w:rPr>
                    </w:pPr>
                    <w:r>
                      <w:rPr>
                        <w:color w:val="231F20"/>
                        <w:sz w:val="12"/>
                      </w:rPr>
                      <w:t>5 May</w:t>
                    </w:r>
                  </w:p>
                  <w:p>
                    <w:pPr>
                      <w:spacing w:line="240" w:lineRule="auto" w:before="0"/>
                      <w:rPr>
                        <w:sz w:val="12"/>
                      </w:rPr>
                    </w:pPr>
                  </w:p>
                  <w:p>
                    <w:pPr>
                      <w:spacing w:line="240" w:lineRule="auto" w:before="0"/>
                      <w:rPr>
                        <w:sz w:val="12"/>
                      </w:rPr>
                    </w:pPr>
                  </w:p>
                  <w:p>
                    <w:pPr>
                      <w:spacing w:before="80"/>
                      <w:ind w:left="1126" w:right="0" w:firstLine="0"/>
                      <w:jc w:val="left"/>
                      <w:rPr>
                        <w:sz w:val="12"/>
                      </w:rPr>
                    </w:pPr>
                    <w:r>
                      <w:rPr>
                        <w:color w:val="231F20"/>
                        <w:sz w:val="12"/>
                      </w:rPr>
                      <w:t>3 February</w:t>
                    </w:r>
                  </w:p>
                  <w:p>
                    <w:pPr>
                      <w:spacing w:line="240" w:lineRule="auto" w:before="9"/>
                      <w:rPr>
                        <w:sz w:val="17"/>
                      </w:rPr>
                    </w:pPr>
                  </w:p>
                  <w:p>
                    <w:pPr>
                      <w:spacing w:before="0"/>
                      <w:ind w:left="1420" w:right="1118" w:firstLine="0"/>
                      <w:jc w:val="center"/>
                      <w:rPr>
                        <w:sz w:val="12"/>
                      </w:rPr>
                    </w:pPr>
                    <w:r>
                      <w:rPr>
                        <w:color w:val="231F20"/>
                        <w:sz w:val="12"/>
                      </w:rPr>
                      <w:t>4 November</w:t>
                    </w:r>
                  </w:p>
                </w:txbxContent>
              </v:textbox>
              <w10:wrap type="none"/>
            </v:shape>
            <w10:wrap type="none"/>
          </v:group>
        </w:pict>
      </w:r>
      <w:r>
        <w:rPr>
          <w:color w:val="231F20"/>
          <w:sz w:val="12"/>
        </w:rPr>
        <w:t>104</w:t>
      </w:r>
    </w:p>
    <w:p>
      <w:pPr>
        <w:pStyle w:val="BodyText"/>
        <w:spacing w:before="1"/>
        <w:rPr>
          <w:sz w:val="11"/>
        </w:rPr>
      </w:pPr>
    </w:p>
    <w:p>
      <w:pPr>
        <w:spacing w:before="0"/>
        <w:ind w:left="0" w:right="408" w:firstLine="0"/>
        <w:jc w:val="right"/>
        <w:rPr>
          <w:sz w:val="12"/>
        </w:rPr>
      </w:pPr>
      <w:r>
        <w:rPr/>
        <w:pict>
          <v:line style="position:absolute;mso-position-horizontal-relative:page;mso-position-vertical-relative:paragraph;z-index:15864832" from="42.09pt,4.176184pt" to="44.05pt,4.176184pt" stroked="true" strokeweight=".5pt" strokecolor="#231f20">
            <v:stroke dashstyle="solid"/>
            <w10:wrap type="none"/>
          </v:line>
        </w:pict>
      </w:r>
      <w:r>
        <w:rPr>
          <w:color w:val="231F20"/>
          <w:sz w:val="12"/>
        </w:rPr>
        <w:t>102</w:t>
      </w:r>
    </w:p>
    <w:p>
      <w:pPr>
        <w:pStyle w:val="BodyText"/>
        <w:spacing w:before="5"/>
        <w:rPr>
          <w:sz w:val="9"/>
        </w:rPr>
      </w:pPr>
    </w:p>
    <w:p>
      <w:pPr>
        <w:spacing w:before="1"/>
        <w:ind w:left="0" w:right="408" w:firstLine="0"/>
        <w:jc w:val="right"/>
        <w:rPr>
          <w:sz w:val="12"/>
        </w:rPr>
      </w:pPr>
      <w:r>
        <w:rPr>
          <w:color w:val="231F20"/>
          <w:sz w:val="12"/>
        </w:rPr>
        <w:t>100</w:t>
      </w:r>
    </w:p>
    <w:p>
      <w:pPr>
        <w:pStyle w:val="BodyText"/>
        <w:spacing w:before="1"/>
        <w:rPr>
          <w:sz w:val="11"/>
        </w:rPr>
      </w:pPr>
    </w:p>
    <w:p>
      <w:pPr>
        <w:spacing w:before="0"/>
        <w:ind w:left="0" w:right="408" w:firstLine="0"/>
        <w:jc w:val="right"/>
        <w:rPr>
          <w:sz w:val="12"/>
        </w:rPr>
      </w:pPr>
      <w:r>
        <w:rPr>
          <w:color w:val="231F20"/>
          <w:sz w:val="12"/>
        </w:rPr>
        <w:t>98</w:t>
      </w:r>
    </w:p>
    <w:p>
      <w:pPr>
        <w:pStyle w:val="BodyText"/>
        <w:spacing w:before="1"/>
        <w:rPr>
          <w:sz w:val="11"/>
        </w:rPr>
      </w:pPr>
    </w:p>
    <w:p>
      <w:pPr>
        <w:spacing w:before="1"/>
        <w:ind w:left="0" w:right="408" w:firstLine="0"/>
        <w:jc w:val="right"/>
        <w:rPr>
          <w:sz w:val="12"/>
        </w:rPr>
      </w:pPr>
      <w:r>
        <w:rPr/>
        <w:pict>
          <v:line style="position:absolute;mso-position-horizontal-relative:page;mso-position-vertical-relative:paragraph;z-index:15867392" from="198.889999pt,4.225988pt" to="200.849999pt,4.225988pt" stroked="true" strokeweight=".5pt" strokecolor="#231f20">
            <v:stroke dashstyle="solid"/>
            <w10:wrap type="none"/>
          </v:line>
        </w:pict>
      </w:r>
      <w:r>
        <w:rPr>
          <w:color w:val="231F20"/>
          <w:sz w:val="12"/>
        </w:rPr>
        <w:t>96</w:t>
      </w:r>
    </w:p>
    <w:p>
      <w:pPr>
        <w:pStyle w:val="BodyText"/>
        <w:spacing w:before="5"/>
        <w:rPr>
          <w:sz w:val="9"/>
        </w:rPr>
      </w:pPr>
    </w:p>
    <w:p>
      <w:pPr>
        <w:spacing w:before="0"/>
        <w:ind w:left="0" w:right="408" w:firstLine="0"/>
        <w:jc w:val="right"/>
        <w:rPr>
          <w:sz w:val="12"/>
        </w:rPr>
      </w:pPr>
      <w:r>
        <w:rPr/>
        <w:pict>
          <v:line style="position:absolute;mso-position-horizontal-relative:page;mso-position-vertical-relative:paragraph;z-index:15867904" from="198.889999pt,4.176135pt" to="200.849999pt,4.176135pt" stroked="true" strokeweight=".5pt" strokecolor="#231f20">
            <v:stroke dashstyle="solid"/>
            <w10:wrap type="none"/>
          </v:line>
        </w:pict>
      </w:r>
      <w:r>
        <w:rPr>
          <w:color w:val="231F20"/>
          <w:sz w:val="12"/>
        </w:rPr>
        <w:t>94</w:t>
      </w:r>
    </w:p>
    <w:p>
      <w:pPr>
        <w:pStyle w:val="BodyText"/>
        <w:spacing w:before="1"/>
        <w:rPr>
          <w:sz w:val="11"/>
        </w:rPr>
      </w:pPr>
    </w:p>
    <w:p>
      <w:pPr>
        <w:spacing w:before="1"/>
        <w:ind w:left="0" w:right="408" w:firstLine="0"/>
        <w:jc w:val="right"/>
        <w:rPr>
          <w:sz w:val="12"/>
        </w:rPr>
      </w:pPr>
      <w:r>
        <w:rPr/>
        <w:pict>
          <v:line style="position:absolute;mso-position-horizontal-relative:page;mso-position-vertical-relative:paragraph;z-index:15866368" from="42.09pt,4.225964pt" to="44.05pt,4.225964pt" stroked="true" strokeweight=".5pt" strokecolor="#231f20">
            <v:stroke dashstyle="solid"/>
            <w10:wrap type="none"/>
          </v:line>
        </w:pict>
      </w:r>
      <w:r>
        <w:rPr/>
        <w:pict>
          <v:line style="position:absolute;mso-position-horizontal-relative:page;mso-position-vertical-relative:paragraph;z-index:15868416" from="198.889999pt,4.225964pt" to="200.849999pt,4.225964pt" stroked="true" strokeweight=".5pt" strokecolor="#231f20">
            <v:stroke dashstyle="solid"/>
            <w10:wrap type="none"/>
          </v:line>
        </w:pict>
      </w:r>
      <w:r>
        <w:rPr>
          <w:color w:val="231F20"/>
          <w:sz w:val="12"/>
        </w:rPr>
        <w:t>92</w:t>
      </w:r>
    </w:p>
    <w:p>
      <w:pPr>
        <w:pStyle w:val="BodyText"/>
        <w:spacing w:before="1"/>
        <w:rPr>
          <w:sz w:val="11"/>
        </w:rPr>
      </w:pPr>
    </w:p>
    <w:p>
      <w:pPr>
        <w:spacing w:before="0"/>
        <w:ind w:left="0" w:right="408" w:firstLine="0"/>
        <w:jc w:val="right"/>
        <w:rPr>
          <w:sz w:val="12"/>
        </w:rPr>
      </w:pPr>
      <w:r>
        <w:rPr/>
        <w:pict>
          <v:line style="position:absolute;mso-position-horizontal-relative:page;mso-position-vertical-relative:paragraph;z-index:15866880" from="42.09pt,4.175793pt" to="44.05pt,4.175793pt" stroked="true" strokeweight=".5pt" strokecolor="#231f20">
            <v:stroke dashstyle="solid"/>
            <w10:wrap type="none"/>
          </v:line>
        </w:pict>
      </w:r>
      <w:r>
        <w:rPr/>
        <w:pict>
          <v:line style="position:absolute;mso-position-horizontal-relative:page;mso-position-vertical-relative:paragraph;z-index:15868928" from="198.889999pt,4.175793pt" to="200.849999pt,4.175793pt" stroked="true" strokeweight=".5pt" strokecolor="#231f20">
            <v:stroke dashstyle="solid"/>
            <w10:wrap type="none"/>
          </v:line>
        </w:pict>
      </w:r>
      <w:r>
        <w:rPr>
          <w:color w:val="231F20"/>
          <w:sz w:val="12"/>
        </w:rPr>
        <w:t>90</w:t>
      </w:r>
    </w:p>
    <w:p>
      <w:pPr>
        <w:pStyle w:val="BodyText"/>
        <w:spacing w:before="2"/>
        <w:rPr>
          <w:sz w:val="11"/>
        </w:rPr>
      </w:pPr>
    </w:p>
    <w:p>
      <w:pPr>
        <w:spacing w:line="116" w:lineRule="exact" w:before="0"/>
        <w:ind w:left="3459" w:right="390" w:firstLine="0"/>
        <w:jc w:val="center"/>
        <w:rPr>
          <w:sz w:val="12"/>
        </w:rPr>
      </w:pPr>
      <w:r>
        <w:rPr/>
        <w:pict>
          <v:shape style="position:absolute;margin-left:42.09pt;margin-top:-.099439pt;width:158.8pt;height:4.75pt;mso-position-horizontal-relative:page;mso-position-vertical-relative:paragraph;z-index:15863808" coordorigin="842,-2" coordsize="3176,95" path="m940,93l940,55m940,-2l940,93m1077,93l1077,55m1234,93l1234,55m1371,93l1371,55m1508,93l1508,55m1508,-2l1508,93m1645,93l1645,55m1783,93l1783,55m1920,93l1920,55m2214,93l2214,55m2351,93l2351,55m2488,93l2488,55m2625,93l2625,55m2625,-2l2625,93m2763,93l2763,55m2900,93l2900,55m3057,93l3057,55m3194,93l3194,55m3194,-2l3194,93m3331,93l3331,55m3468,93l3468,55m3605,93l3605,55m3899,93l3899,55m2077,-2l2077,93m3762,-2l3762,93m950,93l3909,93m842,84l881,84m3978,84l4017,84e" filled="false" stroked="true" strokeweight=".5pt" strokecolor="#231f20">
            <v:path arrowok="t"/>
            <v:stroke dashstyle="solid"/>
            <w10:wrap type="none"/>
          </v:shape>
        </w:pict>
      </w:r>
      <w:r>
        <w:rPr>
          <w:color w:val="231F20"/>
          <w:sz w:val="12"/>
        </w:rPr>
        <w:t>88</w:t>
      </w:r>
    </w:p>
    <w:p>
      <w:pPr>
        <w:tabs>
          <w:tab w:pos="569" w:val="left" w:leader="none"/>
          <w:tab w:pos="1139" w:val="left" w:leader="none"/>
          <w:tab w:pos="1649" w:val="left" w:leader="none"/>
          <w:tab w:pos="2219" w:val="left" w:leader="none"/>
          <w:tab w:pos="2789" w:val="left" w:leader="none"/>
        </w:tabs>
        <w:spacing w:line="113" w:lineRule="exact" w:before="0"/>
        <w:ind w:left="0" w:right="556" w:firstLine="0"/>
        <w:jc w:val="center"/>
        <w:rPr>
          <w:sz w:val="12"/>
        </w:rPr>
      </w:pPr>
      <w:r>
        <w:rPr>
          <w:color w:val="231F20"/>
          <w:sz w:val="12"/>
        </w:rPr>
        <w:t>1</w:t>
        <w:tab/>
        <w:t>5</w:t>
        <w:tab/>
        <w:t>9</w:t>
        <w:tab/>
        <w:t>13</w:t>
        <w:tab/>
        <w:t>17</w:t>
        <w:tab/>
        <w:t>21</w:t>
      </w:r>
    </w:p>
    <w:p>
      <w:pPr>
        <w:spacing w:line="135" w:lineRule="exact" w:before="0"/>
        <w:ind w:left="0" w:right="487" w:firstLine="0"/>
        <w:jc w:val="center"/>
        <w:rPr>
          <w:sz w:val="12"/>
        </w:rPr>
      </w:pPr>
      <w:r>
        <w:rPr>
          <w:color w:val="231F20"/>
          <w:sz w:val="12"/>
        </w:rPr>
        <w:t>Number of quarters</w:t>
      </w:r>
    </w:p>
    <w:p>
      <w:pPr>
        <w:spacing w:before="93"/>
        <w:ind w:left="157" w:right="0" w:firstLine="0"/>
        <w:jc w:val="left"/>
        <w:rPr>
          <w:sz w:val="12"/>
        </w:rPr>
      </w:pPr>
      <w:r>
        <w:rPr>
          <w:color w:val="231F20"/>
          <w:sz w:val="12"/>
        </w:rPr>
        <w:t>Sources: Bank for International Settlements, Datastream and Bank of England.</w:t>
      </w:r>
    </w:p>
    <w:p>
      <w:pPr>
        <w:spacing w:before="102"/>
        <w:ind w:left="157" w:right="0" w:firstLine="0"/>
        <w:jc w:val="left"/>
        <w:rPr>
          <w:sz w:val="12"/>
        </w:rPr>
      </w:pPr>
      <w:r>
        <w:rPr>
          <w:color w:val="231F20"/>
          <w:sz w:val="12"/>
        </w:rPr>
        <w:t>(a) Assuming uncovered interest rate parity.</w:t>
      </w:r>
    </w:p>
    <w:p>
      <w:pPr>
        <w:spacing w:line="242" w:lineRule="auto" w:before="206"/>
        <w:ind w:left="157" w:right="187" w:firstLine="0"/>
        <w:jc w:val="left"/>
        <w:rPr>
          <w:sz w:val="24"/>
        </w:rPr>
      </w:pPr>
      <w:r>
        <w:rPr/>
        <w:br w:type="column"/>
      </w:r>
      <w:r>
        <w:rPr>
          <w:color w:val="231F20"/>
          <w:sz w:val="24"/>
        </w:rPr>
        <w:t>depreciate. It shows that the markets expect the recent appreciation of sterling to unwind.</w:t>
      </w:r>
    </w:p>
    <w:p>
      <w:pPr>
        <w:pStyle w:val="BodyText"/>
        <w:spacing w:before="6"/>
        <w:rPr>
          <w:sz w:val="24"/>
        </w:rPr>
      </w:pPr>
    </w:p>
    <w:p>
      <w:pPr>
        <w:spacing w:line="242" w:lineRule="auto" w:before="0"/>
        <w:ind w:left="157" w:right="187" w:firstLine="0"/>
        <w:jc w:val="left"/>
        <w:rPr>
          <w:sz w:val="24"/>
        </w:rPr>
      </w:pPr>
      <w:r>
        <w:rPr>
          <w:color w:val="231F20"/>
          <w:sz w:val="24"/>
        </w:rPr>
        <w:t>In constructing its forecast, the MPC makes assumptions about the future path for sterling, conditional on unchanged UK interest rates. In judging the most likely path for sterling, the MPC takes into account both interest rate differentials and risk factors. In the central projection (the modal or most likely case), the sterling ERI is expected to depreciate by more than 4% to 99.6 by 2001 Q1. On average, sterling is expected to decline more steeply than in the central projection. Outside forecasts reported by Consensus Economics imply that the exchange rate is expected to decline more rapidly than in the central projection, reaching 96.7 after two years. But some Committee members consider that the balance of risks around the central projection for the exchange rate is on the upside.</w:t>
      </w:r>
    </w:p>
    <w:p>
      <w:pPr>
        <w:spacing w:after="0" w:line="242" w:lineRule="auto"/>
        <w:jc w:val="left"/>
        <w:rPr>
          <w:sz w:val="24"/>
        </w:rPr>
        <w:sectPr>
          <w:type w:val="continuous"/>
          <w:pgSz w:w="11900" w:h="16840"/>
          <w:pgMar w:top="1220" w:bottom="280" w:left="640" w:right="640"/>
          <w:cols w:num="2" w:equalWidth="0">
            <w:col w:w="4010" w:space="793"/>
            <w:col w:w="5817"/>
          </w:cols>
        </w:sectPr>
      </w:pPr>
    </w:p>
    <w:p>
      <w:pPr>
        <w:pStyle w:val="BodyText"/>
        <w:spacing w:before="6"/>
        <w:rPr>
          <w:sz w:val="25"/>
        </w:rPr>
      </w:pPr>
    </w:p>
    <w:p>
      <w:pPr>
        <w:pStyle w:val="Heading1"/>
        <w:tabs>
          <w:tab w:pos="9057" w:val="left" w:leader="none"/>
          <w:tab w:pos="10459" w:val="left" w:leader="none"/>
        </w:tabs>
        <w:spacing w:before="89"/>
      </w:pPr>
      <w:r>
        <w:rPr>
          <w:color w:val="009483"/>
          <w:u w:val="thick" w:color="0093C1"/>
        </w:rPr>
        <w:t>1.3</w:t>
        <w:tab/>
        <w:t>Summary</w:t>
        <w:tab/>
      </w:r>
    </w:p>
    <w:p>
      <w:pPr>
        <w:spacing w:line="242" w:lineRule="auto" w:before="260"/>
        <w:ind w:left="4960" w:right="307" w:firstLine="0"/>
        <w:jc w:val="left"/>
        <w:rPr>
          <w:sz w:val="24"/>
        </w:rPr>
      </w:pPr>
      <w:r>
        <w:rPr>
          <w:color w:val="231F20"/>
          <w:sz w:val="24"/>
        </w:rPr>
        <w:t>UK broad money growth has continued to ease, but M4 lending growth has declined less, reflecting a rise in secured lending to individuals. The past three years have been characterised by a significant build-up and subsequent contraction in UK financial intermediaries’ balance sheets, which may have been linked to the behaviour of net sterling borrowing by overseas residents. There is some evidence of an increase in</w:t>
      </w:r>
    </w:p>
    <w:p>
      <w:pPr>
        <w:spacing w:line="242" w:lineRule="auto" w:before="10"/>
        <w:ind w:left="4960" w:right="161" w:firstLine="0"/>
        <w:jc w:val="left"/>
        <w:rPr>
          <w:sz w:val="24"/>
        </w:rPr>
      </w:pPr>
      <w:r>
        <w:rPr>
          <w:color w:val="231F20"/>
          <w:sz w:val="24"/>
        </w:rPr>
        <w:t>long-term global inflation expectations, but in the United Kingdom comparisons between conventional and</w:t>
      </w:r>
    </w:p>
    <w:p>
      <w:pPr>
        <w:spacing w:line="242" w:lineRule="auto" w:before="2"/>
        <w:ind w:left="4960" w:right="181" w:firstLine="0"/>
        <w:jc w:val="left"/>
        <w:rPr>
          <w:sz w:val="24"/>
        </w:rPr>
      </w:pPr>
      <w:r>
        <w:rPr>
          <w:color w:val="231F20"/>
          <w:sz w:val="24"/>
        </w:rPr>
        <w:t>index-linked yields may be distorted by institutional factors. Share prices have risen strongly, possibly reflecting a better-than-expected outlook for domestic and global growth. Sterling has appreciated significantly since the February </w:t>
      </w:r>
      <w:r>
        <w:rPr>
          <w:i/>
          <w:color w:val="231F20"/>
          <w:sz w:val="24"/>
        </w:rPr>
        <w:t>Report</w:t>
      </w:r>
      <w:r>
        <w:rPr>
          <w:color w:val="231F20"/>
          <w:sz w:val="24"/>
        </w:rPr>
        <w:t>, particularly against the euro.</w:t>
      </w:r>
    </w:p>
    <w:p>
      <w:pPr>
        <w:spacing w:after="0" w:line="242" w:lineRule="auto"/>
        <w:jc w:val="left"/>
        <w:rPr>
          <w:sz w:val="24"/>
        </w:rPr>
        <w:sectPr>
          <w:type w:val="continuous"/>
          <w:pgSz w:w="11900" w:h="16840"/>
          <w:pgMar w:top="1220" w:bottom="2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586304;mso-wrap-distance-left:0;mso-wrap-distance-right:0" type="#_x0000_t202" filled="true" fillcolor="#b5dad6" stroked="false">
            <v:textbox inset="0,0,0,0">
              <w:txbxContent>
                <w:p>
                  <w:pPr>
                    <w:tabs>
                      <w:tab w:pos="5993" w:val="left" w:leader="none"/>
                    </w:tabs>
                    <w:spacing w:before="51"/>
                    <w:ind w:left="260" w:right="0" w:firstLine="0"/>
                    <w:jc w:val="left"/>
                    <w:rPr>
                      <w:b/>
                      <w:sz w:val="48"/>
                    </w:rPr>
                  </w:pPr>
                  <w:bookmarkStart w:name="Demand and output" w:id="30"/>
                  <w:bookmarkEnd w:id="30"/>
                  <w:r>
                    <w:rPr/>
                  </w:r>
                  <w:bookmarkStart w:name="Net trade" w:id="31"/>
                  <w:bookmarkEnd w:id="31"/>
                  <w:r>
                    <w:rPr/>
                  </w:r>
                  <w:bookmarkStart w:name="_bookmark11" w:id="32"/>
                  <w:bookmarkEnd w:id="32"/>
                  <w:r>
                    <w:rPr/>
                  </w:r>
                  <w:r>
                    <w:rPr>
                      <w:b/>
                      <w:color w:val="009483"/>
                      <w:sz w:val="72"/>
                    </w:rPr>
                    <w:t>2</w:t>
                    <w:tab/>
                  </w:r>
                  <w:r>
                    <w:rPr>
                      <w:b/>
                      <w:color w:val="009483"/>
                      <w:sz w:val="48"/>
                    </w:rPr>
                    <w:t>Demand and output</w:t>
                  </w:r>
                </w:p>
              </w:txbxContent>
            </v:textbox>
            <v:fill type="solid"/>
            <w10:wrap type="topAndBottom"/>
          </v:shape>
        </w:pict>
      </w:r>
    </w:p>
    <w:p>
      <w:pPr>
        <w:pStyle w:val="BodyText"/>
        <w:rPr>
          <w:sz w:val="20"/>
        </w:rPr>
      </w:pPr>
    </w:p>
    <w:p>
      <w:pPr>
        <w:pStyle w:val="BodyText"/>
        <w:rPr>
          <w:sz w:val="20"/>
        </w:rPr>
      </w:pPr>
    </w:p>
    <w:p>
      <w:pPr>
        <w:spacing w:after="0"/>
        <w:rPr>
          <w:sz w:val="20"/>
        </w:rPr>
        <w:sectPr>
          <w:headerReference w:type="default" r:id="rId60"/>
          <w:pgSz w:w="11900" w:h="16840"/>
          <w:pgMar w:header="0" w:footer="617" w:top="780" w:bottom="7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7"/>
        </w:rPr>
      </w:pPr>
    </w:p>
    <w:p>
      <w:pPr>
        <w:pStyle w:val="Heading4"/>
        <w:spacing w:before="0"/>
        <w:ind w:left="200"/>
      </w:pPr>
      <w:r>
        <w:rPr>
          <w:color w:val="0093C1"/>
        </w:rPr>
        <w:t>Chart 2.1</w:t>
      </w:r>
    </w:p>
    <w:p>
      <w:pPr>
        <w:pStyle w:val="Heading4"/>
        <w:ind w:left="200"/>
        <w:rPr>
          <w:b w:val="0"/>
          <w:sz w:val="12"/>
        </w:rPr>
      </w:pPr>
      <w:r>
        <w:rPr>
          <w:color w:val="0093C1"/>
        </w:rPr>
        <w:t>Relative demand</w:t>
      </w:r>
      <w:r>
        <w:rPr>
          <w:b w:val="0"/>
          <w:color w:val="231F20"/>
          <w:position w:val="4"/>
          <w:sz w:val="12"/>
        </w:rPr>
        <w:t>(a)</w:t>
      </w:r>
    </w:p>
    <w:p>
      <w:pPr>
        <w:pStyle w:val="BodyText"/>
        <w:spacing w:before="6"/>
        <w:rPr>
          <w:sz w:val="17"/>
        </w:rPr>
      </w:pPr>
    </w:p>
    <w:p>
      <w:pPr>
        <w:spacing w:line="125" w:lineRule="exact" w:before="1"/>
        <w:ind w:left="425" w:right="0" w:firstLine="0"/>
        <w:jc w:val="left"/>
        <w:rPr>
          <w:sz w:val="12"/>
        </w:rPr>
      </w:pPr>
      <w:r>
        <w:rPr>
          <w:sz w:val="12"/>
        </w:rPr>
        <w:t>1984 = 100</w:t>
      </w:r>
    </w:p>
    <w:p>
      <w:pPr>
        <w:spacing w:line="125" w:lineRule="exact" w:before="0"/>
        <w:ind w:left="238" w:right="0" w:firstLine="0"/>
        <w:jc w:val="left"/>
        <w:rPr>
          <w:sz w:val="12"/>
        </w:rPr>
      </w:pPr>
      <w:r>
        <w:rPr/>
        <w:pict>
          <v:group style="position:absolute;margin-left:55.125pt;margin-top:14.276642pt;width:161.9pt;height:124.9pt;mso-position-horizontal-relative:page;mso-position-vertical-relative:paragraph;z-index:15874048" coordorigin="1103,286" coordsize="3238,2498">
            <v:shape style="position:absolute;left:1370;top:370;width:2805;height:1875" coordorigin="1370,371" coordsize="2805,1875" path="m1370,851l1405,731m1405,731l1440,746m1440,746l1485,416m1485,416l1518,371m1518,371l1563,491m1563,491l1598,701m1598,701l1643,656m1643,656l1678,776m1678,776l1723,911m1723,911l1758,881m1758,881l1790,956m1790,956l1835,1301m1835,1301l1870,1271m1870,1271l1915,1211m1915,1211l1950,1301m1950,1301l1995,1226m1995,1226l2030,1316m2030,1316l2063,1136m2063,1136l2108,1301m2108,1301l2143,1376m2143,1376l2188,1256m2188,1256l2223,1151m2223,1151l2268,1226m2268,1226l2303,1316m2303,1316l2348,1391m2348,1391l2380,1406m2380,1406l2415,1496m2415,1496l2460,1391m2460,1391l2495,1541m2495,1541l2540,1706m2540,1706l2573,1751m2573,1751l2620,1946m2620,1946l2653,1991m2653,1991l2688,2096m2688,2096l2733,2246m2733,2246l2768,2081m2768,2081l2813,2051m2813,2051l2845,1991m2845,1991l2893,1751m2893,1751l2925,1781m2925,1781l2970,1721m2970,1721l3005,1541m3005,1541l3040,1376m3040,1376l3085,1361m3085,1361l3118,1136m3118,1136l3165,1076m3165,1076l3198,1151m3198,1151l3243,1046m3243,1046l3278,1076m3278,1076l3313,1151m3313,1151l3358,1196m3358,1196l3390,1361m3390,1361l3435,1421m3435,1421l3470,1526m3470,1526l3515,1631m3515,1631l3550,1556m3550,1556l3595,1571m3595,1571l3630,1526m3630,1526l3663,1556m3663,1556l3708,1451m3708,1451l3743,1586m3743,1586l3788,1481m3788,1481l3823,1526m3823,1526l3868,1676m3868,1676l3903,1601m3903,1601l3935,1646m3935,1646l3980,1631m3980,1631l4015,1706m4015,1706l4060,1811m4060,1811l4095,1796m4095,1796l4140,1871m4140,1871l4175,1796e" filled="false" stroked="true" strokeweight="1pt" strokecolor="#952e40">
              <v:path arrowok="t"/>
              <v:stroke dashstyle="solid"/>
            </v:shape>
            <v:line style="position:absolute" from="4165,1797" to="4230,1797" stroked="true" strokeweight="1.125pt" strokecolor="#952e40">
              <v:stroke dashstyle="solid"/>
            </v:line>
            <v:shape style="position:absolute;left:4220;top:1780;width:68;height:15" coordorigin="4220,1781" coordsize="68,15" path="m4220,1796l4253,1781m4253,1781l4288,1796e" filled="false" stroked="true" strokeweight="1pt" strokecolor="#952e40">
              <v:path arrowok="t"/>
              <v:stroke dashstyle="solid"/>
            </v:shape>
            <v:line style="position:absolute" from="1370,926" to="1405,956" stroked="true" strokeweight="1pt" strokecolor="#0099d8">
              <v:stroke dashstyle="solid"/>
            </v:line>
            <v:line style="position:absolute" from="1423,586" to="1423,966" stroked="true" strokeweight="2.75pt" strokecolor="#0099d8">
              <v:stroke dashstyle="solid"/>
            </v:line>
            <v:shape style="position:absolute;left:1440;top:295;width:123;height:300" coordorigin="1440,296" coordsize="123,300" path="m1440,596l1485,476m1485,476l1518,296m1518,296l1563,521e" filled="false" stroked="true" strokeweight="1pt" strokecolor="#0099d8">
              <v:path arrowok="t"/>
              <v:stroke dashstyle="solid"/>
            </v:shape>
            <v:line style="position:absolute" from="1580,511" to="1580,906" stroked="true" strokeweight="2.75pt" strokecolor="#0099d8">
              <v:stroke dashstyle="solid"/>
            </v:line>
            <v:shape style="position:absolute;left:1597;top:730;width:545;height:735" coordorigin="1598,731" coordsize="545,735" path="m1598,896l1643,731m1643,731l1678,836m1678,836l1723,956m1723,956l1758,911m1758,911l1790,731m1790,731l1835,1031m1835,1031l1870,1211m1870,1211l1915,1121m1915,1121l1950,1241m1950,1241l1995,1166m1995,1166l2030,1466m2030,1466l2063,1331m2063,1331l2108,1466m2108,1466l2143,1391e" filled="false" stroked="true" strokeweight="1pt" strokecolor="#0099d8">
              <v:path arrowok="t"/>
              <v:stroke dashstyle="solid"/>
            </v:shape>
            <v:line style="position:absolute" from="2165,931" to="2165,1401" stroked="true" strokeweight="3.25pt" strokecolor="#0099d8">
              <v:stroke dashstyle="solid"/>
            </v:line>
            <v:shape style="position:absolute;left:2177;top:930;width:293;height:440" type="#_x0000_t75" stroked="false">
              <v:imagedata r:id="rId61" o:title=""/>
            </v:shape>
            <v:line style="position:absolute" from="2478,1006" to="2478,1431" stroked="true" strokeweight="2.75pt" strokecolor="#0099d8">
              <v:stroke dashstyle="solid"/>
            </v:line>
            <v:shape style="position:absolute;left:2495;top:1420;width:193;height:780" coordorigin="2495,1421" coordsize="193,780" path="m2495,1421l2540,1511m2540,1511l2573,1676m2573,1676l2620,1886m2620,1886l2653,2036m2653,2036l2688,2201e" filled="false" stroked="true" strokeweight="1pt" strokecolor="#0099d8">
              <v:path arrowok="t"/>
              <v:stroke dashstyle="solid"/>
            </v:shape>
            <v:line style="position:absolute" from="2710,2191" to="2710,2781" stroked="true" strokeweight="3.25pt" strokecolor="#0099d8">
              <v:stroke dashstyle="solid"/>
            </v:line>
            <v:shape style="position:absolute;left:2732;top:1495;width:930;height:1275" coordorigin="2733,1496" coordsize="930,1275" path="m2733,2771l2768,2546m2768,2546l2813,2501m2813,2501l2845,2516m2845,2516l2893,2231m2893,2231l2925,2276m2925,2276l2970,2246m2970,2246l3005,2141m3005,2141l3040,1901m3040,1901l3085,1946m3085,1946l3118,1646m3118,1646l3165,1631m3165,1631l3198,1826m3198,1826l3243,1886m3243,1886l3278,2021m3278,2021l3313,2051m3313,2051l3358,1991m3358,1991l3390,1961m3390,1961l3435,1916m3435,1916l3470,1961m3470,1961l3515,1931m3515,1931l3550,1796m3550,1796l3595,1751m3595,1751l3630,1496m3630,1496l3663,1616e" filled="false" stroked="true" strokeweight="1pt" strokecolor="#0099d8">
              <v:path arrowok="t"/>
              <v:stroke dashstyle="solid"/>
            </v:shape>
            <v:line style="position:absolute" from="3685,1171" to="3685,1626" stroked="true" strokeweight="3.25pt" strokecolor="#0099d8">
              <v:stroke dashstyle="solid"/>
            </v:line>
            <v:line style="position:absolute" from="3725,1171" to="3725,1551" stroked="true" strokeweight="2.75pt" strokecolor="#0099d8">
              <v:stroke dashstyle="solid"/>
            </v:line>
            <v:shape style="position:absolute;left:3742;top:1360;width:238;height:225" coordorigin="3743,1361" coordsize="238,225" path="m3743,1541l3788,1391m3788,1391l3823,1361m3823,1361l3868,1586m3868,1586l3903,1496m3903,1496l3935,1511m3935,1511l3980,1436e" filled="false" stroked="true" strokeweight="1pt" strokecolor="#0099d8">
              <v:path arrowok="t"/>
              <v:stroke dashstyle="solid"/>
            </v:shape>
            <v:line style="position:absolute" from="3970,1437" to="4025,1437" stroked="true" strokeweight="1.125pt" strokecolor="#0099d8">
              <v:stroke dashstyle="solid"/>
            </v:line>
            <v:shape style="position:absolute;left:4015;top:1435;width:273;height:945" coordorigin="4015,1436" coordsize="273,945" path="m4015,1436l4060,1631m4060,1631l4095,1526m4095,1526l4140,1781m4140,1781l4175,1916m4175,1916l4220,2006m4220,2006l4253,2096m4253,2096l4288,2381e" filled="false" stroked="true" strokeweight="1pt" strokecolor="#0099d8">
              <v:path arrowok="t"/>
              <v:stroke dashstyle="solid"/>
            </v:shape>
            <v:line style="position:absolute" from="1103,1264" to="1183,1264" stroked="true" strokeweight=".5pt" strokecolor="#000000">
              <v:stroke dashstyle="solid"/>
            </v:line>
            <v:shape style="position:absolute;left:1226;top:1263;width:3114;height:2" coordorigin="1227,1264" coordsize="3114,0" path="m4340,1264l1227,1264e" filled="true" fillcolor="#ffffff" stroked="false">
              <v:path arrowok="t"/>
              <v:fill type="solid"/>
            </v:shape>
            <v:line style="position:absolute" from="4340,1264" to="1227,1264" stroked="true" strokeweight=".5pt" strokecolor="#000000">
              <v:stroke dashstyle="solid"/>
            </v:line>
            <v:shape style="position:absolute;left:2684;top:758;width:837;height:246" type="#_x0000_t202" filled="false" stroked="false">
              <v:textbox inset="0,0,0,0">
                <w:txbxContent>
                  <w:p>
                    <w:pPr>
                      <w:spacing w:line="196" w:lineRule="auto" w:before="15"/>
                      <w:ind w:left="33" w:right="18" w:hanging="34"/>
                      <w:jc w:val="left"/>
                      <w:rPr>
                        <w:sz w:val="12"/>
                      </w:rPr>
                    </w:pPr>
                    <w:r>
                      <w:rPr>
                        <w:sz w:val="12"/>
                      </w:rPr>
                      <w:t>Relative demand (left-hand scale)</w:t>
                    </w:r>
                  </w:p>
                </w:txbxContent>
              </v:textbox>
              <w10:wrap type="none"/>
            </v:shape>
            <v:shape style="position:absolute;left:2903;top:2386;width:954;height:397" type="#_x0000_t202" filled="false" stroked="false">
              <v:textbox inset="0,0,0,0">
                <w:txbxContent>
                  <w:p>
                    <w:pPr>
                      <w:spacing w:line="228" w:lineRule="auto" w:before="0"/>
                      <w:ind w:left="56" w:right="18" w:hanging="57"/>
                      <w:jc w:val="left"/>
                      <w:rPr>
                        <w:sz w:val="12"/>
                      </w:rPr>
                    </w:pPr>
                    <w:r>
                      <w:rPr>
                        <w:sz w:val="12"/>
                      </w:rPr>
                      <w:t>Goods and services trade balance (b) (right-hand scale)</w:t>
                    </w:r>
                  </w:p>
                </w:txbxContent>
              </v:textbox>
              <w10:wrap type="none"/>
            </v:shape>
            <w10:wrap type="none"/>
          </v:group>
        </w:pict>
      </w:r>
      <w:r>
        <w:rPr/>
        <w:pict>
          <v:line style="position:absolute;mso-position-horizontal-relative:page;mso-position-vertical-relative:paragraph;z-index:15874560" from="54.865002pt,2.531642pt" to="58.865002pt,2.531642pt" stroked="true" strokeweight=".5pt" strokecolor="#000000">
            <v:stroke dashstyle="solid"/>
            <w10:wrap type="none"/>
          </v:line>
        </w:pict>
      </w:r>
      <w:r>
        <w:rPr>
          <w:sz w:val="12"/>
        </w:rPr>
        <w:t>110</w:t>
      </w:r>
    </w:p>
    <w:p>
      <w:pPr>
        <w:pStyle w:val="BodyText"/>
        <w:rPr>
          <w:sz w:val="12"/>
        </w:rPr>
      </w:pPr>
    </w:p>
    <w:p>
      <w:pPr>
        <w:pStyle w:val="BodyText"/>
        <w:rPr>
          <w:sz w:val="12"/>
        </w:rPr>
      </w:pPr>
    </w:p>
    <w:p>
      <w:pPr>
        <w:pStyle w:val="BodyText"/>
        <w:spacing w:before="1"/>
        <w:rPr>
          <w:sz w:val="16"/>
        </w:rPr>
      </w:pPr>
    </w:p>
    <w:p>
      <w:pPr>
        <w:spacing w:before="1"/>
        <w:ind w:left="238" w:right="0" w:firstLine="0"/>
        <w:jc w:val="left"/>
        <w:rPr>
          <w:sz w:val="12"/>
        </w:rPr>
      </w:pPr>
      <w:r>
        <w:rPr/>
        <w:pict>
          <v:line style="position:absolute;mso-position-horizontal-relative:page;mso-position-vertical-relative:paragraph;z-index:15875072" from="55.051998pt,3.698692pt" to="59.051998pt,3.698692pt" stroked="true" strokeweight=".5pt" strokecolor="#000000">
            <v:stroke dashstyle="solid"/>
            <w10:wrap type="none"/>
          </v:line>
        </w:pict>
      </w:r>
      <w:r>
        <w:rPr>
          <w:sz w:val="12"/>
        </w:rPr>
        <w:t>105</w:t>
      </w:r>
    </w:p>
    <w:p>
      <w:pPr>
        <w:pStyle w:val="BodyText"/>
        <w:rPr>
          <w:sz w:val="12"/>
        </w:rPr>
      </w:pPr>
    </w:p>
    <w:p>
      <w:pPr>
        <w:pStyle w:val="BodyText"/>
        <w:rPr>
          <w:sz w:val="12"/>
        </w:rPr>
      </w:pPr>
    </w:p>
    <w:p>
      <w:pPr>
        <w:pStyle w:val="BodyText"/>
        <w:spacing w:before="1"/>
        <w:rPr>
          <w:sz w:val="16"/>
        </w:rPr>
      </w:pPr>
    </w:p>
    <w:p>
      <w:pPr>
        <w:spacing w:before="1"/>
        <w:ind w:left="238" w:right="0" w:firstLine="0"/>
        <w:jc w:val="left"/>
        <w:rPr>
          <w:sz w:val="12"/>
        </w:rPr>
      </w:pPr>
      <w:r>
        <w:rPr>
          <w:sz w:val="12"/>
        </w:rPr>
        <w:t>100</w:t>
      </w:r>
    </w:p>
    <w:p>
      <w:pPr>
        <w:pStyle w:val="BodyText"/>
        <w:rPr>
          <w:sz w:val="12"/>
        </w:rPr>
      </w:pPr>
    </w:p>
    <w:p>
      <w:pPr>
        <w:pStyle w:val="BodyText"/>
        <w:rPr>
          <w:sz w:val="12"/>
        </w:rPr>
      </w:pPr>
    </w:p>
    <w:p>
      <w:pPr>
        <w:pStyle w:val="BodyText"/>
        <w:spacing w:before="10"/>
        <w:rPr>
          <w:sz w:val="14"/>
        </w:rPr>
      </w:pPr>
    </w:p>
    <w:p>
      <w:pPr>
        <w:spacing w:before="0"/>
        <w:ind w:left="298" w:right="0" w:firstLine="0"/>
        <w:jc w:val="left"/>
        <w:rPr>
          <w:sz w:val="12"/>
        </w:rPr>
      </w:pPr>
      <w:r>
        <w:rPr/>
        <w:pict>
          <v:line style="position:absolute;mso-position-horizontal-relative:page;mso-position-vertical-relative:paragraph;z-index:15875584" from="55.146pt,2.97057pt" to="59.146pt,2.97057pt" stroked="true" strokeweight=".5pt" strokecolor="#000000">
            <v:stroke dashstyle="solid"/>
            <w10:wrap type="none"/>
          </v:line>
        </w:pict>
      </w:r>
      <w:r>
        <w:rPr>
          <w:sz w:val="12"/>
        </w:rPr>
        <w:t>95</w:t>
      </w:r>
    </w:p>
    <w:p>
      <w:pPr>
        <w:pStyle w:val="BodyText"/>
        <w:rPr>
          <w:sz w:val="12"/>
        </w:rPr>
      </w:pPr>
    </w:p>
    <w:p>
      <w:pPr>
        <w:pStyle w:val="BodyText"/>
        <w:rPr>
          <w:sz w:val="12"/>
        </w:rPr>
      </w:pPr>
    </w:p>
    <w:p>
      <w:pPr>
        <w:pStyle w:val="BodyText"/>
        <w:spacing w:before="2"/>
        <w:rPr>
          <w:sz w:val="16"/>
        </w:rPr>
      </w:pPr>
    </w:p>
    <w:p>
      <w:pPr>
        <w:spacing w:before="0"/>
        <w:ind w:left="298" w:right="0" w:firstLine="0"/>
        <w:jc w:val="left"/>
        <w:rPr>
          <w:sz w:val="12"/>
        </w:rPr>
      </w:pPr>
      <w:r>
        <w:rPr/>
        <w:pict>
          <v:line style="position:absolute;mso-position-horizontal-relative:page;mso-position-vertical-relative:paragraph;z-index:15876096" from="54.719002pt,3.73157pt" to="58.719002pt,3.73157pt" stroked="true" strokeweight=".5pt" strokecolor="#000000">
            <v:stroke dashstyle="solid"/>
            <w10:wrap type="none"/>
          </v:line>
        </w:pict>
      </w:r>
      <w:r>
        <w:rPr>
          <w:sz w:val="12"/>
        </w:rPr>
        <w:t>90</w:t>
      </w:r>
    </w:p>
    <w:p>
      <w:pPr>
        <w:pStyle w:val="BodyText"/>
        <w:rPr>
          <w:sz w:val="12"/>
        </w:rPr>
      </w:pPr>
    </w:p>
    <w:p>
      <w:pPr>
        <w:pStyle w:val="BodyText"/>
        <w:rPr>
          <w:sz w:val="12"/>
        </w:rPr>
      </w:pPr>
    </w:p>
    <w:p>
      <w:pPr>
        <w:pStyle w:val="BodyText"/>
        <w:spacing w:before="2"/>
        <w:rPr>
          <w:sz w:val="16"/>
        </w:rPr>
      </w:pPr>
    </w:p>
    <w:p>
      <w:pPr>
        <w:spacing w:line="53" w:lineRule="exact" w:before="0"/>
        <w:ind w:left="298" w:right="0" w:firstLine="0"/>
        <w:jc w:val="left"/>
        <w:rPr>
          <w:sz w:val="12"/>
        </w:rPr>
      </w:pPr>
      <w:r>
        <w:rPr/>
        <w:pict>
          <v:group style="position:absolute;margin-left:67.469002pt;margin-top:-.99243pt;width:157.6pt;height:4.6pt;mso-position-horizontal-relative:page;mso-position-vertical-relative:paragraph;z-index:15879168" coordorigin="1349,-20" coordsize="3152,92">
            <v:shape style="position:absolute;left:1354;top:63;width:3147;height:3" coordorigin="1354,64" coordsize="3147,3" path="m4421,66l4501,66m1354,64l4354,66e" filled="false" stroked="true" strokeweight=".5pt" strokecolor="#000000">
              <v:path arrowok="t"/>
              <v:stroke dashstyle="solid"/>
            </v:shape>
            <v:shape style="position:absolute;left:1360;top:-20;width:2814;height:83" coordorigin="1361,-20" coordsize="2814,83" path="m1361,63l1361,-20m1675,63l1675,-20m1981,63l1981,-20m2301,63l2301,-20m2607,63l2607,-20m2921,63l2921,-20m3227,63l3227,-20m3554,63l3554,-20m3854,63l3854,-20m4174,63l4174,-20e" filled="false" stroked="true" strokeweight=".5pt" strokecolor="#231f20">
              <v:path arrowok="t"/>
              <v:stroke dashstyle="solid"/>
            </v:shape>
            <w10:wrap type="none"/>
          </v:group>
        </w:pict>
      </w:r>
      <w:r>
        <w:rPr>
          <w:sz w:val="12"/>
        </w:rPr>
        <w:t>85</w:t>
      </w:r>
    </w:p>
    <w:p>
      <w:pPr>
        <w:pStyle w:val="BodyText"/>
        <w:spacing w:line="20" w:lineRule="exact"/>
        <w:ind w:left="447"/>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125" w:lineRule="exact" w:before="70"/>
        <w:ind w:left="200" w:right="0" w:firstLine="0"/>
        <w:jc w:val="left"/>
        <w:rPr>
          <w:sz w:val="12"/>
        </w:rPr>
      </w:pPr>
      <w:r>
        <w:rPr>
          <w:sz w:val="12"/>
        </w:rPr>
        <w:t>Per cent of GDP</w:t>
      </w:r>
    </w:p>
    <w:p>
      <w:pPr>
        <w:spacing w:line="125" w:lineRule="exact" w:before="0"/>
        <w:ind w:left="1089" w:right="0" w:firstLine="0"/>
        <w:jc w:val="left"/>
        <w:rPr>
          <w:sz w:val="12"/>
        </w:rPr>
      </w:pPr>
      <w:r>
        <w:rPr/>
        <w:pict>
          <v:line style="position:absolute;mso-position-horizontal-relative:page;mso-position-vertical-relative:paragraph;z-index:15876608" from="222.395996pt,2.563668pt" to="226.395996pt,2.563668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877120" from="222.582993pt,3.679077pt" to="226.582993pt,3.679077pt" stroked="true" strokeweight=".5pt" strokecolor="#000000">
            <v:stroke dashstyle="solid"/>
            <w10:wrap type="none"/>
          </v:line>
        </w:pict>
      </w:r>
      <w:r>
        <w:rPr>
          <w:sz w:val="12"/>
        </w:rPr>
        <w:t>2</w:t>
      </w:r>
    </w:p>
    <w:p>
      <w:pPr>
        <w:pStyle w:val="BodyText"/>
        <w:rPr>
          <w:sz w:val="12"/>
        </w:rPr>
      </w:pPr>
    </w:p>
    <w:p>
      <w:pPr>
        <w:pStyle w:val="BodyText"/>
        <w:spacing w:before="2"/>
        <w:rPr>
          <w:sz w:val="10"/>
        </w:rPr>
      </w:pPr>
    </w:p>
    <w:p>
      <w:pPr>
        <w:spacing w:before="0"/>
        <w:ind w:left="932" w:right="0" w:firstLine="0"/>
        <w:jc w:val="left"/>
        <w:rPr>
          <w:sz w:val="16"/>
        </w:rPr>
      </w:pPr>
      <w:r>
        <w:rPr>
          <w:sz w:val="16"/>
        </w:rPr>
        <w:t>+</w:t>
      </w:r>
    </w:p>
    <w:p>
      <w:pPr>
        <w:spacing w:before="23"/>
        <w:ind w:left="0" w:right="38" w:firstLine="0"/>
        <w:jc w:val="right"/>
        <w:rPr>
          <w:sz w:val="12"/>
        </w:rPr>
      </w:pPr>
      <w:r>
        <w:rPr/>
        <w:pict>
          <v:line style="position:absolute;mso-position-horizontal-relative:page;mso-position-vertical-relative:paragraph;z-index:15877632" from="222.656006pt,5.017077pt" to="226.656006pt,5.017077pt" stroked="true" strokeweight=".5pt" strokecolor="#000000">
            <v:stroke dashstyle="solid"/>
            <w10:wrap type="none"/>
          </v:line>
        </w:pict>
      </w:r>
      <w:r>
        <w:rPr>
          <w:sz w:val="12"/>
        </w:rPr>
        <w:t>0</w:t>
      </w:r>
    </w:p>
    <w:p>
      <w:pPr>
        <w:spacing w:before="45"/>
        <w:ind w:left="942" w:right="0" w:firstLine="0"/>
        <w:jc w:val="left"/>
        <w:rPr>
          <w:sz w:val="16"/>
        </w:rPr>
      </w:pPr>
      <w:r>
        <w:rPr>
          <w:sz w:val="16"/>
        </w:rPr>
        <w:t>_</w:t>
      </w:r>
    </w:p>
    <w:p>
      <w:pPr>
        <w:pStyle w:val="BodyText"/>
        <w:spacing w:before="11"/>
      </w:pPr>
    </w:p>
    <w:p>
      <w:pPr>
        <w:spacing w:before="0"/>
        <w:ind w:left="0" w:right="38" w:firstLine="0"/>
        <w:jc w:val="right"/>
        <w:rPr>
          <w:sz w:val="12"/>
        </w:rPr>
      </w:pPr>
      <w:r>
        <w:rPr/>
        <w:pict>
          <v:line style="position:absolute;mso-position-horizontal-relative:page;mso-position-vertical-relative:paragraph;z-index:15878144" from="222.395996pt,3.304077pt" to="226.395996pt,3.304077pt" stroked="true" strokeweight=".5pt" strokecolor="#000000">
            <v:stroke dashstyle="solid"/>
            <w10:wrap type="none"/>
          </v:line>
        </w:pict>
      </w:r>
      <w:r>
        <w:rPr>
          <w:sz w:val="12"/>
        </w:rPr>
        <w:t>2</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pict>
          <v:line style="position:absolute;mso-position-horizontal-relative:page;mso-position-vertical-relative:paragraph;z-index:15878656" from="222.25pt,3.762077pt" to="226.25pt,3.762077pt" stroked="true" strokeweight=".5pt" strokecolor="#000000">
            <v:stroke dashstyle="solid"/>
            <w10:wrap type="none"/>
          </v:line>
        </w:pict>
      </w:r>
      <w:r>
        <w:rPr>
          <w:sz w:val="12"/>
        </w:rPr>
        <w:t>4</w:t>
      </w:r>
    </w:p>
    <w:p>
      <w:pPr>
        <w:pStyle w:val="BodyText"/>
        <w:rPr>
          <w:sz w:val="12"/>
        </w:rPr>
      </w:pPr>
    </w:p>
    <w:p>
      <w:pPr>
        <w:pStyle w:val="BodyText"/>
        <w:rPr>
          <w:sz w:val="12"/>
        </w:rPr>
      </w:pPr>
    </w:p>
    <w:p>
      <w:pPr>
        <w:pStyle w:val="BodyText"/>
        <w:spacing w:before="2"/>
        <w:rPr>
          <w:sz w:val="16"/>
        </w:rPr>
      </w:pPr>
    </w:p>
    <w:p>
      <w:pPr>
        <w:spacing w:line="53" w:lineRule="exact" w:before="0"/>
        <w:ind w:left="1089" w:right="0" w:firstLine="0"/>
        <w:jc w:val="left"/>
        <w:rPr>
          <w:sz w:val="12"/>
        </w:rPr>
      </w:pPr>
      <w:r>
        <w:rPr>
          <w:sz w:val="12"/>
        </w:rPr>
        <w:t>6</w:t>
      </w:r>
    </w:p>
    <w:p>
      <w:pPr>
        <w:pStyle w:val="BodyText"/>
        <w:spacing w:before="8"/>
        <w:rPr>
          <w:sz w:val="20"/>
        </w:rPr>
      </w:pPr>
      <w:r>
        <w:rPr/>
        <w:br w:type="column"/>
      </w:r>
      <w:r>
        <w:rPr>
          <w:sz w:val="20"/>
        </w:rPr>
      </w:r>
    </w:p>
    <w:p>
      <w:pPr>
        <w:spacing w:line="242" w:lineRule="auto" w:before="0"/>
        <w:ind w:left="200" w:right="154" w:firstLine="0"/>
        <w:jc w:val="left"/>
        <w:rPr>
          <w:sz w:val="24"/>
        </w:rPr>
      </w:pPr>
      <w:r>
        <w:rPr>
          <w:color w:val="231F20"/>
          <w:sz w:val="24"/>
        </w:rPr>
        <w:t>The quarterly growth rate of GDP remained weak in 1999 Q1 and the level of output in previous quarters has been revised down since the February </w:t>
      </w:r>
      <w:r>
        <w:rPr>
          <w:i/>
          <w:color w:val="231F20"/>
          <w:sz w:val="24"/>
        </w:rPr>
        <w:t>Report</w:t>
      </w:r>
      <w:r>
        <w:rPr>
          <w:color w:val="231F20"/>
          <w:sz w:val="24"/>
        </w:rPr>
        <w:t>. </w:t>
      </w:r>
      <w:r>
        <w:rPr>
          <w:color w:val="231F20"/>
          <w:spacing w:val="-4"/>
          <w:sz w:val="24"/>
        </w:rPr>
        <w:t>However, </w:t>
      </w:r>
      <w:r>
        <w:rPr>
          <w:color w:val="231F20"/>
          <w:sz w:val="24"/>
        </w:rPr>
        <w:t>survey measures of consumer and business confidence in the United Kingdom </w:t>
      </w:r>
      <w:r>
        <w:rPr>
          <w:color w:val="231F20"/>
          <w:spacing w:val="-3"/>
          <w:sz w:val="24"/>
        </w:rPr>
        <w:t>have </w:t>
      </w:r>
      <w:r>
        <w:rPr>
          <w:color w:val="231F20"/>
          <w:sz w:val="24"/>
        </w:rPr>
        <w:t>rebounded and global economic prospects </w:t>
      </w:r>
      <w:r>
        <w:rPr>
          <w:color w:val="231F20"/>
          <w:spacing w:val="-3"/>
          <w:sz w:val="24"/>
        </w:rPr>
        <w:t>have </w:t>
      </w:r>
      <w:r>
        <w:rPr>
          <w:color w:val="231F20"/>
          <w:sz w:val="24"/>
        </w:rPr>
        <w:t>improved slightly. In 1998 Q4, exports fell and imports rose, causing the goods and services trade deficit to widen further. This largely </w:t>
      </w:r>
      <w:r>
        <w:rPr>
          <w:color w:val="231F20"/>
          <w:spacing w:val="-4"/>
          <w:sz w:val="24"/>
        </w:rPr>
        <w:t>offset </w:t>
      </w:r>
      <w:r>
        <w:rPr>
          <w:color w:val="231F20"/>
          <w:sz w:val="24"/>
        </w:rPr>
        <w:t>the impact on GDP of stronger consumption and investment</w:t>
      </w:r>
      <w:r>
        <w:rPr>
          <w:color w:val="231F20"/>
          <w:spacing w:val="-1"/>
          <w:sz w:val="24"/>
        </w:rPr>
        <w:t> </w:t>
      </w:r>
      <w:r>
        <w:rPr>
          <w:color w:val="231F20"/>
          <w:sz w:val="24"/>
        </w:rPr>
        <w:t>growth.</w:t>
      </w:r>
    </w:p>
    <w:p>
      <w:pPr>
        <w:pStyle w:val="BodyText"/>
        <w:spacing w:before="3"/>
        <w:rPr>
          <w:sz w:val="22"/>
        </w:rPr>
      </w:pPr>
    </w:p>
    <w:p>
      <w:pPr>
        <w:tabs>
          <w:tab w:pos="4166" w:val="left" w:leader="none"/>
        </w:tabs>
        <w:spacing w:before="0"/>
        <w:ind w:left="200" w:right="0" w:firstLine="0"/>
        <w:jc w:val="left"/>
        <w:rPr>
          <w:sz w:val="16"/>
        </w:rPr>
      </w:pPr>
      <w:r>
        <w:rPr>
          <w:b/>
          <w:color w:val="009483"/>
          <w:sz w:val="28"/>
        </w:rPr>
        <w:t>2.1</w:t>
        <w:tab/>
        <w:t>Net</w:t>
      </w:r>
      <w:r>
        <w:rPr>
          <w:b/>
          <w:color w:val="009483"/>
          <w:spacing w:val="-4"/>
          <w:sz w:val="28"/>
        </w:rPr>
        <w:t> </w:t>
      </w:r>
      <w:r>
        <w:rPr>
          <w:b/>
          <w:color w:val="009483"/>
          <w:sz w:val="28"/>
        </w:rPr>
        <w:t>trade</w:t>
      </w:r>
      <w:r>
        <w:rPr>
          <w:color w:val="231F20"/>
          <w:position w:val="5"/>
          <w:sz w:val="16"/>
        </w:rPr>
        <w:t>(1)</w:t>
      </w:r>
    </w:p>
    <w:p>
      <w:pPr>
        <w:pStyle w:val="BodyText"/>
        <w:spacing w:line="40" w:lineRule="exact"/>
        <w:ind w:left="180"/>
        <w:rPr>
          <w:sz w:val="4"/>
        </w:rPr>
      </w:pPr>
      <w:r>
        <w:rPr>
          <w:position w:val="0"/>
          <w:sz w:val="4"/>
        </w:rPr>
        <w:pict>
          <v:group style="width:276pt;height:2pt;mso-position-horizontal-relative:char;mso-position-vertical-relative:line" coordorigin="0,0" coordsize="5520,40">
            <v:line style="position:absolute" from="0,20" to="5520,20" stroked="true" strokeweight="2pt" strokecolor="#0093c1">
              <v:stroke dashstyle="solid"/>
            </v:line>
          </v:group>
        </w:pict>
      </w:r>
      <w:r>
        <w:rPr>
          <w:position w:val="0"/>
          <w:sz w:val="4"/>
        </w:rPr>
      </w:r>
    </w:p>
    <w:p>
      <w:pPr>
        <w:spacing w:line="242" w:lineRule="auto" w:before="235"/>
        <w:ind w:left="200" w:right="192" w:firstLine="0"/>
        <w:jc w:val="left"/>
        <w:rPr>
          <w:sz w:val="24"/>
        </w:rPr>
      </w:pPr>
      <w:r>
        <w:rPr>
          <w:color w:val="231F20"/>
          <w:sz w:val="24"/>
        </w:rPr>
        <w:t>Net trade made a sizable negative contribution to output growth in 1998, the third consecutive year in which the increase in domestic demand has exceeded that of </w:t>
      </w:r>
      <w:r>
        <w:rPr>
          <w:color w:val="231F20"/>
          <w:spacing w:val="-7"/>
          <w:sz w:val="24"/>
        </w:rPr>
        <w:t>GDP. </w:t>
      </w:r>
      <w:r>
        <w:rPr>
          <w:color w:val="231F20"/>
          <w:sz w:val="24"/>
        </w:rPr>
        <w:t>Chart 2.1 shows that movements in the trade position </w:t>
      </w:r>
      <w:r>
        <w:rPr>
          <w:color w:val="231F20"/>
          <w:spacing w:val="-6"/>
          <w:sz w:val="24"/>
        </w:rPr>
        <w:t>are </w:t>
      </w:r>
      <w:r>
        <w:rPr>
          <w:color w:val="231F20"/>
          <w:sz w:val="24"/>
        </w:rPr>
        <w:t>strongly influenced by demand differences between</w:t>
      </w:r>
      <w:r>
        <w:rPr>
          <w:color w:val="231F20"/>
          <w:spacing w:val="-5"/>
          <w:sz w:val="24"/>
        </w:rPr>
        <w:t> </w:t>
      </w:r>
      <w:r>
        <w:rPr>
          <w:color w:val="231F20"/>
          <w:sz w:val="24"/>
        </w:rPr>
        <w:t>the</w:t>
      </w:r>
    </w:p>
    <w:p>
      <w:pPr>
        <w:spacing w:after="0" w:line="242" w:lineRule="auto"/>
        <w:jc w:val="left"/>
        <w:rPr>
          <w:sz w:val="24"/>
        </w:rPr>
        <w:sectPr>
          <w:type w:val="continuous"/>
          <w:pgSz w:w="11900" w:h="16840"/>
          <w:pgMar w:top="1220" w:bottom="280" w:left="640" w:right="640"/>
          <w:cols w:num="3" w:equalWidth="0">
            <w:col w:w="1812" w:space="1059"/>
            <w:col w:w="1190" w:space="699"/>
            <w:col w:w="5860"/>
          </w:cols>
        </w:sectPr>
      </w:pPr>
    </w:p>
    <w:p>
      <w:pPr>
        <w:tabs>
          <w:tab w:pos="1274" w:val="left" w:leader="none"/>
          <w:tab w:pos="1897" w:val="left" w:leader="none"/>
          <w:tab w:pos="2522" w:val="left" w:leader="none"/>
          <w:tab w:pos="3144" w:val="left" w:leader="none"/>
        </w:tabs>
        <w:spacing w:before="56"/>
        <w:ind w:left="595" w:right="0" w:firstLine="0"/>
        <w:jc w:val="left"/>
        <w:rPr>
          <w:sz w:val="12"/>
        </w:rPr>
      </w:pPr>
      <w:r>
        <w:rPr>
          <w:sz w:val="12"/>
        </w:rPr>
        <w:t>1980</w:t>
        <w:tab/>
        <w:t>84</w:t>
        <w:tab/>
        <w:t>88</w:t>
        <w:tab/>
        <w:t>92</w:t>
        <w:tab/>
        <w:t>96</w:t>
      </w:r>
    </w:p>
    <w:p>
      <w:pPr>
        <w:pStyle w:val="BodyText"/>
        <w:spacing w:before="2"/>
        <w:rPr>
          <w:sz w:val="14"/>
        </w:rPr>
      </w:pPr>
    </w:p>
    <w:p>
      <w:pPr>
        <w:spacing w:before="1"/>
        <w:ind w:left="199" w:right="0" w:firstLine="0"/>
        <w:jc w:val="left"/>
        <w:rPr>
          <w:sz w:val="12"/>
        </w:rPr>
      </w:pPr>
      <w:r>
        <w:rPr>
          <w:color w:val="231F20"/>
          <w:sz w:val="12"/>
        </w:rPr>
        <w:t>Sources: ONS, BIS and Datastream.</w:t>
      </w:r>
    </w:p>
    <w:p>
      <w:pPr>
        <w:pStyle w:val="BodyText"/>
        <w:spacing w:before="1"/>
        <w:rPr>
          <w:sz w:val="10"/>
        </w:rPr>
      </w:pPr>
    </w:p>
    <w:p>
      <w:pPr>
        <w:pStyle w:val="ListParagraph"/>
        <w:numPr>
          <w:ilvl w:val="0"/>
          <w:numId w:val="7"/>
        </w:numPr>
        <w:tabs>
          <w:tab w:pos="440" w:val="left" w:leader="none"/>
        </w:tabs>
        <w:spacing w:line="208" w:lineRule="auto" w:before="0" w:after="0"/>
        <w:ind w:left="439" w:right="38" w:hanging="240"/>
        <w:jc w:val="left"/>
        <w:rPr>
          <w:sz w:val="12"/>
        </w:rPr>
      </w:pPr>
      <w:r>
        <w:rPr>
          <w:color w:val="231F20"/>
          <w:sz w:val="12"/>
        </w:rPr>
        <w:t>Ratio of UK trade-weighted domestic demand for the United States, Germany, France, the Netherlands, Italy, Spain, Japan, Sweden, </w:t>
      </w:r>
      <w:r>
        <w:rPr>
          <w:color w:val="231F20"/>
          <w:spacing w:val="-2"/>
          <w:sz w:val="12"/>
        </w:rPr>
        <w:t>Switzerland, </w:t>
      </w:r>
      <w:r>
        <w:rPr>
          <w:color w:val="231F20"/>
          <w:sz w:val="12"/>
        </w:rPr>
        <w:t>Australia and Canada relative to UK domestic demand. These countries purchase about 60% of total UK exports.</w:t>
      </w:r>
    </w:p>
    <w:p>
      <w:pPr>
        <w:pStyle w:val="ListParagraph"/>
        <w:numPr>
          <w:ilvl w:val="0"/>
          <w:numId w:val="7"/>
        </w:numPr>
        <w:tabs>
          <w:tab w:pos="441" w:val="left" w:leader="none"/>
        </w:tabs>
        <w:spacing w:line="123" w:lineRule="exact" w:before="0" w:after="0"/>
        <w:ind w:left="440" w:right="0" w:hanging="242"/>
        <w:jc w:val="left"/>
        <w:rPr>
          <w:sz w:val="12"/>
        </w:rPr>
      </w:pPr>
      <w:r>
        <w:rPr>
          <w:color w:val="231F20"/>
          <w:sz w:val="12"/>
        </w:rPr>
        <w:t>At constant 1995 market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2"/>
        </w:rPr>
      </w:pPr>
    </w:p>
    <w:p>
      <w:pPr>
        <w:pStyle w:val="Heading4"/>
        <w:spacing w:line="249" w:lineRule="auto" w:before="1"/>
        <w:ind w:left="180" w:right="2673"/>
      </w:pPr>
      <w:r>
        <w:rPr>
          <w:color w:val="0093C1"/>
        </w:rPr>
        <w:t>Chart 2.2 Trade balances</w:t>
      </w:r>
    </w:p>
    <w:p>
      <w:pPr>
        <w:spacing w:line="246" w:lineRule="exact" w:before="0"/>
        <w:ind w:left="180" w:right="0" w:firstLine="0"/>
        <w:jc w:val="left"/>
        <w:rPr>
          <w:sz w:val="24"/>
        </w:rPr>
      </w:pPr>
      <w:r>
        <w:rPr/>
        <w:br w:type="column"/>
      </w:r>
      <w:r>
        <w:rPr>
          <w:color w:val="231F20"/>
          <w:sz w:val="24"/>
        </w:rPr>
        <w:t>United Kingdom and its main trade partners. This effect</w:t>
      </w:r>
    </w:p>
    <w:p>
      <w:pPr>
        <w:spacing w:line="242" w:lineRule="auto" w:before="4"/>
        <w:ind w:left="180" w:right="292" w:firstLine="0"/>
        <w:jc w:val="left"/>
        <w:rPr>
          <w:sz w:val="24"/>
        </w:rPr>
      </w:pPr>
      <w:r>
        <w:rPr>
          <w:color w:val="231F20"/>
          <w:sz w:val="24"/>
        </w:rPr>
        <w:t>was small in 1998, </w:t>
      </w:r>
      <w:r>
        <w:rPr>
          <w:color w:val="231F20"/>
          <w:spacing w:val="-4"/>
          <w:sz w:val="24"/>
        </w:rPr>
        <w:t>however, </w:t>
      </w:r>
      <w:r>
        <w:rPr>
          <w:color w:val="231F20"/>
          <w:sz w:val="24"/>
        </w:rPr>
        <w:t>as UK domestic demand growth was broadly the same as the (weighted)</w:t>
      </w:r>
      <w:r>
        <w:rPr>
          <w:color w:val="231F20"/>
          <w:spacing w:val="-23"/>
          <w:sz w:val="24"/>
        </w:rPr>
        <w:t> </w:t>
      </w:r>
      <w:r>
        <w:rPr>
          <w:color w:val="231F20"/>
          <w:sz w:val="24"/>
        </w:rPr>
        <w:t>increase in demand in these countries. Consequently, most of last </w:t>
      </w:r>
      <w:r>
        <w:rPr>
          <w:color w:val="231F20"/>
          <w:spacing w:val="-3"/>
          <w:sz w:val="24"/>
        </w:rPr>
        <w:t>year’s </w:t>
      </w:r>
      <w:r>
        <w:rPr>
          <w:color w:val="231F20"/>
          <w:sz w:val="24"/>
        </w:rPr>
        <w:t>rise in the trade deficit reflected other considerations, notably the sharp contraction in </w:t>
      </w:r>
      <w:r>
        <w:rPr>
          <w:color w:val="231F20"/>
          <w:spacing w:val="-3"/>
          <w:sz w:val="24"/>
        </w:rPr>
        <w:t>demand </w:t>
      </w:r>
      <w:r>
        <w:rPr>
          <w:color w:val="231F20"/>
          <w:sz w:val="24"/>
        </w:rPr>
        <w:t>from the emerging market economies of Asia and</w:t>
      </w:r>
      <w:r>
        <w:rPr>
          <w:color w:val="231F20"/>
          <w:spacing w:val="-6"/>
          <w:sz w:val="24"/>
        </w:rPr>
        <w:t> </w:t>
      </w:r>
      <w:r>
        <w:rPr>
          <w:color w:val="231F20"/>
          <w:sz w:val="24"/>
        </w:rPr>
        <w:t>the</w:t>
      </w:r>
    </w:p>
    <w:p>
      <w:pPr>
        <w:spacing w:line="242" w:lineRule="auto" w:before="7"/>
        <w:ind w:left="180" w:right="152" w:firstLine="0"/>
        <w:jc w:val="left"/>
        <w:rPr>
          <w:sz w:val="24"/>
        </w:rPr>
      </w:pPr>
      <w:r>
        <w:rPr>
          <w:color w:val="231F20"/>
          <w:sz w:val="24"/>
        </w:rPr>
        <w:t>oil-exporting countries (which, together, account for </w:t>
      </w:r>
      <w:r>
        <w:rPr>
          <w:color w:val="231F20"/>
          <w:spacing w:val="-5"/>
          <w:sz w:val="24"/>
        </w:rPr>
        <w:t>only </w:t>
      </w:r>
      <w:r>
        <w:rPr>
          <w:color w:val="231F20"/>
          <w:sz w:val="24"/>
        </w:rPr>
        <w:t>around 15% of UK exports), and the continuing effects of sterling’s</w:t>
      </w:r>
      <w:r>
        <w:rPr>
          <w:color w:val="231F20"/>
          <w:spacing w:val="-1"/>
          <w:sz w:val="24"/>
        </w:rPr>
        <w:t> </w:t>
      </w:r>
      <w:r>
        <w:rPr>
          <w:color w:val="231F20"/>
          <w:sz w:val="24"/>
        </w:rPr>
        <w:t>appreciation.</w:t>
      </w:r>
    </w:p>
    <w:p>
      <w:pPr>
        <w:spacing w:after="0" w:line="242" w:lineRule="auto"/>
        <w:jc w:val="left"/>
        <w:rPr>
          <w:sz w:val="24"/>
        </w:rPr>
        <w:sectPr>
          <w:type w:val="continuous"/>
          <w:pgSz w:w="11900" w:h="16840"/>
          <w:pgMar w:top="1220" w:bottom="280" w:left="640" w:right="640"/>
          <w:cols w:num="2" w:equalWidth="0">
            <w:col w:w="4179" w:space="601"/>
            <w:col w:w="5840"/>
          </w:cols>
        </w:sectPr>
      </w:pPr>
    </w:p>
    <w:p>
      <w:pPr>
        <w:spacing w:before="145"/>
        <w:ind w:left="0" w:right="38" w:firstLine="0"/>
        <w:jc w:val="right"/>
        <w:rPr>
          <w:sz w:val="12"/>
        </w:rPr>
      </w:pPr>
      <w:r>
        <w:rPr/>
        <w:pict>
          <v:group style="position:absolute;margin-left:43.030998pt;margin-top:24.140472pt;width:166.55pt;height:132.9pt;mso-position-horizontal-relative:page;mso-position-vertical-relative:paragraph;z-index:15881216" coordorigin="861,483" coordsize="3331,2658">
            <v:rect style="position:absolute;left:991;top:1795;width:15;height:153" filled="true" fillcolor="#0099d8" stroked="false">
              <v:fill type="solid"/>
            </v:rect>
            <v:rect style="position:absolute;left:991;top:1795;width:15;height:153" filled="false" stroked="true" strokeweight=".25pt" strokecolor="#0099d8">
              <v:stroke dashstyle="solid"/>
            </v:rect>
            <v:rect style="position:absolute;left:1011;top:1795;width:15;height:368" filled="true" fillcolor="#0099d8" stroked="false">
              <v:fill type="solid"/>
            </v:rect>
            <v:rect style="position:absolute;left:1011;top:1795;width:15;height:368" filled="false" stroked="true" strokeweight=".25pt" strokecolor="#0099d8">
              <v:stroke dashstyle="solid"/>
            </v:rect>
            <v:rect style="position:absolute;left:1030;top:1795;width:15;height:318" filled="true" fillcolor="#0099d8" stroked="false">
              <v:fill type="solid"/>
            </v:rect>
            <v:rect style="position:absolute;left:1030;top:1795;width:15;height:318" filled="false" stroked="true" strokeweight=".25pt" strokecolor="#0099d8">
              <v:stroke dashstyle="solid"/>
            </v:rect>
            <v:rect style="position:absolute;left:1050;top:1795;width:15;height:303" filled="true" fillcolor="#0099d8" stroked="false">
              <v:fill type="solid"/>
            </v:rect>
            <v:rect style="position:absolute;left:1050;top:1795;width:15;height:303" filled="false" stroked="true" strokeweight=".25pt" strokecolor="#0099d8">
              <v:stroke dashstyle="solid"/>
            </v:rect>
            <v:rect style="position:absolute;left:1075;top:1795;width:15;height:203" filled="true" fillcolor="#0099d8" stroked="false">
              <v:fill type="solid"/>
            </v:rect>
            <v:rect style="position:absolute;left:1075;top:1795;width:15;height:203" filled="false" stroked="true" strokeweight=".25pt" strokecolor="#0099d8">
              <v:stroke dashstyle="solid"/>
            </v:rect>
            <v:rect style="position:absolute;left:1093;top:1795;width:15;height:203" filled="true" fillcolor="#0099d8" stroked="false">
              <v:fill type="solid"/>
            </v:rect>
            <v:shape style="position:absolute;left:1093;top:1795;width:33;height:203" coordorigin="1093,1795" coordsize="33,203" path="m1093,1795l1107,1795,1107,1998,1093,1998,1093,1795xm1111,1795l1125,1795,1125,1913,1111,1913,1111,1795xe" filled="false" stroked="true" strokeweight=".25pt" strokecolor="#0099d8">
              <v:path arrowok="t"/>
              <v:stroke dashstyle="solid"/>
            </v:shape>
            <v:rect style="position:absolute;left:1129;top:1795;width:15;height:68" filled="true" fillcolor="#0099d8" stroked="false">
              <v:fill type="solid"/>
            </v:rect>
            <v:rect style="position:absolute;left:1129;top:1795;width:15;height:68" filled="false" stroked="true" strokeweight=".25pt" strokecolor="#0099d8">
              <v:stroke dashstyle="solid"/>
            </v:rect>
            <v:rect style="position:absolute;left:1151;top:1795;width:15;height:168" filled="true" fillcolor="#0099d8" stroked="false">
              <v:fill type="solid"/>
            </v:rect>
            <v:rect style="position:absolute;left:1151;top:1795;width:15;height:168" filled="false" stroked="true" strokeweight=".25pt" strokecolor="#0099d8">
              <v:stroke dashstyle="solid"/>
            </v:rect>
            <v:rect style="position:absolute;left:1170;top:1795;width:15;height:135" filled="true" fillcolor="#0099d8" stroked="false">
              <v:fill type="solid"/>
            </v:rect>
            <v:rect style="position:absolute;left:1170;top:1795;width:15;height:135" filled="false" stroked="true" strokeweight=".25pt" strokecolor="#0099d8">
              <v:stroke dashstyle="solid"/>
            </v:rect>
            <v:rect style="position:absolute;left:1190;top:1795;width:15;height:203" filled="true" fillcolor="#0099d8" stroked="false">
              <v:fill type="solid"/>
            </v:rect>
            <v:rect style="position:absolute;left:1190;top:1795;width:15;height:203" filled="false" stroked="true" strokeweight=".25pt" strokecolor="#0099d8">
              <v:stroke dashstyle="solid"/>
            </v:rect>
            <v:rect style="position:absolute;left:1209;top:1795;width:15;height:153" filled="true" fillcolor="#0099d8" stroked="false">
              <v:fill type="solid"/>
            </v:rect>
            <v:rect style="position:absolute;left:1209;top:1795;width:15;height:153" filled="false" stroked="true" strokeweight=".25pt" strokecolor="#0099d8">
              <v:stroke dashstyle="solid"/>
            </v:rect>
            <v:rect style="position:absolute;left:1231;top:1795;width:15;height:3" filled="true" fillcolor="#0099d8" stroked="false">
              <v:fill type="solid"/>
            </v:rect>
            <v:shape style="position:absolute;left:1231;top:1795;width:31;height:118" coordorigin="1232,1795" coordsize="31,118" path="m1232,1795l1246,1795,1246,1798,1232,1798,1232,1795xm1248,1795l1262,1795,1262,1913,1248,1913,1248,1795xe" filled="false" stroked="true" strokeweight=".25pt" strokecolor="#0099d8">
              <v:path arrowok="t"/>
              <v:stroke dashstyle="solid"/>
            </v:shape>
            <v:rect style="position:absolute;left:1265;top:1795;width:15;height:203" filled="true" fillcolor="#0099d8" stroked="false">
              <v:fill type="solid"/>
            </v:rect>
            <v:rect style="position:absolute;left:1265;top:1795;width:15;height:203" filled="false" stroked="true" strokeweight=".25pt" strokecolor="#0099d8">
              <v:stroke dashstyle="solid"/>
            </v:rect>
            <v:rect style="position:absolute;left:1281;top:1795;width:15;height:203" filled="true" fillcolor="#0099d8" stroked="false">
              <v:fill type="solid"/>
            </v:rect>
            <v:rect style="position:absolute;left:1281;top:1795;width:15;height:203" filled="false" stroked="true" strokeweight=".25pt" strokecolor="#0099d8">
              <v:stroke dashstyle="solid"/>
            </v:rect>
            <v:rect style="position:absolute;left:1305;top:1795;width:15;height:353" filled="true" fillcolor="#0099d8" stroked="false">
              <v:fill type="solid"/>
            </v:rect>
            <v:rect style="position:absolute;left:1305;top:1795;width:15;height:353" filled="false" stroked="true" strokeweight=".25pt" strokecolor="#0099d8">
              <v:stroke dashstyle="solid"/>
            </v:rect>
            <v:rect style="position:absolute;left:1324;top:1795;width:15;height:318" filled="true" fillcolor="#0099d8" stroked="false">
              <v:fill type="solid"/>
            </v:rect>
            <v:rect style="position:absolute;left:1324;top:1795;width:15;height:318" filled="false" stroked="true" strokeweight=".25pt" strokecolor="#0099d8">
              <v:stroke dashstyle="solid"/>
            </v:rect>
            <v:rect style="position:absolute;left:1342;top:1795;width:15;height:485" filled="true" fillcolor="#0099d8" stroked="false">
              <v:fill type="solid"/>
            </v:rect>
            <v:rect style="position:absolute;left:1342;top:1795;width:15;height:485" filled="false" stroked="true" strokeweight=".25pt" strokecolor="#0099d8">
              <v:stroke dashstyle="solid"/>
            </v:rect>
            <v:rect style="position:absolute;left:1361;top:1795;width:15;height:418" filled="true" fillcolor="#0099d8" stroked="false">
              <v:fill type="solid"/>
            </v:rect>
            <v:rect style="position:absolute;left:1361;top:1795;width:15;height:418" filled="false" stroked="true" strokeweight=".25pt" strokecolor="#0099d8">
              <v:stroke dashstyle="solid"/>
            </v:rect>
            <v:rect style="position:absolute;left:1385;top:1795;width:15;height:203" filled="true" fillcolor="#0099d8" stroked="false">
              <v:fill type="solid"/>
            </v:rect>
            <v:rect style="position:absolute;left:1385;top:1795;width:15;height:203" filled="false" stroked="true" strokeweight=".25pt" strokecolor="#0099d8">
              <v:stroke dashstyle="solid"/>
            </v:rect>
            <v:rect style="position:absolute;left:1402;top:1795;width:15;height:303" filled="true" fillcolor="#0099d8" stroked="false">
              <v:fill type="solid"/>
            </v:rect>
            <v:rect style="position:absolute;left:1402;top:1795;width:15;height:303" filled="false" stroked="true" strokeweight=".25pt" strokecolor="#0099d8">
              <v:stroke dashstyle="solid"/>
            </v:rect>
            <v:rect style="position:absolute;left:1420;top:1795;width:15;height:353" filled="true" fillcolor="#0099d8" stroked="false">
              <v:fill type="solid"/>
            </v:rect>
            <v:rect style="position:absolute;left:1420;top:1795;width:15;height:353" filled="false" stroked="true" strokeweight=".25pt" strokecolor="#0099d8">
              <v:stroke dashstyle="solid"/>
            </v:rect>
            <v:rect style="position:absolute;left:1437;top:1795;width:15;height:268" filled="true" fillcolor="#0099d8" stroked="false">
              <v:fill type="solid"/>
            </v:rect>
            <v:rect style="position:absolute;left:1437;top:1795;width:15;height:268" filled="false" stroked="true" strokeweight=".25pt" strokecolor="#0099d8">
              <v:stroke dashstyle="solid"/>
            </v:rect>
            <v:rect style="position:absolute;left:1464;top:1795;width:15;height:353" filled="true" fillcolor="#0099d8" stroked="false">
              <v:fill type="solid"/>
            </v:rect>
            <v:rect style="position:absolute;left:1464;top:1795;width:15;height:353" filled="false" stroked="true" strokeweight=".25pt" strokecolor="#0099d8">
              <v:stroke dashstyle="solid"/>
            </v:rect>
            <v:rect style="position:absolute;left:1480;top:1795;width:15;height:285" filled="true" fillcolor="#0099d8" stroked="false">
              <v:fill type="solid"/>
            </v:rect>
            <v:rect style="position:absolute;left:1480;top:1795;width:15;height:285" filled="false" stroked="true" strokeweight=".25pt" strokecolor="#0099d8">
              <v:stroke dashstyle="solid"/>
            </v:rect>
            <v:rect style="position:absolute;left:1496;top:1795;width:15;height:268" filled="true" fillcolor="#0099d8" stroked="false">
              <v:fill type="solid"/>
            </v:rect>
            <v:rect style="position:absolute;left:1496;top:1795;width:15;height:268" filled="false" stroked="true" strokeweight=".25pt" strokecolor="#0099d8">
              <v:stroke dashstyle="solid"/>
            </v:rect>
            <v:rect style="position:absolute;left:1512;top:1645;width:15;height:153" filled="true" fillcolor="#0099d8" stroked="false">
              <v:fill type="solid"/>
            </v:rect>
            <v:rect style="position:absolute;left:1512;top:1645;width:15;height:153" filled="false" stroked="true" strokeweight=".25pt" strokecolor="#0099d8">
              <v:stroke dashstyle="solid"/>
            </v:rect>
            <v:rect style="position:absolute;left:1535;top:1795;width:15;height:153" filled="true" fillcolor="#0099d8" stroked="false">
              <v:fill type="solid"/>
            </v:rect>
            <v:rect style="position:absolute;left:1535;top:1795;width:15;height:153" filled="false" stroked="true" strokeweight=".25pt" strokecolor="#0099d8">
              <v:stroke dashstyle="solid"/>
            </v:rect>
            <v:rect style="position:absolute;left:1552;top:1795;width:15;height:353" filled="true" fillcolor="#0099d8" stroked="false">
              <v:fill type="solid"/>
            </v:rect>
            <v:rect style="position:absolute;left:1552;top:1795;width:15;height:353" filled="false" stroked="true" strokeweight=".25pt" strokecolor="#0099d8">
              <v:stroke dashstyle="solid"/>
            </v:rect>
            <v:rect style="position:absolute;left:1570;top:1795;width:15;height:368" filled="true" fillcolor="#0099d8" stroked="false">
              <v:fill type="solid"/>
            </v:rect>
            <v:rect style="position:absolute;left:1570;top:1795;width:15;height:368" filled="false" stroked="true" strokeweight=".25pt" strokecolor="#0099d8">
              <v:stroke dashstyle="solid"/>
            </v:rect>
            <v:rect style="position:absolute;left:1587;top:1795;width:15;height:835" filled="true" fillcolor="#0099d8" stroked="false">
              <v:fill type="solid"/>
            </v:rect>
            <v:rect style="position:absolute;left:1587;top:1795;width:15;height:835" filled="false" stroked="true" strokeweight=".25pt" strokecolor="#0099d8">
              <v:stroke dashstyle="solid"/>
            </v:rect>
            <v:rect style="position:absolute;left:1610;top:1795;width:15;height:368" filled="true" fillcolor="#0099d8" stroked="false">
              <v:fill type="solid"/>
            </v:rect>
            <v:rect style="position:absolute;left:1610;top:1795;width:15;height:368" filled="false" stroked="true" strokeweight=".25pt" strokecolor="#0099d8">
              <v:stroke dashstyle="solid"/>
            </v:rect>
            <v:rect style="position:absolute;left:1628;top:1795;width:15;height:335" filled="true" fillcolor="#0099d8" stroked="false">
              <v:fill type="solid"/>
            </v:rect>
            <v:rect style="position:absolute;left:1628;top:1795;width:15;height:335" filled="false" stroked="true" strokeweight=".25pt" strokecolor="#0099d8">
              <v:stroke dashstyle="solid"/>
            </v:rect>
            <v:rect style="position:absolute;left:1646;top:1795;width:15;height:218" filled="true" fillcolor="#0099d8" stroked="false">
              <v:fill type="solid"/>
            </v:rect>
            <v:rect style="position:absolute;left:1646;top:1795;width:15;height:218" filled="false" stroked="true" strokeweight=".25pt" strokecolor="#0099d8">
              <v:stroke dashstyle="solid"/>
            </v:rect>
            <v:rect style="position:absolute;left:1664;top:1795;width:15;height:153" filled="true" fillcolor="#0099d8" stroked="false">
              <v:fill type="solid"/>
            </v:rect>
            <v:rect style="position:absolute;left:1664;top:1795;width:15;height:153" filled="false" stroked="true" strokeweight=".25pt" strokecolor="#0099d8">
              <v:stroke dashstyle="solid"/>
            </v:rect>
            <v:rect style="position:absolute;left:1687;top:1795;width:15;height:285" filled="true" fillcolor="#0099d8" stroked="false">
              <v:fill type="solid"/>
            </v:rect>
            <v:rect style="position:absolute;left:1687;top:1795;width:15;height:285" filled="false" stroked="true" strokeweight=".25pt" strokecolor="#0099d8">
              <v:stroke dashstyle="solid"/>
            </v:rect>
            <v:rect style="position:absolute;left:1705;top:1795;width:15;height:18" filled="true" fillcolor="#0099d8" stroked="false">
              <v:fill type="solid"/>
            </v:rect>
            <v:rect style="position:absolute;left:1705;top:1795;width:15;height:18" filled="false" stroked="true" strokeweight=".25pt" strokecolor="#0099d8">
              <v:stroke dashstyle="solid"/>
            </v:rect>
            <v:rect style="position:absolute;left:1723;top:1660;width:15;height:138" filled="true" fillcolor="#0099d8" stroked="false">
              <v:fill type="solid"/>
            </v:rect>
            <v:rect style="position:absolute;left:1723;top:1660;width:15;height:138" filled="false" stroked="true" strokeweight=".25pt" strokecolor="#0099d8">
              <v:stroke dashstyle="solid"/>
            </v:rect>
            <v:rect style="position:absolute;left:1741;top:1727;width:15;height:70" filled="true" fillcolor="#0099d8" stroked="false">
              <v:fill type="solid"/>
            </v:rect>
            <v:rect style="position:absolute;left:1741;top:1727;width:15;height:70" filled="false" stroked="true" strokeweight=".25pt" strokecolor="#0099d8">
              <v:stroke dashstyle="solid"/>
            </v:rect>
            <v:rect style="position:absolute;left:1765;top:1592;width:15;height:205" filled="true" fillcolor="#0099d8" stroked="false">
              <v:fill type="solid"/>
            </v:rect>
            <v:shape style="position:absolute;left:1765;top:1592;width:33;height:288" coordorigin="1765,1593" coordsize="33,288" path="m1765,1593l1780,1593,1780,1798,1765,1798,1765,1593xm1784,1795l1798,1795,1798,1880,1784,1880,1784,1795xe" filled="false" stroked="true" strokeweight=".25pt" strokecolor="#0099d8">
              <v:path arrowok="t"/>
              <v:stroke dashstyle="solid"/>
            </v:shape>
            <v:rect style="position:absolute;left:1801;top:1795;width:15;height:153" filled="true" fillcolor="#0099d8" stroked="false">
              <v:fill type="solid"/>
            </v:rect>
            <v:rect style="position:absolute;left:1801;top:1795;width:15;height:153" filled="false" stroked="true" strokeweight=".25pt" strokecolor="#0099d8">
              <v:stroke dashstyle="solid"/>
            </v:rect>
            <v:rect style="position:absolute;left:1819;top:1760;width:15;height:38" filled="true" fillcolor="#0099d8" stroked="false">
              <v:fill type="solid"/>
            </v:rect>
            <v:rect style="position:absolute;left:1819;top:1760;width:15;height:38" filled="false" stroked="true" strokeweight=".25pt" strokecolor="#0099d8">
              <v:stroke dashstyle="solid"/>
            </v:rect>
            <v:rect style="position:absolute;left:1847;top:1795;width:15;height:53" filled="true" fillcolor="#0099d8" stroked="false">
              <v:fill type="solid"/>
            </v:rect>
            <v:shape style="position:absolute;left:1847;top:1710;width:30;height:138" coordorigin="1848,1710" coordsize="30,138" path="m1848,1795l1862,1795,1862,1848,1848,1848,1848,1795xm1864,1710l1878,1710,1878,1798,1864,1798,1864,1710xe" filled="false" stroked="true" strokeweight=".25pt" strokecolor="#0099d8">
              <v:path arrowok="t"/>
              <v:stroke dashstyle="solid"/>
            </v:shape>
            <v:rect style="position:absolute;left:1879;top:1610;width:15;height:188" filled="true" fillcolor="#0099d8" stroked="false">
              <v:fill type="solid"/>
            </v:rect>
            <v:rect style="position:absolute;left:1879;top:1610;width:15;height:188" filled="false" stroked="true" strokeweight=".25pt" strokecolor="#0099d8">
              <v:stroke dashstyle="solid"/>
            </v:rect>
            <v:rect style="position:absolute;left:1895;top:1760;width:15;height:38" filled="true" fillcolor="#0099d8" stroked="false">
              <v:fill type="solid"/>
            </v:rect>
            <v:rect style="position:absolute;left:1895;top:1760;width:15;height:38" filled="false" stroked="true" strokeweight=".25pt" strokecolor="#0099d8">
              <v:stroke dashstyle="solid"/>
            </v:rect>
            <v:rect style="position:absolute;left:1916;top:1795;width:15;height:218" filled="true" fillcolor="#0099d8" stroked="false">
              <v:fill type="solid"/>
            </v:rect>
            <v:rect style="position:absolute;left:1916;top:1795;width:15;height:218" filled="false" stroked="true" strokeweight=".25pt" strokecolor="#0099d8">
              <v:stroke dashstyle="solid"/>
            </v:rect>
            <v:rect style="position:absolute;left:1933;top:1795;width:15;height:268" filled="true" fillcolor="#0099d8" stroked="false">
              <v:fill type="solid"/>
            </v:rect>
            <v:rect style="position:absolute;left:1933;top:1795;width:15;height:268" filled="false" stroked="true" strokeweight=".25pt" strokecolor="#0099d8">
              <v:stroke dashstyle="solid"/>
            </v:rect>
            <v:rect style="position:absolute;left:1950;top:1795;width:15;height:503" filled="true" fillcolor="#0099d8" stroked="false">
              <v:fill type="solid"/>
            </v:rect>
            <v:rect style="position:absolute;left:1950;top:1795;width:15;height:503" filled="false" stroked="true" strokeweight=".25pt" strokecolor="#0099d8">
              <v:stroke dashstyle="solid"/>
            </v:rect>
            <v:rect style="position:absolute;left:1966;top:1795;width:15;height:285" filled="true" fillcolor="#0099d8" stroked="false">
              <v:fill type="solid"/>
            </v:rect>
            <v:rect style="position:absolute;left:1966;top:1795;width:15;height:285" filled="false" stroked="true" strokeweight=".25pt" strokecolor="#0099d8">
              <v:stroke dashstyle="solid"/>
            </v:rect>
            <v:rect style="position:absolute;left:1991;top:1795;width:15;height:335" filled="true" fillcolor="#0099d8" stroked="false">
              <v:fill type="solid"/>
            </v:rect>
            <v:rect style="position:absolute;left:1991;top:1795;width:15;height:335" filled="false" stroked="true" strokeweight=".25pt" strokecolor="#0099d8">
              <v:stroke dashstyle="solid"/>
            </v:rect>
            <v:rect style="position:absolute;left:2009;top:1795;width:15;height:253" filled="true" fillcolor="#0099d8" stroked="false">
              <v:fill type="solid"/>
            </v:rect>
            <v:rect style="position:absolute;left:2009;top:1795;width:15;height:253" filled="false" stroked="true" strokeweight=".25pt" strokecolor="#0099d8">
              <v:stroke dashstyle="solid"/>
            </v:rect>
            <v:rect style="position:absolute;left:2026;top:1795;width:15;height:285" filled="true" fillcolor="#0099d8" stroked="false">
              <v:fill type="solid"/>
            </v:rect>
            <v:rect style="position:absolute;left:2026;top:1795;width:15;height:285" filled="false" stroked="true" strokeweight=".25pt" strokecolor="#0099d8">
              <v:stroke dashstyle="solid"/>
            </v:rect>
            <v:rect style="position:absolute;left:2044;top:1795;width:15;height:335" filled="true" fillcolor="#0099d8" stroked="false">
              <v:fill type="solid"/>
            </v:rect>
            <v:rect style="position:absolute;left:2044;top:1795;width:15;height:335" filled="false" stroked="true" strokeweight=".25pt" strokecolor="#0099d8">
              <v:stroke dashstyle="solid"/>
            </v:rect>
            <v:rect style="position:absolute;left:2071;top:1795;width:15;height:68" filled="true" fillcolor="#0099d8" stroked="false">
              <v:fill type="solid"/>
            </v:rect>
            <v:rect style="position:absolute;left:2071;top:1795;width:15;height:68" filled="false" stroked="true" strokeweight=".25pt" strokecolor="#0099d8">
              <v:stroke dashstyle="solid"/>
            </v:rect>
            <v:rect style="position:absolute;left:2088;top:1795;width:15;height:35" filled="true" fillcolor="#0099d8" stroked="false">
              <v:fill type="solid"/>
            </v:rect>
            <v:rect style="position:absolute;left:2088;top:1795;width:15;height:35" filled="false" stroked="true" strokeweight=".25pt" strokecolor="#0099d8">
              <v:stroke dashstyle="solid"/>
            </v:rect>
            <v:rect style="position:absolute;left:2106;top:1745;width:15;height:53" filled="true" fillcolor="#0099d8" stroked="false">
              <v:fill type="solid"/>
            </v:rect>
            <v:rect style="position:absolute;left:2106;top:1745;width:15;height:53" filled="false" stroked="true" strokeweight=".25pt" strokecolor="#0099d8">
              <v:stroke dashstyle="solid"/>
            </v:rect>
            <v:rect style="position:absolute;left:2123;top:1795;width:15;height:3" filled="true" fillcolor="#0099d8" stroked="false">
              <v:fill type="solid"/>
            </v:rect>
            <v:rect style="position:absolute;left:2123;top:1795;width:15;height:3" filled="false" stroked="true" strokeweight=".25pt" strokecolor="#0099d8">
              <v:stroke dashstyle="solid"/>
            </v:rect>
            <v:rect style="position:absolute;left:2151;top:1610;width:15;height:188" filled="true" fillcolor="#0099d8" stroked="false">
              <v:fill type="solid"/>
            </v:rect>
            <v:rect style="position:absolute;left:2151;top:1610;width:15;height:188" filled="false" stroked="true" strokeweight=".25pt" strokecolor="#0099d8">
              <v:stroke dashstyle="solid"/>
            </v:rect>
            <v:rect style="position:absolute;left:2169;top:1560;width:15;height:238" filled="true" fillcolor="#0099d8" stroked="false">
              <v:fill type="solid"/>
            </v:rect>
            <v:rect style="position:absolute;left:2169;top:1560;width:15;height:238" filled="false" stroked="true" strokeweight=".25pt" strokecolor="#0099d8">
              <v:stroke dashstyle="solid"/>
            </v:rect>
            <v:rect style="position:absolute;left:2187;top:1795;width:15;height:35" filled="true" fillcolor="#0099d8" stroked="false">
              <v:fill type="solid"/>
            </v:rect>
            <v:rect style="position:absolute;left:2187;top:1795;width:15;height:35" filled="false" stroked="true" strokeweight=".25pt" strokecolor="#0099d8">
              <v:stroke dashstyle="solid"/>
            </v:rect>
            <v:rect style="position:absolute;left:2205;top:1477;width:15;height:320" filled="true" fillcolor="#0099d8" stroked="false">
              <v:fill type="solid"/>
            </v:rect>
            <v:rect style="position:absolute;left:2205;top:1477;width:15;height:320" filled="false" stroked="true" strokeweight=".25pt" strokecolor="#0099d8">
              <v:stroke dashstyle="solid"/>
            </v:rect>
            <v:rect style="position:absolute;left:2230;top:1310;width:15;height:488" filled="true" fillcolor="#0099d8" stroked="false">
              <v:fill type="solid"/>
            </v:rect>
            <v:rect style="position:absolute;left:2230;top:1310;width:15;height:488" filled="false" stroked="true" strokeweight=".25pt" strokecolor="#0099d8">
              <v:stroke dashstyle="solid"/>
            </v:rect>
            <v:rect style="position:absolute;left:2246;top:1492;width:15;height:305" filled="true" fillcolor="#0099d8" stroked="false">
              <v:fill type="solid"/>
            </v:rect>
            <v:rect style="position:absolute;left:2246;top:1492;width:15;height:305" filled="false" stroked="true" strokeweight=".25pt" strokecolor="#0099d8">
              <v:stroke dashstyle="solid"/>
            </v:rect>
            <v:rect style="position:absolute;left:2262;top:1527;width:15;height:270" filled="true" fillcolor="#0099d8" stroked="false">
              <v:fill type="solid"/>
            </v:rect>
            <v:rect style="position:absolute;left:2262;top:1527;width:15;height:270" filled="false" stroked="true" strokeweight=".25pt" strokecolor="#0099d8">
              <v:stroke dashstyle="solid"/>
            </v:rect>
            <v:rect style="position:absolute;left:2277;top:1360;width:15;height:438" filled="true" fillcolor="#0099d8" stroked="false">
              <v:fill type="solid"/>
            </v:rect>
            <v:rect style="position:absolute;left:2277;top:1360;width:15;height:438" filled="false" stroked="true" strokeweight=".25pt" strokecolor="#0099d8">
              <v:stroke dashstyle="solid"/>
            </v:rect>
            <v:rect style="position:absolute;left:2301;top:1292;width:15;height:505" filled="true" fillcolor="#0099d8" stroked="false">
              <v:fill type="solid"/>
            </v:rect>
            <v:rect style="position:absolute;left:2301;top:1292;width:15;height:505" filled="false" stroked="true" strokeweight=".25pt" strokecolor="#0099d8">
              <v:stroke dashstyle="solid"/>
            </v:rect>
            <v:rect style="position:absolute;left:2320;top:1292;width:15;height:505" filled="true" fillcolor="#0099d8" stroked="false">
              <v:fill type="solid"/>
            </v:rect>
            <v:rect style="position:absolute;left:2320;top:1292;width:15;height:505" filled="false" stroked="true" strokeweight=".25pt" strokecolor="#0099d8">
              <v:stroke dashstyle="solid"/>
            </v:rect>
            <v:rect style="position:absolute;left:2340;top:975;width:15;height:823" filled="true" fillcolor="#0099d8" stroked="false">
              <v:fill type="solid"/>
            </v:rect>
            <v:rect style="position:absolute;left:2340;top:975;width:15;height:823" filled="false" stroked="true" strokeweight=".25pt" strokecolor="#0099d8">
              <v:stroke dashstyle="solid"/>
            </v:rect>
            <v:rect style="position:absolute;left:2359;top:1142;width:15;height:655" filled="true" fillcolor="#0099d8" stroked="false">
              <v:fill type="solid"/>
            </v:rect>
            <v:rect style="position:absolute;left:2359;top:1142;width:15;height:655" filled="false" stroked="true" strokeweight=".25pt" strokecolor="#0099d8">
              <v:stroke dashstyle="solid"/>
            </v:rect>
            <v:rect style="position:absolute;left:2379;top:1392;width:15;height:405" filled="true" fillcolor="#0099d8" stroked="false">
              <v:fill type="solid"/>
            </v:rect>
            <v:rect style="position:absolute;left:2379;top:1392;width:15;height:405" filled="false" stroked="true" strokeweight=".25pt" strokecolor="#0099d8">
              <v:stroke dashstyle="solid"/>
            </v:rect>
            <v:rect style="position:absolute;left:2397;top:1327;width:15;height:470" filled="true" fillcolor="#0099d8" stroked="false">
              <v:fill type="solid"/>
            </v:rect>
            <v:rect style="position:absolute;left:2397;top:1327;width:15;height:470" filled="false" stroked="true" strokeweight=".25pt" strokecolor="#0099d8">
              <v:stroke dashstyle="solid"/>
            </v:rect>
            <v:rect style="position:absolute;left:2415;top:1327;width:15;height:470" filled="true" fillcolor="#0099d8" stroked="false">
              <v:fill type="solid"/>
            </v:rect>
            <v:rect style="position:absolute;left:2415;top:1327;width:15;height:470" filled="false" stroked="true" strokeweight=".25pt" strokecolor="#0099d8">
              <v:stroke dashstyle="solid"/>
            </v:rect>
            <v:rect style="position:absolute;left:2432;top:1042;width:15;height:755" filled="true" fillcolor="#0099d8" stroked="false">
              <v:fill type="solid"/>
            </v:rect>
            <v:rect style="position:absolute;left:2432;top:1042;width:15;height:755" filled="false" stroked="true" strokeweight=".25pt" strokecolor="#0099d8">
              <v:stroke dashstyle="solid"/>
            </v:rect>
            <v:rect style="position:absolute;left:2454;top:1760;width:15;height:38" filled="true" fillcolor="#0099d8" stroked="false">
              <v:fill type="solid"/>
            </v:rect>
            <v:rect style="position:absolute;left:2454;top:1760;width:15;height:38" filled="false" stroked="true" strokeweight=".25pt" strokecolor="#0099d8">
              <v:stroke dashstyle="solid"/>
            </v:rect>
            <v:rect style="position:absolute;left:2470;top:1292;width:15;height:505" filled="true" fillcolor="#0099d8" stroked="false">
              <v:fill type="solid"/>
            </v:rect>
            <v:rect style="position:absolute;left:2470;top:1292;width:15;height:505" filled="false" stroked="true" strokeweight=".25pt" strokecolor="#0099d8">
              <v:stroke dashstyle="solid"/>
            </v:rect>
            <v:rect style="position:absolute;left:2486;top:1592;width:15;height:205" filled="true" fillcolor="#0099d8" stroked="false">
              <v:fill type="solid"/>
            </v:rect>
            <v:rect style="position:absolute;left:2486;top:1592;width:15;height:205" filled="false" stroked="true" strokeweight=".25pt" strokecolor="#0099d8">
              <v:stroke dashstyle="solid"/>
            </v:rect>
            <v:rect style="position:absolute;left:2502;top:1527;width:15;height:270" filled="true" fillcolor="#0099d8" stroked="false">
              <v:fill type="solid"/>
            </v:rect>
            <v:rect style="position:absolute;left:2502;top:1527;width:15;height:270" filled="false" stroked="true" strokeweight=".25pt" strokecolor="#0099d8">
              <v:stroke dashstyle="solid"/>
            </v:rect>
            <v:rect style="position:absolute;left:2524;top:1527;width:15;height:270" filled="true" fillcolor="#0099d8" stroked="false">
              <v:fill type="solid"/>
            </v:rect>
            <v:rect style="position:absolute;left:2524;top:1527;width:15;height:270" filled="false" stroked="true" strokeweight=".25pt" strokecolor="#0099d8">
              <v:stroke dashstyle="solid"/>
            </v:rect>
            <v:rect style="position:absolute;left:2542;top:1542;width:15;height:255" filled="true" fillcolor="#0099d8" stroked="false">
              <v:fill type="solid"/>
            </v:rect>
            <v:rect style="position:absolute;left:2542;top:1542;width:15;height:255" filled="false" stroked="true" strokeweight=".25pt" strokecolor="#0099d8">
              <v:stroke dashstyle="solid"/>
            </v:rect>
            <v:rect style="position:absolute;left:2560;top:1242;width:15;height:555" filled="true" fillcolor="#0099d8" stroked="false">
              <v:fill type="solid"/>
            </v:rect>
            <v:rect style="position:absolute;left:2560;top:1242;width:15;height:555" filled="false" stroked="true" strokeweight=".25pt" strokecolor="#0099d8">
              <v:stroke dashstyle="solid"/>
            </v:rect>
            <v:rect style="position:absolute;left:2577;top:1142;width:15;height:655" filled="true" fillcolor="#0099d8" stroked="false">
              <v:fill type="solid"/>
            </v:rect>
            <v:rect style="position:absolute;left:2577;top:1142;width:15;height:655" filled="false" stroked="true" strokeweight=".25pt" strokecolor="#0099d8">
              <v:stroke dashstyle="solid"/>
            </v:rect>
            <v:rect style="position:absolute;left:2602;top:992;width:15;height:805" filled="true" fillcolor="#0099d8" stroked="false">
              <v:fill type="solid"/>
            </v:rect>
            <v:rect style="position:absolute;left:2602;top:992;width:15;height:805" filled="false" stroked="true" strokeweight=".25pt" strokecolor="#0099d8">
              <v:stroke dashstyle="solid"/>
            </v:rect>
            <v:rect style="position:absolute;left:2620;top:1192;width:15;height:605" filled="true" fillcolor="#0099d8" stroked="false">
              <v:fill type="solid"/>
            </v:rect>
            <v:rect style="position:absolute;left:2620;top:1192;width:15;height:605" filled="false" stroked="true" strokeweight=".25pt" strokecolor="#0099d8">
              <v:stroke dashstyle="solid"/>
            </v:rect>
            <v:rect style="position:absolute;left:2638;top:1492;width:15;height:305" filled="true" fillcolor="#0099d8" stroked="false">
              <v:fill type="solid"/>
            </v:rect>
            <v:rect style="position:absolute;left:2638;top:1492;width:15;height:305" filled="false" stroked="true" strokeweight=".25pt" strokecolor="#0099d8">
              <v:stroke dashstyle="solid"/>
            </v:rect>
            <v:rect style="position:absolute;left:2656;top:1360;width:15;height:438" filled="true" fillcolor="#0099d8" stroked="false">
              <v:fill type="solid"/>
            </v:rect>
            <v:rect style="position:absolute;left:2656;top:1360;width:15;height:438" filled="false" stroked="true" strokeweight=".25pt" strokecolor="#0099d8">
              <v:stroke dashstyle="solid"/>
            </v:rect>
            <v:rect style="position:absolute;left:2681;top:1442;width:15;height:355" filled="true" fillcolor="#0099d8" stroked="false">
              <v:fill type="solid"/>
            </v:rect>
            <v:rect style="position:absolute;left:2681;top:1442;width:15;height:355" filled="false" stroked="true" strokeweight=".25pt" strokecolor="#0099d8">
              <v:stroke dashstyle="solid"/>
            </v:rect>
            <v:rect style="position:absolute;left:2698;top:1542;width:15;height:255" filled="true" fillcolor="#0099d8" stroked="false">
              <v:fill type="solid"/>
            </v:rect>
            <v:rect style="position:absolute;left:2698;top:1542;width:15;height:255" filled="false" stroked="true" strokeweight=".25pt" strokecolor="#0099d8">
              <v:stroke dashstyle="solid"/>
            </v:rect>
            <v:rect style="position:absolute;left:2715;top:1510;width:15;height:288" filled="true" fillcolor="#0099d8" stroked="false">
              <v:fill type="solid"/>
            </v:rect>
            <v:rect style="position:absolute;left:2715;top:1510;width:15;height:288" filled="false" stroked="true" strokeweight=".25pt" strokecolor="#0099d8">
              <v:stroke dashstyle="solid"/>
            </v:rect>
            <v:rect style="position:absolute;left:2731;top:1360;width:15;height:438" filled="true" fillcolor="#0099d8" stroked="false">
              <v:fill type="solid"/>
            </v:rect>
            <v:rect style="position:absolute;left:2731;top:1360;width:15;height:438" filled="false" stroked="true" strokeweight=".25pt" strokecolor="#0099d8">
              <v:stroke dashstyle="solid"/>
            </v:rect>
            <v:rect style="position:absolute;left:2757;top:1610;width:15;height:188" filled="true" fillcolor="#0099d8" stroked="false">
              <v:fill type="solid"/>
            </v:rect>
            <v:rect style="position:absolute;left:2757;top:1610;width:15;height:188" filled="false" stroked="true" strokeweight=".25pt" strokecolor="#0099d8">
              <v:stroke dashstyle="solid"/>
            </v:rect>
            <v:rect style="position:absolute;left:2776;top:1760;width:15;height:38" filled="true" fillcolor="#0099d8" stroked="false">
              <v:fill type="solid"/>
            </v:rect>
            <v:shape style="position:absolute;left:2776;top:1677;width:33;height:120" coordorigin="2776,1678" coordsize="33,120" path="m2776,1760l2790,1760,2790,1798,2776,1798,2776,1760xm2795,1678l2809,1678,2809,1798,2795,1798,2795,1678xe" filled="false" stroked="true" strokeweight=".25pt" strokecolor="#0099d8">
              <v:path arrowok="t"/>
              <v:stroke dashstyle="solid"/>
            </v:shape>
            <v:rect style="position:absolute;left:2812;top:1795;width:15;height:3" filled="true" fillcolor="#0099d8" stroked="false">
              <v:fill type="solid"/>
            </v:rect>
            <v:shape style="position:absolute;left:2812;top:1710;width:40;height:88" coordorigin="2813,1710" coordsize="40,88" path="m2813,1795l2827,1795,2827,1798,2813,1798,2813,1795xm2838,1710l2852,1710,2852,1798,2838,1798,2838,1710xe" filled="false" stroked="true" strokeweight=".25pt" strokecolor="#0099d8">
              <v:path arrowok="t"/>
              <v:stroke dashstyle="solid"/>
            </v:shape>
            <v:rect style="position:absolute;left:2854;top:1795;width:15;height:185" filled="true" fillcolor="#0099d8" stroked="false">
              <v:fill type="solid"/>
            </v:rect>
            <v:rect style="position:absolute;left:2854;top:1795;width:15;height:185" filled="false" stroked="true" strokeweight=".25pt" strokecolor="#0099d8">
              <v:stroke dashstyle="solid"/>
            </v:rect>
            <v:rect style="position:absolute;left:2871;top:1795;width:15;height:68" filled="true" fillcolor="#0099d8" stroked="false">
              <v:fill type="solid"/>
            </v:rect>
            <v:rect style="position:absolute;left:2871;top:1795;width:15;height:68" filled="false" stroked="true" strokeweight=".25pt" strokecolor="#0099d8">
              <v:stroke dashstyle="solid"/>
            </v:rect>
            <v:rect style="position:absolute;left:2887;top:1795;width:15;height:185" filled="true" fillcolor="#0099d8" stroked="false">
              <v:fill type="solid"/>
            </v:rect>
            <v:shape style="position:absolute;left:2887;top:1795;width:38;height:185" coordorigin="2888,1795" coordsize="38,185" path="m2888,1795l2902,1795,2902,1980,2888,1980,2888,1795xm2912,1795l2926,1795,2926,1913,2912,1913,2912,1795xe" filled="false" stroked="true" strokeweight=".25pt" strokecolor="#0099d8">
              <v:path arrowok="t"/>
              <v:stroke dashstyle="solid"/>
            </v:shape>
            <v:rect style="position:absolute;left:2929;top:1527;width:15;height:270" filled="true" fillcolor="#0099d8" stroked="false">
              <v:fill type="solid"/>
            </v:rect>
            <v:rect style="position:absolute;left:2929;top:1527;width:15;height:270" filled="false" stroked="true" strokeweight=".25pt" strokecolor="#0099d8">
              <v:stroke dashstyle="solid"/>
            </v:rect>
            <v:rect style="position:absolute;left:2947;top:1592;width:15;height:205" filled="true" fillcolor="#0099d8" stroked="false">
              <v:fill type="solid"/>
            </v:rect>
            <v:rect style="position:absolute;left:2947;top:1592;width:15;height:205" filled="false" stroked="true" strokeweight=".25pt" strokecolor="#0099d8">
              <v:stroke dashstyle="solid"/>
            </v:rect>
            <v:rect style="position:absolute;left:2965;top:1727;width:15;height:70" filled="true" fillcolor="#0099d8" stroked="false">
              <v:fill type="solid"/>
            </v:rect>
            <v:rect style="position:absolute;left:2965;top:1727;width:15;height:70" filled="false" stroked="true" strokeweight=".25pt" strokecolor="#0099d8">
              <v:stroke dashstyle="solid"/>
            </v:rect>
            <v:rect style="position:absolute;left:2996;top:1727;width:15;height:70" filled="true" fillcolor="#0099d8" stroked="false">
              <v:fill type="solid"/>
            </v:rect>
            <v:rect style="position:absolute;left:2996;top:1727;width:15;height:70" filled="false" stroked="true" strokeweight=".25pt" strokecolor="#0099d8">
              <v:stroke dashstyle="solid"/>
            </v:rect>
            <v:rect style="position:absolute;left:3012;top:1795;width:15;height:53" filled="true" fillcolor="#0099d8" stroked="false">
              <v:fill type="solid"/>
            </v:rect>
            <v:shape style="position:absolute;left:3012;top:1795;width:31;height:85" coordorigin="3013,1795" coordsize="31,85" path="m3013,1795l3027,1795,3027,1848,3013,1848,3013,1795xm3029,1795l3043,1795,3043,1880,3029,1880,3029,1795xe" filled="false" stroked="true" strokeweight=".25pt" strokecolor="#0099d8">
              <v:path arrowok="t"/>
              <v:stroke dashstyle="solid"/>
            </v:shape>
            <v:rect style="position:absolute;left:3045;top:1795;width:15;height:18" filled="true" fillcolor="#0099d8" stroked="false">
              <v:fill type="solid"/>
            </v:rect>
            <v:rect style="position:absolute;left:3045;top:1795;width:15;height:18" filled="false" stroked="true" strokeweight=".25pt" strokecolor="#0099d8">
              <v:stroke dashstyle="solid"/>
            </v:rect>
            <v:rect style="position:absolute;left:3070;top:1592;width:15;height:205" filled="true" fillcolor="#0099d8" stroked="false">
              <v:fill type="solid"/>
            </v:rect>
            <v:rect style="position:absolute;left:3070;top:1592;width:15;height:205" filled="false" stroked="true" strokeweight=".25pt" strokecolor="#0099d8">
              <v:stroke dashstyle="solid"/>
            </v:rect>
            <v:rect style="position:absolute;left:3086;top:1795;width:15;height:153" filled="true" fillcolor="#0099d8" stroked="false">
              <v:fill type="solid"/>
            </v:rect>
            <v:rect style="position:absolute;left:3086;top:1795;width:15;height:153" filled="false" stroked="true" strokeweight=".25pt" strokecolor="#0099d8">
              <v:stroke dashstyle="solid"/>
            </v:rect>
            <v:rect style="position:absolute;left:3102;top:1795;width:15;height:218" filled="true" fillcolor="#0099d8" stroked="false">
              <v:fill type="solid"/>
            </v:rect>
            <v:rect style="position:absolute;left:3102;top:1795;width:15;height:218" filled="false" stroked="true" strokeweight=".25pt" strokecolor="#0099d8">
              <v:stroke dashstyle="solid"/>
            </v:rect>
            <v:rect style="position:absolute;left:3119;top:1795;width:15;height:368" filled="true" fillcolor="#0099d8" stroked="false">
              <v:fill type="solid"/>
            </v:rect>
            <v:rect style="position:absolute;left:3119;top:1795;width:15;height:368" filled="false" stroked="true" strokeweight=".25pt" strokecolor="#0099d8">
              <v:stroke dashstyle="solid"/>
            </v:rect>
            <v:rect style="position:absolute;left:3146;top:1795;width:15;height:535" filled="true" fillcolor="#0099d8" stroked="false">
              <v:fill type="solid"/>
            </v:rect>
            <v:rect style="position:absolute;left:3146;top:1795;width:15;height:535" filled="false" stroked="true" strokeweight=".25pt" strokecolor="#0099d8">
              <v:stroke dashstyle="solid"/>
            </v:rect>
            <v:rect style="position:absolute;left:3161;top:1795;width:15;height:670" filled="true" fillcolor="#0099d8" stroked="false">
              <v:fill type="solid"/>
            </v:rect>
            <v:rect style="position:absolute;left:3161;top:1795;width:15;height:670" filled="false" stroked="true" strokeweight=".25pt" strokecolor="#0099d8">
              <v:stroke dashstyle="solid"/>
            </v:rect>
            <v:rect style="position:absolute;left:3177;top:1795;width:15;height:803" filled="true" fillcolor="#0099d8" stroked="false">
              <v:fill type="solid"/>
            </v:rect>
            <v:rect style="position:absolute;left:3177;top:1795;width:15;height:803" filled="false" stroked="true" strokeweight=".25pt" strokecolor="#0099d8">
              <v:stroke dashstyle="solid"/>
            </v:rect>
            <v:rect style="position:absolute;left:3192;top:1795;width:15;height:1288" filled="true" fillcolor="#0099d8" stroked="false">
              <v:fill type="solid"/>
            </v:rect>
            <v:rect style="position:absolute;left:3192;top:1795;width:15;height:1288" filled="false" stroked="true" strokeweight=".25pt" strokecolor="#0099d8">
              <v:stroke dashstyle="solid"/>
            </v:rect>
            <v:rect style="position:absolute;left:3220;top:1795;width:15;height:1103" filled="true" fillcolor="#0099d8" stroked="false">
              <v:fill type="solid"/>
            </v:rect>
            <v:rect style="position:absolute;left:3220;top:1795;width:15;height:1103" filled="false" stroked="true" strokeweight=".25pt" strokecolor="#0099d8">
              <v:stroke dashstyle="solid"/>
            </v:rect>
            <v:rect style="position:absolute;left:3237;top:1795;width:15;height:1053" filled="true" fillcolor="#0099d8" stroked="false">
              <v:fill type="solid"/>
            </v:rect>
            <v:rect style="position:absolute;left:3237;top:1795;width:15;height:1053" filled="false" stroked="true" strokeweight=".25pt" strokecolor="#0099d8">
              <v:stroke dashstyle="solid"/>
            </v:rect>
            <v:rect style="position:absolute;left:3255;top:1795;width:15;height:1070" filled="true" fillcolor="#0099d8" stroked="false">
              <v:fill type="solid"/>
            </v:rect>
            <v:rect style="position:absolute;left:3255;top:1795;width:15;height:1070" filled="false" stroked="true" strokeweight=".25pt" strokecolor="#0099d8">
              <v:stroke dashstyle="solid"/>
            </v:rect>
            <v:rect style="position:absolute;left:3272;top:1795;width:15;height:820" filled="true" fillcolor="#0099d8" stroked="false">
              <v:fill type="solid"/>
            </v:rect>
            <v:rect style="position:absolute;left:3272;top:1795;width:15;height:820" filled="false" stroked="true" strokeweight=".25pt" strokecolor="#0099d8">
              <v:stroke dashstyle="solid"/>
            </v:rect>
            <v:rect style="position:absolute;left:3300;top:1795;width:15;height:870" filled="true" fillcolor="#0099d8" stroked="false">
              <v:fill type="solid"/>
            </v:rect>
            <v:rect style="position:absolute;left:3300;top:1795;width:15;height:870" filled="false" stroked="true" strokeweight=".25pt" strokecolor="#0099d8">
              <v:stroke dashstyle="solid"/>
            </v:rect>
            <v:rect style="position:absolute;left:3316;top:1795;width:15;height:835" filled="true" fillcolor="#0099d8" stroked="false">
              <v:fill type="solid"/>
            </v:rect>
            <v:rect style="position:absolute;left:3316;top:1795;width:15;height:835" filled="false" stroked="true" strokeweight=".25pt" strokecolor="#0099d8">
              <v:stroke dashstyle="solid"/>
            </v:rect>
            <v:rect style="position:absolute;left:3332;top:1795;width:15;height:753" filled="true" fillcolor="#0099d8" stroked="false">
              <v:fill type="solid"/>
            </v:rect>
            <v:rect style="position:absolute;left:3332;top:1795;width:15;height:753" filled="false" stroked="true" strokeweight=".25pt" strokecolor="#0099d8">
              <v:stroke dashstyle="solid"/>
            </v:rect>
            <v:rect style="position:absolute;left:3349;top:1795;width:15;height:553" filled="true" fillcolor="#0099d8" stroked="false">
              <v:fill type="solid"/>
            </v:rect>
            <v:rect style="position:absolute;left:3349;top:1795;width:15;height:553" filled="false" stroked="true" strokeweight=".25pt" strokecolor="#0099d8">
              <v:stroke dashstyle="solid"/>
            </v:rect>
            <v:rect style="position:absolute;left:3376;top:1795;width:15;height:585" filled="true" fillcolor="#0099d8" stroked="false">
              <v:fill type="solid"/>
            </v:rect>
            <v:rect style="position:absolute;left:3376;top:1795;width:15;height:585" filled="false" stroked="true" strokeweight=".25pt" strokecolor="#0099d8">
              <v:stroke dashstyle="solid"/>
            </v:rect>
            <v:rect style="position:absolute;left:3393;top:1795;width:15;height:335" filled="true" fillcolor="#0099d8" stroked="false">
              <v:fill type="solid"/>
            </v:rect>
            <v:rect style="position:absolute;left:3393;top:1795;width:15;height:335" filled="false" stroked="true" strokeweight=".25pt" strokecolor="#0099d8">
              <v:stroke dashstyle="solid"/>
            </v:rect>
            <v:rect style="position:absolute;left:3410;top:1795;width:15;height:318" filled="true" fillcolor="#0099d8" stroked="false">
              <v:fill type="solid"/>
            </v:rect>
            <v:rect style="position:absolute;left:3410;top:1795;width:15;height:318" filled="false" stroked="true" strokeweight=".25pt" strokecolor="#0099d8">
              <v:stroke dashstyle="solid"/>
            </v:rect>
            <v:rect style="position:absolute;left:3427;top:1795;width:15;height:485" filled="true" fillcolor="#0099d8" stroked="false">
              <v:fill type="solid"/>
            </v:rect>
            <v:rect style="position:absolute;left:3427;top:1795;width:15;height:485" filled="false" stroked="true" strokeweight=".25pt" strokecolor="#0099d8">
              <v:stroke dashstyle="solid"/>
            </v:rect>
            <v:rect style="position:absolute;left:3454;top:1795;width:15;height:535" filled="true" fillcolor="#0099d8" stroked="false">
              <v:fill type="solid"/>
            </v:rect>
            <v:rect style="position:absolute;left:3454;top:1795;width:15;height:535" filled="false" stroked="true" strokeweight=".25pt" strokecolor="#0099d8">
              <v:stroke dashstyle="solid"/>
            </v:rect>
            <v:rect style="position:absolute;left:3472;top:1795;width:15;height:653" filled="true" fillcolor="#0099d8" stroked="false">
              <v:fill type="solid"/>
            </v:rect>
            <v:rect style="position:absolute;left:3472;top:1795;width:15;height:653" filled="false" stroked="true" strokeweight=".25pt" strokecolor="#0099d8">
              <v:stroke dashstyle="solid"/>
            </v:rect>
            <v:rect style="position:absolute;left:3490;top:1795;width:15;height:685" filled="true" fillcolor="#0099d8" stroked="false">
              <v:fill type="solid"/>
            </v:rect>
            <v:rect style="position:absolute;left:3490;top:1795;width:15;height:685" filled="false" stroked="true" strokeweight=".25pt" strokecolor="#0099d8">
              <v:stroke dashstyle="solid"/>
            </v:rect>
            <v:rect style="position:absolute;left:3507;top:1795;width:15;height:620" filled="true" fillcolor="#0099d8" stroked="false">
              <v:fill type="solid"/>
            </v:rect>
            <v:rect style="position:absolute;left:3507;top:1795;width:15;height:620" filled="false" stroked="true" strokeweight=".25pt" strokecolor="#0099d8">
              <v:stroke dashstyle="solid"/>
            </v:rect>
            <v:rect style="position:absolute;left:3532;top:1795;width:15;height:603" filled="true" fillcolor="#0099d8" stroked="false">
              <v:fill type="solid"/>
            </v:rect>
            <v:rect style="position:absolute;left:3532;top:1795;width:15;height:603" filled="false" stroked="true" strokeweight=".25pt" strokecolor="#0099d8">
              <v:stroke dashstyle="solid"/>
            </v:rect>
            <v:rect style="position:absolute;left:3548;top:1795;width:15;height:570" filled="true" fillcolor="#0099d8" stroked="false">
              <v:fill type="solid"/>
            </v:rect>
            <v:rect style="position:absolute;left:3548;top:1795;width:15;height:570" filled="false" stroked="true" strokeweight=".25pt" strokecolor="#0099d8">
              <v:stroke dashstyle="solid"/>
            </v:rect>
            <v:rect style="position:absolute;left:3564;top:1795;width:15;height:603" filled="true" fillcolor="#0099d8" stroked="false">
              <v:fill type="solid"/>
            </v:rect>
            <v:rect style="position:absolute;left:3564;top:1795;width:15;height:603" filled="false" stroked="true" strokeweight=".25pt" strokecolor="#0099d8">
              <v:stroke dashstyle="solid"/>
            </v:rect>
            <v:rect style="position:absolute;left:3580;top:1795;width:15;height:585" filled="true" fillcolor="#0099d8" stroked="false">
              <v:fill type="solid"/>
            </v:rect>
            <v:rect style="position:absolute;left:3580;top:1795;width:15;height:585" filled="false" stroked="true" strokeweight=".25pt" strokecolor="#0099d8">
              <v:stroke dashstyle="solid"/>
            </v:rect>
            <v:rect style="position:absolute;left:3604;top:1795;width:15;height:468" filled="true" fillcolor="#0099d8" stroked="false">
              <v:fill type="solid"/>
            </v:rect>
            <v:rect style="position:absolute;left:3604;top:1795;width:15;height:468" filled="false" stroked="true" strokeweight=".25pt" strokecolor="#0099d8">
              <v:stroke dashstyle="solid"/>
            </v:rect>
            <v:rect style="position:absolute;left:3624;top:1795;width:15;height:418" filled="true" fillcolor="#0099d8" stroked="false">
              <v:fill type="solid"/>
            </v:rect>
            <v:rect style="position:absolute;left:3624;top:1795;width:15;height:418" filled="false" stroked="true" strokeweight=".25pt" strokecolor="#0099d8">
              <v:stroke dashstyle="solid"/>
            </v:rect>
            <v:rect style="position:absolute;left:3644;top:1795;width:15;height:218" filled="true" fillcolor="#0099d8" stroked="false">
              <v:fill type="solid"/>
            </v:rect>
            <v:rect style="position:absolute;left:3644;top:1795;width:15;height:218" filled="false" stroked="true" strokeweight=".25pt" strokecolor="#0099d8">
              <v:stroke dashstyle="solid"/>
            </v:rect>
            <v:rect style="position:absolute;left:3664;top:1795;width:15;height:303" filled="true" fillcolor="#0099d8" stroked="false">
              <v:fill type="solid"/>
            </v:rect>
            <v:rect style="position:absolute;left:3664;top:1795;width:15;height:303" filled="false" stroked="true" strokeweight=".25pt" strokecolor="#0099d8">
              <v:stroke dashstyle="solid"/>
            </v:rect>
            <v:rect style="position:absolute;left:3685;top:1745;width:15;height:53" filled="true" fillcolor="#0099d8" stroked="false">
              <v:fill type="solid"/>
            </v:rect>
            <v:rect style="position:absolute;left:3685;top:1745;width:15;height:53" filled="false" stroked="true" strokeweight=".25pt" strokecolor="#0099d8">
              <v:stroke dashstyle="solid"/>
            </v:rect>
            <v:rect style="position:absolute;left:3702;top:1795;width:15;height:235" filled="true" fillcolor="#0099d8" stroked="false">
              <v:fill type="solid"/>
            </v:rect>
            <v:shape style="position:absolute;left:3702;top:1795;width:50;height:235" coordorigin="3703,1795" coordsize="50,235" path="m3703,1795l3717,1795,3717,2030,3703,2030,3703,1795xm3720,1795l3735,1795,3735,1913,3720,1913,3720,1795xm3738,1795l3752,1795,3752,1898,3738,1898,3738,1795xe" filled="false" stroked="true" strokeweight=".25pt" strokecolor="#0099d8">
              <v:path arrowok="t"/>
              <v:stroke dashstyle="solid"/>
            </v:shape>
            <v:rect style="position:absolute;left:3764;top:1795;width:15;height:285" filled="true" fillcolor="#0099d8" stroked="false">
              <v:fill type="solid"/>
            </v:rect>
            <v:rect style="position:absolute;left:3764;top:1795;width:15;height:285" filled="false" stroked="true" strokeweight=".25pt" strokecolor="#0099d8">
              <v:stroke dashstyle="solid"/>
            </v:rect>
            <v:rect style="position:absolute;left:3780;top:1795;width:15;height:218" filled="true" fillcolor="#0099d8" stroked="false">
              <v:fill type="solid"/>
            </v:rect>
            <v:rect style="position:absolute;left:3780;top:1795;width:15;height:218" filled="false" stroked="true" strokeweight=".25pt" strokecolor="#0099d8">
              <v:stroke dashstyle="solid"/>
            </v:rect>
            <v:rect style="position:absolute;left:3795;top:1795;width:15;height:218" filled="true" fillcolor="#0099d8" stroked="false">
              <v:fill type="solid"/>
            </v:rect>
            <v:rect style="position:absolute;left:3795;top:1795;width:15;height:218" filled="false" stroked="true" strokeweight=".25pt" strokecolor="#0099d8">
              <v:stroke dashstyle="solid"/>
            </v:rect>
            <v:rect style="position:absolute;left:3811;top:1795;width:15;height:153" filled="true" fillcolor="#0099d8" stroked="false">
              <v:fill type="solid"/>
            </v:rect>
            <v:rect style="position:absolute;left:3811;top:1795;width:15;height:153" filled="false" stroked="true" strokeweight=".25pt" strokecolor="#0099d8">
              <v:stroke dashstyle="solid"/>
            </v:rect>
            <v:rect style="position:absolute;left:3832;top:1795;width:15;height:153" filled="true" fillcolor="#0099d8" stroked="false">
              <v:fill type="solid"/>
            </v:rect>
            <v:rect style="position:absolute;left:3832;top:1795;width:15;height:153" filled="false" stroked="true" strokeweight=".25pt" strokecolor="#0099d8">
              <v:stroke dashstyle="solid"/>
            </v:rect>
            <v:rect style="position:absolute;left:3851;top:1795;width:15;height:318" filled="true" fillcolor="#0099d8" stroked="false">
              <v:fill type="solid"/>
            </v:rect>
            <v:rect style="position:absolute;left:3851;top:1795;width:15;height:318" filled="false" stroked="true" strokeweight=".25pt" strokecolor="#0099d8">
              <v:stroke dashstyle="solid"/>
            </v:rect>
            <v:rect style="position:absolute;left:3869;top:1795;width:15;height:235" filled="true" fillcolor="#0099d8" stroked="false">
              <v:fill type="solid"/>
            </v:rect>
            <v:rect style="position:absolute;left:3869;top:1795;width:15;height:235" filled="false" stroked="true" strokeweight=".25pt" strokecolor="#0099d8">
              <v:stroke dashstyle="solid"/>
            </v:rect>
            <v:rect style="position:absolute;left:3887;top:1795;width:15;height:453" filled="true" fillcolor="#0099d8" stroked="false">
              <v:fill type="solid"/>
            </v:rect>
            <v:rect style="position:absolute;left:3887;top:1795;width:15;height:453" filled="false" stroked="true" strokeweight=".25pt" strokecolor="#0099d8">
              <v:stroke dashstyle="solid"/>
            </v:rect>
            <v:rect style="position:absolute;left:3911;top:1795;width:15;height:570" filled="true" fillcolor="#0099d8" stroked="false">
              <v:fill type="solid"/>
            </v:rect>
            <v:rect style="position:absolute;left:3911;top:1795;width:15;height:570" filled="false" stroked="true" strokeweight=".25pt" strokecolor="#0099d8">
              <v:stroke dashstyle="solid"/>
            </v:rect>
            <v:rect style="position:absolute;left:3930;top:1795;width:15;height:635" filled="true" fillcolor="#0099d8" stroked="false">
              <v:fill type="solid"/>
            </v:rect>
            <v:rect style="position:absolute;left:3930;top:1795;width:15;height:635" filled="false" stroked="true" strokeweight=".25pt" strokecolor="#0099d8">
              <v:stroke dashstyle="solid"/>
            </v:rect>
            <v:rect style="position:absolute;left:3949;top:1795;width:15;height:720" filled="true" fillcolor="#0099d8" stroked="false">
              <v:fill type="solid"/>
            </v:rect>
            <v:rect style="position:absolute;left:3949;top:1795;width:15;height:720" filled="false" stroked="true" strokeweight=".25pt" strokecolor="#0099d8">
              <v:stroke dashstyle="solid"/>
            </v:rect>
            <v:rect style="position:absolute;left:3967;top:1795;width:15;height:953" filled="true" fillcolor="#0099d8" stroked="false">
              <v:fill type="solid"/>
            </v:rect>
            <v:rect style="position:absolute;left:3967;top:1795;width:15;height:953" filled="false" stroked="true" strokeweight=".25pt" strokecolor="#0099d8">
              <v:stroke dashstyle="solid"/>
            </v:rect>
            <v:shape style="position:absolute;left:1852;top:787;width:438;height:438" type="#_x0000_t75" stroked="false">
              <v:imagedata r:id="rId62" o:title=""/>
            </v:shape>
            <v:shape style="position:absolute;left:1015;top:492;width:2970;height:2638" coordorigin="1015,493" coordsize="2970,2638" path="m1015,1795l1032,2078,1047,2095,1080,1895,1095,1710,1112,1828,1127,1543,1142,1645,1175,1578,1192,1493,1207,1645,1222,1610,1240,1478,1270,1593,1287,1628,1302,1728,1320,2010,1335,1910,1367,2060,1382,1995,1400,1760,1415,1828,1430,1828,1462,1660,1477,1860,1495,1745,1510,1710,1527,1293,1557,1593,1575,1878,1590,1778,1607,2395,1622,2010,1655,1960,1670,1778,1685,1778,1702,1660,1717,1543,1750,1328,1765,1460,1782,1078,1797,1443,1815,1510,1845,1328,1862,1343,1877,1293,1892,1060,1910,1310,1942,1510,1957,1510,1972,1928,1990,1695,2005,2028,2037,1945,2052,2160,2070,2278,2085,2695,2100,2895,2132,2713,2150,2728,2165,2195,2180,2128,2197,2413,2230,1978,2245,1578,2260,2045,2277,2110,2292,2010,2325,1945,2340,1995,2357,1543,2372,1560,2387,1745,2405,1443,2437,1645,2452,1493,2467,1995,2485,1695,2517,1610,2532,1860,2547,1710,2565,1860,2580,1278,2612,975,2627,493,2645,1110,2660,1628,2675,1293,2692,1228,2725,1710,2740,1560,2755,1178,2772,1243,2787,1810,2820,1393,2835,1628,2852,1410,2867,1860,2900,1878,2915,1645,2932,1960,2947,1410,2962,1560,2995,1628,3010,1678,3027,1910,3042,2178,3060,2010,3075,1678,3107,2078,3122,2195,3140,2528,3155,2595,3170,2595,3202,2613,3217,3130,3235,2913,3250,2963,3267,3130,3297,2778,3315,2963,3330,2878,3347,2463,3362,2413,3395,2328,3410,1978,3425,2195,3442,2128,3457,2145,3490,2245,3505,2210,3522,2228,3537,2295,3555,2260,3585,2178,3602,2128,3617,1928,3632,1978,3650,1810,3682,1695,3697,1695,3712,2145,3730,1995,3745,1878,3777,1995,3792,1778,3810,1860,3825,1628,3840,1528,3872,1578,3890,1543,3905,1728,3920,1878,3937,1945,3970,1510,3985,1678e" filled="false" stroked="true" strokeweight="1pt" strokecolor="#ed1b2d">
              <v:path arrowok="t"/>
              <v:stroke dashstyle="solid"/>
            </v:shape>
            <v:shape style="position:absolute;left:860;top:795;width:3269;height:1981" coordorigin="861,796" coordsize="3269,1981" path="m874,1784l954,1784m4049,1784l4129,1784m870,1297l950,1297m4046,1296l4126,1296m866,796l946,796m4041,796l4121,796m866,2289l946,2289m4041,2289l4121,2289m861,2776l941,2776m4036,2776l4116,2776e" filled="false" stroked="true" strokeweight=".5pt" strokecolor="#000000">
              <v:path arrowok="t"/>
              <v:stroke dashstyle="solid"/>
            </v:shape>
            <v:shape style="position:absolute;left:993;top:1796;width:2994;height:2" coordorigin="993,1796" coordsize="2994,0" path="m3987,1796l993,1796e" filled="true" fillcolor="#ffffff" stroked="false">
              <v:path arrowok="t"/>
              <v:fill type="solid"/>
            </v:shape>
            <v:line style="position:absolute" from="993,1796" to="3987,1796" stroked="true" strokeweight=".5pt" strokecolor="#231f20">
              <v:stroke dashstyle="solid"/>
            </v:line>
            <v:shape style="position:absolute;left:1425;top:655;width:1117;height:134" type="#_x0000_t202" filled="false" stroked="false">
              <v:textbox inset="0,0,0,0">
                <w:txbxContent>
                  <w:p>
                    <w:pPr>
                      <w:spacing w:line="133" w:lineRule="exact" w:before="0"/>
                      <w:ind w:left="0" w:right="0" w:firstLine="0"/>
                      <w:jc w:val="left"/>
                      <w:rPr>
                        <w:sz w:val="12"/>
                      </w:rPr>
                    </w:pPr>
                    <w:r>
                      <w:rPr>
                        <w:color w:val="231F20"/>
                        <w:sz w:val="12"/>
                      </w:rPr>
                      <w:t>Goods and services (a)</w:t>
                    </w:r>
                  </w:p>
                </w:txbxContent>
              </v:textbox>
              <w10:wrap type="none"/>
            </v:shape>
            <v:shape style="position:absolute;left:4080;top:1492;width:111;height:526" type="#_x0000_t202" filled="false" stroked="false">
              <v:textbox inset="0,0,0,0">
                <w:txbxContent>
                  <w:p>
                    <w:pPr>
                      <w:spacing w:line="177" w:lineRule="exact" w:before="0"/>
                      <w:ind w:left="0" w:right="0" w:firstLine="0"/>
                      <w:jc w:val="left"/>
                      <w:rPr>
                        <w:sz w:val="16"/>
                      </w:rPr>
                    </w:pPr>
                    <w:r>
                      <w:rPr>
                        <w:color w:val="231F20"/>
                        <w:sz w:val="16"/>
                      </w:rPr>
                      <w:t>+</w:t>
                    </w:r>
                  </w:p>
                  <w:p>
                    <w:pPr>
                      <w:spacing w:line="240" w:lineRule="auto" w:before="3"/>
                      <w:rPr>
                        <w:sz w:val="14"/>
                      </w:rPr>
                    </w:pPr>
                  </w:p>
                  <w:p>
                    <w:pPr>
                      <w:spacing w:before="0"/>
                      <w:ind w:left="5" w:right="0" w:firstLine="0"/>
                      <w:jc w:val="left"/>
                      <w:rPr>
                        <w:sz w:val="16"/>
                      </w:rPr>
                    </w:pPr>
                    <w:r>
                      <w:rPr>
                        <w:color w:val="231F20"/>
                        <w:sz w:val="16"/>
                      </w:rPr>
                      <w:t>_</w:t>
                    </w:r>
                  </w:p>
                </w:txbxContent>
              </v:textbox>
              <w10:wrap type="none"/>
            </v:shape>
            <v:shape style="position:absolute;left:2145;top:2788;width:790;height:274" type="#_x0000_t202" filled="false" stroked="false">
              <v:textbox inset="0,0,0,0">
                <w:txbxContent>
                  <w:p>
                    <w:pPr>
                      <w:spacing w:line="242" w:lineRule="auto" w:before="0"/>
                      <w:ind w:left="60" w:right="0" w:hanging="60"/>
                      <w:jc w:val="left"/>
                      <w:rPr>
                        <w:sz w:val="12"/>
                      </w:rPr>
                    </w:pPr>
                    <w:r>
                      <w:rPr>
                        <w:color w:val="231F20"/>
                        <w:sz w:val="12"/>
                      </w:rPr>
                      <w:t>Current account balance (b)</w:t>
                    </w:r>
                  </w:p>
                </w:txbxContent>
              </v:textbox>
              <w10:wrap type="none"/>
            </v:shape>
            <w10:wrap type="none"/>
          </v:group>
        </w:pict>
      </w:r>
      <w:r>
        <w:rPr/>
        <w:pict>
          <v:line style="position:absolute;mso-position-horizontal-relative:page;mso-position-vertical-relative:paragraph;z-index:15882240" from="43.292pt,14.807472pt" to="47.292pt,14.807472pt" stroked="true" strokeweight=".5pt" strokecolor="#000000">
            <v:stroke dashstyle="solid"/>
            <w10:wrap type="none"/>
          </v:line>
        </w:pict>
      </w:r>
      <w:r>
        <w:rPr/>
        <w:pict>
          <v:line style="position:absolute;mso-position-horizontal-relative:page;mso-position-vertical-relative:paragraph;z-index:-21251584" from="202.061996pt,14.786472pt" to="206.061996pt,14.786472pt" stroked="true" strokeweight=".5pt" strokecolor="#000000">
            <v:stroke dashstyle="solid"/>
            <w10:wrap type="none"/>
          </v:line>
        </w:pict>
      </w:r>
      <w:r>
        <w:rPr>
          <w:color w:val="231F20"/>
          <w:sz w:val="12"/>
        </w:rPr>
        <w:t>Per cent of GDP </w:t>
      </w:r>
      <w:r>
        <w:rPr>
          <w:color w:val="231F20"/>
          <w:position w:val="-6"/>
          <w:sz w:val="12"/>
        </w:rPr>
        <w:t>6</w:t>
      </w:r>
    </w:p>
    <w:p>
      <w:pPr>
        <w:pStyle w:val="BodyText"/>
        <w:rPr>
          <w:sz w:val="20"/>
        </w:rPr>
      </w:pPr>
    </w:p>
    <w:p>
      <w:pPr>
        <w:spacing w:before="137"/>
        <w:ind w:left="0" w:right="38" w:firstLine="0"/>
        <w:jc w:val="right"/>
        <w:rPr>
          <w:sz w:val="12"/>
        </w:rPr>
      </w:pPr>
      <w:r>
        <w:rPr>
          <w:color w:val="231F20"/>
          <w:sz w:val="12"/>
        </w:rPr>
        <w:t>4</w:t>
      </w:r>
    </w:p>
    <w:p>
      <w:pPr>
        <w:pStyle w:val="BodyText"/>
        <w:rPr>
          <w:sz w:val="12"/>
        </w:rPr>
      </w:pPr>
    </w:p>
    <w:p>
      <w:pPr>
        <w:pStyle w:val="BodyText"/>
        <w:rPr>
          <w:sz w:val="12"/>
        </w:rPr>
      </w:pPr>
    </w:p>
    <w:p>
      <w:pPr>
        <w:spacing w:before="88"/>
        <w:ind w:left="0" w:right="38" w:firstLine="0"/>
        <w:jc w:val="right"/>
        <w:rPr>
          <w:sz w:val="12"/>
        </w:rPr>
      </w:pPr>
      <w:r>
        <w:rPr>
          <w:color w:val="231F20"/>
          <w:sz w:val="12"/>
        </w:rPr>
        <w:t>2</w:t>
      </w:r>
    </w:p>
    <w:p>
      <w:pPr>
        <w:pStyle w:val="BodyText"/>
        <w:rPr>
          <w:sz w:val="12"/>
        </w:rPr>
      </w:pPr>
    </w:p>
    <w:p>
      <w:pPr>
        <w:pStyle w:val="BodyText"/>
        <w:rPr>
          <w:sz w:val="12"/>
        </w:rPr>
      </w:pPr>
    </w:p>
    <w:p>
      <w:pPr>
        <w:spacing w:before="86"/>
        <w:ind w:left="0" w:right="38" w:firstLine="0"/>
        <w:jc w:val="right"/>
        <w:rPr>
          <w:sz w:val="12"/>
        </w:rPr>
      </w:pPr>
      <w:r>
        <w:rPr>
          <w:color w:val="231F20"/>
          <w:sz w:val="12"/>
        </w:rPr>
        <w:t>0</w:t>
      </w:r>
    </w:p>
    <w:p>
      <w:pPr>
        <w:pStyle w:val="BodyText"/>
        <w:rPr>
          <w:sz w:val="12"/>
        </w:rPr>
      </w:pPr>
    </w:p>
    <w:p>
      <w:pPr>
        <w:pStyle w:val="BodyText"/>
        <w:rPr>
          <w:sz w:val="12"/>
        </w:rPr>
      </w:pPr>
    </w:p>
    <w:p>
      <w:pPr>
        <w:spacing w:before="86"/>
        <w:ind w:left="0" w:right="38" w:firstLine="0"/>
        <w:jc w:val="right"/>
        <w:rPr>
          <w:sz w:val="12"/>
        </w:rPr>
      </w:pPr>
      <w:r>
        <w:rPr>
          <w:color w:val="231F20"/>
          <w:sz w:val="12"/>
        </w:rPr>
        <w:t>2</w:t>
      </w:r>
    </w:p>
    <w:p>
      <w:pPr>
        <w:pStyle w:val="BodyText"/>
        <w:rPr>
          <w:sz w:val="12"/>
        </w:rPr>
      </w:pPr>
    </w:p>
    <w:p>
      <w:pPr>
        <w:pStyle w:val="BodyText"/>
        <w:rPr>
          <w:sz w:val="12"/>
        </w:rPr>
      </w:pPr>
    </w:p>
    <w:p>
      <w:pPr>
        <w:spacing w:before="86"/>
        <w:ind w:left="0" w:right="38" w:firstLine="0"/>
        <w:jc w:val="right"/>
        <w:rPr>
          <w:sz w:val="12"/>
        </w:rPr>
      </w:pPr>
      <w:r>
        <w:rPr>
          <w:color w:val="231F20"/>
          <w:sz w:val="12"/>
        </w:rPr>
        <w:t>4</w:t>
      </w:r>
    </w:p>
    <w:p>
      <w:pPr>
        <w:pStyle w:val="BodyText"/>
        <w:rPr>
          <w:sz w:val="12"/>
        </w:rPr>
      </w:pPr>
    </w:p>
    <w:p>
      <w:pPr>
        <w:pStyle w:val="BodyText"/>
        <w:rPr>
          <w:sz w:val="12"/>
        </w:rPr>
      </w:pPr>
    </w:p>
    <w:p>
      <w:pPr>
        <w:spacing w:line="120" w:lineRule="exact" w:before="89"/>
        <w:ind w:left="3519" w:right="0" w:firstLine="0"/>
        <w:jc w:val="left"/>
        <w:rPr>
          <w:sz w:val="12"/>
        </w:rPr>
      </w:pPr>
      <w:r>
        <w:rPr/>
        <w:pict>
          <v:group style="position:absolute;margin-left:43.521pt;margin-top:3.879627pt;width:162.8pt;height:4.55pt;mso-position-horizontal-relative:page;mso-position-vertical-relative:paragraph;z-index:15881728" coordorigin="870,78" coordsize="3256,91">
            <v:shape style="position:absolute;left:997;top:77;width:2994;height:85" coordorigin="998,78" coordsize="2994,85" path="m998,163l3991,163m998,78l998,163m1382,78l1382,163m1765,78l1765,163m2149,78l2149,163m2533,78l2533,163m2917,78l2917,163m3301,78l3301,163m3684,78l3684,163m1075,113l1075,163m1151,113l1151,163m1228,113l1228,163m1305,113l1305,163m1458,113l1458,163m1535,113l1535,163m1612,113l1612,163m1689,113l1689,163m1842,113l1842,163m1919,113l1919,163m1996,113l1996,163m2072,113l2072,163m2226,113l2226,163m2303,113l2303,163m2379,113l2379,163m2456,113l2456,163m2610,113l2610,163m2687,113l2687,163m2763,113l2763,163m2840,113l2840,163m2994,113l2994,163m3070,113l3070,163m3147,113l3147,163m3224,113l3224,163m3377,113l3377,163m3454,113l3454,163m3531,113l3531,163m3608,113l3608,163m3761,113l3761,163m3838,113l3838,163m3915,113l3915,163e" filled="false" stroked="true" strokeweight=".5pt" strokecolor="#231f20">
              <v:path arrowok="t"/>
              <v:stroke dashstyle="solid"/>
            </v:shape>
            <v:shape style="position:absolute;left:870;top:162;width:3256;height:2" coordorigin="870,163" coordsize="3256,1" path="m870,163l950,163m4046,163l4126,163e" filled="false" stroked="true" strokeweight=".5pt" strokecolor="#000000">
              <v:path arrowok="t"/>
              <v:stroke dashstyle="solid"/>
            </v:shape>
            <w10:wrap type="none"/>
          </v:group>
        </w:pict>
      </w:r>
      <w:r>
        <w:rPr>
          <w:color w:val="231F20"/>
          <w:sz w:val="12"/>
        </w:rPr>
        <w:t>6</w:t>
      </w:r>
    </w:p>
    <w:p>
      <w:pPr>
        <w:tabs>
          <w:tab w:pos="689" w:val="left" w:leader="none"/>
          <w:tab w:pos="1072" w:val="left" w:leader="none"/>
          <w:tab w:pos="1474" w:val="left" w:leader="none"/>
          <w:tab w:pos="1866" w:val="left" w:leader="none"/>
          <w:tab w:pos="2242" w:val="left" w:leader="none"/>
          <w:tab w:pos="2631" w:val="left" w:leader="none"/>
          <w:tab w:pos="3013" w:val="left" w:leader="none"/>
        </w:tabs>
        <w:spacing w:line="120" w:lineRule="exact" w:before="0"/>
        <w:ind w:left="247" w:right="0" w:firstLine="0"/>
        <w:jc w:val="left"/>
        <w:rPr>
          <w:sz w:val="12"/>
        </w:rPr>
      </w:pPr>
      <w:r>
        <w:rPr>
          <w:color w:val="231F20"/>
          <w:sz w:val="12"/>
        </w:rPr>
        <w:t>1960</w:t>
        <w:tab/>
        <w:t>65</w:t>
        <w:tab/>
        <w:t>70</w:t>
        <w:tab/>
        <w:t>75</w:t>
        <w:tab/>
        <w:t>80</w:t>
        <w:tab/>
        <w:t>85</w:t>
        <w:tab/>
        <w:t>90</w:t>
        <w:tab/>
        <w:t>95</w:t>
      </w:r>
    </w:p>
    <w:p>
      <w:pPr>
        <w:pStyle w:val="BodyText"/>
        <w:spacing w:before="6"/>
        <w:rPr>
          <w:sz w:val="13"/>
        </w:rPr>
      </w:pPr>
    </w:p>
    <w:p>
      <w:pPr>
        <w:pStyle w:val="ListParagraph"/>
        <w:numPr>
          <w:ilvl w:val="0"/>
          <w:numId w:val="8"/>
        </w:numPr>
        <w:tabs>
          <w:tab w:pos="420" w:val="left" w:leader="none"/>
        </w:tabs>
        <w:spacing w:line="129" w:lineRule="exact" w:before="0" w:after="0"/>
        <w:ind w:left="419" w:right="0" w:hanging="240"/>
        <w:jc w:val="left"/>
        <w:rPr>
          <w:sz w:val="12"/>
        </w:rPr>
      </w:pPr>
      <w:r>
        <w:rPr>
          <w:color w:val="231F20"/>
          <w:sz w:val="12"/>
        </w:rPr>
        <w:t>At constant 1995 market prices.</w:t>
      </w:r>
    </w:p>
    <w:p>
      <w:pPr>
        <w:pStyle w:val="ListParagraph"/>
        <w:numPr>
          <w:ilvl w:val="0"/>
          <w:numId w:val="8"/>
        </w:numPr>
        <w:tabs>
          <w:tab w:pos="421" w:val="left" w:leader="none"/>
        </w:tabs>
        <w:spacing w:line="129" w:lineRule="exact" w:before="0" w:after="0"/>
        <w:ind w:left="420" w:right="0" w:hanging="241"/>
        <w:jc w:val="left"/>
        <w:rPr>
          <w:sz w:val="12"/>
        </w:rPr>
      </w:pPr>
      <w:r>
        <w:rPr>
          <w:color w:val="231F20"/>
          <w:sz w:val="12"/>
        </w:rPr>
        <w:t>At current prices.</w:t>
      </w:r>
    </w:p>
    <w:p>
      <w:pPr>
        <w:spacing w:line="242" w:lineRule="auto" w:before="72"/>
        <w:ind w:left="180" w:right="167" w:firstLine="0"/>
        <w:jc w:val="left"/>
        <w:rPr>
          <w:sz w:val="24"/>
        </w:rPr>
      </w:pPr>
      <w:r>
        <w:rPr/>
        <w:br w:type="column"/>
      </w:r>
      <w:r>
        <w:rPr>
          <w:color w:val="231F20"/>
          <w:sz w:val="24"/>
        </w:rPr>
        <w:t>In 1998 Q4, the deficit on the United Kingdom’s trade in goods and services reached 3.8% of GDP, its highest level in almost a decade. Export volumes of goods and services fell by 1.6%, reducing them to broadly the same level as a year earlier, while import volumes of goods and services increased by 1.3%, leaving them 6.2% higher than a year earlier. But despite these developments, the current account remained in surplus (see Chart 2.2), owing to terms of trade price effects and exceptionally low outflows of investment income—a number of foreign enterprises operating in the United Kingdom (primarily oil companies, banks, and securities dealers) made significant losses in the second half of 1998.</w:t>
      </w:r>
    </w:p>
    <w:p>
      <w:pPr>
        <w:pStyle w:val="BodyText"/>
        <w:spacing w:before="9"/>
        <w:rPr>
          <w:sz w:val="9"/>
        </w:rPr>
      </w:pPr>
      <w:r>
        <w:rPr/>
        <w:pict>
          <v:shape style="position:absolute;margin-left:280pt;margin-top:7.710019pt;width:276pt;height:.1pt;mso-position-horizontal-relative:page;mso-position-vertical-relative:paragraph;z-index:-15584768;mso-wrap-distance-left:0;mso-wrap-distance-right:0" coordorigin="5600,154" coordsize="5520,0" path="m5600,154l11120,154e" filled="false" stroked="true" strokeweight=".125pt" strokecolor="#231f20">
            <v:path arrowok="t"/>
            <v:stroke dashstyle="solid"/>
            <w10:wrap type="topAndBottom"/>
          </v:shape>
        </w:pict>
      </w:r>
    </w:p>
    <w:p>
      <w:pPr>
        <w:spacing w:line="208" w:lineRule="auto" w:before="0"/>
        <w:ind w:left="440" w:right="914" w:hanging="240"/>
        <w:jc w:val="both"/>
        <w:rPr>
          <w:sz w:val="16"/>
        </w:rPr>
      </w:pPr>
      <w:r>
        <w:rPr>
          <w:color w:val="231F20"/>
          <w:sz w:val="16"/>
        </w:rPr>
        <w:t>(1) For a detailed discussion of international economic developments, see ‘The international environment’ in the </w:t>
      </w:r>
      <w:r>
        <w:rPr>
          <w:i/>
          <w:color w:val="231F20"/>
          <w:sz w:val="16"/>
        </w:rPr>
        <w:t>Quarterly Bulletin</w:t>
      </w:r>
      <w:r>
        <w:rPr>
          <w:color w:val="231F20"/>
          <w:sz w:val="16"/>
        </w:rPr>
        <w:t>, May 1999, pages 152–60.</w:t>
      </w:r>
    </w:p>
    <w:p>
      <w:pPr>
        <w:spacing w:after="0" w:line="208" w:lineRule="auto"/>
        <w:jc w:val="both"/>
        <w:rPr>
          <w:sz w:val="16"/>
        </w:rPr>
        <w:sectPr>
          <w:type w:val="continuous"/>
          <w:pgSz w:w="11900" w:h="16840"/>
          <w:pgMar w:top="1220" w:bottom="280" w:left="640" w:right="640"/>
          <w:cols w:num="2" w:equalWidth="0">
            <w:col w:w="3620" w:space="1160"/>
            <w:col w:w="5840"/>
          </w:cols>
        </w:sectPr>
      </w:pPr>
    </w:p>
    <w:p>
      <w:pPr>
        <w:pStyle w:val="BodyText"/>
        <w:rPr>
          <w:sz w:val="20"/>
        </w:rPr>
      </w:pPr>
    </w:p>
    <w:p>
      <w:pPr>
        <w:spacing w:after="0"/>
        <w:rPr>
          <w:sz w:val="20"/>
        </w:rPr>
        <w:sectPr>
          <w:headerReference w:type="default" r:id="rId63"/>
          <w:headerReference w:type="even" r:id="rId64"/>
          <w:footerReference w:type="default" r:id="rId65"/>
          <w:footerReference w:type="even" r:id="rId66"/>
          <w:pgSz w:w="11900" w:h="16840"/>
          <w:pgMar w:header="586" w:footer="617" w:top="780" w:bottom="800" w:left="640" w:right="640"/>
          <w:pgNumType w:start="13"/>
        </w:sectPr>
      </w:pPr>
    </w:p>
    <w:p>
      <w:pPr>
        <w:pStyle w:val="BodyText"/>
        <w:spacing w:before="1"/>
        <w:rPr>
          <w:sz w:val="20"/>
        </w:rPr>
      </w:pPr>
    </w:p>
    <w:p>
      <w:pPr>
        <w:pStyle w:val="Heading4"/>
        <w:spacing w:before="0"/>
      </w:pPr>
      <w:r>
        <w:rPr>
          <w:color w:val="0093C1"/>
        </w:rPr>
        <w:t>Table 2.A</w:t>
      </w:r>
    </w:p>
    <w:p>
      <w:pPr>
        <w:pStyle w:val="Heading4"/>
      </w:pPr>
      <w:r>
        <w:rPr>
          <w:color w:val="0093C1"/>
        </w:rPr>
        <w:t>UK goods export growth</w:t>
      </w:r>
    </w:p>
    <w:p>
      <w:pPr>
        <w:spacing w:before="106"/>
        <w:ind w:left="170" w:right="0" w:firstLine="0"/>
        <w:jc w:val="left"/>
        <w:rPr>
          <w:sz w:val="14"/>
        </w:rPr>
      </w:pPr>
      <w:r>
        <w:rPr>
          <w:color w:val="231F20"/>
          <w:sz w:val="14"/>
        </w:rPr>
        <w:t>Per cent</w:t>
      </w:r>
    </w:p>
    <w:p>
      <w:pPr>
        <w:tabs>
          <w:tab w:pos="889" w:val="left" w:leader="none"/>
          <w:tab w:pos="1879" w:val="left" w:leader="none"/>
          <w:tab w:pos="3169" w:val="left" w:leader="none"/>
          <w:tab w:pos="3419" w:val="left" w:leader="none"/>
          <w:tab w:pos="3999" w:val="left" w:leader="none"/>
        </w:tabs>
        <w:spacing w:line="208" w:lineRule="auto" w:before="136"/>
        <w:ind w:left="890" w:right="473" w:hanging="720"/>
        <w:jc w:val="left"/>
        <w:rPr>
          <w:sz w:val="14"/>
        </w:rPr>
      </w:pPr>
      <w:r>
        <w:rPr>
          <w:color w:val="231F20"/>
          <w:sz w:val="14"/>
        </w:rPr>
        <w:t>Region</w:t>
        <w:tab/>
        <w:t>Share of total</w:t>
        <w:tab/>
        <w:t>Average quarterly changes in export UK goods</w:t>
        <w:tab/>
      </w:r>
      <w:r>
        <w:rPr>
          <w:color w:val="231F20"/>
          <w:sz w:val="14"/>
          <w:u w:val="single" w:color="231F20"/>
        </w:rPr>
        <w:t>volumes</w:t>
      </w:r>
      <w:r>
        <w:rPr>
          <w:color w:val="231F20"/>
          <w:spacing w:val="-1"/>
          <w:sz w:val="14"/>
          <w:u w:val="single" w:color="231F20"/>
        </w:rPr>
        <w:t> </w:t>
      </w:r>
      <w:r>
        <w:rPr>
          <w:color w:val="231F20"/>
          <w:sz w:val="12"/>
          <w:u w:val="single" w:color="231F20"/>
        </w:rPr>
        <w:t>(a)</w:t>
        <w:tab/>
        <w:tab/>
        <w:tab/>
      </w:r>
      <w:r>
        <w:rPr>
          <w:color w:val="231F20"/>
          <w:sz w:val="12"/>
        </w:rPr>
        <w:t> </w:t>
      </w:r>
      <w:r>
        <w:rPr>
          <w:color w:val="231F20"/>
          <w:sz w:val="14"/>
        </w:rPr>
        <w:t>exports in 1997  </w:t>
      </w:r>
      <w:r>
        <w:rPr>
          <w:color w:val="231F20"/>
          <w:spacing w:val="14"/>
          <w:sz w:val="14"/>
        </w:rPr>
        <w:t> </w:t>
      </w:r>
      <w:r>
        <w:rPr>
          <w:color w:val="231F20"/>
          <w:sz w:val="14"/>
          <w:u w:val="single" w:color="231F20"/>
        </w:rPr>
        <w:t>1998</w:t>
        <w:tab/>
      </w:r>
      <w:r>
        <w:rPr>
          <w:color w:val="231F20"/>
          <w:sz w:val="14"/>
        </w:rPr>
        <w:tab/>
      </w:r>
      <w:r>
        <w:rPr>
          <w:color w:val="231F20"/>
          <w:sz w:val="14"/>
          <w:u w:val="single" w:color="231F20"/>
        </w:rPr>
        <w:t>1999</w:t>
      </w:r>
      <w:r>
        <w:rPr>
          <w:color w:val="231F20"/>
          <w:spacing w:val="-6"/>
          <w:sz w:val="14"/>
          <w:u w:val="single" w:color="231F20"/>
        </w:rPr>
        <w:t> </w:t>
      </w:r>
    </w:p>
    <w:p>
      <w:pPr>
        <w:tabs>
          <w:tab w:pos="2709" w:val="left" w:leader="none"/>
          <w:tab w:pos="3419" w:val="left" w:leader="none"/>
        </w:tabs>
        <w:spacing w:line="144" w:lineRule="exact" w:before="0"/>
        <w:ind w:left="1879" w:right="0" w:firstLine="0"/>
        <w:jc w:val="left"/>
        <w:rPr>
          <w:sz w:val="14"/>
        </w:rPr>
      </w:pPr>
      <w:r>
        <w:rPr>
          <w:color w:val="231F20"/>
          <w:sz w:val="14"/>
        </w:rPr>
        <w:t>Q1–Q3</w:t>
        <w:tab/>
        <w:t>Q4</w:t>
        <w:tab/>
        <w:t>Q1</w:t>
      </w:r>
    </w:p>
    <w:p>
      <w:pPr>
        <w:pStyle w:val="BodyText"/>
        <w:spacing w:before="11"/>
        <w:rPr>
          <w:sz w:val="3"/>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140"/>
        <w:gridCol w:w="460"/>
        <w:gridCol w:w="320"/>
        <w:gridCol w:w="490"/>
        <w:gridCol w:w="240"/>
        <w:gridCol w:w="460"/>
      </w:tblGrid>
      <w:tr>
        <w:trPr>
          <w:trHeight w:val="225" w:hRule="atLeast"/>
        </w:trPr>
        <w:tc>
          <w:tcPr>
            <w:tcW w:w="1660" w:type="dxa"/>
            <w:tcBorders>
              <w:top w:val="single" w:sz="2" w:space="0" w:color="231F20"/>
            </w:tcBorders>
          </w:tcPr>
          <w:p>
            <w:pPr>
              <w:pStyle w:val="TableParagraph"/>
              <w:tabs>
                <w:tab w:pos="1244" w:val="left" w:leader="none"/>
              </w:tabs>
              <w:spacing w:line="133" w:lineRule="exact" w:before="71"/>
              <w:ind w:left="50"/>
              <w:rPr>
                <w:sz w:val="14"/>
              </w:rPr>
            </w:pPr>
            <w:r>
              <w:rPr>
                <w:color w:val="231F20"/>
                <w:sz w:val="14"/>
              </w:rPr>
              <w:t>European Union</w:t>
              <w:tab/>
              <w:t>55.8</w:t>
            </w:r>
          </w:p>
        </w:tc>
        <w:tc>
          <w:tcPr>
            <w:tcW w:w="140" w:type="dxa"/>
          </w:tcPr>
          <w:p>
            <w:pPr>
              <w:pStyle w:val="TableParagraph"/>
              <w:rPr>
                <w:sz w:val="16"/>
              </w:rPr>
            </w:pPr>
          </w:p>
        </w:tc>
        <w:tc>
          <w:tcPr>
            <w:tcW w:w="460" w:type="dxa"/>
            <w:tcBorders>
              <w:top w:val="single" w:sz="2" w:space="0" w:color="231F20"/>
            </w:tcBorders>
          </w:tcPr>
          <w:p>
            <w:pPr>
              <w:pStyle w:val="TableParagraph"/>
              <w:spacing w:line="133" w:lineRule="exact" w:before="71"/>
              <w:ind w:right="108"/>
              <w:jc w:val="right"/>
              <w:rPr>
                <w:sz w:val="14"/>
              </w:rPr>
            </w:pPr>
            <w:r>
              <w:rPr>
                <w:color w:val="231F20"/>
                <w:sz w:val="14"/>
              </w:rPr>
              <w:t>1.4</w:t>
            </w:r>
          </w:p>
        </w:tc>
        <w:tc>
          <w:tcPr>
            <w:tcW w:w="320" w:type="dxa"/>
          </w:tcPr>
          <w:p>
            <w:pPr>
              <w:pStyle w:val="TableParagraph"/>
              <w:rPr>
                <w:sz w:val="16"/>
              </w:rPr>
            </w:pPr>
          </w:p>
        </w:tc>
        <w:tc>
          <w:tcPr>
            <w:tcW w:w="490" w:type="dxa"/>
            <w:tcBorders>
              <w:top w:val="single" w:sz="2" w:space="0" w:color="231F20"/>
            </w:tcBorders>
          </w:tcPr>
          <w:p>
            <w:pPr>
              <w:pStyle w:val="TableParagraph"/>
              <w:spacing w:line="133" w:lineRule="exact" w:before="71"/>
              <w:ind w:right="248"/>
              <w:jc w:val="right"/>
              <w:rPr>
                <w:sz w:val="14"/>
              </w:rPr>
            </w:pPr>
            <w:r>
              <w:rPr>
                <w:color w:val="231F20"/>
                <w:sz w:val="14"/>
              </w:rPr>
              <w:t>-1.2</w:t>
            </w:r>
          </w:p>
        </w:tc>
        <w:tc>
          <w:tcPr>
            <w:tcW w:w="240" w:type="dxa"/>
          </w:tcPr>
          <w:p>
            <w:pPr>
              <w:pStyle w:val="TableParagraph"/>
              <w:rPr>
                <w:sz w:val="16"/>
              </w:rPr>
            </w:pPr>
          </w:p>
        </w:tc>
        <w:tc>
          <w:tcPr>
            <w:tcW w:w="460" w:type="dxa"/>
            <w:tcBorders>
              <w:top w:val="single" w:sz="2" w:space="0" w:color="231F20"/>
            </w:tcBorders>
          </w:tcPr>
          <w:p>
            <w:pPr>
              <w:pStyle w:val="TableParagraph"/>
              <w:spacing w:line="133" w:lineRule="exact" w:before="71"/>
              <w:ind w:right="128"/>
              <w:jc w:val="right"/>
              <w:rPr>
                <w:sz w:val="14"/>
              </w:rPr>
            </w:pPr>
            <w:r>
              <w:rPr>
                <w:color w:val="231F20"/>
                <w:sz w:val="14"/>
              </w:rPr>
              <w:t>n.a.</w:t>
            </w:r>
          </w:p>
        </w:tc>
      </w:tr>
      <w:tr>
        <w:trPr>
          <w:trHeight w:val="140" w:hRule="atLeast"/>
        </w:trPr>
        <w:tc>
          <w:tcPr>
            <w:tcW w:w="1660" w:type="dxa"/>
          </w:tcPr>
          <w:p>
            <w:pPr>
              <w:pStyle w:val="TableParagraph"/>
              <w:tabs>
                <w:tab w:pos="1490" w:val="right" w:leader="none"/>
              </w:tabs>
              <w:spacing w:line="120" w:lineRule="exact"/>
              <w:ind w:left="50"/>
              <w:rPr>
                <w:sz w:val="14"/>
              </w:rPr>
            </w:pPr>
            <w:r>
              <w:rPr>
                <w:color w:val="231F20"/>
                <w:sz w:val="14"/>
              </w:rPr>
              <w:t>North America</w:t>
              <w:tab/>
              <w:t>13.9</w:t>
            </w:r>
          </w:p>
        </w:tc>
        <w:tc>
          <w:tcPr>
            <w:tcW w:w="140" w:type="dxa"/>
          </w:tcPr>
          <w:p>
            <w:pPr>
              <w:pStyle w:val="TableParagraph"/>
              <w:rPr>
                <w:sz w:val="8"/>
              </w:rPr>
            </w:pPr>
          </w:p>
        </w:tc>
        <w:tc>
          <w:tcPr>
            <w:tcW w:w="460" w:type="dxa"/>
          </w:tcPr>
          <w:p>
            <w:pPr>
              <w:pStyle w:val="TableParagraph"/>
              <w:spacing w:line="120" w:lineRule="exact"/>
              <w:ind w:right="107"/>
              <w:jc w:val="right"/>
              <w:rPr>
                <w:sz w:val="14"/>
              </w:rPr>
            </w:pPr>
            <w:r>
              <w:rPr>
                <w:color w:val="231F20"/>
                <w:sz w:val="14"/>
              </w:rPr>
              <w:t>4.3</w:t>
            </w:r>
          </w:p>
        </w:tc>
        <w:tc>
          <w:tcPr>
            <w:tcW w:w="320" w:type="dxa"/>
          </w:tcPr>
          <w:p>
            <w:pPr>
              <w:pStyle w:val="TableParagraph"/>
              <w:rPr>
                <w:sz w:val="8"/>
              </w:rPr>
            </w:pPr>
          </w:p>
        </w:tc>
        <w:tc>
          <w:tcPr>
            <w:tcW w:w="490" w:type="dxa"/>
          </w:tcPr>
          <w:p>
            <w:pPr>
              <w:pStyle w:val="TableParagraph"/>
              <w:spacing w:line="120" w:lineRule="exact"/>
              <w:ind w:right="247"/>
              <w:jc w:val="right"/>
              <w:rPr>
                <w:sz w:val="14"/>
              </w:rPr>
            </w:pPr>
            <w:r>
              <w:rPr>
                <w:color w:val="231F20"/>
                <w:sz w:val="14"/>
              </w:rPr>
              <w:t>-2.7</w:t>
            </w:r>
          </w:p>
        </w:tc>
        <w:tc>
          <w:tcPr>
            <w:tcW w:w="240" w:type="dxa"/>
          </w:tcPr>
          <w:p>
            <w:pPr>
              <w:pStyle w:val="TableParagraph"/>
              <w:rPr>
                <w:sz w:val="8"/>
              </w:rPr>
            </w:pPr>
          </w:p>
        </w:tc>
        <w:tc>
          <w:tcPr>
            <w:tcW w:w="460" w:type="dxa"/>
          </w:tcPr>
          <w:p>
            <w:pPr>
              <w:pStyle w:val="TableParagraph"/>
              <w:spacing w:line="120" w:lineRule="exact"/>
              <w:ind w:right="127"/>
              <w:jc w:val="right"/>
              <w:rPr>
                <w:sz w:val="14"/>
              </w:rPr>
            </w:pPr>
            <w:r>
              <w:rPr>
                <w:color w:val="231F20"/>
                <w:sz w:val="14"/>
              </w:rPr>
              <w:t>3.3</w:t>
            </w:r>
          </w:p>
        </w:tc>
      </w:tr>
      <w:tr>
        <w:trPr>
          <w:trHeight w:val="140" w:hRule="atLeast"/>
        </w:trPr>
        <w:tc>
          <w:tcPr>
            <w:tcW w:w="1660" w:type="dxa"/>
          </w:tcPr>
          <w:p>
            <w:pPr>
              <w:pStyle w:val="TableParagraph"/>
              <w:tabs>
                <w:tab w:pos="1490" w:val="right" w:leader="none"/>
              </w:tabs>
              <w:spacing w:line="120" w:lineRule="exact"/>
              <w:ind w:left="50"/>
              <w:rPr>
                <w:sz w:val="14"/>
              </w:rPr>
            </w:pPr>
            <w:r>
              <w:rPr>
                <w:color w:val="231F20"/>
                <w:sz w:val="14"/>
              </w:rPr>
              <w:t>Oil exporters</w:t>
              <w:tab/>
              <w:t>5.5</w:t>
            </w:r>
          </w:p>
        </w:tc>
        <w:tc>
          <w:tcPr>
            <w:tcW w:w="140" w:type="dxa"/>
          </w:tcPr>
          <w:p>
            <w:pPr>
              <w:pStyle w:val="TableParagraph"/>
              <w:rPr>
                <w:sz w:val="8"/>
              </w:rPr>
            </w:pPr>
          </w:p>
        </w:tc>
        <w:tc>
          <w:tcPr>
            <w:tcW w:w="460" w:type="dxa"/>
          </w:tcPr>
          <w:p>
            <w:pPr>
              <w:pStyle w:val="TableParagraph"/>
              <w:spacing w:line="120" w:lineRule="exact"/>
              <w:ind w:right="107"/>
              <w:jc w:val="right"/>
              <w:rPr>
                <w:sz w:val="14"/>
              </w:rPr>
            </w:pPr>
            <w:r>
              <w:rPr>
                <w:color w:val="231F20"/>
                <w:sz w:val="14"/>
              </w:rPr>
              <w:t>-13.2</w:t>
            </w:r>
          </w:p>
        </w:tc>
        <w:tc>
          <w:tcPr>
            <w:tcW w:w="320" w:type="dxa"/>
          </w:tcPr>
          <w:p>
            <w:pPr>
              <w:pStyle w:val="TableParagraph"/>
              <w:rPr>
                <w:sz w:val="8"/>
              </w:rPr>
            </w:pPr>
          </w:p>
        </w:tc>
        <w:tc>
          <w:tcPr>
            <w:tcW w:w="490" w:type="dxa"/>
          </w:tcPr>
          <w:p>
            <w:pPr>
              <w:pStyle w:val="TableParagraph"/>
              <w:spacing w:line="120" w:lineRule="exact"/>
              <w:ind w:right="247"/>
              <w:jc w:val="right"/>
              <w:rPr>
                <w:sz w:val="14"/>
              </w:rPr>
            </w:pPr>
            <w:r>
              <w:rPr>
                <w:color w:val="231F20"/>
                <w:sz w:val="14"/>
              </w:rPr>
              <w:t>5.9</w:t>
            </w:r>
          </w:p>
        </w:tc>
        <w:tc>
          <w:tcPr>
            <w:tcW w:w="240" w:type="dxa"/>
          </w:tcPr>
          <w:p>
            <w:pPr>
              <w:pStyle w:val="TableParagraph"/>
              <w:rPr>
                <w:sz w:val="8"/>
              </w:rPr>
            </w:pPr>
          </w:p>
        </w:tc>
        <w:tc>
          <w:tcPr>
            <w:tcW w:w="460" w:type="dxa"/>
          </w:tcPr>
          <w:p>
            <w:pPr>
              <w:pStyle w:val="TableParagraph"/>
              <w:spacing w:line="120" w:lineRule="exact"/>
              <w:ind w:right="127"/>
              <w:jc w:val="right"/>
              <w:rPr>
                <w:sz w:val="14"/>
              </w:rPr>
            </w:pPr>
            <w:r>
              <w:rPr>
                <w:color w:val="231F20"/>
                <w:sz w:val="14"/>
              </w:rPr>
              <w:t>-19.5</w:t>
            </w:r>
          </w:p>
        </w:tc>
      </w:tr>
      <w:tr>
        <w:trPr>
          <w:trHeight w:val="140" w:hRule="atLeast"/>
        </w:trPr>
        <w:tc>
          <w:tcPr>
            <w:tcW w:w="1660" w:type="dxa"/>
          </w:tcPr>
          <w:p>
            <w:pPr>
              <w:pStyle w:val="TableParagraph"/>
              <w:tabs>
                <w:tab w:pos="1245" w:val="left" w:leader="none"/>
              </w:tabs>
              <w:spacing w:line="120" w:lineRule="exact"/>
              <w:ind w:left="50"/>
              <w:rPr>
                <w:sz w:val="14"/>
              </w:rPr>
            </w:pPr>
            <w:r>
              <w:rPr>
                <w:color w:val="231F20"/>
                <w:sz w:val="14"/>
              </w:rPr>
              <w:t>Rest of the world</w:t>
              <w:tab/>
              <w:t>24.8</w:t>
            </w:r>
          </w:p>
        </w:tc>
        <w:tc>
          <w:tcPr>
            <w:tcW w:w="140" w:type="dxa"/>
          </w:tcPr>
          <w:p>
            <w:pPr>
              <w:pStyle w:val="TableParagraph"/>
              <w:rPr>
                <w:sz w:val="8"/>
              </w:rPr>
            </w:pPr>
          </w:p>
        </w:tc>
        <w:tc>
          <w:tcPr>
            <w:tcW w:w="460" w:type="dxa"/>
          </w:tcPr>
          <w:p>
            <w:pPr>
              <w:pStyle w:val="TableParagraph"/>
              <w:spacing w:line="120" w:lineRule="exact"/>
              <w:ind w:right="107"/>
              <w:jc w:val="right"/>
              <w:rPr>
                <w:sz w:val="14"/>
              </w:rPr>
            </w:pPr>
            <w:r>
              <w:rPr>
                <w:color w:val="231F20"/>
                <w:sz w:val="14"/>
              </w:rPr>
              <w:t>-2.8</w:t>
            </w:r>
          </w:p>
        </w:tc>
        <w:tc>
          <w:tcPr>
            <w:tcW w:w="320" w:type="dxa"/>
          </w:tcPr>
          <w:p>
            <w:pPr>
              <w:pStyle w:val="TableParagraph"/>
              <w:rPr>
                <w:sz w:val="8"/>
              </w:rPr>
            </w:pPr>
          </w:p>
        </w:tc>
        <w:tc>
          <w:tcPr>
            <w:tcW w:w="490" w:type="dxa"/>
          </w:tcPr>
          <w:p>
            <w:pPr>
              <w:pStyle w:val="TableParagraph"/>
              <w:spacing w:line="120" w:lineRule="exact"/>
              <w:ind w:right="247"/>
              <w:jc w:val="right"/>
              <w:rPr>
                <w:sz w:val="14"/>
              </w:rPr>
            </w:pPr>
            <w:r>
              <w:rPr>
                <w:color w:val="231F20"/>
                <w:sz w:val="14"/>
              </w:rPr>
              <w:t>-6.0</w:t>
            </w:r>
          </w:p>
        </w:tc>
        <w:tc>
          <w:tcPr>
            <w:tcW w:w="240" w:type="dxa"/>
          </w:tcPr>
          <w:p>
            <w:pPr>
              <w:pStyle w:val="TableParagraph"/>
              <w:rPr>
                <w:sz w:val="8"/>
              </w:rPr>
            </w:pPr>
          </w:p>
        </w:tc>
        <w:tc>
          <w:tcPr>
            <w:tcW w:w="460" w:type="dxa"/>
          </w:tcPr>
          <w:p>
            <w:pPr>
              <w:pStyle w:val="TableParagraph"/>
              <w:spacing w:line="120" w:lineRule="exact"/>
              <w:ind w:right="127"/>
              <w:jc w:val="right"/>
              <w:rPr>
                <w:sz w:val="14"/>
              </w:rPr>
            </w:pPr>
            <w:r>
              <w:rPr>
                <w:color w:val="231F20"/>
                <w:sz w:val="14"/>
              </w:rPr>
              <w:t>-3.6</w:t>
            </w:r>
          </w:p>
        </w:tc>
      </w:tr>
      <w:tr>
        <w:trPr>
          <w:trHeight w:val="147" w:hRule="atLeast"/>
        </w:trPr>
        <w:tc>
          <w:tcPr>
            <w:tcW w:w="1660" w:type="dxa"/>
          </w:tcPr>
          <w:p>
            <w:pPr>
              <w:pStyle w:val="TableParagraph"/>
              <w:tabs>
                <w:tab w:pos="1314" w:val="left" w:leader="none"/>
              </w:tabs>
              <w:spacing w:line="128" w:lineRule="exact"/>
              <w:ind w:left="120"/>
              <w:rPr>
                <w:i/>
                <w:sz w:val="14"/>
              </w:rPr>
            </w:pPr>
            <w:r>
              <w:rPr>
                <w:i/>
                <w:color w:val="231F20"/>
                <w:sz w:val="14"/>
              </w:rPr>
              <w:t>of which,</w:t>
            </w:r>
            <w:r>
              <w:rPr>
                <w:i/>
                <w:color w:val="231F20"/>
                <w:spacing w:val="-1"/>
                <w:sz w:val="14"/>
              </w:rPr>
              <w:t> </w:t>
            </w:r>
            <w:r>
              <w:rPr>
                <w:i/>
                <w:color w:val="231F20"/>
                <w:sz w:val="14"/>
              </w:rPr>
              <w:t>Asia</w:t>
            </w:r>
            <w:r>
              <w:rPr>
                <w:i/>
                <w:color w:val="231F20"/>
                <w:spacing w:val="-1"/>
                <w:sz w:val="14"/>
              </w:rPr>
              <w:t> </w:t>
            </w:r>
            <w:r>
              <w:rPr>
                <w:color w:val="231F20"/>
                <w:sz w:val="12"/>
              </w:rPr>
              <w:t>(b)</w:t>
              <w:tab/>
            </w:r>
            <w:r>
              <w:rPr>
                <w:i/>
                <w:color w:val="231F20"/>
                <w:sz w:val="14"/>
              </w:rPr>
              <w:t>8.9</w:t>
            </w:r>
          </w:p>
        </w:tc>
        <w:tc>
          <w:tcPr>
            <w:tcW w:w="140" w:type="dxa"/>
          </w:tcPr>
          <w:p>
            <w:pPr>
              <w:pStyle w:val="TableParagraph"/>
              <w:rPr>
                <w:sz w:val="8"/>
              </w:rPr>
            </w:pPr>
          </w:p>
        </w:tc>
        <w:tc>
          <w:tcPr>
            <w:tcW w:w="460" w:type="dxa"/>
          </w:tcPr>
          <w:p>
            <w:pPr>
              <w:pStyle w:val="TableParagraph"/>
              <w:spacing w:line="128" w:lineRule="exact"/>
              <w:ind w:right="108"/>
              <w:jc w:val="right"/>
              <w:rPr>
                <w:i/>
                <w:sz w:val="14"/>
              </w:rPr>
            </w:pPr>
            <w:r>
              <w:rPr>
                <w:i/>
                <w:color w:val="231F20"/>
                <w:sz w:val="14"/>
              </w:rPr>
              <w:t>-9.5</w:t>
            </w:r>
          </w:p>
        </w:tc>
        <w:tc>
          <w:tcPr>
            <w:tcW w:w="320" w:type="dxa"/>
          </w:tcPr>
          <w:p>
            <w:pPr>
              <w:pStyle w:val="TableParagraph"/>
              <w:rPr>
                <w:sz w:val="8"/>
              </w:rPr>
            </w:pPr>
          </w:p>
        </w:tc>
        <w:tc>
          <w:tcPr>
            <w:tcW w:w="490" w:type="dxa"/>
          </w:tcPr>
          <w:p>
            <w:pPr>
              <w:pStyle w:val="TableParagraph"/>
              <w:spacing w:line="128" w:lineRule="exact"/>
              <w:ind w:right="249"/>
              <w:jc w:val="right"/>
              <w:rPr>
                <w:i/>
                <w:sz w:val="14"/>
              </w:rPr>
            </w:pPr>
            <w:r>
              <w:rPr>
                <w:i/>
                <w:color w:val="231F20"/>
                <w:sz w:val="14"/>
              </w:rPr>
              <w:t>2.9</w:t>
            </w:r>
          </w:p>
        </w:tc>
        <w:tc>
          <w:tcPr>
            <w:tcW w:w="240" w:type="dxa"/>
          </w:tcPr>
          <w:p>
            <w:pPr>
              <w:pStyle w:val="TableParagraph"/>
              <w:rPr>
                <w:sz w:val="8"/>
              </w:rPr>
            </w:pPr>
          </w:p>
        </w:tc>
        <w:tc>
          <w:tcPr>
            <w:tcW w:w="460" w:type="dxa"/>
          </w:tcPr>
          <w:p>
            <w:pPr>
              <w:pStyle w:val="TableParagraph"/>
              <w:spacing w:line="128" w:lineRule="exact"/>
              <w:ind w:right="128"/>
              <w:jc w:val="right"/>
              <w:rPr>
                <w:i/>
                <w:sz w:val="14"/>
              </w:rPr>
            </w:pPr>
            <w:r>
              <w:rPr>
                <w:i/>
                <w:color w:val="231F20"/>
                <w:sz w:val="14"/>
              </w:rPr>
              <w:t>-5.1</w:t>
            </w:r>
          </w:p>
        </w:tc>
      </w:tr>
    </w:tbl>
    <w:p>
      <w:pPr>
        <w:pStyle w:val="ListParagraph"/>
        <w:numPr>
          <w:ilvl w:val="0"/>
          <w:numId w:val="9"/>
        </w:numPr>
        <w:tabs>
          <w:tab w:pos="410" w:val="left" w:leader="none"/>
        </w:tabs>
        <w:spacing w:line="129" w:lineRule="exact" w:before="118" w:after="0"/>
        <w:ind w:left="409" w:right="0" w:hanging="240"/>
        <w:jc w:val="left"/>
        <w:rPr>
          <w:sz w:val="12"/>
        </w:rPr>
      </w:pPr>
      <w:r>
        <w:rPr>
          <w:color w:val="231F20"/>
          <w:sz w:val="12"/>
        </w:rPr>
        <w:t>Figures for exports to Asian countries are on an overseas trade statistics basis;</w:t>
      </w:r>
    </w:p>
    <w:p>
      <w:pPr>
        <w:spacing w:line="208" w:lineRule="auto" w:before="5"/>
        <w:ind w:left="410" w:right="38" w:firstLine="0"/>
        <w:jc w:val="left"/>
        <w:rPr>
          <w:sz w:val="12"/>
        </w:rPr>
      </w:pPr>
      <w:r>
        <w:rPr>
          <w:color w:val="231F20"/>
          <w:sz w:val="12"/>
        </w:rPr>
        <w:t>all other exports are on a balance of payments basis. All non-EU export volumes are calculated by deflating export values using the aggregate price index for </w:t>
      </w:r>
      <w:r>
        <w:rPr>
          <w:color w:val="231F20"/>
          <w:spacing w:val="-3"/>
          <w:sz w:val="12"/>
        </w:rPr>
        <w:t>exports </w:t>
      </w:r>
      <w:r>
        <w:rPr>
          <w:color w:val="231F20"/>
          <w:sz w:val="12"/>
        </w:rPr>
        <w:t>to non-EU countries.</w:t>
      </w:r>
    </w:p>
    <w:p>
      <w:pPr>
        <w:pStyle w:val="ListParagraph"/>
        <w:numPr>
          <w:ilvl w:val="0"/>
          <w:numId w:val="9"/>
        </w:numPr>
        <w:tabs>
          <w:tab w:pos="411" w:val="left" w:leader="none"/>
        </w:tabs>
        <w:spacing w:line="208" w:lineRule="auto" w:before="0" w:after="0"/>
        <w:ind w:left="410" w:right="366" w:hanging="240"/>
        <w:jc w:val="left"/>
        <w:rPr>
          <w:sz w:val="12"/>
        </w:rPr>
      </w:pPr>
      <w:r>
        <w:rPr>
          <w:color w:val="231F20"/>
          <w:sz w:val="12"/>
        </w:rPr>
        <w:t>Asia comprises Japan, South Korea, Hong Kong SAR, Malaysia, Singapore, Taiwan, Thailand, China and the Philippines.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0"/>
        </w:rPr>
      </w:pPr>
    </w:p>
    <w:p>
      <w:pPr>
        <w:pStyle w:val="Heading4"/>
        <w:spacing w:before="0"/>
        <w:ind w:left="180"/>
      </w:pPr>
      <w:r>
        <w:rPr>
          <w:color w:val="0093C1"/>
        </w:rPr>
        <w:t>Chart 2.3</w:t>
      </w:r>
    </w:p>
    <w:p>
      <w:pPr>
        <w:pStyle w:val="Heading4"/>
        <w:ind w:left="180"/>
      </w:pPr>
      <w:r>
        <w:rPr>
          <w:color w:val="0093C1"/>
        </w:rPr>
        <w:t>UK exports to Asia and oil-exporting countries</w:t>
      </w:r>
    </w:p>
    <w:p>
      <w:pPr>
        <w:spacing w:line="108" w:lineRule="exact" w:before="126"/>
        <w:ind w:left="3087" w:right="0" w:firstLine="0"/>
        <w:jc w:val="left"/>
        <w:rPr>
          <w:sz w:val="11"/>
        </w:rPr>
      </w:pPr>
      <w:r>
        <w:rPr>
          <w:sz w:val="11"/>
        </w:rPr>
        <w:t>£ billions</w:t>
      </w:r>
    </w:p>
    <w:p>
      <w:pPr>
        <w:pStyle w:val="BodyText"/>
        <w:spacing w:before="3"/>
        <w:rPr>
          <w:sz w:val="2"/>
        </w:rPr>
      </w:pPr>
    </w:p>
    <w:p>
      <w:pPr>
        <w:tabs>
          <w:tab w:pos="3407" w:val="left" w:leader="none"/>
        </w:tabs>
        <w:spacing w:line="20" w:lineRule="exact"/>
        <w:ind w:left="217" w:right="0" w:firstLine="0"/>
        <w:rPr>
          <w:sz w:val="2"/>
        </w:rPr>
      </w:pP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r>
        <w:rPr>
          <w:sz w:val="2"/>
        </w:rPr>
        <w:tab/>
      </w:r>
      <w:r>
        <w:rPr>
          <w:sz w:val="2"/>
        </w:rPr>
        <w:pict>
          <v:group style="width:4pt;height:.5pt;mso-position-horizontal-relative:char;mso-position-vertical-relative:line" coordorigin="0,0" coordsize="80,10">
            <v:line style="position:absolute" from="0,5" to="80,5" stroked="true" strokeweight=".5pt" strokecolor="#000000">
              <v:stroke dashstyle="solid"/>
            </v:line>
          </v:group>
        </w:pict>
      </w:r>
      <w:r>
        <w:rPr>
          <w:sz w:val="2"/>
        </w:rPr>
      </w:r>
    </w:p>
    <w:p>
      <w:pPr>
        <w:spacing w:line="62" w:lineRule="exact" w:before="0"/>
        <w:ind w:left="3577" w:right="0" w:firstLine="0"/>
        <w:jc w:val="left"/>
        <w:rPr>
          <w:sz w:val="11"/>
        </w:rPr>
      </w:pPr>
      <w:r>
        <w:rPr>
          <w:sz w:val="11"/>
        </w:rPr>
        <w:t>4.5</w:t>
      </w:r>
    </w:p>
    <w:p>
      <w:pPr>
        <w:pStyle w:val="BodyText"/>
        <w:rPr>
          <w:sz w:val="12"/>
        </w:rPr>
      </w:pPr>
    </w:p>
    <w:p>
      <w:pPr>
        <w:pStyle w:val="BodyText"/>
        <w:rPr>
          <w:sz w:val="10"/>
        </w:rPr>
      </w:pPr>
    </w:p>
    <w:p>
      <w:pPr>
        <w:spacing w:before="0"/>
        <w:ind w:left="0" w:right="759" w:firstLine="0"/>
        <w:jc w:val="right"/>
        <w:rPr>
          <w:sz w:val="11"/>
        </w:rPr>
      </w:pPr>
      <w:r>
        <w:rPr/>
        <w:pict>
          <v:group style="position:absolute;margin-left:42.365002pt;margin-top:2.23318pt;width:165.9pt;height:124.8pt;mso-position-horizontal-relative:page;mso-position-vertical-relative:paragraph;z-index:15885824" coordorigin="847,45" coordsize="3318,2496">
            <v:shape style="position:absolute;left:1000;top:102;width:2995;height:1714" coordorigin="1000,103" coordsize="2995,1714" path="m1000,1741l1083,1680,1163,1709,1245,1709,1325,1816,1408,1696,1488,1755,1585,1650,1668,1709,1748,1680,1830,1680,1913,1482,1993,1391,2075,1194,2155,1209,2253,891,2335,1044,2415,846,2498,785,2580,678,2660,603,2743,557,2823,437,2920,285,3003,330,3083,375,3165,253,3245,207,3328,346,3410,103,3490,223,3588,148,3670,814,3750,982,3833,1057,3913,1012,3995,1103e" filled="false" stroked="true" strokeweight="1pt" strokecolor="#95459a">
              <v:path arrowok="t"/>
              <v:stroke dashstyle="solid"/>
            </v:shape>
            <v:shape style="position:absolute;left:1000;top:1027;width:2995;height:1289" coordorigin="1000,1028" coordsize="2995,1289" path="m1000,2196l1083,1937,1163,2089,1245,2316,1325,2150,1408,2014,1488,2059,1585,2059,1668,2089,1748,1891,1830,2059,1913,2014,1993,1968,2075,1878,2155,1862,2253,1923,2335,2014,2415,2089,2498,2105,2580,2028,2660,2059,2743,2028,2823,2014,2920,1755,3003,1891,3083,1696,3165,1709,3245,1271,3328,1634,3410,1498,3490,1255,3588,1028,3670,1680,3750,1680,3833,1878,3913,1816,3995,2075e" filled="false" stroked="true" strokeweight="1pt" strokecolor="#40ad49">
              <v:path arrowok="t"/>
              <v:stroke dashstyle="solid"/>
            </v:shape>
            <v:shape style="position:absolute;left:847;top:49;width:3313;height:2475" coordorigin="847,50" coordsize="3313,2475" path="m847,50l927,50m4058,50l4138,50m862,440l942,440m4053,440l4133,440m848,840l928,840m4058,839l4138,839m862,1230l942,1230m4053,1230l4133,1230m862,1620l942,1620m4053,1620l4133,1620m862,2015l942,2015m4053,2015l4133,2015m933,2406l933,2430,913,2445,953,2457,913,2475,953,2490,929,2499,929,2521m862,2400l942,2400m4140,2409l4140,2433,4120,2448,4160,2460,4120,2479,4160,2494,4137,2503,4136,2524m4053,2400l4133,2400e" filled="false" stroked="true" strokeweight=".5pt" strokecolor="#000000">
              <v:path arrowok="t"/>
              <v:stroke dashstyle="solid"/>
            </v:shape>
            <v:shape style="position:absolute;left:852;top:2448;width:3290;height:91" coordorigin="853,2448" coordsize="3290,91" path="m853,2535l4143,2535m1003,2455l1003,2535m1084,2535l1084,2490m1166,2530l1166,2485m1248,2538l1248,2493m1323,2458l1323,2538m1410,2528l1410,2483m1497,2530l1497,2485m1584,2528l1584,2483m1668,2452l1668,2532m1750,2535l1750,2490m1832,2530l1832,2485m1914,2528l1914,2483m1989,2448l1989,2528m2077,2530l2077,2485m2165,2530l2165,2485m2253,2534l2253,2489m2338,2454l2338,2534m2420,2537l2420,2492m2501,2539l2501,2494m2583,2527l2583,2482m2664,2453l2664,2533m2749,2527l2749,2482m2833,2534l2833,2489m2918,2530l2918,2485m3004,2450l3004,2530m3085,2532l3085,2487m3167,2535l3167,2490m3248,2535l3248,2490m3328,2455l3328,2535m3415,2529l3415,2484m3502,2534l3502,2489m3589,2528l3589,2483m3668,2452l3668,2532m3751,2527l3751,2482m3834,2527l3834,2482m3918,2530l3918,2485m3993,2450l3993,2530e" filled="false" stroked="true" strokeweight=".5pt" strokecolor="#231f20">
              <v:path arrowok="t"/>
              <v:stroke dashstyle="solid"/>
            </v:shape>
            <v:shape style="position:absolute;left:2742;top:152;width:369;height:121" type="#_x0000_t202" filled="false" stroked="false">
              <v:textbox inset="0,0,0,0">
                <w:txbxContent>
                  <w:p>
                    <w:pPr>
                      <w:spacing w:line="121" w:lineRule="exact" w:before="0"/>
                      <w:ind w:left="0" w:right="0" w:firstLine="0"/>
                      <w:jc w:val="left"/>
                      <w:rPr>
                        <w:sz w:val="11"/>
                      </w:rPr>
                    </w:pPr>
                    <w:r>
                      <w:rPr>
                        <w:sz w:val="11"/>
                      </w:rPr>
                      <w:t>Asia (a)</w:t>
                    </w:r>
                  </w:p>
                </w:txbxContent>
              </v:textbox>
              <w10:wrap type="none"/>
            </v:shape>
            <v:shape style="position:absolute;left:2165;top:2094;width:1196;height:122" type="#_x0000_t202" filled="false" stroked="false">
              <v:textbox inset="0,0,0,0">
                <w:txbxContent>
                  <w:p>
                    <w:pPr>
                      <w:spacing w:line="121" w:lineRule="exact" w:before="0"/>
                      <w:ind w:left="0" w:right="0" w:firstLine="0"/>
                      <w:jc w:val="left"/>
                      <w:rPr>
                        <w:sz w:val="11"/>
                      </w:rPr>
                    </w:pPr>
                    <w:r>
                      <w:rPr>
                        <w:sz w:val="11"/>
                      </w:rPr>
                      <w:t>Oil-exporting countries (b)</w:t>
                    </w:r>
                  </w:p>
                </w:txbxContent>
              </v:textbox>
              <w10:wrap type="none"/>
            </v:shape>
            <w10:wrap type="none"/>
          </v:group>
        </w:pict>
      </w:r>
      <w:r>
        <w:rPr>
          <w:w w:val="95"/>
          <w:sz w:val="11"/>
        </w:rPr>
        <w:t>4.0</w:t>
      </w:r>
    </w:p>
    <w:p>
      <w:pPr>
        <w:pStyle w:val="BodyText"/>
        <w:rPr>
          <w:sz w:val="12"/>
        </w:rPr>
      </w:pPr>
    </w:p>
    <w:p>
      <w:pPr>
        <w:pStyle w:val="BodyText"/>
        <w:spacing w:before="4"/>
        <w:rPr>
          <w:sz w:val="11"/>
        </w:rPr>
      </w:pPr>
    </w:p>
    <w:p>
      <w:pPr>
        <w:spacing w:before="0"/>
        <w:ind w:left="0" w:right="759" w:firstLine="0"/>
        <w:jc w:val="right"/>
        <w:rPr>
          <w:sz w:val="11"/>
        </w:rPr>
      </w:pPr>
      <w:r>
        <w:rPr>
          <w:w w:val="95"/>
          <w:sz w:val="11"/>
        </w:rPr>
        <w:t>3.5</w:t>
      </w:r>
    </w:p>
    <w:p>
      <w:pPr>
        <w:pStyle w:val="BodyText"/>
        <w:rPr>
          <w:sz w:val="12"/>
        </w:rPr>
      </w:pPr>
    </w:p>
    <w:p>
      <w:pPr>
        <w:pStyle w:val="BodyText"/>
        <w:spacing w:before="2"/>
        <w:rPr>
          <w:sz w:val="11"/>
        </w:rPr>
      </w:pPr>
    </w:p>
    <w:p>
      <w:pPr>
        <w:spacing w:before="0"/>
        <w:ind w:left="0" w:right="759" w:firstLine="0"/>
        <w:jc w:val="right"/>
        <w:rPr>
          <w:sz w:val="11"/>
        </w:rPr>
      </w:pPr>
      <w:r>
        <w:rPr>
          <w:w w:val="95"/>
          <w:sz w:val="11"/>
        </w:rPr>
        <w:t>3.0</w:t>
      </w:r>
    </w:p>
    <w:p>
      <w:pPr>
        <w:pStyle w:val="BodyText"/>
        <w:rPr>
          <w:sz w:val="12"/>
        </w:rPr>
      </w:pPr>
    </w:p>
    <w:p>
      <w:pPr>
        <w:pStyle w:val="BodyText"/>
        <w:spacing w:before="5"/>
        <w:rPr>
          <w:sz w:val="11"/>
        </w:rPr>
      </w:pPr>
    </w:p>
    <w:p>
      <w:pPr>
        <w:spacing w:before="0"/>
        <w:ind w:left="0" w:right="759" w:firstLine="0"/>
        <w:jc w:val="right"/>
        <w:rPr>
          <w:sz w:val="11"/>
        </w:rPr>
      </w:pPr>
      <w:r>
        <w:rPr>
          <w:w w:val="95"/>
          <w:sz w:val="11"/>
        </w:rPr>
        <w:t>2.5</w:t>
      </w:r>
    </w:p>
    <w:p>
      <w:pPr>
        <w:pStyle w:val="BodyText"/>
        <w:rPr>
          <w:sz w:val="12"/>
        </w:rPr>
      </w:pPr>
    </w:p>
    <w:p>
      <w:pPr>
        <w:pStyle w:val="BodyText"/>
        <w:spacing w:before="2"/>
        <w:rPr>
          <w:sz w:val="11"/>
        </w:rPr>
      </w:pPr>
    </w:p>
    <w:p>
      <w:pPr>
        <w:spacing w:before="0"/>
        <w:ind w:left="0" w:right="759" w:firstLine="0"/>
        <w:jc w:val="right"/>
        <w:rPr>
          <w:sz w:val="11"/>
        </w:rPr>
      </w:pPr>
      <w:r>
        <w:rPr>
          <w:w w:val="95"/>
          <w:sz w:val="11"/>
        </w:rPr>
        <w:t>2.0</w:t>
      </w:r>
    </w:p>
    <w:p>
      <w:pPr>
        <w:pStyle w:val="BodyText"/>
        <w:rPr>
          <w:sz w:val="12"/>
        </w:rPr>
      </w:pPr>
    </w:p>
    <w:p>
      <w:pPr>
        <w:pStyle w:val="BodyText"/>
        <w:rPr>
          <w:sz w:val="10"/>
        </w:rPr>
      </w:pPr>
    </w:p>
    <w:p>
      <w:pPr>
        <w:spacing w:before="0"/>
        <w:ind w:left="0" w:right="759" w:firstLine="0"/>
        <w:jc w:val="right"/>
        <w:rPr>
          <w:sz w:val="11"/>
        </w:rPr>
      </w:pPr>
      <w:r>
        <w:rPr>
          <w:w w:val="95"/>
          <w:sz w:val="11"/>
        </w:rPr>
        <w:t>1.5</w:t>
      </w:r>
    </w:p>
    <w:p>
      <w:pPr>
        <w:pStyle w:val="BodyText"/>
        <w:rPr>
          <w:sz w:val="12"/>
        </w:rPr>
      </w:pPr>
    </w:p>
    <w:p>
      <w:pPr>
        <w:pStyle w:val="BodyText"/>
        <w:spacing w:before="4"/>
        <w:rPr>
          <w:sz w:val="11"/>
        </w:rPr>
      </w:pPr>
    </w:p>
    <w:p>
      <w:pPr>
        <w:spacing w:before="0"/>
        <w:ind w:left="0" w:right="759" w:firstLine="0"/>
        <w:jc w:val="right"/>
        <w:rPr>
          <w:sz w:val="11"/>
        </w:rPr>
      </w:pPr>
      <w:r>
        <w:rPr>
          <w:w w:val="95"/>
          <w:sz w:val="11"/>
        </w:rPr>
        <w:t>1.0</w:t>
      </w:r>
    </w:p>
    <w:p>
      <w:pPr>
        <w:pStyle w:val="BodyText"/>
        <w:spacing w:before="5"/>
        <w:rPr>
          <w:sz w:val="21"/>
        </w:rPr>
      </w:pPr>
      <w:r>
        <w:rPr/>
        <w:br w:type="column"/>
      </w:r>
      <w:r>
        <w:rPr>
          <w:sz w:val="21"/>
        </w:rPr>
      </w:r>
    </w:p>
    <w:p>
      <w:pPr>
        <w:spacing w:line="242" w:lineRule="auto" w:before="1"/>
        <w:ind w:left="170" w:right="189" w:firstLine="0"/>
        <w:jc w:val="left"/>
        <w:rPr>
          <w:sz w:val="24"/>
        </w:rPr>
      </w:pPr>
      <w:r>
        <w:rPr>
          <w:color w:val="231F20"/>
          <w:sz w:val="24"/>
        </w:rPr>
        <w:t>The weakness of exports in Q4 mainly reflected lower sales of goods to Europe and North America (see</w:t>
      </w:r>
    </w:p>
    <w:p>
      <w:pPr>
        <w:spacing w:line="242" w:lineRule="auto" w:before="2"/>
        <w:ind w:left="170" w:right="189" w:firstLine="0"/>
        <w:jc w:val="left"/>
        <w:rPr>
          <w:sz w:val="24"/>
        </w:rPr>
      </w:pPr>
      <w:r>
        <w:rPr>
          <w:color w:val="231F20"/>
          <w:sz w:val="24"/>
        </w:rPr>
        <w:t>Table 2.A). Given that US demand has remained strong, the fall in sales to North America in Q4 was probably erratic; export volumes to this market recovered in Q1. In contrast, exports to the European Union continued to decline in January and February, reflecting the effects of sterling’s appreciation against the euro-area currencies and weakening demand. Among the developing countries, there is increasing evidence that Asian demand conditions have begun to stabilise. As a result, the sharp decline in UK exports to this region has moderated since 1998 Q4 (see Chart 2.3). However, the recent increase in the price of oil has yet to feed through to stronger UK sales to the oil-exporting countries.</w:t>
      </w:r>
    </w:p>
    <w:p>
      <w:pPr>
        <w:pStyle w:val="BodyText"/>
        <w:spacing w:before="6"/>
        <w:rPr>
          <w:sz w:val="20"/>
        </w:rPr>
      </w:pPr>
    </w:p>
    <w:p>
      <w:pPr>
        <w:spacing w:line="242" w:lineRule="auto" w:before="1"/>
        <w:ind w:left="170" w:right="174" w:firstLine="0"/>
        <w:jc w:val="left"/>
        <w:rPr>
          <w:sz w:val="24"/>
        </w:rPr>
      </w:pPr>
      <w:r>
        <w:rPr>
          <w:color w:val="231F20"/>
          <w:sz w:val="24"/>
        </w:rPr>
        <w:t>Looking ahead, the prospects for external demand seem a little brighter than the assessment made at the time of the February </w:t>
      </w:r>
      <w:r>
        <w:rPr>
          <w:i/>
          <w:color w:val="231F20"/>
          <w:sz w:val="24"/>
        </w:rPr>
        <w:t>Report</w:t>
      </w:r>
      <w:r>
        <w:rPr>
          <w:color w:val="231F20"/>
          <w:sz w:val="24"/>
        </w:rPr>
        <w:t>.  In its April forecast, the IMF raised its projection for this </w:t>
      </w:r>
      <w:r>
        <w:rPr>
          <w:color w:val="231F20"/>
          <w:spacing w:val="-3"/>
          <w:sz w:val="24"/>
        </w:rPr>
        <w:t>year’s </w:t>
      </w:r>
      <w:r>
        <w:rPr>
          <w:color w:val="231F20"/>
          <w:sz w:val="24"/>
        </w:rPr>
        <w:t>world GDP growth</w:t>
      </w:r>
      <w:r>
        <w:rPr>
          <w:color w:val="231F20"/>
          <w:spacing w:val="-3"/>
          <w:sz w:val="24"/>
        </w:rPr>
        <w:t> </w:t>
      </w:r>
      <w:r>
        <w:rPr>
          <w:color w:val="231F20"/>
          <w:spacing w:val="-8"/>
          <w:sz w:val="24"/>
        </w:rPr>
        <w:t>by</w:t>
      </w:r>
    </w:p>
    <w:p>
      <w:pPr>
        <w:spacing w:line="242" w:lineRule="auto" w:before="5"/>
        <w:ind w:left="170" w:right="189" w:firstLine="0"/>
        <w:jc w:val="left"/>
        <w:rPr>
          <w:sz w:val="24"/>
        </w:rPr>
      </w:pPr>
      <w:r>
        <w:rPr>
          <w:color w:val="231F20"/>
          <w:sz w:val="24"/>
        </w:rPr>
        <w:t>0.1 percentage point, to 2.3%. This largely reflected a reassessment of prospects for the industrial countries, with expected growth in North America revised </w:t>
      </w:r>
      <w:r>
        <w:rPr>
          <w:color w:val="231F20"/>
          <w:spacing w:val="-4"/>
          <w:sz w:val="24"/>
        </w:rPr>
        <w:t>upwards </w:t>
      </w:r>
      <w:r>
        <w:rPr>
          <w:color w:val="231F20"/>
          <w:sz w:val="24"/>
        </w:rPr>
        <w:t>significantly and prospective growth in Japan and the euro area revised downwards. Recent changes to private sector forecasts </w:t>
      </w:r>
      <w:r>
        <w:rPr>
          <w:color w:val="231F20"/>
          <w:spacing w:val="-3"/>
          <w:sz w:val="24"/>
        </w:rPr>
        <w:t>have </w:t>
      </w:r>
      <w:r>
        <w:rPr>
          <w:color w:val="231F20"/>
          <w:sz w:val="24"/>
        </w:rPr>
        <w:t>generally followed these IMF revisions (see Chart 2.4). Overall, the IMF now</w:t>
      </w:r>
      <w:r>
        <w:rPr>
          <w:color w:val="231F20"/>
          <w:spacing w:val="-18"/>
          <w:sz w:val="24"/>
        </w:rPr>
        <w:t> </w:t>
      </w:r>
      <w:r>
        <w:rPr>
          <w:color w:val="231F20"/>
          <w:sz w:val="24"/>
        </w:rPr>
        <w:t>expects</w:t>
      </w:r>
    </w:p>
    <w:p>
      <w:pPr>
        <w:spacing w:after="0" w:line="242" w:lineRule="auto"/>
        <w:jc w:val="left"/>
        <w:rPr>
          <w:sz w:val="24"/>
        </w:rPr>
        <w:sectPr>
          <w:type w:val="continuous"/>
          <w:pgSz w:w="11900" w:h="16840"/>
          <w:pgMar w:top="1220" w:bottom="280" w:left="640" w:right="640"/>
          <w:cols w:num="2" w:equalWidth="0">
            <w:col w:w="4476" w:space="334"/>
            <w:col w:w="5810"/>
          </w:cols>
        </w:sectPr>
      </w:pPr>
    </w:p>
    <w:p>
      <w:pPr>
        <w:tabs>
          <w:tab w:pos="797" w:val="left" w:leader="none"/>
          <w:tab w:pos="1122" w:val="left" w:leader="none"/>
          <w:tab w:pos="1464" w:val="left" w:leader="none"/>
          <w:tab w:pos="1789" w:val="left" w:leader="none"/>
          <w:tab w:pos="2132" w:val="left" w:leader="none"/>
          <w:tab w:pos="2457" w:val="left" w:leader="none"/>
          <w:tab w:pos="2799" w:val="left" w:leader="none"/>
          <w:tab w:pos="3124" w:val="left" w:leader="none"/>
        </w:tabs>
        <w:spacing w:before="45"/>
        <w:ind w:left="275" w:right="0" w:firstLine="0"/>
        <w:jc w:val="left"/>
        <w:rPr>
          <w:sz w:val="11"/>
        </w:rPr>
      </w:pPr>
      <w:r>
        <w:rPr>
          <w:sz w:val="11"/>
        </w:rPr>
        <w:t>1990</w:t>
        <w:tab/>
        <w:t>91</w:t>
        <w:tab/>
        <w:t>92</w:t>
        <w:tab/>
        <w:t>93</w:t>
        <w:tab/>
        <w:t>94</w:t>
        <w:tab/>
        <w:t>95</w:t>
        <w:tab/>
        <w:t>96</w:t>
        <w:tab/>
        <w:t>97</w:t>
        <w:tab/>
      </w:r>
      <w:r>
        <w:rPr>
          <w:spacing w:val="-10"/>
          <w:sz w:val="11"/>
        </w:rPr>
        <w:t>98</w:t>
      </w:r>
    </w:p>
    <w:p>
      <w:pPr>
        <w:spacing w:before="8"/>
        <w:ind w:left="275" w:right="0" w:firstLine="0"/>
        <w:jc w:val="left"/>
        <w:rPr>
          <w:sz w:val="11"/>
        </w:rPr>
      </w:pPr>
      <w:r>
        <w:rPr/>
        <w:br w:type="column"/>
      </w:r>
      <w:r>
        <w:rPr>
          <w:color w:val="231F20"/>
          <w:sz w:val="11"/>
        </w:rPr>
        <w:t>0.0</w:t>
      </w:r>
    </w:p>
    <w:p>
      <w:pPr>
        <w:spacing w:before="9"/>
        <w:ind w:left="275" w:right="0" w:firstLine="0"/>
        <w:jc w:val="left"/>
        <w:rPr>
          <w:sz w:val="24"/>
        </w:rPr>
      </w:pPr>
      <w:r>
        <w:rPr/>
        <w:br w:type="column"/>
      </w:r>
      <w:r>
        <w:rPr>
          <w:color w:val="231F20"/>
          <w:sz w:val="24"/>
        </w:rPr>
        <w:t>the GDP of advanced economies as a whole to increase</w:t>
      </w:r>
    </w:p>
    <w:p>
      <w:pPr>
        <w:spacing w:after="0"/>
        <w:jc w:val="left"/>
        <w:rPr>
          <w:sz w:val="24"/>
        </w:rPr>
        <w:sectPr>
          <w:type w:val="continuous"/>
          <w:pgSz w:w="11900" w:h="16840"/>
          <w:pgMar w:top="1220" w:bottom="280" w:left="640" w:right="640"/>
          <w:cols w:num="3" w:equalWidth="0">
            <w:col w:w="3234" w:space="68"/>
            <w:col w:w="452" w:space="951"/>
            <w:col w:w="5915"/>
          </w:cols>
        </w:sectPr>
      </w:pPr>
    </w:p>
    <w:p>
      <w:pPr>
        <w:pStyle w:val="ListParagraph"/>
        <w:numPr>
          <w:ilvl w:val="0"/>
          <w:numId w:val="10"/>
        </w:numPr>
        <w:tabs>
          <w:tab w:pos="430" w:val="left" w:leader="none"/>
        </w:tabs>
        <w:spacing w:line="208" w:lineRule="auto" w:before="16" w:after="0"/>
        <w:ind w:left="430" w:right="566" w:hanging="240"/>
        <w:jc w:val="left"/>
        <w:rPr>
          <w:sz w:val="12"/>
        </w:rPr>
      </w:pPr>
      <w:r>
        <w:rPr>
          <w:color w:val="231F20"/>
          <w:sz w:val="12"/>
        </w:rPr>
        <w:t>China, Hong Kong SAR, Japan, Malaysia, Philippines, Singapore, South Korea, Taiwan and Thailand; figures on an overseas trade statistics basis.</w:t>
      </w:r>
    </w:p>
    <w:p>
      <w:pPr>
        <w:pStyle w:val="ListParagraph"/>
        <w:numPr>
          <w:ilvl w:val="0"/>
          <w:numId w:val="10"/>
        </w:numPr>
        <w:tabs>
          <w:tab w:pos="431" w:val="left" w:leader="none"/>
        </w:tabs>
        <w:spacing w:line="208" w:lineRule="auto" w:before="0" w:after="0"/>
        <w:ind w:left="430" w:right="38" w:hanging="240"/>
        <w:jc w:val="left"/>
        <w:rPr>
          <w:sz w:val="12"/>
        </w:rPr>
      </w:pPr>
      <w:r>
        <w:rPr>
          <w:color w:val="231F20"/>
          <w:sz w:val="12"/>
        </w:rPr>
        <w:t>Abu Dhabi, Algeria, Bahrain, Brunei, Dubai, Ecuador, Gabon, Indonesia, Iran, Iraq, Kuwait, Libya, Nigeria, Oman, Qatar, Saudi Arabia, Sharjah, Trinidad and Tobago, and Venezuela; figures on a balance of payment </w:t>
      </w:r>
      <w:r>
        <w:rPr>
          <w:color w:val="231F20"/>
          <w:spacing w:val="-3"/>
          <w:sz w:val="12"/>
        </w:rPr>
        <w:t>basis.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pStyle w:val="Heading4"/>
        <w:spacing w:before="0"/>
      </w:pPr>
      <w:r>
        <w:rPr>
          <w:color w:val="0093C1"/>
        </w:rPr>
        <w:t>Chart 2.4</w:t>
      </w:r>
    </w:p>
    <w:p>
      <w:pPr>
        <w:pStyle w:val="Heading4"/>
      </w:pPr>
      <w:r>
        <w:rPr>
          <w:color w:val="0093C1"/>
        </w:rPr>
        <w:t>Consensus forecasts for 1999 GDP growth</w:t>
      </w:r>
    </w:p>
    <w:p>
      <w:pPr>
        <w:spacing w:line="26" w:lineRule="exact" w:before="115"/>
        <w:ind w:left="2079" w:right="0" w:firstLine="0"/>
        <w:jc w:val="left"/>
        <w:rPr>
          <w:sz w:val="12"/>
        </w:rPr>
      </w:pPr>
      <w:r>
        <w:rPr>
          <w:sz w:val="12"/>
        </w:rPr>
        <w:t>Percentage changes on 1998</w:t>
      </w:r>
    </w:p>
    <w:p>
      <w:pPr>
        <w:spacing w:line="242" w:lineRule="auto" w:before="4"/>
        <w:ind w:left="170" w:right="414" w:firstLine="0"/>
        <w:jc w:val="left"/>
        <w:rPr>
          <w:sz w:val="24"/>
        </w:rPr>
      </w:pPr>
      <w:r>
        <w:rPr/>
        <w:br w:type="column"/>
      </w:r>
      <w:r>
        <w:rPr>
          <w:color w:val="231F20"/>
          <w:sz w:val="24"/>
        </w:rPr>
        <w:t>by 2.0% in 1999 (0.4 percentage points higher than its December forecast).</w:t>
      </w:r>
    </w:p>
    <w:p>
      <w:pPr>
        <w:pStyle w:val="BodyText"/>
        <w:spacing w:before="1"/>
        <w:rPr>
          <w:sz w:val="21"/>
        </w:rPr>
      </w:pPr>
    </w:p>
    <w:p>
      <w:pPr>
        <w:spacing w:line="242" w:lineRule="auto" w:before="0"/>
        <w:ind w:left="170" w:right="289" w:firstLine="0"/>
        <w:jc w:val="left"/>
        <w:rPr>
          <w:sz w:val="24"/>
        </w:rPr>
      </w:pPr>
      <w:r>
        <w:rPr>
          <w:color w:val="231F20"/>
          <w:sz w:val="24"/>
        </w:rPr>
        <w:t>Large demand changes in the emerging market economies can also </w:t>
      </w:r>
      <w:r>
        <w:rPr>
          <w:color w:val="231F20"/>
          <w:spacing w:val="-3"/>
          <w:sz w:val="24"/>
        </w:rPr>
        <w:t>have </w:t>
      </w:r>
      <w:r>
        <w:rPr>
          <w:color w:val="231F20"/>
          <w:sz w:val="24"/>
        </w:rPr>
        <w:t>a significant impact on the UK trade balance, as the Asian crisis demonstrated. Following the collapse of Brazil’s exchange rate</w:t>
      </w:r>
      <w:r>
        <w:rPr>
          <w:color w:val="231F20"/>
          <w:spacing w:val="-23"/>
          <w:sz w:val="24"/>
        </w:rPr>
        <w:t> </w:t>
      </w:r>
      <w:r>
        <w:rPr>
          <w:color w:val="231F20"/>
          <w:spacing w:val="-4"/>
          <w:sz w:val="24"/>
        </w:rPr>
        <w:t>regime </w:t>
      </w:r>
      <w:r>
        <w:rPr>
          <w:color w:val="231F20"/>
          <w:sz w:val="24"/>
        </w:rPr>
        <w:t>in January, private sector forecasts of Latin American growth in 1999 </w:t>
      </w:r>
      <w:r>
        <w:rPr>
          <w:color w:val="231F20"/>
          <w:spacing w:val="-3"/>
          <w:sz w:val="24"/>
        </w:rPr>
        <w:t>have </w:t>
      </w:r>
      <w:r>
        <w:rPr>
          <w:color w:val="231F20"/>
          <w:sz w:val="24"/>
        </w:rPr>
        <w:t>been marked down by</w:t>
      </w:r>
      <w:r>
        <w:rPr>
          <w:color w:val="231F20"/>
          <w:spacing w:val="-3"/>
          <w:sz w:val="24"/>
        </w:rPr>
        <w:t> </w:t>
      </w:r>
      <w:r>
        <w:rPr>
          <w:color w:val="231F20"/>
          <w:sz w:val="24"/>
        </w:rPr>
        <w:t>around</w:t>
      </w:r>
    </w:p>
    <w:p>
      <w:pPr>
        <w:spacing w:after="0" w:line="242" w:lineRule="auto"/>
        <w:jc w:val="left"/>
        <w:rPr>
          <w:sz w:val="24"/>
        </w:rPr>
        <w:sectPr>
          <w:type w:val="continuous"/>
          <w:pgSz w:w="11900" w:h="16840"/>
          <w:pgMar w:top="1220" w:bottom="280" w:left="640" w:right="640"/>
          <w:cols w:num="2" w:equalWidth="0">
            <w:col w:w="4182" w:space="628"/>
            <w:col w:w="5810"/>
          </w:cols>
        </w:sectPr>
      </w:pPr>
    </w:p>
    <w:p>
      <w:pPr>
        <w:pStyle w:val="BodyText"/>
        <w:spacing w:before="3"/>
        <w:rPr>
          <w:sz w:val="12"/>
        </w:rPr>
      </w:pPr>
    </w:p>
    <w:p>
      <w:pPr>
        <w:pStyle w:val="BodyText"/>
        <w:spacing w:line="20" w:lineRule="exact"/>
        <w:ind w:left="190"/>
        <w:rPr>
          <w:sz w:val="2"/>
        </w:rPr>
      </w:pPr>
      <w:r>
        <w:rPr>
          <w:sz w:val="2"/>
        </w:rPr>
        <w:pict>
          <v:group style="width:3.5pt;height:.5pt;mso-position-horizontal-relative:char;mso-position-vertical-relative:line" coordorigin="0,0" coordsize="70,10">
            <v:line style="position:absolute" from="0,5" to="70,5" stroked="true" strokeweight=".5pt" strokecolor="#000000">
              <v:stroke dashstyle="solid"/>
            </v:line>
          </v:group>
        </w:pict>
      </w:r>
      <w:r>
        <w:rPr>
          <w:sz w:val="2"/>
        </w:rPr>
      </w:r>
    </w:p>
    <w:p>
      <w:pPr>
        <w:pStyle w:val="BodyText"/>
        <w:rPr>
          <w:sz w:val="12"/>
        </w:rPr>
      </w:pPr>
    </w:p>
    <w:p>
      <w:pPr>
        <w:pStyle w:val="BodyText"/>
        <w:spacing w:before="3"/>
        <w:rPr>
          <w:sz w:val="11"/>
        </w:rPr>
      </w:pPr>
    </w:p>
    <w:p>
      <w:pPr>
        <w:spacing w:before="0"/>
        <w:ind w:left="532" w:right="0" w:firstLine="0"/>
        <w:jc w:val="left"/>
        <w:rPr>
          <w:sz w:val="12"/>
        </w:rPr>
      </w:pPr>
      <w:r>
        <w:rPr>
          <w:sz w:val="12"/>
        </w:rPr>
        <w:t>Latin America</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4"/>
        <w:ind w:left="355" w:right="0" w:firstLine="0"/>
        <w:jc w:val="left"/>
        <w:rPr>
          <w:sz w:val="12"/>
        </w:rPr>
      </w:pPr>
      <w:r>
        <w:rPr>
          <w:color w:val="231F20"/>
          <w:sz w:val="12"/>
        </w:rPr>
        <w:t>Asia Pacific</w:t>
      </w:r>
    </w:p>
    <w:p>
      <w:pPr>
        <w:spacing w:before="69"/>
        <w:ind w:left="0" w:right="38" w:firstLine="0"/>
        <w:jc w:val="right"/>
        <w:rPr>
          <w:sz w:val="12"/>
        </w:rPr>
      </w:pPr>
      <w:r>
        <w:rPr/>
        <w:br w:type="column"/>
      </w:r>
      <w:r>
        <w:rPr>
          <w:sz w:val="12"/>
        </w:rPr>
        <w:t>5</w:t>
      </w:r>
    </w:p>
    <w:p>
      <w:pPr>
        <w:pStyle w:val="BodyText"/>
        <w:rPr>
          <w:sz w:val="12"/>
        </w:rPr>
      </w:pPr>
    </w:p>
    <w:p>
      <w:pPr>
        <w:pStyle w:val="BodyText"/>
        <w:spacing w:before="11"/>
        <w:rPr>
          <w:sz w:val="12"/>
        </w:rPr>
      </w:pPr>
    </w:p>
    <w:p>
      <w:pPr>
        <w:spacing w:before="0"/>
        <w:ind w:left="0" w:right="38" w:firstLine="0"/>
        <w:jc w:val="right"/>
        <w:rPr>
          <w:sz w:val="12"/>
        </w:rPr>
      </w:pPr>
      <w:r>
        <w:rPr/>
        <w:pict>
          <v:group style="position:absolute;margin-left:41.375pt;margin-top:3.476364pt;width:163pt;height:111.25pt;mso-position-horizontal-relative:page;mso-position-vertical-relative:paragraph;z-index:-21247488" coordorigin="828,70" coordsize="3260,2225">
            <v:shape style="position:absolute;left:955;top:329;width:3008;height:604" coordorigin="955,330" coordsize="3008,604" path="m955,800l1285,801,1625,887,1955,932,2295,933,2623,800,2963,757,3293,507,3633,375,3963,330e" filled="false" stroked="true" strokeweight="1pt" strokecolor="#0066a5">
              <v:path arrowok="t"/>
              <v:stroke dashstyle="solid"/>
            </v:shape>
            <v:shape style="position:absolute;left:955;top:549;width:3008;height:340" coordorigin="955,550" coordsize="3008,340" path="m955,550l1285,551,1625,667,1955,712,2295,757,2623,800,2963,842,3293,843,3633,887,3963,890e" filled="false" stroked="true" strokeweight="1pt" strokecolor="#df6f1d">
              <v:path arrowok="t"/>
              <v:stroke dashstyle="solid"/>
            </v:shape>
            <v:shape style="position:absolute;left:955;top:1137;width:3008;height:559" coordorigin="955,1137" coordsize="3008,559" path="m955,1137l1285,1225,1625,1315,1955,1520,2295,1607,2623,1562,2963,1695,3293,1696,3633,1607,3963,1695e" filled="false" stroked="true" strokeweight="1.0pt" strokecolor="#95459a">
              <v:path arrowok="t"/>
              <v:stroke dashstyle="solid"/>
            </v:shape>
            <v:shape style="position:absolute;left:955;top:79;width:3008;height:2205" coordorigin="955,80" coordsize="3008,2205" path="m955,80l1285,81,1625,285,1955,286,2295,1430,2623,1431,2963,1562,3293,1563,3633,2282,3963,2285e" filled="false" stroked="true" strokeweight="1pt" strokecolor="#0099d8">
              <v:path arrowok="t"/>
              <v:stroke dashstyle="solid"/>
            </v:shape>
            <v:shape style="position:absolute;left:827;top:77;width:3260;height:2115" coordorigin="828,77" coordsize="3260,2115" path="m838,77l908,77m4013,77l4083,77m833,502l903,502m4008,502l4078,502m843,927l913,927m4018,927l4088,927m833,1342l903,1342m4008,1342l4078,1342m828,2192l898,2192m4003,2192l4073,2192e" filled="false" stroked="true" strokeweight=".5pt" strokecolor="#000000">
              <v:path arrowok="t"/>
              <v:stroke dashstyle="solid"/>
            </v:shape>
            <w10:wrap type="none"/>
          </v:group>
        </w:pict>
      </w:r>
      <w:r>
        <w:rPr/>
        <w:pict>
          <v:line style="position:absolute;mso-position-horizontal-relative:page;mso-position-vertical-relative:paragraph;z-index:15887360" from="200.5pt,-17.398636pt" to="204pt,-17.398636pt" stroked="true" strokeweight=".5pt" strokecolor="#000000">
            <v:stroke dashstyle="solid"/>
            <w10:wrap type="none"/>
          </v:line>
        </w:pict>
      </w:r>
      <w:r>
        <w:rPr>
          <w:sz w:val="12"/>
        </w:rPr>
        <w:t>4</w:t>
      </w:r>
    </w:p>
    <w:p>
      <w:pPr>
        <w:spacing w:before="79"/>
        <w:ind w:left="355" w:right="0" w:firstLine="0"/>
        <w:jc w:val="left"/>
        <w:rPr>
          <w:sz w:val="12"/>
        </w:rPr>
      </w:pPr>
      <w:r>
        <w:rPr>
          <w:sz w:val="12"/>
        </w:rPr>
        <w:t>North America</w:t>
      </w:r>
    </w:p>
    <w:p>
      <w:pPr>
        <w:spacing w:before="72"/>
        <w:ind w:left="0" w:right="38" w:firstLine="0"/>
        <w:jc w:val="right"/>
        <w:rPr>
          <w:sz w:val="12"/>
        </w:rPr>
      </w:pPr>
      <w:r>
        <w:rPr>
          <w:sz w:val="12"/>
        </w:rPr>
        <w:t>3</w:t>
      </w:r>
    </w:p>
    <w:p>
      <w:pPr>
        <w:pStyle w:val="BodyText"/>
        <w:spacing w:before="9"/>
        <w:rPr>
          <w:sz w:val="14"/>
        </w:rPr>
      </w:pPr>
    </w:p>
    <w:p>
      <w:pPr>
        <w:spacing w:line="127" w:lineRule="exact" w:before="0"/>
        <w:ind w:left="810" w:right="0" w:firstLine="0"/>
        <w:jc w:val="left"/>
        <w:rPr>
          <w:sz w:val="12"/>
        </w:rPr>
      </w:pPr>
      <w:r>
        <w:rPr>
          <w:sz w:val="12"/>
        </w:rPr>
        <w:t>Euro area</w:t>
      </w:r>
    </w:p>
    <w:p>
      <w:pPr>
        <w:spacing w:line="127" w:lineRule="exact" w:before="0"/>
        <w:ind w:left="1447" w:right="0" w:firstLine="0"/>
        <w:jc w:val="left"/>
        <w:rPr>
          <w:sz w:val="12"/>
        </w:rPr>
      </w:pPr>
      <w:r>
        <w:rPr>
          <w:sz w:val="12"/>
        </w:rPr>
        <w:t>2</w:t>
      </w:r>
    </w:p>
    <w:p>
      <w:pPr>
        <w:pStyle w:val="BodyText"/>
        <w:rPr>
          <w:sz w:val="12"/>
        </w:rPr>
      </w:pPr>
    </w:p>
    <w:p>
      <w:pPr>
        <w:pStyle w:val="BodyText"/>
        <w:spacing w:before="10"/>
        <w:rPr>
          <w:sz w:val="11"/>
        </w:rPr>
      </w:pPr>
    </w:p>
    <w:p>
      <w:pPr>
        <w:spacing w:before="0"/>
        <w:ind w:left="0" w:right="38" w:firstLine="0"/>
        <w:jc w:val="right"/>
        <w:rPr>
          <w:sz w:val="12"/>
        </w:rPr>
      </w:pPr>
      <w:r>
        <w:rPr>
          <w:sz w:val="12"/>
        </w:rPr>
        <w:t>1</w:t>
      </w:r>
    </w:p>
    <w:p>
      <w:pPr>
        <w:spacing w:before="52"/>
        <w:ind w:left="1362" w:right="0" w:firstLine="0"/>
        <w:jc w:val="left"/>
        <w:rPr>
          <w:sz w:val="16"/>
        </w:rPr>
      </w:pPr>
      <w:r>
        <w:rPr>
          <w:color w:val="231F20"/>
          <w:sz w:val="16"/>
        </w:rPr>
        <w:t>+</w:t>
      </w:r>
    </w:p>
    <w:p>
      <w:pPr>
        <w:spacing w:line="242" w:lineRule="auto" w:before="0"/>
        <w:ind w:left="355" w:right="147" w:firstLine="0"/>
        <w:jc w:val="left"/>
        <w:rPr>
          <w:sz w:val="24"/>
        </w:rPr>
      </w:pPr>
      <w:r>
        <w:rPr/>
        <w:br w:type="column"/>
      </w:r>
      <w:r>
        <w:rPr>
          <w:color w:val="231F20"/>
          <w:sz w:val="24"/>
        </w:rPr>
        <w:t>2 percentage points. The direct impact on the United Kingdom of lower growth in Latin America is likely to be small, however, since this region accounts for only about 2</w:t>
      </w:r>
      <w:r>
        <w:rPr>
          <w:color w:val="231F20"/>
          <w:position w:val="8"/>
          <w:sz w:val="12"/>
        </w:rPr>
        <w:t>1</w:t>
      </w:r>
      <w:r>
        <w:rPr>
          <w:color w:val="231F20"/>
          <w:sz w:val="24"/>
        </w:rPr>
        <w:t>/</w:t>
      </w:r>
      <w:r>
        <w:rPr>
          <w:color w:val="231F20"/>
          <w:sz w:val="12"/>
        </w:rPr>
        <w:t>2</w:t>
      </w:r>
      <w:r>
        <w:rPr>
          <w:color w:val="231F20"/>
          <w:sz w:val="24"/>
        </w:rPr>
        <w:t>% of UK exports and less than 5% of total world trade. Contagion effects to other emerging market economies have generally been limited and growth projections for some of the Asia Pacific countries have now started to be revised up slightly.</w:t>
      </w:r>
    </w:p>
    <w:p>
      <w:pPr>
        <w:spacing w:after="0" w:line="242" w:lineRule="auto"/>
        <w:jc w:val="left"/>
        <w:rPr>
          <w:sz w:val="24"/>
        </w:rPr>
        <w:sectPr>
          <w:type w:val="continuous"/>
          <w:pgSz w:w="11900" w:h="16840"/>
          <w:pgMar w:top="1220" w:bottom="280" w:left="640" w:right="640"/>
          <w:cols w:num="3" w:equalWidth="0">
            <w:col w:w="1269" w:space="793"/>
            <w:col w:w="1548" w:space="1015"/>
            <w:col w:w="5995"/>
          </w:cols>
        </w:sectPr>
      </w:pPr>
    </w:p>
    <w:p>
      <w:pPr>
        <w:tabs>
          <w:tab w:pos="3437" w:val="left" w:leader="none"/>
        </w:tabs>
        <w:spacing w:line="87" w:lineRule="exact" w:before="0"/>
        <w:ind w:left="192" w:right="0" w:firstLine="0"/>
        <w:jc w:val="left"/>
        <w:rPr>
          <w:sz w:val="12"/>
        </w:rPr>
      </w:pPr>
      <w:r>
        <w:rPr>
          <w:sz w:val="12"/>
          <w:u w:val="single"/>
        </w:rPr>
        <w:t> </w:t>
        <w:tab/>
      </w:r>
      <w:r>
        <w:rPr>
          <w:sz w:val="12"/>
        </w:rPr>
        <w:t> </w:t>
      </w:r>
      <w:r>
        <w:rPr>
          <w:spacing w:val="12"/>
          <w:sz w:val="12"/>
        </w:rPr>
        <w:t> </w:t>
      </w:r>
      <w:r>
        <w:rPr>
          <w:sz w:val="12"/>
        </w:rPr>
        <w:t>0</w:t>
      </w:r>
    </w:p>
    <w:p>
      <w:pPr>
        <w:pStyle w:val="BodyText"/>
        <w:spacing w:before="3"/>
        <w:rPr>
          <w:sz w:val="13"/>
        </w:rPr>
      </w:pPr>
    </w:p>
    <w:p>
      <w:pPr>
        <w:tabs>
          <w:tab w:pos="4979" w:val="left" w:leader="none"/>
        </w:tabs>
        <w:spacing w:line="242" w:lineRule="auto" w:before="0"/>
        <w:ind w:left="4979" w:right="184" w:hanging="1545"/>
        <w:jc w:val="left"/>
        <w:rPr>
          <w:sz w:val="24"/>
        </w:rPr>
      </w:pPr>
      <w:r>
        <w:rPr/>
        <w:pict>
          <v:shape style="position:absolute;margin-left:41.375pt;margin-top:25.561127pt;width:162.25pt;height:6.75pt;mso-position-horizontal-relative:page;mso-position-vertical-relative:paragraph;z-index:15886336" coordorigin="828,511" coordsize="3245,135" path="m955,644l3963,646m828,646l898,646m4003,646l4073,646m1285,576l1285,646m1620,576l1620,646m950,576l950,646m2295,576l2295,646m2630,576l2630,646m1960,576l1960,646m3295,576l3295,646m3630,576l3630,646m2960,511l2960,646m3960,576l3960,646e" filled="false" stroked="true" strokeweight=".5pt" strokecolor="#000000">
            <v:path arrowok="t"/>
            <v:stroke dashstyle="solid"/>
            <w10:wrap type="none"/>
          </v:shape>
        </w:pict>
      </w:r>
      <w:r>
        <w:rPr/>
        <w:pict>
          <v:shape style="position:absolute;margin-left:207.5pt;margin-top:7.214147pt;width:3pt;height:6.65pt;mso-position-horizontal-relative:page;mso-position-vertical-relative:paragraph;z-index:-21246464" type="#_x0000_t202" filled="false" stroked="false">
            <v:textbox inset="0,0,0,0">
              <w:txbxContent>
                <w:p>
                  <w:pPr>
                    <w:spacing w:line="133" w:lineRule="exact" w:before="0"/>
                    <w:ind w:left="0" w:right="0" w:firstLine="0"/>
                    <w:jc w:val="left"/>
                    <w:rPr>
                      <w:sz w:val="12"/>
                    </w:rPr>
                  </w:pPr>
                  <w:r>
                    <w:rPr>
                      <w:sz w:val="12"/>
                    </w:rPr>
                    <w:t>1</w:t>
                  </w:r>
                </w:p>
              </w:txbxContent>
            </v:textbox>
            <w10:wrap type="none"/>
          </v:shape>
        </w:pict>
      </w:r>
      <w:r>
        <w:rPr>
          <w:color w:val="231F20"/>
          <w:sz w:val="24"/>
          <w:vertAlign w:val="superscript"/>
        </w:rPr>
        <w:t>–</w:t>
      </w:r>
      <w:r>
        <w:rPr>
          <w:color w:val="231F20"/>
          <w:sz w:val="24"/>
          <w:vertAlign w:val="baseline"/>
        </w:rPr>
        <w:tab/>
      </w:r>
      <w:r>
        <w:rPr>
          <w:color w:val="231F20"/>
          <w:spacing w:val="-4"/>
          <w:sz w:val="24"/>
          <w:vertAlign w:val="baseline"/>
        </w:rPr>
        <w:t>Taking </w:t>
      </w:r>
      <w:r>
        <w:rPr>
          <w:color w:val="231F20"/>
          <w:sz w:val="24"/>
          <w:vertAlign w:val="baseline"/>
        </w:rPr>
        <w:t>all these developments together, the prospects </w:t>
      </w:r>
      <w:r>
        <w:rPr>
          <w:color w:val="231F20"/>
          <w:spacing w:val="-5"/>
          <w:sz w:val="24"/>
          <w:vertAlign w:val="baseline"/>
        </w:rPr>
        <w:t>for </w:t>
      </w:r>
      <w:r>
        <w:rPr>
          <w:color w:val="231F20"/>
          <w:sz w:val="24"/>
          <w:vertAlign w:val="baseline"/>
        </w:rPr>
        <w:t>UK trade-weighted world import growth </w:t>
      </w:r>
      <w:r>
        <w:rPr>
          <w:color w:val="231F20"/>
          <w:spacing w:val="-3"/>
          <w:sz w:val="24"/>
          <w:vertAlign w:val="baseline"/>
        </w:rPr>
        <w:t>have</w:t>
      </w:r>
      <w:r>
        <w:rPr>
          <w:color w:val="231F20"/>
          <w:spacing w:val="-13"/>
          <w:sz w:val="24"/>
          <w:vertAlign w:val="baseline"/>
        </w:rPr>
        <w:t> </w:t>
      </w:r>
      <w:r>
        <w:rPr>
          <w:color w:val="231F20"/>
          <w:sz w:val="24"/>
          <w:vertAlign w:val="baseline"/>
        </w:rPr>
        <w:t>improved</w:t>
      </w:r>
    </w:p>
    <w:p>
      <w:pPr>
        <w:spacing w:line="9" w:lineRule="exact" w:before="4"/>
        <w:ind w:left="3510" w:right="0" w:firstLine="0"/>
        <w:jc w:val="left"/>
        <w:rPr>
          <w:sz w:val="12"/>
        </w:rPr>
      </w:pPr>
      <w:r>
        <w:rPr>
          <w:sz w:val="12"/>
        </w:rPr>
        <w:t>2</w:t>
      </w:r>
    </w:p>
    <w:p>
      <w:pPr>
        <w:spacing w:after="0" w:line="9" w:lineRule="exact"/>
        <w:jc w:val="left"/>
        <w:rPr>
          <w:sz w:val="12"/>
        </w:rPr>
        <w:sectPr>
          <w:type w:val="continuous"/>
          <w:pgSz w:w="11900" w:h="16840"/>
          <w:pgMar w:top="1220" w:bottom="280" w:left="640" w:right="640"/>
        </w:sectPr>
      </w:pPr>
    </w:p>
    <w:p>
      <w:pPr>
        <w:tabs>
          <w:tab w:pos="1522" w:val="left" w:leader="none"/>
          <w:tab w:pos="2222" w:val="left" w:leader="none"/>
        </w:tabs>
        <w:spacing w:before="94"/>
        <w:ind w:left="162" w:right="0" w:firstLine="0"/>
        <w:jc w:val="left"/>
        <w:rPr>
          <w:sz w:val="12"/>
        </w:rPr>
      </w:pPr>
      <w:r>
        <w:rPr>
          <w:sz w:val="12"/>
        </w:rPr>
        <w:t>Survey date:  </w:t>
      </w:r>
      <w:r>
        <w:rPr>
          <w:spacing w:val="16"/>
          <w:sz w:val="12"/>
        </w:rPr>
        <w:t> </w:t>
      </w:r>
      <w:r>
        <w:rPr>
          <w:sz w:val="12"/>
        </w:rPr>
        <w:t>Sept.</w:t>
        <w:tab/>
        <w:t>Nov.</w:t>
        <w:tab/>
        <w:t>Jan.</w:t>
      </w:r>
    </w:p>
    <w:p>
      <w:pPr>
        <w:tabs>
          <w:tab w:pos="2559" w:val="left" w:leader="none"/>
        </w:tabs>
        <w:spacing w:before="5"/>
        <w:ind w:left="807" w:right="0" w:firstLine="0"/>
        <w:jc w:val="left"/>
        <w:rPr>
          <w:sz w:val="12"/>
        </w:rPr>
      </w:pPr>
      <w:r>
        <w:rPr>
          <w:sz w:val="12"/>
        </w:rPr>
        <w:t>1998</w:t>
        <w:tab/>
      </w:r>
      <w:r>
        <w:rPr>
          <w:color w:val="231F20"/>
          <w:spacing w:val="-10"/>
          <w:sz w:val="12"/>
        </w:rPr>
        <w:t>99</w:t>
      </w:r>
    </w:p>
    <w:p>
      <w:pPr>
        <w:pStyle w:val="BodyText"/>
        <w:spacing w:before="2"/>
        <w:rPr>
          <w:sz w:val="14"/>
        </w:rPr>
      </w:pPr>
    </w:p>
    <w:p>
      <w:pPr>
        <w:spacing w:before="0"/>
        <w:ind w:left="160" w:right="0" w:firstLine="0"/>
        <w:jc w:val="left"/>
        <w:rPr>
          <w:sz w:val="12"/>
        </w:rPr>
      </w:pPr>
      <w:r>
        <w:rPr>
          <w:color w:val="231F20"/>
          <w:sz w:val="12"/>
        </w:rPr>
        <w:t>Source: Consensus Economics.</w:t>
      </w:r>
    </w:p>
    <w:p>
      <w:pPr>
        <w:spacing w:before="94"/>
        <w:ind w:left="117" w:right="0" w:firstLine="0"/>
        <w:jc w:val="left"/>
        <w:rPr>
          <w:sz w:val="12"/>
        </w:rPr>
      </w:pPr>
      <w:r>
        <w:rPr/>
        <w:br w:type="column"/>
      </w:r>
      <w:r>
        <w:rPr>
          <w:sz w:val="12"/>
        </w:rPr>
        <w:t>Mar.</w:t>
      </w:r>
    </w:p>
    <w:p>
      <w:pPr>
        <w:spacing w:line="242" w:lineRule="auto" w:before="0"/>
        <w:ind w:left="160" w:right="154" w:firstLine="0"/>
        <w:jc w:val="left"/>
        <w:rPr>
          <w:sz w:val="24"/>
        </w:rPr>
      </w:pPr>
      <w:r>
        <w:rPr/>
        <w:br w:type="column"/>
      </w:r>
      <w:r>
        <w:rPr>
          <w:color w:val="231F20"/>
          <w:sz w:val="24"/>
        </w:rPr>
        <w:t>modestly, relative to the assessment made at the time of the February </w:t>
      </w:r>
      <w:r>
        <w:rPr>
          <w:i/>
          <w:color w:val="231F20"/>
          <w:sz w:val="24"/>
        </w:rPr>
        <w:t>Inflation Report</w:t>
      </w:r>
      <w:r>
        <w:rPr>
          <w:color w:val="231F20"/>
          <w:sz w:val="24"/>
        </w:rPr>
        <w:t>. The MPC has consequently revised up its central expectation for UK export market growth in 2000 to 5%–6%, and left the</w:t>
      </w:r>
    </w:p>
    <w:p>
      <w:pPr>
        <w:spacing w:after="0" w:line="242" w:lineRule="auto"/>
        <w:jc w:val="left"/>
        <w:rPr>
          <w:sz w:val="24"/>
        </w:rPr>
        <w:sectPr>
          <w:type w:val="continuous"/>
          <w:pgSz w:w="11900" w:h="16840"/>
          <w:pgMar w:top="1220" w:bottom="280" w:left="640" w:right="640"/>
          <w:cols w:num="3" w:equalWidth="0">
            <w:col w:w="2681" w:space="40"/>
            <w:col w:w="388" w:space="1711"/>
            <w:col w:w="5800"/>
          </w:cols>
        </w:sectPr>
      </w:pPr>
    </w:p>
    <w:p>
      <w:pPr>
        <w:pStyle w:val="BodyText"/>
        <w:rPr>
          <w:sz w:val="20"/>
        </w:rPr>
      </w:pPr>
    </w:p>
    <w:p>
      <w:pPr>
        <w:spacing w:after="0"/>
        <w:rPr>
          <w:sz w:val="20"/>
        </w:rPr>
        <w:sectPr>
          <w:pgSz w:w="11900" w:h="16840"/>
          <w:pgMar w:header="586" w:footer="597" w:top="780" w:bottom="780" w:left="640" w:right="640"/>
        </w:sectPr>
      </w:pPr>
    </w:p>
    <w:p>
      <w:pPr>
        <w:pStyle w:val="BodyText"/>
        <w:spacing w:before="6"/>
        <w:rPr>
          <w:sz w:val="20"/>
        </w:rPr>
      </w:pPr>
    </w:p>
    <w:p>
      <w:pPr>
        <w:pStyle w:val="Heading4"/>
        <w:spacing w:before="0"/>
        <w:ind w:left="175"/>
      </w:pPr>
      <w:bookmarkStart w:name="Domestic demand" w:id="33"/>
      <w:bookmarkEnd w:id="33"/>
      <w:r>
        <w:rPr>
          <w:b w:val="0"/>
        </w:rPr>
      </w:r>
      <w:bookmarkStart w:name="_bookmark12" w:id="34"/>
      <w:bookmarkEnd w:id="34"/>
      <w:r>
        <w:rPr>
          <w:b w:val="0"/>
        </w:rPr>
      </w:r>
      <w:r>
        <w:rPr>
          <w:color w:val="0093C1"/>
        </w:rPr>
        <w:t>Chart 2.5</w:t>
      </w:r>
    </w:p>
    <w:p>
      <w:pPr>
        <w:pStyle w:val="Heading4"/>
        <w:ind w:left="175"/>
        <w:rPr>
          <w:b w:val="0"/>
          <w:sz w:val="12"/>
        </w:rPr>
      </w:pPr>
      <w:r>
        <w:rPr>
          <w:color w:val="0093C1"/>
        </w:rPr>
        <w:t>Sterling real effective exchange rate</w:t>
      </w:r>
      <w:r>
        <w:rPr>
          <w:b w:val="0"/>
          <w:color w:val="231F20"/>
          <w:position w:val="4"/>
          <w:sz w:val="12"/>
        </w:rPr>
        <w:t>(a)</w:t>
      </w:r>
    </w:p>
    <w:p>
      <w:pPr>
        <w:spacing w:before="90"/>
        <w:ind w:left="2973" w:right="0" w:firstLine="0"/>
        <w:jc w:val="left"/>
        <w:rPr>
          <w:sz w:val="12"/>
        </w:rPr>
      </w:pPr>
      <w:r>
        <w:rPr/>
        <w:pict>
          <v:line style="position:absolute;mso-position-horizontal-relative:page;mso-position-vertical-relative:paragraph;z-index:15889408" from="43.654999pt,11.728088pt" to="47.404999pt,11.728088pt" stroked="true" strokeweight=".5pt" strokecolor="#000000">
            <v:stroke dashstyle="solid"/>
            <w10:wrap type="none"/>
          </v:line>
        </w:pict>
      </w:r>
      <w:r>
        <w:rPr/>
        <w:pict>
          <v:line style="position:absolute;mso-position-horizontal-relative:page;mso-position-vertical-relative:paragraph;z-index:-21244416" from="203.654999pt,11.728088pt" to="207.404999pt,11.728088pt" stroked="true" strokeweight=".5pt" strokecolor="#000000">
            <v:stroke dashstyle="solid"/>
            <w10:wrap type="none"/>
          </v:line>
        </w:pict>
      </w:r>
      <w:r>
        <w:rPr>
          <w:sz w:val="12"/>
        </w:rPr>
        <w:t>1990 = 100</w:t>
      </w:r>
      <w:r>
        <w:rPr>
          <w:spacing w:val="-3"/>
          <w:sz w:val="12"/>
        </w:rPr>
        <w:t> </w:t>
      </w:r>
      <w:r>
        <w:rPr>
          <w:position w:val="-6"/>
          <w:sz w:val="12"/>
        </w:rPr>
        <w:t>140</w:t>
      </w:r>
    </w:p>
    <w:p>
      <w:pPr>
        <w:pStyle w:val="BodyText"/>
        <w:rPr>
          <w:sz w:val="20"/>
        </w:rPr>
      </w:pPr>
    </w:p>
    <w:p>
      <w:pPr>
        <w:spacing w:before="132"/>
        <w:ind w:left="0" w:right="347" w:firstLine="0"/>
        <w:jc w:val="right"/>
        <w:rPr>
          <w:sz w:val="12"/>
        </w:rPr>
      </w:pPr>
      <w:r>
        <w:rPr/>
        <w:pict>
          <v:group style="position:absolute;margin-left:43.279999pt;margin-top:.576868pt;width:164.25pt;height:120.75pt;mso-position-horizontal-relative:page;mso-position-vertical-relative:paragraph;z-index:15888384" coordorigin="866,12" coordsize="3285,2415">
            <v:shape style="position:absolute;left:1005;top:21;width:3008;height:2395" coordorigin="1006,22" coordsize="3008,2395" path="m1006,2417l1021,2352,1038,2217,1038,2019,1053,1969,1068,1884,1086,1702,1101,1752,1101,1802,1118,1784,1133,1734,1148,1652,1166,1419,1166,1254,1181,1169,1196,1037,1213,954,1213,969,1228,937,1243,852,1261,802,1276,719,1276,604,1293,522,1308,157,1323,22,1323,254,1341,322,1356,304,1371,454,1388,589,1388,622,1403,904,1418,937,1436,837,1451,769,1451,754,1468,719,1483,769,1498,837,1498,869,1516,787,1531,787,1546,802,1563,769,1563,704,1578,869,1596,1169,1611,1419,1626,1517,1626,1619,1643,1352,1658,1202,1673,1134,1691,1087,1706,1087,1721,1134,1738,1069,1738,1184,1753,1269,1771,1337,1786,1419,1786,1452,1801,1419,1818,1452,1833,1502,1848,1452,1848,1517,1866,1637,1881,1652,1896,1734,1913,1884,1913,1849,1928,1719,1946,1452,1961,1387,1961,1319,1976,1119,1993,1254,2008,1269,2023,1352,2023,1387,2041,1452,2056,1619,2071,1767,2071,1752,2088,1619,2103,1602,2121,1637,2136,1767,2136,1984,2151,2034,2168,2232,2183,2184,2198,2149,2198,2102,2216,2052,2231,1849,2246,1817,2246,1752,2263,1767,2278,1752,2296,1784,2311,1719,2311,1669,2326,1552,2343,1567,2358,1652,2373,1702,2373,1517,2391,1387,2406,1337,2421,1469,2421,1502,2438,1434,2453,1502,2471,1419,2486,1352,2501,1402,2518,1484,2533,1534,2533,1517,2548,1534,2566,1719,2581,1684,2598,1719,2598,1734,2613,1834,2628,1932,2646,2002,2661,1917,2661,1817,2676,1949,2693,1949,2708,1899,2708,1752,2723,1567,2741,1452,2756,1534,2773,1502,2773,1534,2788,1552,2803,1469,2821,1434,2821,1484,2836,1517,2851,1552,2868,1619,2883,1602,2883,1567,2898,1552,2916,1584,2931,1584,2948,1552,2963,1517,2978,1584,2996,1534,2996,1484,3011,1469,3026,1484,3043,1517,3058,1719,3058,2134,3073,2267,3091,2149,3106,2084,3123,2282,3123,2199,3138,2067,3153,2067,3171,2084,3171,1969,3186,1969,3201,2002,3218,2002,3233,1949,3248,1984,3266,2102,3281,2117,3298,2102,3313,2067,3328,2117,3346,2102,3346,2067,3361,1984,3376,1949,3393,2019,3408,2149,3408,2282,3423,2352,3441,2367,3456,2384,3456,2367,3473,2367,3488,2314,3503,2282,3521,2299,3521,2352,3536,2384,3551,2399,3568,2399,3583,2367,3601,2299,3616,2199,3631,2199,3631,2232,3648,2134,3663,1984,3678,1767,3696,1669,3696,1567,3711,1484,3726,1469,3743,1337,3758,1217,3776,969,3806,1134,3806,1069,3823,887,3838,819,3853,769,3871,719,3871,589,3886,554,3901,737,3918,604,3918,572,3933,589,3951,637,3966,787,3981,754,3981,737,3998,769,4013,672e" filled="false" stroked="true" strokeweight="1pt" strokecolor="#008256">
              <v:path arrowok="t"/>
              <v:stroke dashstyle="solid"/>
            </v:shape>
            <v:shape style="position:absolute;left:865;top:199;width:3285;height:1990" coordorigin="866,199" coordsize="3285,1990" path="m871,199l946,199m4071,199l4146,199m873,704l948,704m4073,704l4148,704m866,1204l941,1204m4066,1204l4141,1204m866,1699l941,1699m4066,1699l4141,1699m876,2189l951,2189m4076,2189l4151,2189e" filled="false" stroked="true" strokeweight=".5pt" strokecolor="#000000">
              <v:path arrowok="t"/>
              <v:stroke dashstyle="solid"/>
            </v:shape>
            <w10:wrap type="none"/>
          </v:group>
        </w:pict>
      </w:r>
      <w:r>
        <w:rPr>
          <w:sz w:val="12"/>
        </w:rPr>
        <w:t>130</w:t>
      </w:r>
    </w:p>
    <w:p>
      <w:pPr>
        <w:pStyle w:val="BodyText"/>
        <w:rPr>
          <w:sz w:val="12"/>
        </w:rPr>
      </w:pPr>
    </w:p>
    <w:p>
      <w:pPr>
        <w:pStyle w:val="BodyText"/>
        <w:rPr>
          <w:sz w:val="12"/>
        </w:rPr>
      </w:pPr>
    </w:p>
    <w:p>
      <w:pPr>
        <w:spacing w:before="84"/>
        <w:ind w:left="0" w:right="347" w:firstLine="0"/>
        <w:jc w:val="right"/>
        <w:rPr>
          <w:sz w:val="12"/>
        </w:rPr>
      </w:pPr>
      <w:r>
        <w:rPr>
          <w:sz w:val="12"/>
        </w:rPr>
        <w:t>120</w:t>
      </w:r>
    </w:p>
    <w:p>
      <w:pPr>
        <w:pStyle w:val="BodyText"/>
        <w:rPr>
          <w:sz w:val="12"/>
        </w:rPr>
      </w:pPr>
    </w:p>
    <w:p>
      <w:pPr>
        <w:pStyle w:val="BodyText"/>
        <w:rPr>
          <w:sz w:val="12"/>
        </w:rPr>
      </w:pPr>
    </w:p>
    <w:p>
      <w:pPr>
        <w:spacing w:before="86"/>
        <w:ind w:left="0" w:right="347" w:firstLine="0"/>
        <w:jc w:val="right"/>
        <w:rPr>
          <w:sz w:val="12"/>
        </w:rPr>
      </w:pPr>
      <w:r>
        <w:rPr>
          <w:sz w:val="12"/>
        </w:rPr>
        <w:t>110</w:t>
      </w:r>
    </w:p>
    <w:p>
      <w:pPr>
        <w:pStyle w:val="BodyText"/>
        <w:rPr>
          <w:sz w:val="12"/>
        </w:rPr>
      </w:pPr>
    </w:p>
    <w:p>
      <w:pPr>
        <w:pStyle w:val="BodyText"/>
        <w:rPr>
          <w:sz w:val="12"/>
        </w:rPr>
      </w:pPr>
    </w:p>
    <w:p>
      <w:pPr>
        <w:spacing w:before="83"/>
        <w:ind w:left="0" w:right="347" w:firstLine="0"/>
        <w:jc w:val="right"/>
        <w:rPr>
          <w:sz w:val="12"/>
        </w:rPr>
      </w:pPr>
      <w:r>
        <w:rPr>
          <w:sz w:val="12"/>
        </w:rPr>
        <w:t>100</w:t>
      </w:r>
    </w:p>
    <w:p>
      <w:pPr>
        <w:pStyle w:val="BodyText"/>
        <w:rPr>
          <w:sz w:val="12"/>
        </w:rPr>
      </w:pPr>
    </w:p>
    <w:p>
      <w:pPr>
        <w:pStyle w:val="BodyText"/>
        <w:rPr>
          <w:sz w:val="12"/>
        </w:rPr>
      </w:pPr>
    </w:p>
    <w:p>
      <w:pPr>
        <w:spacing w:before="87"/>
        <w:ind w:left="0" w:right="347" w:firstLine="0"/>
        <w:jc w:val="right"/>
        <w:rPr>
          <w:sz w:val="12"/>
        </w:rPr>
      </w:pPr>
      <w:r>
        <w:rPr>
          <w:sz w:val="12"/>
        </w:rPr>
        <w:t>90</w:t>
      </w:r>
    </w:p>
    <w:p>
      <w:pPr>
        <w:pStyle w:val="BodyText"/>
        <w:rPr>
          <w:sz w:val="12"/>
        </w:rPr>
      </w:pPr>
    </w:p>
    <w:p>
      <w:pPr>
        <w:pStyle w:val="BodyText"/>
        <w:rPr>
          <w:sz w:val="12"/>
        </w:rPr>
      </w:pPr>
    </w:p>
    <w:p>
      <w:pPr>
        <w:tabs>
          <w:tab w:pos="3608" w:val="left" w:leader="none"/>
        </w:tabs>
        <w:spacing w:before="83"/>
        <w:ind w:left="285" w:right="0" w:firstLine="0"/>
        <w:jc w:val="left"/>
        <w:rPr>
          <w:sz w:val="12"/>
        </w:rPr>
      </w:pPr>
      <w:r>
        <w:rPr/>
        <w:pict>
          <v:shape style="position:absolute;margin-left:43.529999pt;margin-top:5.261562pt;width:163.75pt;height:3.3pt;mso-position-horizontal-relative:page;mso-position-vertical-relative:paragraph;z-index:-21245440" coordorigin="871,105" coordsize="3275,66" path="m4023,166l996,169m871,163l946,163m4071,163l4146,163m1003,171l1003,105m1903,171l1903,105m1753,171l1753,105m1593,171l1593,105m1458,171l1458,105m2648,171l2648,105m2498,171l2498,105m2338,171l2338,105m2203,171l2203,105m2053,171l2053,105m1143,171l1143,105m1303,171l1303,105m2801,171l2801,105m3549,171l3549,105m3388,171l3388,105m3243,171l3243,105m3093,171l3093,105m2943,171l2943,105m3999,171l3999,105m3840,171l3840,105m3694,171l3694,105e" filled="false" stroked="true" strokeweight=".5pt" strokecolor="#000000">
            <v:path arrowok="t"/>
            <v:stroke dashstyle="solid"/>
            <w10:wrap type="none"/>
          </v:shape>
        </w:pict>
      </w:r>
      <w:r>
        <w:rPr>
          <w:sz w:val="12"/>
        </w:rPr>
        <w:t>1979     81      83       85      87      89      91      93   </w:t>
      </w:r>
      <w:r>
        <w:rPr>
          <w:spacing w:val="29"/>
          <w:sz w:val="12"/>
        </w:rPr>
        <w:t> </w:t>
      </w:r>
      <w:r>
        <w:rPr>
          <w:sz w:val="12"/>
        </w:rPr>
        <w:t>95    </w:t>
      </w:r>
      <w:r>
        <w:rPr>
          <w:spacing w:val="22"/>
          <w:sz w:val="12"/>
        </w:rPr>
        <w:t> </w:t>
      </w:r>
      <w:r>
        <w:rPr>
          <w:sz w:val="12"/>
        </w:rPr>
        <w:t>97</w:t>
        <w:tab/>
      </w:r>
      <w:r>
        <w:rPr>
          <w:position w:val="9"/>
          <w:sz w:val="12"/>
        </w:rPr>
        <w:t>80</w:t>
      </w:r>
    </w:p>
    <w:p>
      <w:pPr>
        <w:spacing w:before="178"/>
        <w:ind w:left="165" w:right="0" w:firstLine="0"/>
        <w:jc w:val="left"/>
        <w:rPr>
          <w:sz w:val="12"/>
        </w:rPr>
      </w:pPr>
      <w:r>
        <w:rPr>
          <w:color w:val="231F20"/>
          <w:sz w:val="12"/>
        </w:rPr>
        <w:t>Source: IMF.</w:t>
      </w:r>
    </w:p>
    <w:p>
      <w:pPr>
        <w:pStyle w:val="BodyText"/>
        <w:spacing w:before="2"/>
        <w:rPr>
          <w:sz w:val="10"/>
        </w:rPr>
      </w:pPr>
    </w:p>
    <w:p>
      <w:pPr>
        <w:spacing w:line="208" w:lineRule="auto" w:before="0"/>
        <w:ind w:left="405" w:right="164" w:hanging="240"/>
        <w:jc w:val="left"/>
        <w:rPr>
          <w:sz w:val="12"/>
        </w:rPr>
      </w:pPr>
      <w:r>
        <w:rPr>
          <w:color w:val="231F20"/>
          <w:sz w:val="12"/>
        </w:rPr>
        <w:t>(a) Calculated using relative normalised unit labour costs in manufacturing and the nominal exchange rate index.</w:t>
      </w:r>
    </w:p>
    <w:p>
      <w:pPr>
        <w:pStyle w:val="BodyText"/>
        <w:rPr>
          <w:sz w:val="12"/>
        </w:rPr>
      </w:pPr>
    </w:p>
    <w:p>
      <w:pPr>
        <w:pStyle w:val="BodyText"/>
        <w:rPr>
          <w:sz w:val="12"/>
        </w:rPr>
      </w:pPr>
    </w:p>
    <w:p>
      <w:pPr>
        <w:pStyle w:val="BodyText"/>
        <w:spacing w:before="9"/>
        <w:rPr>
          <w:sz w:val="14"/>
        </w:rPr>
      </w:pPr>
    </w:p>
    <w:p>
      <w:pPr>
        <w:pStyle w:val="Heading4"/>
        <w:spacing w:before="1"/>
        <w:ind w:left="165"/>
      </w:pPr>
      <w:r>
        <w:rPr>
          <w:color w:val="0093C1"/>
        </w:rPr>
        <w:t>Chart 2.6</w:t>
      </w:r>
    </w:p>
    <w:p>
      <w:pPr>
        <w:pStyle w:val="Heading4"/>
        <w:ind w:left="165"/>
        <w:rPr>
          <w:b w:val="0"/>
          <w:sz w:val="12"/>
        </w:rPr>
      </w:pPr>
      <w:r>
        <w:rPr>
          <w:color w:val="0093C1"/>
        </w:rPr>
        <w:t>UK share of EU and non-EU goods markets</w:t>
      </w:r>
      <w:r>
        <w:rPr>
          <w:b w:val="0"/>
          <w:color w:val="231F20"/>
          <w:position w:val="4"/>
          <w:sz w:val="12"/>
        </w:rPr>
        <w:t>(a)</w:t>
      </w:r>
    </w:p>
    <w:p>
      <w:pPr>
        <w:pStyle w:val="BodyText"/>
        <w:spacing w:before="7"/>
        <w:rPr>
          <w:sz w:val="20"/>
        </w:rPr>
      </w:pPr>
      <w:r>
        <w:rPr/>
        <w:br w:type="column"/>
      </w:r>
      <w:r>
        <w:rPr>
          <w:sz w:val="20"/>
        </w:rPr>
      </w:r>
    </w:p>
    <w:p>
      <w:pPr>
        <w:spacing w:line="242" w:lineRule="auto" w:before="0"/>
        <w:ind w:left="165" w:right="245" w:firstLine="0"/>
        <w:jc w:val="left"/>
        <w:rPr>
          <w:sz w:val="24"/>
        </w:rPr>
      </w:pPr>
      <w:r>
        <w:rPr>
          <w:color w:val="231F20"/>
          <w:sz w:val="24"/>
        </w:rPr>
        <w:t>projection for this year unchanged at around 4%–5%. The MPC’s central projection is for demand growth in the major six overseas economies to exceed UK domestic demand growth slightly this year.</w:t>
      </w:r>
    </w:p>
    <w:p>
      <w:pPr>
        <w:pStyle w:val="BodyText"/>
        <w:spacing w:before="6"/>
        <w:rPr>
          <w:sz w:val="26"/>
        </w:rPr>
      </w:pPr>
    </w:p>
    <w:p>
      <w:pPr>
        <w:spacing w:line="242" w:lineRule="auto" w:before="0"/>
        <w:ind w:left="165" w:right="148" w:firstLine="0"/>
        <w:jc w:val="left"/>
        <w:rPr>
          <w:sz w:val="24"/>
        </w:rPr>
      </w:pPr>
      <w:r>
        <w:rPr>
          <w:color w:val="231F20"/>
          <w:sz w:val="24"/>
        </w:rPr>
        <w:t>Competitiveness effects have also contributed to the rising trade deficit. In particular, the real appreciation of sterling over the past three years (see Chart 2.5) has boosted imports and constrained exports. In addition, trade diversion arising from the depressed demand conditions in Japan and the rest of Asia may have increased the degree of global competition facing British firms.</w:t>
      </w:r>
    </w:p>
    <w:p>
      <w:pPr>
        <w:pStyle w:val="BodyText"/>
        <w:rPr>
          <w:sz w:val="27"/>
        </w:rPr>
      </w:pPr>
    </w:p>
    <w:p>
      <w:pPr>
        <w:spacing w:line="242" w:lineRule="auto" w:before="0"/>
        <w:ind w:left="165" w:right="168" w:firstLine="0"/>
        <w:jc w:val="left"/>
        <w:rPr>
          <w:sz w:val="24"/>
        </w:rPr>
      </w:pPr>
      <w:r>
        <w:rPr>
          <w:color w:val="231F20"/>
          <w:sz w:val="24"/>
        </w:rPr>
        <w:t>Evidence of these competitiveness effects can be seen in both the United Kingdom’s export and import performance. On the export side, firms located in the United Kingdom have accounted for a declining share of both EU and non-EU markets over the past two years (see Chart 2.6), as UK exports have failed to keep pace</w:t>
      </w:r>
    </w:p>
    <w:p>
      <w:pPr>
        <w:spacing w:after="0" w:line="242" w:lineRule="auto"/>
        <w:jc w:val="left"/>
        <w:rPr>
          <w:sz w:val="24"/>
        </w:rPr>
        <w:sectPr>
          <w:type w:val="continuous"/>
          <w:pgSz w:w="11900" w:h="16840"/>
          <w:pgMar w:top="1220" w:bottom="280" w:left="640" w:right="640"/>
          <w:cols w:num="2" w:equalWidth="0">
            <w:col w:w="4078" w:space="717"/>
            <w:col w:w="5825"/>
          </w:cols>
        </w:sectPr>
      </w:pPr>
    </w:p>
    <w:p>
      <w:pPr>
        <w:spacing w:line="114" w:lineRule="exact" w:before="2"/>
        <w:ind w:left="374" w:right="0" w:firstLine="0"/>
        <w:jc w:val="left"/>
        <w:rPr>
          <w:sz w:val="12"/>
        </w:rPr>
      </w:pPr>
      <w:r>
        <w:rPr>
          <w:sz w:val="12"/>
        </w:rPr>
        <w:t>Per cent</w:t>
      </w:r>
    </w:p>
    <w:p>
      <w:pPr>
        <w:spacing w:line="114" w:lineRule="exact" w:before="0"/>
        <w:ind w:left="182" w:right="0" w:firstLine="0"/>
        <w:jc w:val="left"/>
        <w:rPr>
          <w:sz w:val="12"/>
        </w:rPr>
      </w:pPr>
      <w:r>
        <w:rPr/>
        <w:pict>
          <v:line style="position:absolute;mso-position-horizontal-relative:page;mso-position-vertical-relative:paragraph;z-index:15894016" from="50.444pt,2.33974pt" to="53.944pt,2.33974pt" stroked="true" strokeweight=".5pt" strokecolor="#000000">
            <v:stroke dashstyle="solid"/>
            <w10:wrap type="none"/>
          </v:line>
        </w:pict>
      </w:r>
      <w:r>
        <w:rPr>
          <w:sz w:val="12"/>
        </w:rPr>
        <w:t>4.5</w:t>
      </w:r>
    </w:p>
    <w:p>
      <w:pPr>
        <w:pStyle w:val="BodyText"/>
        <w:rPr>
          <w:sz w:val="12"/>
        </w:rPr>
      </w:pPr>
    </w:p>
    <w:p>
      <w:pPr>
        <w:pStyle w:val="BodyText"/>
        <w:rPr>
          <w:sz w:val="12"/>
        </w:rPr>
      </w:pPr>
    </w:p>
    <w:p>
      <w:pPr>
        <w:pStyle w:val="BodyText"/>
        <w:spacing w:before="3"/>
        <w:rPr>
          <w:sz w:val="10"/>
        </w:rPr>
      </w:pPr>
    </w:p>
    <w:p>
      <w:pPr>
        <w:spacing w:before="0"/>
        <w:ind w:left="182" w:right="0" w:firstLine="0"/>
        <w:jc w:val="left"/>
        <w:rPr>
          <w:sz w:val="12"/>
        </w:rPr>
      </w:pPr>
      <w:r>
        <w:rPr/>
        <w:pict>
          <v:group style="position:absolute;margin-left:58.279999pt;margin-top:-4.459562pt;width:153.75pt;height:88.7pt;mso-position-horizontal-relative:page;mso-position-vertical-relative:paragraph;z-index:15890944" coordorigin="1166,-89" coordsize="3075,1774">
            <v:shape style="position:absolute;left:1175;top:-80;width:2936;height:1743" coordorigin="1176,-79" coordsize="2936,1743" path="m1176,1122l1308,1374,1455,1663,1587,1360,1737,1385,1869,1122,2016,1053,2148,962,2295,1067,2430,882,2577,539,2709,697,2856,395,2989,606,3138,328,3270,25,3417,-79,3550,-68,3697,-67,3831,117,3978,301,4111,355e" filled="false" stroked="true" strokeweight="1pt" strokecolor="#ed1b2d">
              <v:path arrowok="t"/>
              <v:stroke dashstyle="solid"/>
            </v:shape>
            <v:shape style="position:absolute;left:1175;top:170;width:2936;height:1322" coordorigin="1176,170" coordsize="2936,1322" path="m1176,170l1308,368,1455,237,1587,238,1737,183,1869,486,2016,791,2148,804,2295,909,2430,949,2577,804,2709,829,2856,882,2989,922,3138,1040,3270,1053,3417,1040,3550,1041,3697,1053,3831,1136,3978,1374,4111,1492e" filled="false" stroked="true" strokeweight="1pt" strokecolor="#0066a5">
              <v:path arrowok="t"/>
              <v:stroke dashstyle="solid"/>
            </v:shape>
            <v:shape style="position:absolute;left:4165;top:63;width:76;height:1615" coordorigin="4166,64" coordsize="76,1615" path="m4171,1679l4241,1679m4171,1139l4241,1139m4166,604l4236,604m4166,64l4236,64e" filled="false" stroked="true" strokeweight=".5pt" strokecolor="#000000">
              <v:path arrowok="t"/>
              <v:stroke dashstyle="solid"/>
            </v:shape>
            <v:shape style="position:absolute;left:2912;top:1089;width:833;height:273" type="#_x0000_t202" filled="false" stroked="false">
              <v:textbox inset="0,0,0,0">
                <w:txbxContent>
                  <w:p>
                    <w:pPr>
                      <w:spacing w:line="133" w:lineRule="exact" w:before="0"/>
                      <w:ind w:left="0" w:right="0" w:firstLine="0"/>
                      <w:jc w:val="left"/>
                      <w:rPr>
                        <w:sz w:val="12"/>
                      </w:rPr>
                    </w:pPr>
                    <w:r>
                      <w:rPr>
                        <w:color w:val="231F20"/>
                        <w:sz w:val="12"/>
                      </w:rPr>
                      <w:t>Non-EU</w:t>
                    </w:r>
                  </w:p>
                  <w:p>
                    <w:pPr>
                      <w:spacing w:before="2"/>
                      <w:ind w:left="30" w:right="0" w:firstLine="0"/>
                      <w:jc w:val="left"/>
                      <w:rPr>
                        <w:sz w:val="12"/>
                      </w:rPr>
                    </w:pPr>
                    <w:r>
                      <w:rPr>
                        <w:color w:val="231F20"/>
                        <w:sz w:val="12"/>
                      </w:rPr>
                      <w:t>(left-hand scale)</w:t>
                    </w:r>
                  </w:p>
                </w:txbxContent>
              </v:textbox>
              <w10:wrap type="none"/>
            </v:shape>
            <w10:wrap type="none"/>
          </v:group>
        </w:pict>
      </w:r>
      <w:r>
        <w:rPr/>
        <w:pict>
          <v:line style="position:absolute;mso-position-horizontal-relative:page;mso-position-vertical-relative:paragraph;z-index:15893504" from="50.444pt,3.195438pt" to="53.944pt,3.195438pt" stroked="true" strokeweight=".5pt" strokecolor="#000000">
            <v:stroke dashstyle="solid"/>
            <w10:wrap type="none"/>
          </v:line>
        </w:pict>
      </w:r>
      <w:r>
        <w:rPr>
          <w:sz w:val="12"/>
        </w:rPr>
        <w:t>4.0</w:t>
      </w:r>
    </w:p>
    <w:p>
      <w:pPr>
        <w:pStyle w:val="BodyText"/>
        <w:rPr>
          <w:sz w:val="12"/>
        </w:rPr>
      </w:pPr>
    </w:p>
    <w:p>
      <w:pPr>
        <w:pStyle w:val="BodyText"/>
        <w:rPr>
          <w:sz w:val="12"/>
        </w:rPr>
      </w:pPr>
    </w:p>
    <w:p>
      <w:pPr>
        <w:pStyle w:val="BodyText"/>
        <w:spacing w:before="9"/>
        <w:rPr>
          <w:sz w:val="10"/>
        </w:rPr>
      </w:pPr>
    </w:p>
    <w:p>
      <w:pPr>
        <w:spacing w:before="1"/>
        <w:ind w:left="182" w:right="0" w:firstLine="0"/>
        <w:jc w:val="left"/>
        <w:rPr>
          <w:sz w:val="12"/>
        </w:rPr>
      </w:pPr>
      <w:r>
        <w:rPr/>
        <w:pict>
          <v:line style="position:absolute;mso-position-horizontal-relative:page;mso-position-vertical-relative:paragraph;z-index:15892992" from="50.444pt,3.322861pt" to="53.944pt,3.322861pt" stroked="true" strokeweight=".5pt" strokecolor="#000000">
            <v:stroke dashstyle="solid"/>
            <w10:wrap type="none"/>
          </v:line>
        </w:pict>
      </w:r>
      <w:r>
        <w:rPr>
          <w:sz w:val="12"/>
        </w:rPr>
        <w:t>3.5</w:t>
      </w:r>
    </w:p>
    <w:p>
      <w:pPr>
        <w:pStyle w:val="BodyText"/>
        <w:rPr>
          <w:sz w:val="12"/>
        </w:rPr>
      </w:pPr>
    </w:p>
    <w:p>
      <w:pPr>
        <w:pStyle w:val="BodyText"/>
        <w:rPr>
          <w:sz w:val="12"/>
        </w:rPr>
      </w:pPr>
    </w:p>
    <w:p>
      <w:pPr>
        <w:pStyle w:val="BodyText"/>
        <w:spacing w:before="7"/>
        <w:rPr>
          <w:sz w:val="9"/>
        </w:rPr>
      </w:pPr>
    </w:p>
    <w:p>
      <w:pPr>
        <w:spacing w:before="0"/>
        <w:ind w:left="182" w:right="0" w:firstLine="0"/>
        <w:jc w:val="left"/>
        <w:rPr>
          <w:sz w:val="12"/>
        </w:rPr>
      </w:pPr>
      <w:r>
        <w:rPr/>
        <w:pict>
          <v:line style="position:absolute;mso-position-horizontal-relative:page;mso-position-vertical-relative:paragraph;z-index:15892480" from="50.694pt,3.768039pt" to="54.194pt,3.768039pt" stroked="true" strokeweight=".5pt" strokecolor="#000000">
            <v:stroke dashstyle="solid"/>
            <w10:wrap type="none"/>
          </v:line>
        </w:pict>
      </w:r>
      <w:r>
        <w:rPr>
          <w:sz w:val="12"/>
        </w:rPr>
        <w:t>3.0</w:t>
      </w:r>
    </w:p>
    <w:p>
      <w:pPr>
        <w:pStyle w:val="BodyText"/>
        <w:rPr>
          <w:sz w:val="12"/>
        </w:rPr>
      </w:pPr>
    </w:p>
    <w:p>
      <w:pPr>
        <w:pStyle w:val="BodyText"/>
        <w:rPr>
          <w:sz w:val="12"/>
        </w:rPr>
      </w:pPr>
    </w:p>
    <w:p>
      <w:pPr>
        <w:pStyle w:val="BodyText"/>
        <w:spacing w:before="5"/>
        <w:rPr>
          <w:sz w:val="11"/>
        </w:rPr>
      </w:pPr>
    </w:p>
    <w:p>
      <w:pPr>
        <w:spacing w:before="0"/>
        <w:ind w:left="182" w:right="0" w:firstLine="0"/>
        <w:jc w:val="left"/>
        <w:rPr>
          <w:sz w:val="12"/>
        </w:rPr>
      </w:pPr>
      <w:r>
        <w:rPr/>
        <w:pict>
          <v:line style="position:absolute;mso-position-horizontal-relative:page;mso-position-vertical-relative:paragraph;z-index:15891968" from="50.694pt,3.511844pt" to="54.194pt,3.511844pt" stroked="true" strokeweight=".5pt" strokecolor="#000000">
            <v:stroke dashstyle="solid"/>
            <w10:wrap type="none"/>
          </v:line>
        </w:pict>
      </w:r>
      <w:r>
        <w:rPr>
          <w:sz w:val="12"/>
        </w:rPr>
        <w:t>2.5</w:t>
      </w:r>
    </w:p>
    <w:p>
      <w:pPr>
        <w:pStyle w:val="BodyText"/>
        <w:rPr>
          <w:sz w:val="12"/>
        </w:rPr>
      </w:pPr>
      <w:r>
        <w:rPr/>
        <w:br w:type="column"/>
      </w:r>
      <w:r>
        <w:rPr>
          <w:sz w:val="12"/>
        </w:rPr>
      </w:r>
    </w:p>
    <w:p>
      <w:pPr>
        <w:pStyle w:val="BodyText"/>
        <w:rPr>
          <w:sz w:val="12"/>
        </w:rPr>
      </w:pPr>
    </w:p>
    <w:p>
      <w:pPr>
        <w:pStyle w:val="BodyText"/>
        <w:rPr>
          <w:sz w:val="10"/>
        </w:rPr>
      </w:pPr>
    </w:p>
    <w:p>
      <w:pPr>
        <w:spacing w:before="1"/>
        <w:ind w:left="182" w:right="0" w:firstLine="0"/>
        <w:jc w:val="left"/>
        <w:rPr>
          <w:sz w:val="12"/>
        </w:rPr>
      </w:pPr>
      <w:r>
        <w:rPr>
          <w:color w:val="231F20"/>
          <w:sz w:val="12"/>
        </w:rPr>
        <w:t>EU (right-hand scale)</w:t>
      </w:r>
    </w:p>
    <w:p>
      <w:pPr>
        <w:spacing w:before="2"/>
        <w:ind w:left="44" w:right="0" w:firstLine="0"/>
        <w:jc w:val="left"/>
        <w:rPr>
          <w:sz w:val="12"/>
        </w:rPr>
      </w:pPr>
      <w:r>
        <w:rPr/>
        <w:br w:type="column"/>
      </w:r>
      <w:r>
        <w:rPr>
          <w:sz w:val="12"/>
        </w:rPr>
        <w:t>Per cent</w:t>
      </w:r>
      <w:r>
        <w:rPr>
          <w:spacing w:val="13"/>
          <w:sz w:val="12"/>
        </w:rPr>
        <w:t> </w:t>
      </w:r>
      <w:r>
        <w:rPr>
          <w:position w:val="-7"/>
          <w:sz w:val="12"/>
        </w:rPr>
        <w:t>10.0</w:t>
      </w:r>
    </w:p>
    <w:p>
      <w:pPr>
        <w:pStyle w:val="BodyText"/>
        <w:rPr>
          <w:sz w:val="20"/>
        </w:rPr>
      </w:pPr>
    </w:p>
    <w:p>
      <w:pPr>
        <w:spacing w:before="161"/>
        <w:ind w:left="0" w:right="38" w:firstLine="0"/>
        <w:jc w:val="right"/>
        <w:rPr>
          <w:sz w:val="12"/>
        </w:rPr>
      </w:pPr>
      <w:r>
        <w:rPr/>
        <w:pict>
          <v:line style="position:absolute;mso-position-horizontal-relative:page;mso-position-vertical-relative:paragraph;z-index:-21239808" from="208.278pt,-14.34343pt" to="211.778pt,-14.34343pt" stroked="true" strokeweight=".5pt" strokecolor="#000000">
            <v:stroke dashstyle="solid"/>
            <w10:wrap type="none"/>
          </v:line>
        </w:pict>
      </w:r>
      <w:r>
        <w:rPr>
          <w:sz w:val="12"/>
        </w:rPr>
        <w:t>9.5</w:t>
      </w:r>
    </w:p>
    <w:p>
      <w:pPr>
        <w:pStyle w:val="BodyText"/>
        <w:rPr>
          <w:sz w:val="12"/>
        </w:rPr>
      </w:pPr>
    </w:p>
    <w:p>
      <w:pPr>
        <w:pStyle w:val="BodyText"/>
        <w:rPr>
          <w:sz w:val="12"/>
        </w:rPr>
      </w:pPr>
    </w:p>
    <w:p>
      <w:pPr>
        <w:pStyle w:val="BodyText"/>
        <w:spacing w:before="9"/>
        <w:rPr>
          <w:sz w:val="10"/>
        </w:rPr>
      </w:pPr>
    </w:p>
    <w:p>
      <w:pPr>
        <w:spacing w:before="1"/>
        <w:ind w:left="0" w:right="38" w:firstLine="0"/>
        <w:jc w:val="right"/>
        <w:rPr>
          <w:sz w:val="12"/>
        </w:rPr>
      </w:pPr>
      <w:r>
        <w:rPr>
          <w:sz w:val="12"/>
        </w:rPr>
        <w:t>9.0</w:t>
      </w:r>
    </w:p>
    <w:p>
      <w:pPr>
        <w:pStyle w:val="BodyText"/>
        <w:rPr>
          <w:sz w:val="12"/>
        </w:rPr>
      </w:pPr>
    </w:p>
    <w:p>
      <w:pPr>
        <w:pStyle w:val="BodyText"/>
        <w:rPr>
          <w:sz w:val="12"/>
        </w:rPr>
      </w:pPr>
    </w:p>
    <w:p>
      <w:pPr>
        <w:pStyle w:val="BodyText"/>
        <w:spacing w:before="7"/>
        <w:rPr>
          <w:sz w:val="9"/>
        </w:rPr>
      </w:pPr>
    </w:p>
    <w:p>
      <w:pPr>
        <w:spacing w:before="0"/>
        <w:ind w:left="0" w:right="38" w:firstLine="0"/>
        <w:jc w:val="right"/>
        <w:rPr>
          <w:sz w:val="12"/>
        </w:rPr>
      </w:pPr>
      <w:r>
        <w:rPr>
          <w:sz w:val="12"/>
        </w:rPr>
        <w:t>8.5</w:t>
      </w:r>
    </w:p>
    <w:p>
      <w:pPr>
        <w:pStyle w:val="BodyText"/>
        <w:rPr>
          <w:sz w:val="12"/>
        </w:rPr>
      </w:pPr>
    </w:p>
    <w:p>
      <w:pPr>
        <w:pStyle w:val="BodyText"/>
        <w:rPr>
          <w:sz w:val="12"/>
        </w:rPr>
      </w:pPr>
    </w:p>
    <w:p>
      <w:pPr>
        <w:pStyle w:val="BodyText"/>
        <w:spacing w:before="5"/>
        <w:rPr>
          <w:sz w:val="11"/>
        </w:rPr>
      </w:pPr>
    </w:p>
    <w:p>
      <w:pPr>
        <w:spacing w:before="0"/>
        <w:ind w:left="0" w:right="38" w:firstLine="0"/>
        <w:jc w:val="right"/>
        <w:rPr>
          <w:sz w:val="12"/>
        </w:rPr>
      </w:pPr>
      <w:r>
        <w:rPr>
          <w:sz w:val="12"/>
        </w:rPr>
        <w:t>8.0</w:t>
      </w:r>
    </w:p>
    <w:p>
      <w:pPr>
        <w:spacing w:line="242" w:lineRule="auto" w:before="8"/>
        <w:ind w:left="182" w:right="209" w:firstLine="0"/>
        <w:jc w:val="left"/>
        <w:rPr>
          <w:sz w:val="24"/>
        </w:rPr>
      </w:pPr>
      <w:r>
        <w:rPr/>
        <w:br w:type="column"/>
      </w:r>
      <w:r>
        <w:rPr>
          <w:color w:val="231F20"/>
          <w:sz w:val="24"/>
        </w:rPr>
        <w:t>with the (weighted) import growth of the United Kingdom’s trade partners (see Chart 2.7). This loss of trade share has been particularly striking in EU markets; prior to 1996, the United Kingdom had been increasing its trade share in these markets. And, on the import </w:t>
      </w:r>
      <w:r>
        <w:rPr>
          <w:color w:val="231F20"/>
          <w:spacing w:val="-4"/>
          <w:sz w:val="24"/>
        </w:rPr>
        <w:t>side, </w:t>
      </w:r>
      <w:r>
        <w:rPr>
          <w:color w:val="231F20"/>
          <w:sz w:val="24"/>
        </w:rPr>
        <w:t>import penetration now appears to </w:t>
      </w:r>
      <w:r>
        <w:rPr>
          <w:color w:val="231F20"/>
          <w:spacing w:val="-3"/>
          <w:sz w:val="24"/>
        </w:rPr>
        <w:t>have </w:t>
      </w:r>
      <w:r>
        <w:rPr>
          <w:color w:val="231F20"/>
          <w:sz w:val="24"/>
        </w:rPr>
        <w:t>been greater than previously thought; data revisions since the February </w:t>
      </w:r>
      <w:r>
        <w:rPr>
          <w:i/>
          <w:color w:val="231F20"/>
          <w:sz w:val="24"/>
        </w:rPr>
        <w:t>Report </w:t>
      </w:r>
      <w:r>
        <w:rPr>
          <w:color w:val="231F20"/>
          <w:spacing w:val="-3"/>
          <w:sz w:val="24"/>
        </w:rPr>
        <w:t>have </w:t>
      </w:r>
      <w:r>
        <w:rPr>
          <w:color w:val="231F20"/>
          <w:sz w:val="24"/>
        </w:rPr>
        <w:t>increased the share of imports in domestic demand in 1998.</w:t>
      </w:r>
    </w:p>
    <w:p>
      <w:pPr>
        <w:spacing w:after="0" w:line="242" w:lineRule="auto"/>
        <w:jc w:val="left"/>
        <w:rPr>
          <w:sz w:val="24"/>
        </w:rPr>
        <w:sectPr>
          <w:type w:val="continuous"/>
          <w:pgSz w:w="11900" w:h="16840"/>
          <w:pgMar w:top="1220" w:bottom="280" w:left="640" w:right="640"/>
          <w:cols w:num="4" w:equalWidth="0">
            <w:col w:w="804" w:space="1096"/>
            <w:col w:w="1223" w:space="40"/>
            <w:col w:w="728" w:space="886"/>
            <w:col w:w="5843"/>
          </w:cols>
        </w:sectPr>
      </w:pPr>
    </w:p>
    <w:p>
      <w:pPr>
        <w:pStyle w:val="BodyText"/>
        <w:spacing w:before="2"/>
        <w:rPr>
          <w:sz w:val="11"/>
        </w:rPr>
      </w:pPr>
    </w:p>
    <w:p>
      <w:pPr>
        <w:spacing w:after="0"/>
        <w:rPr>
          <w:sz w:val="11"/>
        </w:rPr>
        <w:sectPr>
          <w:type w:val="continuous"/>
          <w:pgSz w:w="11900" w:h="16840"/>
          <w:pgMar w:top="1220" w:bottom="280" w:left="640" w:right="640"/>
        </w:sectPr>
      </w:pPr>
    </w:p>
    <w:p>
      <w:pPr>
        <w:spacing w:before="95"/>
        <w:ind w:left="182" w:right="0" w:firstLine="0"/>
        <w:jc w:val="left"/>
        <w:rPr>
          <w:sz w:val="12"/>
        </w:rPr>
      </w:pPr>
      <w:r>
        <w:rPr/>
        <w:pict>
          <v:group style="position:absolute;margin-left:50.111pt;margin-top:8.645633pt;width:163.15pt;height:6.75pt;mso-position-horizontal-relative:page;mso-position-vertical-relative:paragraph;z-index:-21242880" coordorigin="1002,173" coordsize="3263,135">
            <v:shape style="position:absolute;left:1060;top:185;width:3200;height:118" coordorigin="1060,186" coordsize="3200,118" path="m4241,190l4241,214,4221,228,4260,240,4221,258,4260,273,4237,282,4237,303m1080,186l1080,209,1060,224,1100,236,1060,254,1100,269,1077,278,1076,298e" filled="false" stroked="true" strokeweight=".5pt" strokecolor="#000000">
              <v:path arrowok="t"/>
              <v:stroke dashstyle="solid"/>
            </v:shape>
            <v:shape style="position:absolute;left:1002;top:177;width:3240;height:120" coordorigin="1002,178" coordsize="3240,120" path="m1171,289l1171,212m3421,289l3421,212m2855,289l2855,212m2292,289l2292,212m1737,289l1737,212m1002,298l4242,298m3972,289l3972,212m1016,178l1086,178m4172,178l4242,178e" filled="false" stroked="true" strokeweight=".5pt" strokecolor="#000000">
              <v:path arrowok="t"/>
              <v:stroke dashstyle="solid"/>
            </v:shape>
            <w10:wrap type="none"/>
          </v:group>
        </w:pict>
      </w:r>
      <w:r>
        <w:rPr>
          <w:sz w:val="12"/>
        </w:rPr>
        <w:t>2.0</w:t>
      </w:r>
    </w:p>
    <w:p>
      <w:pPr>
        <w:tabs>
          <w:tab w:pos="1025" w:val="left" w:leader="none"/>
          <w:tab w:pos="1611" w:val="left" w:leader="none"/>
          <w:tab w:pos="2172" w:val="left" w:leader="none"/>
          <w:tab w:pos="2708" w:val="left" w:leader="none"/>
          <w:tab w:pos="3259" w:val="left" w:leader="none"/>
        </w:tabs>
        <w:spacing w:before="7"/>
        <w:ind w:left="182" w:right="0" w:firstLine="0"/>
        <w:jc w:val="left"/>
        <w:rPr>
          <w:sz w:val="12"/>
        </w:rPr>
      </w:pPr>
      <w:r>
        <w:rPr>
          <w:color w:val="231F20"/>
          <w:position w:val="8"/>
          <w:sz w:val="12"/>
        </w:rPr>
        <w:t>0.0 </w:t>
      </w:r>
      <w:r>
        <w:rPr>
          <w:color w:val="231F20"/>
          <w:spacing w:val="25"/>
          <w:position w:val="8"/>
          <w:sz w:val="12"/>
        </w:rPr>
        <w:t> </w:t>
      </w:r>
      <w:r>
        <w:rPr>
          <w:sz w:val="12"/>
        </w:rPr>
        <w:t>1988</w:t>
        <w:tab/>
        <w:t>90</w:t>
        <w:tab/>
        <w:t>92</w:t>
        <w:tab/>
        <w:t>94</w:t>
        <w:tab/>
        <w:t>96</w:t>
        <w:tab/>
        <w:t>98</w:t>
      </w:r>
    </w:p>
    <w:p>
      <w:pPr>
        <w:pStyle w:val="BodyText"/>
        <w:spacing w:before="10"/>
        <w:rPr>
          <w:sz w:val="15"/>
        </w:rPr>
      </w:pPr>
    </w:p>
    <w:p>
      <w:pPr>
        <w:spacing w:line="112" w:lineRule="exact" w:before="0"/>
        <w:ind w:left="185" w:right="0" w:firstLine="0"/>
        <w:jc w:val="left"/>
        <w:rPr>
          <w:sz w:val="12"/>
        </w:rPr>
      </w:pPr>
      <w:r>
        <w:rPr>
          <w:color w:val="231F20"/>
          <w:sz w:val="12"/>
        </w:rPr>
        <w:t>Sources: ONS and OECD.</w:t>
      </w:r>
    </w:p>
    <w:p>
      <w:pPr>
        <w:spacing w:line="129" w:lineRule="exact" w:before="102"/>
        <w:ind w:left="182" w:right="0" w:firstLine="0"/>
        <w:jc w:val="left"/>
        <w:rPr>
          <w:sz w:val="12"/>
        </w:rPr>
      </w:pPr>
      <w:r>
        <w:rPr/>
        <w:br w:type="column"/>
      </w:r>
      <w:r>
        <w:rPr>
          <w:sz w:val="12"/>
        </w:rPr>
        <w:t>7.5</w:t>
      </w:r>
    </w:p>
    <w:p>
      <w:pPr>
        <w:spacing w:line="129" w:lineRule="exact" w:before="0"/>
        <w:ind w:left="182" w:right="0" w:firstLine="0"/>
        <w:jc w:val="left"/>
        <w:rPr>
          <w:sz w:val="12"/>
        </w:rPr>
      </w:pPr>
      <w:r>
        <w:rPr>
          <w:color w:val="231F20"/>
          <w:sz w:val="12"/>
        </w:rPr>
        <w:t>0.0</w:t>
      </w:r>
    </w:p>
    <w:p>
      <w:pPr>
        <w:spacing w:line="242" w:lineRule="auto" w:before="182"/>
        <w:ind w:left="182" w:right="16" w:firstLine="0"/>
        <w:jc w:val="left"/>
        <w:rPr>
          <w:sz w:val="24"/>
        </w:rPr>
      </w:pPr>
      <w:r>
        <w:rPr/>
        <w:br w:type="column"/>
      </w:r>
      <w:r>
        <w:rPr>
          <w:color w:val="231F20"/>
          <w:sz w:val="24"/>
        </w:rPr>
        <w:t>Overall, relative demand conditions are likely to be broadly neutral for the trade deficit this year. Hence</w:t>
      </w:r>
    </w:p>
    <w:p>
      <w:pPr>
        <w:spacing w:after="0" w:line="242" w:lineRule="auto"/>
        <w:jc w:val="left"/>
        <w:rPr>
          <w:sz w:val="24"/>
        </w:rPr>
        <w:sectPr>
          <w:type w:val="continuous"/>
          <w:pgSz w:w="11900" w:h="16840"/>
          <w:pgMar w:top="1220" w:bottom="280" w:left="640" w:right="640"/>
          <w:cols w:num="3" w:equalWidth="0">
            <w:col w:w="3420" w:space="97"/>
            <w:col w:w="373" w:space="887"/>
            <w:col w:w="5843"/>
          </w:cols>
        </w:sectPr>
      </w:pPr>
    </w:p>
    <w:p>
      <w:pPr>
        <w:pStyle w:val="BodyText"/>
        <w:spacing w:before="4"/>
        <w:rPr>
          <w:sz w:val="12"/>
        </w:rPr>
      </w:pPr>
    </w:p>
    <w:p>
      <w:pPr>
        <w:spacing w:line="208" w:lineRule="auto" w:before="0"/>
        <w:ind w:left="425" w:right="55" w:hanging="240"/>
        <w:jc w:val="left"/>
        <w:rPr>
          <w:sz w:val="12"/>
        </w:rPr>
      </w:pPr>
      <w:r>
        <w:rPr>
          <w:color w:val="231F20"/>
          <w:sz w:val="12"/>
        </w:rPr>
        <w:t>(a) UK exports relative to EU and non-EU imports;  volume data </w:t>
      </w:r>
      <w:r>
        <w:rPr>
          <w:color w:val="231F20"/>
          <w:spacing w:val="-3"/>
          <w:sz w:val="12"/>
        </w:rPr>
        <w:t>scaled </w:t>
      </w:r>
      <w:r>
        <w:rPr>
          <w:color w:val="231F20"/>
          <w:sz w:val="12"/>
        </w:rPr>
        <w:t>to actual market share in 1991.</w:t>
      </w:r>
    </w:p>
    <w:p>
      <w:pPr>
        <w:pStyle w:val="BodyText"/>
        <w:rPr>
          <w:sz w:val="12"/>
        </w:rPr>
      </w:pPr>
    </w:p>
    <w:p>
      <w:pPr>
        <w:pStyle w:val="BodyText"/>
        <w:spacing w:before="4"/>
        <w:rPr>
          <w:sz w:val="16"/>
        </w:rPr>
      </w:pPr>
    </w:p>
    <w:p>
      <w:pPr>
        <w:pStyle w:val="Heading4"/>
        <w:spacing w:before="1"/>
      </w:pPr>
      <w:r>
        <w:rPr>
          <w:color w:val="0093C1"/>
        </w:rPr>
        <w:t>Chart 2.7</w:t>
      </w:r>
    </w:p>
    <w:p>
      <w:pPr>
        <w:pStyle w:val="Heading4"/>
      </w:pPr>
      <w:r>
        <w:rPr>
          <w:color w:val="0093C1"/>
        </w:rPr>
        <w:t>UK export performance</w:t>
      </w:r>
    </w:p>
    <w:p>
      <w:pPr>
        <w:spacing w:line="250" w:lineRule="atLeast" w:before="85"/>
        <w:ind w:left="1878" w:right="55" w:hanging="103"/>
        <w:jc w:val="left"/>
        <w:rPr>
          <w:sz w:val="12"/>
        </w:rPr>
      </w:pPr>
      <w:r>
        <w:rPr/>
        <w:pict>
          <v:line style="position:absolute;mso-position-horizontal-relative:page;mso-position-vertical-relative:paragraph;z-index:15896576" from="43.299999pt,13.452148pt" to="47.549999pt,13.452148pt" stroked="true" strokeweight=".5pt" strokecolor="#000000">
            <v:stroke dashstyle="solid"/>
            <w10:wrap type="none"/>
          </v:line>
        </w:pict>
      </w:r>
      <w:r>
        <w:rPr>
          <w:sz w:val="12"/>
        </w:rPr>
        <w:t>Percentage changes on a year earl</w:t>
      </w:r>
      <w:r>
        <w:rPr>
          <w:sz w:val="12"/>
          <w:u w:val="single"/>
        </w:rPr>
        <w:t>ie</w:t>
      </w:r>
      <w:r>
        <w:rPr>
          <w:sz w:val="12"/>
        </w:rPr>
        <w:t>r </w:t>
      </w:r>
      <w:r>
        <w:rPr>
          <w:color w:val="231F20"/>
          <w:position w:val="-7"/>
          <w:sz w:val="12"/>
        </w:rPr>
        <w:t>14 </w:t>
      </w:r>
      <w:r>
        <w:rPr>
          <w:color w:val="231F20"/>
          <w:sz w:val="12"/>
        </w:rPr>
        <w:t>UK export market (a)</w:t>
      </w:r>
    </w:p>
    <w:p>
      <w:pPr>
        <w:spacing w:line="242" w:lineRule="auto" w:before="0"/>
        <w:ind w:left="171" w:right="68" w:firstLine="0"/>
        <w:jc w:val="left"/>
        <w:rPr>
          <w:sz w:val="24"/>
        </w:rPr>
      </w:pPr>
      <w:r>
        <w:rPr/>
        <w:br w:type="column"/>
      </w:r>
      <w:r>
        <w:rPr>
          <w:color w:val="231F20"/>
          <w:sz w:val="24"/>
        </w:rPr>
        <w:t>the dominant influence on the trade balance in 1999 is likely to be the strength of sterling and non-price competitiveness effects. The MPC’s central projection is for net trade to make another negative contribution to GDP growth in 1999 and for this effect to be more negative than was assumed at the time of the February</w:t>
      </w:r>
    </w:p>
    <w:p>
      <w:pPr>
        <w:spacing w:after="0" w:line="242" w:lineRule="auto"/>
        <w:jc w:val="left"/>
        <w:rPr>
          <w:sz w:val="24"/>
        </w:rPr>
        <w:sectPr>
          <w:type w:val="continuous"/>
          <w:pgSz w:w="11900" w:h="16840"/>
          <w:pgMar w:top="1220" w:bottom="280" w:left="640" w:right="640"/>
          <w:cols w:num="2" w:equalWidth="0">
            <w:col w:w="3749" w:space="1040"/>
            <w:col w:w="5831"/>
          </w:cols>
        </w:sectPr>
      </w:pPr>
    </w:p>
    <w:p>
      <w:pPr>
        <w:tabs>
          <w:tab w:pos="4959" w:val="left" w:leader="none"/>
        </w:tabs>
        <w:spacing w:line="182" w:lineRule="exact" w:before="0"/>
        <w:ind w:left="3556" w:right="0" w:firstLine="0"/>
        <w:jc w:val="left"/>
        <w:rPr>
          <w:sz w:val="24"/>
        </w:rPr>
      </w:pPr>
      <w:r>
        <w:rPr/>
        <w:pict>
          <v:group style="position:absolute;margin-left:42.862999pt;margin-top:.221382pt;width:165.1pt;height:124.4pt;mso-position-horizontal-relative:page;mso-position-vertical-relative:paragraph;z-index:15895552" coordorigin="857,4" coordsize="3302,2488">
            <v:line style="position:absolute" from="1006,2304" to="4016,2304" stroked="true" strokeweight=".5pt" strokecolor="#000000">
              <v:stroke dashstyle="solid"/>
            </v:line>
            <v:shape style="position:absolute;left:1008;top:14;width:3008;height:2468" coordorigin="1008,14" coordsize="3008,2468" path="m1008,659l1166,1159,1321,1127,1478,1287,1646,1497,1803,1402,1958,1464,2116,1724,2271,2482,2428,2077,2596,674,2753,14,2908,192,3066,884,3221,1224,3378,1047,3546,674,3703,369,3861,579,4016,1272e" filled="false" stroked="true" strokeweight="1pt" strokecolor="#522e91">
              <v:path arrowok="t"/>
              <v:stroke dashstyle="solid"/>
            </v:shape>
            <v:shape style="position:absolute;left:1008;top:126;width:3008;height:2273" coordorigin="1008,127" coordsize="3008,2273" path="m1008,1529l1166,884,1321,692,1478,1547,1646,2352,1803,1852,1958,1739,2116,1949,2271,1659,2428,1594,2596,674,2753,127,2908,497,3066,529,3221,804,3378,949,3546,707,3703,837,3861,1819,4016,2399e" filled="false" stroked="true" strokeweight="1pt" strokecolor="#a790c4">
              <v:path arrowok="t"/>
              <v:stroke dashstyle="solid"/>
            </v:shape>
            <v:shape style="position:absolute;left:857;top:64;width:3302;height:2245" coordorigin="857,64" coordsize="3302,2245" path="m863,64l948,64m4071,69l4156,69m866,429l951,429m4073,434l4158,434m866,804l951,804m4073,809l4158,809m866,1189l951,1189m4073,1194l4158,1194m866,1559l951,1559m4073,1564l4158,1564m857,1938l942,1938m4065,1943l4150,1943m865,2304l950,2304m4072,2309l4157,2309e" filled="false" stroked="true" strokeweight=".5pt" strokecolor="#000000">
              <v:path arrowok="t"/>
              <v:stroke dashstyle="solid"/>
            </v:shape>
            <v:shape style="position:absolute;left:3296;top:1857;width:577;height:133" type="#_x0000_t202" filled="false" stroked="false">
              <v:textbox inset="0,0,0,0">
                <w:txbxContent>
                  <w:p>
                    <w:pPr>
                      <w:spacing w:line="133" w:lineRule="exact" w:before="0"/>
                      <w:ind w:left="0" w:right="0" w:firstLine="0"/>
                      <w:jc w:val="left"/>
                      <w:rPr>
                        <w:sz w:val="12"/>
                      </w:rPr>
                    </w:pPr>
                    <w:r>
                      <w:rPr>
                        <w:color w:val="231F20"/>
                        <w:sz w:val="12"/>
                      </w:rPr>
                      <w:t>UK exports</w:t>
                    </w:r>
                  </w:p>
                </w:txbxContent>
              </v:textbox>
              <w10:wrap type="none"/>
            </v:shape>
            <w10:wrap type="none"/>
          </v:group>
        </w:pict>
      </w:r>
      <w:r>
        <w:rPr>
          <w:position w:val="2"/>
          <w:sz w:val="12"/>
        </w:rPr>
        <w:t>12</w:t>
        <w:tab/>
      </w:r>
      <w:r>
        <w:rPr>
          <w:i/>
          <w:color w:val="231F20"/>
          <w:sz w:val="24"/>
        </w:rPr>
        <w:t>Report</w:t>
      </w:r>
      <w:r>
        <w:rPr>
          <w:color w:val="231F20"/>
          <w:sz w:val="24"/>
        </w:rPr>
        <w:t>.</w:t>
      </w:r>
    </w:p>
    <w:p>
      <w:pPr>
        <w:spacing w:after="0" w:line="182" w:lineRule="exact"/>
        <w:jc w:val="left"/>
        <w:rPr>
          <w:sz w:val="24"/>
        </w:rPr>
        <w:sectPr>
          <w:type w:val="continuous"/>
          <w:pgSz w:w="11900" w:h="16840"/>
          <w:pgMar w:top="1220" w:bottom="280" w:left="640" w:right="640"/>
        </w:sectPr>
      </w:pPr>
    </w:p>
    <w:p>
      <w:pPr>
        <w:pStyle w:val="BodyText"/>
        <w:spacing w:before="10"/>
        <w:rPr>
          <w:sz w:val="15"/>
        </w:rPr>
      </w:pPr>
    </w:p>
    <w:p>
      <w:pPr>
        <w:spacing w:before="0"/>
        <w:ind w:left="0" w:right="38" w:firstLine="0"/>
        <w:jc w:val="right"/>
        <w:rPr>
          <w:sz w:val="12"/>
        </w:rPr>
      </w:pPr>
      <w:r>
        <w:rPr>
          <w:sz w:val="12"/>
        </w:rPr>
        <w:t>10</w:t>
      </w:r>
    </w:p>
    <w:p>
      <w:pPr>
        <w:pStyle w:val="BodyText"/>
        <w:rPr>
          <w:sz w:val="12"/>
        </w:rPr>
      </w:pPr>
    </w:p>
    <w:p>
      <w:pPr>
        <w:spacing w:before="97"/>
        <w:ind w:left="0" w:right="38" w:firstLine="0"/>
        <w:jc w:val="right"/>
        <w:rPr>
          <w:sz w:val="12"/>
        </w:rPr>
      </w:pPr>
      <w:r>
        <w:rPr>
          <w:sz w:val="12"/>
        </w:rPr>
        <w:t>8</w:t>
      </w:r>
    </w:p>
    <w:p>
      <w:pPr>
        <w:pStyle w:val="BodyText"/>
        <w:rPr>
          <w:sz w:val="12"/>
        </w:rPr>
      </w:pPr>
    </w:p>
    <w:p>
      <w:pPr>
        <w:pStyle w:val="BodyText"/>
        <w:spacing w:before="8"/>
        <w:rPr>
          <w:sz w:val="9"/>
        </w:rPr>
      </w:pPr>
    </w:p>
    <w:p>
      <w:pPr>
        <w:spacing w:before="0"/>
        <w:ind w:left="0" w:right="38" w:firstLine="0"/>
        <w:jc w:val="right"/>
        <w:rPr>
          <w:sz w:val="12"/>
        </w:rPr>
      </w:pPr>
      <w:r>
        <w:rPr>
          <w:sz w:val="12"/>
        </w:rPr>
        <w:t>6</w:t>
      </w:r>
    </w:p>
    <w:p>
      <w:pPr>
        <w:pStyle w:val="BodyText"/>
        <w:rPr>
          <w:sz w:val="12"/>
        </w:rPr>
      </w:pPr>
    </w:p>
    <w:p>
      <w:pPr>
        <w:spacing w:before="94"/>
        <w:ind w:left="0" w:right="38" w:firstLine="0"/>
        <w:jc w:val="right"/>
        <w:rPr>
          <w:sz w:val="12"/>
        </w:rPr>
      </w:pPr>
      <w:r>
        <w:rPr>
          <w:sz w:val="12"/>
        </w:rPr>
        <w:t>4</w:t>
      </w:r>
    </w:p>
    <w:p>
      <w:pPr>
        <w:pStyle w:val="BodyText"/>
        <w:rPr>
          <w:sz w:val="12"/>
        </w:rPr>
      </w:pPr>
    </w:p>
    <w:p>
      <w:pPr>
        <w:spacing w:before="94"/>
        <w:ind w:left="0" w:right="38" w:firstLine="0"/>
        <w:jc w:val="right"/>
        <w:rPr>
          <w:sz w:val="12"/>
        </w:rPr>
      </w:pPr>
      <w:r>
        <w:rPr>
          <w:sz w:val="12"/>
        </w:rPr>
        <w:t>2</w:t>
      </w:r>
    </w:p>
    <w:p>
      <w:pPr>
        <w:spacing w:before="24"/>
        <w:ind w:left="3515" w:right="0" w:firstLine="0"/>
        <w:jc w:val="left"/>
        <w:rPr>
          <w:sz w:val="16"/>
        </w:rPr>
      </w:pPr>
      <w:r>
        <w:rPr>
          <w:sz w:val="16"/>
        </w:rPr>
        <w:t>+</w:t>
      </w:r>
    </w:p>
    <w:p>
      <w:pPr>
        <w:spacing w:line="115" w:lineRule="exact" w:before="44"/>
        <w:ind w:left="3616" w:right="0" w:firstLine="0"/>
        <w:jc w:val="left"/>
        <w:rPr>
          <w:sz w:val="12"/>
        </w:rPr>
      </w:pPr>
      <w:r>
        <w:rPr>
          <w:sz w:val="12"/>
        </w:rPr>
        <w:t>0</w:t>
      </w:r>
    </w:p>
    <w:p>
      <w:pPr>
        <w:spacing w:line="161" w:lineRule="exact" w:before="0"/>
        <w:ind w:left="3515" w:right="0" w:firstLine="0"/>
        <w:jc w:val="left"/>
        <w:rPr>
          <w:sz w:val="16"/>
        </w:rPr>
      </w:pPr>
      <w:r>
        <w:rPr>
          <w:sz w:val="16"/>
        </w:rPr>
        <w:t>_</w:t>
      </w:r>
    </w:p>
    <w:p>
      <w:pPr>
        <w:spacing w:line="127" w:lineRule="exact" w:before="76"/>
        <w:ind w:left="3616" w:right="0" w:firstLine="0"/>
        <w:jc w:val="left"/>
        <w:rPr>
          <w:sz w:val="12"/>
        </w:rPr>
      </w:pPr>
      <w:r>
        <w:rPr/>
        <w:pict>
          <v:shape style="position:absolute;margin-left:43.299999pt;margin-top:4.276563pt;width:164.65pt;height:3.5pt;mso-position-horizontal-relative:page;mso-position-vertical-relative:paragraph;z-index:15896064" coordorigin="866,86" coordsize="3293,70" path="m1008,151l4016,148m866,151l951,151m4073,156l4158,156m1956,86l1956,146m2271,86l2271,146m2596,86l2596,146m2911,86l2911,146m3221,86l3221,146m3536,86l3536,146m1006,86l1006,146m1321,86l1321,146m3856,86l3856,146m1641,86l1641,146e" filled="false" stroked="true" strokeweight=".5pt" strokecolor="#000000">
            <v:path arrowok="t"/>
            <v:stroke dashstyle="solid"/>
            <w10:wrap type="none"/>
          </v:shape>
        </w:pict>
      </w:r>
      <w:r>
        <w:rPr>
          <w:sz w:val="12"/>
        </w:rPr>
        <w:t>2</w:t>
      </w:r>
    </w:p>
    <w:p>
      <w:pPr>
        <w:tabs>
          <w:tab w:pos="953" w:val="left" w:leader="none"/>
          <w:tab w:pos="1565" w:val="left" w:leader="none"/>
          <w:tab w:pos="2190" w:val="left" w:leader="none"/>
          <w:tab w:pos="2853" w:val="left" w:leader="none"/>
        </w:tabs>
        <w:spacing w:line="127" w:lineRule="exact" w:before="0"/>
        <w:ind w:left="230" w:right="0" w:firstLine="0"/>
        <w:jc w:val="left"/>
        <w:rPr>
          <w:sz w:val="12"/>
        </w:rPr>
      </w:pPr>
      <w:r>
        <w:rPr>
          <w:sz w:val="12"/>
        </w:rPr>
        <w:t>1989</w:t>
        <w:tab/>
        <w:t>91</w:t>
        <w:tab/>
        <w:t>93</w:t>
        <w:tab/>
        <w:t>95</w:t>
        <w:tab/>
        <w:t>97</w:t>
      </w:r>
    </w:p>
    <w:p>
      <w:pPr>
        <w:spacing w:before="72"/>
        <w:ind w:left="165" w:right="0" w:firstLine="0"/>
        <w:jc w:val="left"/>
        <w:rPr>
          <w:sz w:val="12"/>
        </w:rPr>
      </w:pPr>
      <w:r>
        <w:rPr>
          <w:color w:val="231F20"/>
          <w:sz w:val="12"/>
        </w:rPr>
        <w:t>Sources: ONS and OECD.</w:t>
      </w:r>
    </w:p>
    <w:p>
      <w:pPr>
        <w:pStyle w:val="BodyText"/>
        <w:spacing w:before="1"/>
        <w:rPr>
          <w:sz w:val="10"/>
        </w:rPr>
      </w:pPr>
    </w:p>
    <w:p>
      <w:pPr>
        <w:spacing w:line="208" w:lineRule="auto" w:before="0"/>
        <w:ind w:left="405" w:right="0" w:hanging="240"/>
        <w:jc w:val="left"/>
        <w:rPr>
          <w:sz w:val="12"/>
        </w:rPr>
      </w:pPr>
      <w:r>
        <w:rPr>
          <w:color w:val="231F20"/>
          <w:sz w:val="12"/>
        </w:rPr>
        <w:t>(a) Goods import volumes by the United Kingdom’s trade partners, calculated using UK trade weights.</w:t>
      </w:r>
    </w:p>
    <w:p>
      <w:pPr>
        <w:pStyle w:val="BodyText"/>
        <w:spacing w:before="4"/>
        <w:rPr>
          <w:sz w:val="28"/>
        </w:rPr>
      </w:pPr>
      <w:r>
        <w:rPr/>
        <w:br w:type="column"/>
      </w:r>
      <w:r>
        <w:rPr>
          <w:sz w:val="28"/>
        </w:rPr>
      </w:r>
    </w:p>
    <w:p>
      <w:pPr>
        <w:pStyle w:val="ListParagraph"/>
        <w:numPr>
          <w:ilvl w:val="1"/>
          <w:numId w:val="11"/>
        </w:numPr>
        <w:tabs>
          <w:tab w:pos="3307" w:val="left" w:leader="none"/>
          <w:tab w:pos="3308" w:val="left" w:leader="none"/>
          <w:tab w:pos="5660" w:val="left" w:leader="none"/>
        </w:tabs>
        <w:spacing w:line="240" w:lineRule="auto" w:before="0" w:after="0"/>
        <w:ind w:left="3307" w:right="0" w:hanging="3143"/>
        <w:jc w:val="left"/>
        <w:rPr>
          <w:b/>
          <w:sz w:val="28"/>
        </w:rPr>
      </w:pPr>
      <w:r>
        <w:rPr>
          <w:b/>
          <w:color w:val="009483"/>
          <w:sz w:val="28"/>
          <w:u w:val="thick" w:color="0093C1"/>
        </w:rPr>
        <w:t>Domestic demand</w:t>
        <w:tab/>
      </w:r>
    </w:p>
    <w:p>
      <w:pPr>
        <w:spacing w:line="242" w:lineRule="auto" w:before="264"/>
        <w:ind w:left="165" w:right="168" w:firstLine="0"/>
        <w:jc w:val="left"/>
        <w:rPr>
          <w:sz w:val="24"/>
        </w:rPr>
      </w:pPr>
      <w:r>
        <w:rPr>
          <w:color w:val="231F20"/>
          <w:sz w:val="24"/>
        </w:rPr>
        <w:t>Domestic demand increased by 1.0% in 1998 Q4, up from 0.5% in both Q2 and Q3. This increase reflected stronger growth in consumption and investment, as well as a rise in the contribution to growth from the change in inventories (see Table 2.B). Despite this faster quarterly growth, the annual rate of increase continued to slow— in the year to 1998 Q4, domestic demand grew by 2.7%, down from 3.3% in Q2 and Q3.</w:t>
      </w:r>
    </w:p>
    <w:p>
      <w:pPr>
        <w:spacing w:after="0" w:line="242" w:lineRule="auto"/>
        <w:jc w:val="left"/>
        <w:rPr>
          <w:sz w:val="24"/>
        </w:rPr>
        <w:sectPr>
          <w:type w:val="continuous"/>
          <w:pgSz w:w="11900" w:h="16840"/>
          <w:pgMar w:top="1220" w:bottom="280" w:left="640" w:right="640"/>
          <w:cols w:num="2" w:equalWidth="0">
            <w:col w:w="3717" w:space="1078"/>
            <w:col w:w="5825"/>
          </w:cols>
        </w:sectPr>
      </w:pPr>
    </w:p>
    <w:p>
      <w:pPr>
        <w:pStyle w:val="BodyText"/>
        <w:rPr>
          <w:sz w:val="20"/>
        </w:rPr>
      </w:pPr>
    </w:p>
    <w:p>
      <w:pPr>
        <w:spacing w:after="0"/>
        <w:rPr>
          <w:sz w:val="20"/>
        </w:rPr>
        <w:sectPr>
          <w:pgSz w:w="11900" w:h="16840"/>
          <w:pgMar w:header="586" w:footer="617" w:top="780" w:bottom="800" w:left="640" w:right="640"/>
        </w:sectPr>
      </w:pPr>
    </w:p>
    <w:p>
      <w:pPr>
        <w:pStyle w:val="BodyText"/>
        <w:rPr>
          <w:sz w:val="22"/>
        </w:rPr>
      </w:pPr>
    </w:p>
    <w:p>
      <w:pPr>
        <w:pStyle w:val="BodyText"/>
        <w:rPr>
          <w:sz w:val="22"/>
        </w:rPr>
      </w:pPr>
    </w:p>
    <w:p>
      <w:pPr>
        <w:pStyle w:val="BodyText"/>
        <w:rPr>
          <w:sz w:val="20"/>
        </w:rPr>
      </w:pPr>
    </w:p>
    <w:p>
      <w:pPr>
        <w:pStyle w:val="Heading4"/>
        <w:spacing w:before="0"/>
        <w:ind w:left="185"/>
      </w:pPr>
      <w:bookmarkStart w:name="Consumption" w:id="35"/>
      <w:bookmarkEnd w:id="35"/>
      <w:r>
        <w:rPr>
          <w:b w:val="0"/>
        </w:rPr>
      </w:r>
      <w:bookmarkStart w:name="_bookmark13" w:id="36"/>
      <w:bookmarkEnd w:id="36"/>
      <w:r>
        <w:rPr>
          <w:b w:val="0"/>
        </w:rPr>
      </w:r>
      <w:r>
        <w:rPr>
          <w:color w:val="0093C1"/>
        </w:rPr>
        <w:t>Table 2.B</w:t>
      </w:r>
    </w:p>
    <w:p>
      <w:pPr>
        <w:pStyle w:val="Heading4"/>
        <w:ind w:left="185"/>
        <w:rPr>
          <w:b w:val="0"/>
          <w:sz w:val="12"/>
        </w:rPr>
      </w:pPr>
      <w:r>
        <w:rPr>
          <w:color w:val="0093C1"/>
        </w:rPr>
        <w:t>Quarterly growth rate of GDP</w:t>
      </w:r>
      <w:r>
        <w:rPr>
          <w:b w:val="0"/>
          <w:color w:val="231F20"/>
          <w:position w:val="4"/>
          <w:sz w:val="12"/>
        </w:rPr>
        <w:t>(a)</w:t>
      </w:r>
    </w:p>
    <w:p>
      <w:pPr>
        <w:spacing w:before="107"/>
        <w:ind w:left="185" w:right="0" w:firstLine="0"/>
        <w:jc w:val="left"/>
        <w:rPr>
          <w:sz w:val="14"/>
        </w:rPr>
      </w:pPr>
      <w:r>
        <w:rPr>
          <w:color w:val="231F20"/>
          <w:sz w:val="14"/>
        </w:rPr>
        <w:t>Percentage change</w:t>
      </w:r>
    </w:p>
    <w:p>
      <w:pPr>
        <w:tabs>
          <w:tab w:pos="3679" w:val="left" w:leader="none"/>
        </w:tabs>
        <w:spacing w:line="150" w:lineRule="exact" w:before="119"/>
        <w:ind w:left="2194" w:right="0" w:firstLine="0"/>
        <w:jc w:val="left"/>
        <w:rPr>
          <w:sz w:val="14"/>
        </w:rPr>
      </w:pPr>
      <w:r>
        <w:rPr>
          <w:color w:val="231F20"/>
          <w:sz w:val="14"/>
          <w:u w:val="single" w:color="231F20"/>
        </w:rPr>
        <w:t>1998</w:t>
        <w:tab/>
      </w:r>
    </w:p>
    <w:p>
      <w:pPr>
        <w:tabs>
          <w:tab w:pos="2834" w:val="left" w:leader="none"/>
          <w:tab w:pos="3394" w:val="left" w:leader="none"/>
        </w:tabs>
        <w:spacing w:line="150" w:lineRule="exact" w:before="0"/>
        <w:ind w:left="2194" w:right="0" w:firstLine="0"/>
        <w:jc w:val="left"/>
        <w:rPr>
          <w:sz w:val="14"/>
        </w:rPr>
      </w:pPr>
      <w:r>
        <w:rPr>
          <w:color w:val="231F20"/>
          <w:sz w:val="14"/>
        </w:rPr>
        <w:t>Q2</w:t>
        <w:tab/>
        <w:t>Q3</w:t>
        <w:tab/>
        <w:t>Q4</w:t>
      </w:r>
    </w:p>
    <w:p>
      <w:pPr>
        <w:pStyle w:val="BodyText"/>
        <w:spacing w:before="3"/>
        <w:rPr>
          <w:sz w:val="3"/>
        </w:rPr>
      </w:pPr>
    </w:p>
    <w:p>
      <w:pPr>
        <w:tabs>
          <w:tab w:pos="2808" w:val="left" w:leader="none"/>
          <w:tab w:pos="3378" w:val="left" w:leader="none"/>
        </w:tabs>
        <w:spacing w:line="20" w:lineRule="exact"/>
        <w:ind w:left="2208" w:right="-58" w:firstLine="0"/>
        <w:rPr>
          <w:sz w:val="2"/>
        </w:rPr>
      </w:pPr>
      <w:r>
        <w:rPr>
          <w:sz w:val="2"/>
        </w:rPr>
        <w:pict>
          <v:group style="width:16pt;height:.15pt;mso-position-horizontal-relative:char;mso-position-vertical-relative:line" coordorigin="0,0" coordsize="320,3">
            <v:line style="position:absolute" from="0,1" to="320,1" stroked="true" strokeweight=".125pt" strokecolor="#231f20">
              <v:stroke dashstyle="solid"/>
            </v:line>
          </v:group>
        </w:pict>
      </w:r>
      <w:r>
        <w:rPr>
          <w:sz w:val="2"/>
        </w:rPr>
      </w:r>
      <w:r>
        <w:rPr>
          <w:sz w:val="2"/>
        </w:rPr>
        <w:tab/>
      </w:r>
      <w:r>
        <w:rPr>
          <w:sz w:val="2"/>
        </w:rPr>
        <w:pict>
          <v:group style="width:16pt;height:.15pt;mso-position-horizontal-relative:char;mso-position-vertical-relative:line" coordorigin="0,0" coordsize="320,3">
            <v:line style="position:absolute" from="0,1" to="320,1" stroked="true" strokeweight=".125pt" strokecolor="#231f20">
              <v:stroke dashstyle="solid"/>
            </v:line>
          </v:group>
        </w:pict>
      </w:r>
      <w:r>
        <w:rPr>
          <w:sz w:val="2"/>
        </w:rPr>
      </w:r>
      <w:r>
        <w:rPr>
          <w:sz w:val="2"/>
        </w:rPr>
        <w:tab/>
      </w:r>
      <w:r>
        <w:rPr>
          <w:sz w:val="2"/>
        </w:rPr>
        <w:pict>
          <v:group style="width:16pt;height:.15pt;mso-position-horizontal-relative:char;mso-position-vertical-relative:line" coordorigin="0,0" coordsize="320,3">
            <v:line style="position:absolute" from="0,1" to="320,1" stroked="true" strokeweight=".125pt" strokecolor="#231f20">
              <v:stroke dashstyle="solid"/>
            </v:line>
          </v:group>
        </w:pict>
      </w:r>
      <w:r>
        <w:rPr>
          <w:sz w:val="2"/>
        </w:rPr>
      </w:r>
    </w:p>
    <w:p>
      <w:pPr>
        <w:spacing w:line="150" w:lineRule="exact" w:before="61"/>
        <w:ind w:left="185" w:right="0" w:firstLine="0"/>
        <w:jc w:val="left"/>
        <w:rPr>
          <w:sz w:val="14"/>
        </w:rPr>
      </w:pPr>
      <w:r>
        <w:rPr>
          <w:color w:val="231F20"/>
          <w:sz w:val="14"/>
        </w:rPr>
        <w:t>Consumption:</w:t>
      </w:r>
    </w:p>
    <w:p>
      <w:pPr>
        <w:tabs>
          <w:tab w:pos="2180" w:val="left" w:leader="none"/>
          <w:tab w:pos="2850" w:val="left" w:leader="none"/>
          <w:tab w:pos="3585" w:val="right" w:leader="none"/>
        </w:tabs>
        <w:spacing w:line="140" w:lineRule="exact" w:before="0"/>
        <w:ind w:left="255" w:right="0" w:firstLine="0"/>
        <w:jc w:val="left"/>
        <w:rPr>
          <w:i/>
          <w:sz w:val="14"/>
        </w:rPr>
      </w:pPr>
      <w:r>
        <w:rPr>
          <w:i/>
          <w:color w:val="231F20"/>
          <w:sz w:val="14"/>
        </w:rPr>
        <w:t>Households</w:t>
        <w:tab/>
        <w:t>0.5</w:t>
        <w:tab/>
        <w:t>0.1</w:t>
        <w:tab/>
        <w:t>0.6</w:t>
      </w:r>
    </w:p>
    <w:p>
      <w:pPr>
        <w:spacing w:line="140" w:lineRule="exact" w:before="0"/>
        <w:ind w:left="255" w:right="0" w:firstLine="0"/>
        <w:jc w:val="left"/>
        <w:rPr>
          <w:i/>
          <w:sz w:val="14"/>
        </w:rPr>
      </w:pPr>
      <w:r>
        <w:rPr>
          <w:i/>
          <w:color w:val="231F20"/>
          <w:sz w:val="14"/>
        </w:rPr>
        <w:t>Non profit making institutions</w:t>
      </w:r>
    </w:p>
    <w:p>
      <w:pPr>
        <w:tabs>
          <w:tab w:pos="2180" w:val="left" w:leader="none"/>
          <w:tab w:pos="2850" w:val="left" w:leader="none"/>
          <w:tab w:pos="3585" w:val="right" w:leader="none"/>
        </w:tabs>
        <w:spacing w:line="140" w:lineRule="exact" w:before="0"/>
        <w:ind w:left="325" w:right="0" w:firstLine="0"/>
        <w:jc w:val="left"/>
        <w:rPr>
          <w:i/>
          <w:sz w:val="14"/>
        </w:rPr>
      </w:pPr>
      <w:r>
        <w:rPr>
          <w:i/>
          <w:color w:val="231F20"/>
          <w:sz w:val="14"/>
        </w:rPr>
        <w:t>serving households</w:t>
        <w:tab/>
        <w:t>0.4</w:t>
        <w:tab/>
        <w:t>0.2</w:t>
        <w:tab/>
        <w:t>0.2</w:t>
      </w:r>
    </w:p>
    <w:p>
      <w:pPr>
        <w:tabs>
          <w:tab w:pos="2180" w:val="left" w:leader="none"/>
          <w:tab w:pos="2850" w:val="left" w:leader="none"/>
          <w:tab w:pos="3585" w:val="right" w:leader="none"/>
        </w:tabs>
        <w:spacing w:line="140" w:lineRule="exact" w:before="0"/>
        <w:ind w:left="255" w:right="0" w:firstLine="0"/>
        <w:jc w:val="left"/>
        <w:rPr>
          <w:i/>
          <w:sz w:val="14"/>
        </w:rPr>
      </w:pPr>
      <w:r>
        <w:rPr>
          <w:i/>
          <w:color w:val="231F20"/>
          <w:sz w:val="14"/>
        </w:rPr>
        <w:t>Government</w:t>
        <w:tab/>
        <w:t>0.4</w:t>
        <w:tab/>
        <w:t>0.6</w:t>
        <w:tab/>
        <w:t>0.3</w:t>
      </w:r>
    </w:p>
    <w:p>
      <w:pPr>
        <w:tabs>
          <w:tab w:pos="2133" w:val="left" w:leader="none"/>
          <w:tab w:pos="2850" w:val="left" w:leader="none"/>
          <w:tab w:pos="3585" w:val="right" w:leader="none"/>
        </w:tabs>
        <w:spacing w:line="140" w:lineRule="exact" w:before="0"/>
        <w:ind w:left="185" w:right="0" w:firstLine="0"/>
        <w:jc w:val="left"/>
        <w:rPr>
          <w:sz w:val="14"/>
        </w:rPr>
      </w:pPr>
      <w:r>
        <w:rPr>
          <w:color w:val="231F20"/>
          <w:sz w:val="14"/>
        </w:rPr>
        <w:t>Investment</w:t>
        <w:tab/>
        <w:t>-0.7</w:t>
        <w:tab/>
        <w:t>2.6</w:t>
        <w:tab/>
        <w:t>2.9</w:t>
      </w:r>
    </w:p>
    <w:p>
      <w:pPr>
        <w:tabs>
          <w:tab w:pos="2179" w:val="left" w:leader="none"/>
          <w:tab w:pos="2850" w:val="left" w:leader="none"/>
          <w:tab w:pos="3585" w:val="right" w:leader="none"/>
        </w:tabs>
        <w:spacing w:line="140" w:lineRule="exact" w:before="0"/>
        <w:ind w:left="185" w:right="0" w:firstLine="0"/>
        <w:jc w:val="left"/>
        <w:rPr>
          <w:sz w:val="14"/>
        </w:rPr>
      </w:pPr>
      <w:r>
        <w:rPr>
          <w:color w:val="231F20"/>
          <w:sz w:val="14"/>
        </w:rPr>
        <w:t>Final domestic demand</w:t>
        <w:tab/>
        <w:t>0.2</w:t>
        <w:tab/>
        <w:t>0.6</w:t>
        <w:tab/>
        <w:t>0.9</w:t>
      </w:r>
    </w:p>
    <w:p>
      <w:pPr>
        <w:tabs>
          <w:tab w:pos="2133" w:val="left" w:leader="none"/>
          <w:tab w:pos="2803" w:val="left" w:leader="none"/>
          <w:tab w:pos="3409" w:val="left" w:leader="none"/>
        </w:tabs>
        <w:spacing w:line="140" w:lineRule="exact" w:before="0"/>
        <w:ind w:left="185" w:right="0" w:firstLine="0"/>
        <w:jc w:val="left"/>
        <w:rPr>
          <w:sz w:val="14"/>
        </w:rPr>
      </w:pPr>
      <w:r>
        <w:rPr>
          <w:color w:val="231F20"/>
          <w:sz w:val="14"/>
        </w:rPr>
        <w:t>Change in inventories</w:t>
      </w:r>
      <w:r>
        <w:rPr>
          <w:color w:val="231F20"/>
          <w:spacing w:val="-1"/>
          <w:sz w:val="14"/>
        </w:rPr>
        <w:t> </w:t>
      </w:r>
      <w:r>
        <w:rPr>
          <w:color w:val="231F20"/>
          <w:sz w:val="12"/>
        </w:rPr>
        <w:t>(b)(c)</w:t>
        <w:tab/>
      </w:r>
      <w:r>
        <w:rPr>
          <w:color w:val="231F20"/>
          <w:sz w:val="14"/>
        </w:rPr>
        <w:t>-0.1</w:t>
        <w:tab/>
        <w:t>-0.1</w:t>
        <w:tab/>
        <w:t>0.0</w:t>
      </w:r>
    </w:p>
    <w:p>
      <w:pPr>
        <w:tabs>
          <w:tab w:pos="2180" w:val="left" w:leader="none"/>
          <w:tab w:pos="2850" w:val="left" w:leader="none"/>
          <w:tab w:pos="3410" w:val="left" w:leader="none"/>
        </w:tabs>
        <w:spacing w:line="140" w:lineRule="exact" w:before="0"/>
        <w:ind w:left="185" w:right="0" w:firstLine="0"/>
        <w:jc w:val="left"/>
        <w:rPr>
          <w:b/>
          <w:sz w:val="14"/>
        </w:rPr>
      </w:pPr>
      <w:r>
        <w:rPr>
          <w:b/>
          <w:color w:val="231F20"/>
          <w:sz w:val="14"/>
        </w:rPr>
        <w:t>Domestic demand</w:t>
        <w:tab/>
        <w:t>0.5</w:t>
        <w:tab/>
        <w:t>0.5</w:t>
        <w:tab/>
        <w:t>1.0</w:t>
      </w:r>
    </w:p>
    <w:p>
      <w:pPr>
        <w:tabs>
          <w:tab w:pos="2133" w:val="left" w:leader="none"/>
          <w:tab w:pos="2803" w:val="left" w:leader="none"/>
          <w:tab w:pos="3363" w:val="left" w:leader="none"/>
        </w:tabs>
        <w:spacing w:line="140" w:lineRule="exact" w:before="0"/>
        <w:ind w:left="185" w:right="0" w:firstLine="0"/>
        <w:jc w:val="left"/>
        <w:rPr>
          <w:sz w:val="14"/>
        </w:rPr>
      </w:pPr>
      <w:r>
        <w:rPr>
          <w:color w:val="231F20"/>
          <w:sz w:val="14"/>
        </w:rPr>
        <w:t>Net</w:t>
      </w:r>
      <w:r>
        <w:rPr>
          <w:color w:val="231F20"/>
          <w:spacing w:val="-1"/>
          <w:sz w:val="14"/>
        </w:rPr>
        <w:t> </w:t>
      </w:r>
      <w:r>
        <w:rPr>
          <w:color w:val="231F20"/>
          <w:sz w:val="14"/>
        </w:rPr>
        <w:t>trade</w:t>
      </w:r>
      <w:r>
        <w:rPr>
          <w:color w:val="231F20"/>
          <w:spacing w:val="-1"/>
          <w:sz w:val="14"/>
        </w:rPr>
        <w:t> </w:t>
      </w:r>
      <w:r>
        <w:rPr>
          <w:color w:val="231F20"/>
          <w:sz w:val="12"/>
        </w:rPr>
        <w:t>(b)</w:t>
        <w:tab/>
      </w:r>
      <w:r>
        <w:rPr>
          <w:color w:val="231F20"/>
          <w:sz w:val="14"/>
        </w:rPr>
        <w:t>-0.3</w:t>
        <w:tab/>
        <w:t>-0.3</w:t>
        <w:tab/>
        <w:t>-0.9</w:t>
      </w:r>
    </w:p>
    <w:p>
      <w:pPr>
        <w:tabs>
          <w:tab w:pos="2180" w:val="left" w:leader="none"/>
          <w:tab w:pos="2850" w:val="left" w:leader="none"/>
          <w:tab w:pos="3585" w:val="right" w:leader="none"/>
        </w:tabs>
        <w:spacing w:line="150" w:lineRule="exact" w:before="0"/>
        <w:ind w:left="185" w:right="0" w:firstLine="0"/>
        <w:jc w:val="left"/>
        <w:rPr>
          <w:b/>
          <w:sz w:val="14"/>
        </w:rPr>
      </w:pPr>
      <w:r>
        <w:rPr>
          <w:b/>
          <w:color w:val="231F20"/>
          <w:sz w:val="14"/>
        </w:rPr>
        <w:t>GDP at market prices</w:t>
        <w:tab/>
        <w:t>0.3</w:t>
        <w:tab/>
        <w:t>0.3</w:t>
        <w:tab/>
        <w:t>0.1</w:t>
      </w:r>
    </w:p>
    <w:p>
      <w:pPr>
        <w:pStyle w:val="ListParagraph"/>
        <w:numPr>
          <w:ilvl w:val="0"/>
          <w:numId w:val="12"/>
        </w:numPr>
        <w:tabs>
          <w:tab w:pos="425" w:val="left" w:leader="none"/>
        </w:tabs>
        <w:spacing w:line="129" w:lineRule="exact" w:before="118" w:after="0"/>
        <w:ind w:left="424" w:right="0" w:hanging="240"/>
        <w:jc w:val="left"/>
        <w:rPr>
          <w:sz w:val="12"/>
        </w:rPr>
      </w:pPr>
      <w:r>
        <w:rPr>
          <w:color w:val="231F20"/>
          <w:sz w:val="12"/>
        </w:rPr>
        <w:t>At constant 1995 market prices.</w:t>
      </w:r>
    </w:p>
    <w:p>
      <w:pPr>
        <w:pStyle w:val="ListParagraph"/>
        <w:numPr>
          <w:ilvl w:val="0"/>
          <w:numId w:val="12"/>
        </w:numPr>
        <w:tabs>
          <w:tab w:pos="426" w:val="left" w:leader="none"/>
        </w:tabs>
        <w:spacing w:line="120" w:lineRule="exact" w:before="0" w:after="0"/>
        <w:ind w:left="425" w:right="0" w:hanging="241"/>
        <w:jc w:val="left"/>
        <w:rPr>
          <w:sz w:val="12"/>
        </w:rPr>
      </w:pPr>
      <w:r>
        <w:rPr>
          <w:color w:val="231F20"/>
          <w:sz w:val="12"/>
        </w:rPr>
        <w:t>Contribution to quarterly growth.</w:t>
      </w:r>
    </w:p>
    <w:p>
      <w:pPr>
        <w:pStyle w:val="ListParagraph"/>
        <w:numPr>
          <w:ilvl w:val="0"/>
          <w:numId w:val="12"/>
        </w:numPr>
        <w:tabs>
          <w:tab w:pos="425" w:val="left" w:leader="none"/>
        </w:tabs>
        <w:spacing w:line="129" w:lineRule="exact" w:before="0" w:after="0"/>
        <w:ind w:left="424" w:right="0" w:hanging="240"/>
        <w:jc w:val="left"/>
        <w:rPr>
          <w:sz w:val="12"/>
        </w:rPr>
      </w:pPr>
      <w:r>
        <w:rPr>
          <w:color w:val="231F20"/>
          <w:sz w:val="12"/>
        </w:rPr>
        <w:t>Excluding quarterly alignment adjustments.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101"/>
        <w:ind w:left="180"/>
      </w:pPr>
      <w:r>
        <w:rPr>
          <w:color w:val="0093C1"/>
        </w:rPr>
        <w:t>Chart 2.8</w:t>
      </w:r>
    </w:p>
    <w:p>
      <w:pPr>
        <w:pStyle w:val="Heading4"/>
        <w:ind w:left="180"/>
      </w:pPr>
      <w:r>
        <w:rPr>
          <w:color w:val="0093C1"/>
        </w:rPr>
        <w:t>Household consumption growth</w:t>
      </w:r>
    </w:p>
    <w:p>
      <w:pPr>
        <w:tabs>
          <w:tab w:pos="3564" w:val="right" w:leader="none"/>
        </w:tabs>
        <w:spacing w:line="508" w:lineRule="auto" w:before="175"/>
        <w:ind w:left="1700" w:right="154" w:firstLine="816"/>
        <w:jc w:val="left"/>
        <w:rPr>
          <w:sz w:val="12"/>
        </w:rPr>
      </w:pPr>
      <w:r>
        <w:rPr/>
        <w:pict>
          <v:group style="position:absolute;margin-left:42.333pt;margin-top:27.476563pt;width:163.25pt;height:140.4pt;mso-position-horizontal-relative:page;mso-position-vertical-relative:paragraph;z-index:-21233664" coordorigin="847,550" coordsize="3265,2808">
            <v:rect style="position:absolute;left:985;top:2222;width:65;height:18" filled="true" fillcolor="#b5e1e1" stroked="false">
              <v:fill type="solid"/>
            </v:rect>
            <v:rect style="position:absolute;left:985;top:2222;width:65;height:18" filled="false" stroked="true" strokeweight=".5pt" strokecolor="#231f20">
              <v:stroke dashstyle="solid"/>
            </v:rect>
            <v:rect style="position:absolute;left:1065;top:2042;width:80;height:183" filled="true" fillcolor="#b5e1e1" stroked="false">
              <v:fill type="solid"/>
            </v:rect>
            <v:rect style="position:absolute;left:1065;top:2042;width:80;height:183" filled="false" stroked="true" strokeweight=".5pt" strokecolor="#231f20">
              <v:stroke dashstyle="solid"/>
            </v:rect>
            <v:rect style="position:absolute;left:1160;top:2222;width:65;height:320" filled="true" fillcolor="#b5e1e1" stroked="false">
              <v:fill type="solid"/>
            </v:rect>
            <v:rect style="position:absolute;left:1160;top:2222;width:65;height:320" filled="false" stroked="true" strokeweight=".5pt" strokecolor="#231f20">
              <v:stroke dashstyle="solid"/>
            </v:rect>
            <v:rect style="position:absolute;left:1240;top:2222;width:65;height:140" filled="true" fillcolor="#b5e1e1" stroked="false">
              <v:fill type="solid"/>
            </v:rect>
            <v:rect style="position:absolute;left:1240;top:2222;width:65;height:140" filled="false" stroked="true" strokeweight=".5pt" strokecolor="#231f20">
              <v:stroke dashstyle="solid"/>
            </v:rect>
            <v:rect style="position:absolute;left:1317;top:2222;width:68;height:93" filled="true" fillcolor="#b5e1e1" stroked="false">
              <v:fill type="solid"/>
            </v:rect>
            <v:rect style="position:absolute;left:1317;top:2222;width:68;height:93" filled="false" stroked="true" strokeweight=".5pt" strokecolor="#231f20">
              <v:stroke dashstyle="solid"/>
            </v:rect>
            <v:rect style="position:absolute;left:1397;top:2222;width:83;height:488" filled="true" fillcolor="#b5e1e1" stroked="false">
              <v:fill type="solid"/>
            </v:rect>
            <v:rect style="position:absolute;left:1397;top:2222;width:83;height:488" filled="false" stroked="true" strokeweight=".5pt" strokecolor="#231f20">
              <v:stroke dashstyle="solid"/>
            </v:rect>
            <v:rect style="position:absolute;left:1492;top:2117;width:68;height:108" filled="true" fillcolor="#b5e1e1" stroked="false">
              <v:fill type="solid"/>
            </v:rect>
            <v:rect style="position:absolute;left:1492;top:2117;width:68;height:108" filled="false" stroked="true" strokeweight=".5pt" strokecolor="#231f20">
              <v:stroke dashstyle="solid"/>
            </v:rect>
            <v:rect style="position:absolute;left:1572;top:2222;width:68;height:185" filled="true" fillcolor="#b5e1e1" stroked="false">
              <v:fill type="solid"/>
            </v:rect>
            <v:rect style="position:absolute;left:1572;top:2222;width:68;height:185" filled="false" stroked="true" strokeweight=".5pt" strokecolor="#231f20">
              <v:stroke dashstyle="solid"/>
            </v:rect>
            <v:rect style="position:absolute;left:1656;top:2225;width:83;height:93" filled="true" fillcolor="#b5e1e1" stroked="false">
              <v:fill type="solid"/>
            </v:rect>
            <v:rect style="position:absolute;left:1656;top:2225;width:83;height:93" filled="false" stroked="true" strokeweight=".5pt" strokecolor="#231f20">
              <v:stroke dashstyle="solid"/>
            </v:rect>
            <v:rect style="position:absolute;left:1747;top:1754;width:68;height:470" filled="true" fillcolor="#b5e1e1" stroked="false">
              <v:fill type="solid"/>
            </v:rect>
            <v:rect style="position:absolute;left:1747;top:1754;width:68;height:470" filled="false" stroked="true" strokeweight=".5pt" strokecolor="#231f20">
              <v:stroke dashstyle="solid"/>
            </v:rect>
            <v:rect style="position:absolute;left:1827;top:2027;width:65;height:198" filled="true" fillcolor="#b5e1e1" stroked="false">
              <v:fill type="solid"/>
            </v:rect>
            <v:rect style="position:absolute;left:1827;top:2027;width:65;height:198" filled="false" stroked="true" strokeweight=".5pt" strokecolor="#231f20">
              <v:stroke dashstyle="solid"/>
            </v:rect>
            <v:rect style="position:absolute;left:1907;top:2117;width:65;height:108" filled="true" fillcolor="#b5e1e1" stroked="false">
              <v:fill type="solid"/>
            </v:rect>
            <v:rect style="position:absolute;left:1907;top:2117;width:65;height:108" filled="false" stroked="true" strokeweight=".5pt" strokecolor="#231f20">
              <v:stroke dashstyle="solid"/>
            </v:rect>
            <v:rect style="position:absolute;left:1987;top:1994;width:80;height:230" filled="true" fillcolor="#b5e1e1" stroked="false">
              <v:fill type="solid"/>
            </v:rect>
            <v:rect style="position:absolute;left:1987;top:1994;width:80;height:230" filled="false" stroked="true" strokeweight=".5pt" strokecolor="#231f20">
              <v:stroke dashstyle="solid"/>
            </v:rect>
            <v:rect style="position:absolute;left:2082;top:2117;width:65;height:108" filled="true" fillcolor="#b5e1e1" stroked="false">
              <v:fill type="solid"/>
            </v:rect>
            <v:rect style="position:absolute;left:2082;top:2117;width:65;height:108" filled="false" stroked="true" strokeweight=".5pt" strokecolor="#231f20">
              <v:stroke dashstyle="solid"/>
            </v:rect>
            <v:rect style="position:absolute;left:2162;top:1647;width:65;height:578" filled="true" fillcolor="#b5e1e1" stroked="false">
              <v:fill type="solid"/>
            </v:rect>
            <v:rect style="position:absolute;left:2162;top:1647;width:65;height:578" filled="false" stroked="true" strokeweight=".5pt" strokecolor="#231f20">
              <v:stroke dashstyle="solid"/>
            </v:rect>
            <v:rect style="position:absolute;left:2240;top:2027;width:68;height:198" filled="true" fillcolor="#b5e1e1" stroked="false">
              <v:fill type="solid"/>
            </v:rect>
            <v:rect style="position:absolute;left:2240;top:2027;width:68;height:198" filled="false" stroked="true" strokeweight=".5pt" strokecolor="#231f20">
              <v:stroke dashstyle="solid"/>
            </v:rect>
            <v:rect style="position:absolute;left:2320;top:1934;width:83;height:290" filled="true" fillcolor="#b5e1e1" stroked="false">
              <v:fill type="solid"/>
            </v:rect>
            <v:rect style="position:absolute;left:2320;top:1934;width:83;height:290" filled="false" stroked="true" strokeweight=".5pt" strokecolor="#231f20">
              <v:stroke dashstyle="solid"/>
            </v:rect>
            <v:rect style="position:absolute;left:2415;top:2102;width:68;height:123" filled="true" fillcolor="#b5e1e1" stroked="false">
              <v:fill type="solid"/>
            </v:rect>
            <v:rect style="position:absolute;left:2415;top:2102;width:68;height:123" filled="false" stroked="true" strokeweight=".5pt" strokecolor="#231f20">
              <v:stroke dashstyle="solid"/>
            </v:rect>
            <v:rect style="position:absolute;left:2495;top:1994;width:68;height:230" filled="true" fillcolor="#b5e1e1" stroked="false">
              <v:fill type="solid"/>
            </v:rect>
            <v:rect style="position:absolute;left:2495;top:1994;width:68;height:230" filled="false" stroked="true" strokeweight=".5pt" strokecolor="#231f20">
              <v:stroke dashstyle="solid"/>
            </v:rect>
            <v:rect style="position:absolute;left:2575;top:1949;width:65;height:275" filled="true" fillcolor="#b5e1e1" stroked="false">
              <v:fill type="solid"/>
            </v:rect>
            <v:rect style="position:absolute;left:2575;top:1949;width:65;height:275" filled="false" stroked="true" strokeweight=".5pt" strokecolor="#231f20">
              <v:stroke dashstyle="solid"/>
            </v:rect>
            <v:rect style="position:absolute;left:2670;top:2222;width:68;height:3" filled="true" fillcolor="#b5e1e1" stroked="false">
              <v:fill type="solid"/>
            </v:rect>
            <v:rect style="position:absolute;left:2670;top:2222;width:68;height:3" filled="false" stroked="true" strokeweight=".5pt" strokecolor="#231f20">
              <v:stroke dashstyle="solid"/>
            </v:rect>
            <v:rect style="position:absolute;left:2670;top:2222;width:68;height:3" filled="true" fillcolor="#b5e1e1" stroked="false">
              <v:fill type="solid"/>
            </v:rect>
            <v:rect style="position:absolute;left:2670;top:2222;width:68;height:3" filled="false" stroked="true" strokeweight=".5pt" strokecolor="#231f20">
              <v:stroke dashstyle="solid"/>
            </v:rect>
            <v:rect style="position:absolute;left:2750;top:2012;width:65;height:213" filled="true" fillcolor="#b5e1e1" stroked="false">
              <v:fill type="solid"/>
            </v:rect>
            <v:rect style="position:absolute;left:2750;top:2012;width:65;height:213" filled="false" stroked="true" strokeweight=".5pt" strokecolor="#231f20">
              <v:stroke dashstyle="solid"/>
            </v:rect>
            <v:rect style="position:absolute;left:2830;top:2162;width:65;height:63" filled="true" fillcolor="#b5e1e1" stroked="false">
              <v:fill type="solid"/>
            </v:rect>
            <v:rect style="position:absolute;left:2830;top:2162;width:65;height:63" filled="false" stroked="true" strokeweight=".5pt" strokecolor="#231f20">
              <v:stroke dashstyle="solid"/>
            </v:rect>
            <v:rect style="position:absolute;left:2910;top:1844;width:80;height:380" filled="true" fillcolor="#b5e1e1" stroked="false">
              <v:fill type="solid"/>
            </v:rect>
            <v:rect style="position:absolute;left:2910;top:1844;width:80;height:380" filled="false" stroked="true" strokeweight=".5pt" strokecolor="#231f20">
              <v:stroke dashstyle="solid"/>
            </v:rect>
            <v:rect style="position:absolute;left:3005;top:1617;width:65;height:608" filled="true" fillcolor="#b5e1e1" stroked="false">
              <v:fill type="solid"/>
            </v:rect>
            <v:rect style="position:absolute;left:3005;top:1617;width:65;height:608" filled="false" stroked="true" strokeweight=".5pt" strokecolor="#231f20">
              <v:stroke dashstyle="solid"/>
            </v:rect>
            <v:rect style="position:absolute;left:3085;top:1934;width:65;height:290" filled="true" fillcolor="#b5e1e1" stroked="false">
              <v:fill type="solid"/>
            </v:rect>
            <v:rect style="position:absolute;left:3085;top:1934;width:65;height:290" filled="false" stroked="true" strokeweight=".5pt" strokecolor="#231f20">
              <v:stroke dashstyle="solid"/>
            </v:rect>
            <v:rect style="position:absolute;left:3162;top:1994;width:68;height:230" filled="true" fillcolor="#b5e1e1" stroked="false">
              <v:fill type="solid"/>
            </v:rect>
            <v:rect style="position:absolute;left:3162;top:1994;width:68;height:230" filled="false" stroked="true" strokeweight=".5pt" strokecolor="#231f20">
              <v:stroke dashstyle="solid"/>
            </v:rect>
            <v:rect style="position:absolute;left:3242;top:1814;width:83;height:410" filled="true" fillcolor="#b5e1e1" stroked="false">
              <v:fill type="solid"/>
            </v:rect>
            <v:rect style="position:absolute;left:3242;top:1814;width:83;height:410" filled="false" stroked="true" strokeweight=".5pt" strokecolor="#231f20">
              <v:stroke dashstyle="solid"/>
            </v:rect>
            <v:rect style="position:absolute;left:3337;top:1814;width:68;height:410" filled="true" fillcolor="#b5e1e1" stroked="false">
              <v:fill type="solid"/>
            </v:rect>
            <v:rect style="position:absolute;left:3337;top:1814;width:68;height:410" filled="false" stroked="true" strokeweight=".5pt" strokecolor="#231f20">
              <v:stroke dashstyle="solid"/>
            </v:rect>
            <v:rect style="position:absolute;left:3417;top:1662;width:68;height:563" filled="true" fillcolor="#b5e1e1" stroked="false">
              <v:fill type="solid"/>
            </v:rect>
            <v:rect style="position:absolute;left:3417;top:1662;width:68;height:563" filled="false" stroked="true" strokeweight=".5pt" strokecolor="#231f20">
              <v:stroke dashstyle="solid"/>
            </v:rect>
            <v:rect style="position:absolute;left:3497;top:2027;width:65;height:198" filled="true" fillcolor="#b5e1e1" stroked="false">
              <v:fill type="solid"/>
            </v:rect>
            <v:rect style="position:absolute;left:3497;top:2027;width:65;height:198" filled="false" stroked="true" strokeweight=".5pt" strokecolor="#231f20">
              <v:stroke dashstyle="solid"/>
            </v:rect>
            <v:rect style="position:absolute;left:3577;top:1724;width:83;height:500" filled="true" fillcolor="#b5e1e1" stroked="false">
              <v:fill type="solid"/>
            </v:rect>
            <v:rect style="position:absolute;left:3577;top:1724;width:83;height:500" filled="false" stroked="true" strokeweight=".5pt" strokecolor="#231f20">
              <v:stroke dashstyle="solid"/>
            </v:rect>
            <v:rect style="position:absolute;left:3672;top:1979;width:65;height:245" filled="true" fillcolor="#b5e1e1" stroked="false">
              <v:fill type="solid"/>
            </v:rect>
            <v:rect style="position:absolute;left:3672;top:1979;width:65;height:245" filled="false" stroked="true" strokeweight=".5pt" strokecolor="#231f20">
              <v:stroke dashstyle="solid"/>
            </v:rect>
            <v:rect style="position:absolute;left:3752;top:2042;width:65;height:183" filled="true" fillcolor="#b5e1e1" stroked="false">
              <v:fill type="solid"/>
            </v:rect>
            <v:rect style="position:absolute;left:3752;top:2042;width:65;height:183" filled="false" stroked="true" strokeweight=".5pt" strokecolor="#231f20">
              <v:stroke dashstyle="solid"/>
            </v:rect>
            <v:rect style="position:absolute;left:3832;top:2192;width:65;height:33" filled="true" fillcolor="#b5e1e1" stroked="false">
              <v:fill type="solid"/>
            </v:rect>
            <v:rect style="position:absolute;left:3832;top:2192;width:65;height:33" filled="false" stroked="true" strokeweight=".5pt" strokecolor="#231f20">
              <v:stroke dashstyle="solid"/>
            </v:rect>
            <v:rect style="position:absolute;left:3910;top:2012;width:83;height:213" filled="true" fillcolor="#b5e1e1" stroked="false">
              <v:fill type="solid"/>
            </v:rect>
            <v:rect style="position:absolute;left:3910;top:2012;width:83;height:213" filled="false" stroked="true" strokeweight=".5pt" strokecolor="#231f20">
              <v:stroke dashstyle="solid"/>
            </v:rect>
            <v:shape style="position:absolute;left:1032;top:559;width:2925;height:2690" coordorigin="1033,560" coordsize="2925,2690" path="m1033,1770l1113,1725,1193,2012,1270,2525,1368,2600,1445,3250,1525,2842,1620,2872,1700,2887,1780,1935,1860,1845,1955,1557,2035,1225,2113,1602,2193,1210,2288,1135,2368,1060,2448,1030,2528,1392,2623,1315,2703,1602,2780,1527,2860,1695,2955,1602,3035,982,3115,892,3210,727,3290,697,3370,907,3450,635,3545,650,3623,560,3703,727,3783,1120,3878,1285,3958,1572e" filled="false" stroked="true" strokeweight="1pt" strokecolor="#0066a5">
              <v:path arrowok="t"/>
              <v:stroke dashstyle="solid"/>
            </v:shape>
            <v:shape style="position:absolute;left:997;top:1254;width:3005;height:974" coordorigin="998,1255" coordsize="3005,974" path="m1015,1255l3960,1257m4003,2226l998,2228e" filled="false" stroked="true" strokeweight=".5pt" strokecolor="#231f20">
              <v:path arrowok="t"/>
              <v:stroke dashstyle="solid"/>
            </v:shape>
            <v:shape style="position:absolute;left:846;top:710;width:3265;height:2648" coordorigin="847,710" coordsize="3265,2648" path="m853,710l920,710m4038,710l4104,710m860,1071l927,1071m4045,1071l4111,1071m851,1471l918,1471m4035,1471l4102,1471m853,1844l920,1844m4038,1844l4104,1844m851,2223l918,2223m4035,2223l4102,2223m847,2597l913,2597m4031,2597l4098,2597m851,2965l918,2965m4035,2965l4102,2965m858,3344l925,3344m4042,3344l4109,3344m980,3351l3980,3351m980,3357l980,3257m1060,3304l1060,3350m1147,3305l1147,3352m1220,3297l1220,3344m1393,3297l1393,3344m1317,3355l1317,3255m1480,3301l1480,3347m1567,3302l1567,3349m1648,3355l1648,3255m1734,3297l1734,3344m1808,3306l1808,3353m1898,3302l1898,3349m1989,3355l1989,3255m2068,3300l2068,3347m2148,3304l2148,3350m2234,3308l2234,3355m2335,3355l2335,3255m2401,3300l2401,3347m2483,3298l2483,3345m2567,3300l2567,3347m2656,3348l2656,3248m2734,3297l2734,3344m2814,3307l2814,3354m2900,3300l2900,3347m2988,3348l2988,3248m3074,3303l3074,3350m3160,3293l3160,3340m3237,3298l3237,3345m3327,3347l3327,3247m3405,3307l3405,3354m3491,3297l3491,3344m3578,3299l3578,3345m3659,3352l3659,3252m3740,3306l3740,3353m3833,3307l3833,3354m3913,3298l3913,3344e" filled="false" stroked="true" strokeweight=".5pt" strokecolor="#231f20">
              <v:path arrowok="t"/>
              <v:stroke dashstyle="solid"/>
            </v:shape>
            <w10:wrap type="none"/>
          </v:group>
        </w:pict>
      </w:r>
      <w:r>
        <w:rPr/>
        <w:pict>
          <v:line style="position:absolute;mso-position-horizontal-relative:page;mso-position-vertical-relative:paragraph;z-index:15901184" from="42.792pt,16.518562pt" to="46.125pt,16.518562pt" stroked="true" strokeweight=".5pt" strokecolor="#231f20">
            <v:stroke dashstyle="solid"/>
            <w10:wrap type="none"/>
          </v:line>
        </w:pict>
      </w:r>
      <w:r>
        <w:rPr/>
        <w:pict>
          <v:line style="position:absolute;mso-position-horizontal-relative:page;mso-position-vertical-relative:paragraph;z-index:-21232640" from="202pt,16.518562pt" to="205.333pt,16.518562pt" stroked="true" strokeweight=".5pt" strokecolor="#231f20">
            <v:stroke dashstyle="solid"/>
            <w10:wrap type="none"/>
          </v:line>
        </w:pict>
      </w:r>
      <w:r>
        <w:rPr>
          <w:color w:val="231F20"/>
          <w:sz w:val="12"/>
        </w:rPr>
        <w:t>Percentage changes </w:t>
      </w:r>
      <w:r>
        <w:rPr>
          <w:color w:val="231F20"/>
          <w:spacing w:val="-17"/>
          <w:position w:val="-7"/>
          <w:sz w:val="12"/>
        </w:rPr>
        <w:t>5 </w:t>
      </w:r>
      <w:r>
        <w:rPr>
          <w:color w:val="231F20"/>
          <w:sz w:val="12"/>
        </w:rPr>
        <w:t>Year on previous year</w:t>
        <w:tab/>
      </w:r>
      <w:r>
        <w:rPr>
          <w:color w:val="231F20"/>
          <w:position w:val="-7"/>
          <w:sz w:val="12"/>
        </w:rPr>
        <w:t>4</w:t>
      </w:r>
    </w:p>
    <w:p>
      <w:pPr>
        <w:spacing w:before="207"/>
        <w:ind w:left="180" w:right="0" w:firstLine="0"/>
        <w:jc w:val="left"/>
        <w:rPr>
          <w:i/>
          <w:sz w:val="24"/>
        </w:rPr>
      </w:pPr>
      <w:r>
        <w:rPr/>
        <w:br w:type="column"/>
      </w:r>
      <w:r>
        <w:rPr>
          <w:i/>
          <w:color w:val="009483"/>
          <w:sz w:val="24"/>
        </w:rPr>
        <w:t>Consumption</w:t>
      </w:r>
    </w:p>
    <w:p>
      <w:pPr>
        <w:spacing w:line="242" w:lineRule="auto" w:before="184"/>
        <w:ind w:left="180" w:right="181" w:firstLine="0"/>
        <w:jc w:val="left"/>
        <w:rPr>
          <w:sz w:val="24"/>
        </w:rPr>
      </w:pPr>
      <w:r>
        <w:rPr>
          <w:color w:val="231F20"/>
          <w:sz w:val="24"/>
        </w:rPr>
        <w:t>Household consumption grew by 0.6% in the fourth quarter, up from 0.1% in Q3 (see Chart 2.8). Although the Q4 outturn was a little stronger than the MPC’s central projection at the time of the February </w:t>
      </w:r>
      <w:r>
        <w:rPr>
          <w:i/>
          <w:color w:val="231F20"/>
          <w:sz w:val="24"/>
        </w:rPr>
        <w:t>Report, </w:t>
      </w:r>
      <w:r>
        <w:rPr>
          <w:color w:val="231F20"/>
          <w:sz w:val="24"/>
        </w:rPr>
        <w:t>the increase in spending was not evenly based. In line with the fall in retail sales volumes in Q4, spending on retail goods (which account for about 40% of total consumption) actually declined. The faster growth of total consumption reflected continued strong spending on most categories of services, combined with a rebound in expenditure on vehicles and energy products.</w:t>
      </w:r>
    </w:p>
    <w:p>
      <w:pPr>
        <w:pStyle w:val="BodyText"/>
        <w:spacing w:before="6"/>
        <w:rPr>
          <w:sz w:val="25"/>
        </w:rPr>
      </w:pPr>
    </w:p>
    <w:p>
      <w:pPr>
        <w:spacing w:line="242" w:lineRule="auto" w:before="1"/>
        <w:ind w:left="180" w:right="178" w:firstLine="0"/>
        <w:jc w:val="left"/>
        <w:rPr>
          <w:sz w:val="24"/>
        </w:rPr>
      </w:pPr>
      <w:r>
        <w:rPr>
          <w:color w:val="231F20"/>
          <w:sz w:val="24"/>
        </w:rPr>
        <w:t>Evidence from retail sales and consumer confidence surveys suggests that household consumption may </w:t>
      </w:r>
      <w:r>
        <w:rPr>
          <w:color w:val="231F20"/>
          <w:spacing w:val="-3"/>
          <w:sz w:val="24"/>
        </w:rPr>
        <w:t>have </w:t>
      </w:r>
      <w:r>
        <w:rPr>
          <w:color w:val="231F20"/>
          <w:sz w:val="24"/>
        </w:rPr>
        <w:t>grown at a similar rate in 1999 Q1. Following the decline in Q4, the volume of retail sales increased by 1.1% in the first quarter. Recent CBI Distributive </w:t>
      </w:r>
      <w:r>
        <w:rPr>
          <w:color w:val="231F20"/>
          <w:spacing w:val="-5"/>
          <w:sz w:val="24"/>
        </w:rPr>
        <w:t>Trades </w:t>
      </w:r>
      <w:r>
        <w:rPr>
          <w:color w:val="231F20"/>
          <w:sz w:val="24"/>
        </w:rPr>
        <w:t>surveys </w:t>
      </w:r>
      <w:r>
        <w:rPr>
          <w:color w:val="231F20"/>
          <w:spacing w:val="-3"/>
          <w:sz w:val="24"/>
        </w:rPr>
        <w:t>have </w:t>
      </w:r>
      <w:r>
        <w:rPr>
          <w:color w:val="231F20"/>
          <w:sz w:val="24"/>
        </w:rPr>
        <w:t>confirmed this picture of stronger retail spending and </w:t>
      </w:r>
      <w:r>
        <w:rPr>
          <w:color w:val="231F20"/>
          <w:spacing w:val="-3"/>
          <w:sz w:val="24"/>
        </w:rPr>
        <w:t>have </w:t>
      </w:r>
      <w:r>
        <w:rPr>
          <w:color w:val="231F20"/>
          <w:sz w:val="24"/>
        </w:rPr>
        <w:t>indicated an expectation among retailers that this sales growth would be maintained in Q2. Similarly, survey measures of consumer</w:t>
      </w:r>
      <w:r>
        <w:rPr>
          <w:color w:val="231F20"/>
          <w:spacing w:val="-26"/>
          <w:sz w:val="24"/>
        </w:rPr>
        <w:t> </w:t>
      </w:r>
      <w:r>
        <w:rPr>
          <w:color w:val="231F20"/>
          <w:sz w:val="24"/>
        </w:rPr>
        <w:t>confidence</w:t>
      </w:r>
    </w:p>
    <w:p>
      <w:pPr>
        <w:spacing w:after="0" w:line="242" w:lineRule="auto"/>
        <w:jc w:val="left"/>
        <w:rPr>
          <w:sz w:val="24"/>
        </w:rPr>
        <w:sectPr>
          <w:type w:val="continuous"/>
          <w:pgSz w:w="11900" w:h="16840"/>
          <w:pgMar w:top="1220" w:bottom="280" w:left="640" w:right="640"/>
          <w:cols w:num="2" w:equalWidth="0">
            <w:col w:w="3720" w:space="1080"/>
            <w:col w:w="5820"/>
          </w:cols>
        </w:sectPr>
      </w:pPr>
    </w:p>
    <w:p>
      <w:pPr>
        <w:spacing w:line="242" w:lineRule="auto" w:before="30"/>
        <w:ind w:left="375" w:right="-19" w:firstLine="0"/>
        <w:jc w:val="left"/>
        <w:rPr>
          <w:sz w:val="12"/>
        </w:rPr>
      </w:pPr>
      <w:r>
        <w:rPr>
          <w:color w:val="231F20"/>
          <w:sz w:val="12"/>
        </w:rPr>
        <w:t>Average annual growth rate (1955–98)</w:t>
      </w:r>
    </w:p>
    <w:p>
      <w:pPr>
        <w:spacing w:before="78"/>
        <w:ind w:left="0" w:right="38" w:firstLine="0"/>
        <w:jc w:val="right"/>
        <w:rPr>
          <w:sz w:val="12"/>
        </w:rPr>
      </w:pPr>
      <w:r>
        <w:rPr/>
        <w:br w:type="column"/>
      </w:r>
      <w:r>
        <w:rPr>
          <w:color w:val="231F20"/>
          <w:sz w:val="12"/>
        </w:rPr>
        <w:t>3</w:t>
      </w:r>
    </w:p>
    <w:p>
      <w:pPr>
        <w:pStyle w:val="BodyText"/>
        <w:rPr>
          <w:sz w:val="12"/>
        </w:rPr>
      </w:pPr>
    </w:p>
    <w:p>
      <w:pPr>
        <w:spacing w:before="101"/>
        <w:ind w:left="0" w:right="38" w:firstLine="0"/>
        <w:jc w:val="right"/>
        <w:rPr>
          <w:sz w:val="12"/>
        </w:rPr>
      </w:pPr>
      <w:r>
        <w:rPr>
          <w:color w:val="231F20"/>
          <w:sz w:val="12"/>
        </w:rPr>
        <w:t>2</w:t>
      </w:r>
    </w:p>
    <w:p>
      <w:pPr>
        <w:pStyle w:val="BodyText"/>
        <w:rPr>
          <w:sz w:val="12"/>
        </w:rPr>
      </w:pPr>
    </w:p>
    <w:p>
      <w:pPr>
        <w:spacing w:before="102"/>
        <w:ind w:left="0" w:right="38" w:firstLine="0"/>
        <w:jc w:val="right"/>
        <w:rPr>
          <w:sz w:val="12"/>
        </w:rPr>
      </w:pPr>
      <w:r>
        <w:rPr>
          <w:color w:val="231F20"/>
          <w:sz w:val="12"/>
        </w:rPr>
        <w:t>1</w:t>
      </w:r>
    </w:p>
    <w:p>
      <w:pPr>
        <w:spacing w:before="54"/>
        <w:ind w:left="1910" w:right="0" w:firstLine="0"/>
        <w:jc w:val="left"/>
        <w:rPr>
          <w:sz w:val="16"/>
        </w:rPr>
      </w:pPr>
      <w:r>
        <w:rPr>
          <w:color w:val="231F20"/>
          <w:sz w:val="16"/>
        </w:rPr>
        <w:t>+</w:t>
      </w:r>
    </w:p>
    <w:p>
      <w:pPr>
        <w:tabs>
          <w:tab w:pos="1962" w:val="left" w:leader="none"/>
        </w:tabs>
        <w:spacing w:before="6"/>
        <w:ind w:left="91" w:right="0" w:firstLine="0"/>
        <w:jc w:val="left"/>
        <w:rPr>
          <w:sz w:val="12"/>
        </w:rPr>
      </w:pPr>
      <w:r>
        <w:rPr/>
        <w:pict>
          <v:shape style="position:absolute;margin-left:204.623215pt;margin-top:5.419087pt;width:4.05pt;height:8.9pt;mso-position-horizontal-relative:page;mso-position-vertical-relative:paragraph;z-index:-21232128" type="#_x0000_t202" filled="false" stroked="false">
            <v:textbox inset="0,0,0,0">
              <w:txbxContent>
                <w:p>
                  <w:pPr>
                    <w:spacing w:line="177" w:lineRule="exact" w:before="0"/>
                    <w:ind w:left="0" w:right="0" w:firstLine="0"/>
                    <w:jc w:val="left"/>
                    <w:rPr>
                      <w:sz w:val="16"/>
                    </w:rPr>
                  </w:pPr>
                  <w:r>
                    <w:rPr>
                      <w:color w:val="231F20"/>
                      <w:sz w:val="16"/>
                    </w:rPr>
                    <w:t>_</w:t>
                  </w:r>
                </w:p>
              </w:txbxContent>
            </v:textbox>
            <w10:wrap type="none"/>
          </v:shape>
        </w:pict>
      </w:r>
      <w:r>
        <w:rPr>
          <w:color w:val="231F20"/>
          <w:sz w:val="12"/>
        </w:rPr>
        <w:t>Quarter on previous quarter</w:t>
        <w:tab/>
      </w:r>
      <w:r>
        <w:rPr>
          <w:color w:val="231F20"/>
          <w:position w:val="7"/>
          <w:sz w:val="12"/>
        </w:rPr>
        <w:t>0</w:t>
      </w:r>
    </w:p>
    <w:p>
      <w:pPr>
        <w:spacing w:before="165"/>
        <w:ind w:left="0" w:right="38" w:firstLine="0"/>
        <w:jc w:val="right"/>
        <w:rPr>
          <w:sz w:val="12"/>
        </w:rPr>
      </w:pPr>
      <w:r>
        <w:rPr>
          <w:color w:val="231F20"/>
          <w:sz w:val="12"/>
        </w:rPr>
        <w:t>1</w:t>
      </w:r>
    </w:p>
    <w:p>
      <w:pPr>
        <w:pStyle w:val="BodyText"/>
        <w:rPr>
          <w:sz w:val="12"/>
        </w:rPr>
      </w:pPr>
    </w:p>
    <w:p>
      <w:pPr>
        <w:spacing w:before="86"/>
        <w:ind w:left="0" w:right="38" w:firstLine="0"/>
        <w:jc w:val="right"/>
        <w:rPr>
          <w:sz w:val="12"/>
        </w:rPr>
      </w:pPr>
      <w:r>
        <w:rPr>
          <w:color w:val="231F20"/>
          <w:sz w:val="12"/>
        </w:rPr>
        <w:t>2</w:t>
      </w:r>
    </w:p>
    <w:p>
      <w:pPr>
        <w:pStyle w:val="BodyText"/>
        <w:rPr>
          <w:sz w:val="12"/>
        </w:rPr>
      </w:pPr>
    </w:p>
    <w:p>
      <w:pPr>
        <w:spacing w:line="110" w:lineRule="exact" w:before="104"/>
        <w:ind w:left="1962" w:right="0" w:firstLine="0"/>
        <w:jc w:val="left"/>
        <w:rPr>
          <w:sz w:val="12"/>
        </w:rPr>
      </w:pPr>
      <w:r>
        <w:rPr>
          <w:color w:val="231F20"/>
          <w:sz w:val="12"/>
        </w:rPr>
        <w:t>3</w:t>
      </w:r>
    </w:p>
    <w:p>
      <w:pPr>
        <w:spacing w:line="242" w:lineRule="auto" w:before="11"/>
        <w:ind w:left="375" w:right="101" w:firstLine="0"/>
        <w:jc w:val="left"/>
        <w:rPr>
          <w:sz w:val="24"/>
        </w:rPr>
      </w:pPr>
      <w:r>
        <w:rPr/>
        <w:br w:type="column"/>
      </w:r>
      <w:r>
        <w:rPr>
          <w:color w:val="231F20"/>
          <w:sz w:val="24"/>
        </w:rPr>
        <w:t>have improved considerably since their low points in October (see Chart 2.9). Consumer fears about higher unemployment have also partly receded and housing market activity, another indicator of consumer sentiment, has picked up since the end of last year.</w:t>
      </w:r>
    </w:p>
    <w:p>
      <w:pPr>
        <w:pStyle w:val="BodyText"/>
        <w:spacing w:before="9"/>
        <w:rPr>
          <w:sz w:val="22"/>
        </w:rPr>
      </w:pPr>
    </w:p>
    <w:p>
      <w:pPr>
        <w:spacing w:line="280" w:lineRule="atLeast" w:before="0"/>
        <w:ind w:left="375" w:right="101" w:firstLine="0"/>
        <w:jc w:val="left"/>
        <w:rPr>
          <w:sz w:val="24"/>
        </w:rPr>
      </w:pPr>
      <w:r>
        <w:rPr>
          <w:color w:val="231F20"/>
          <w:sz w:val="24"/>
        </w:rPr>
        <w:t>The previous </w:t>
      </w:r>
      <w:r>
        <w:rPr>
          <w:i/>
          <w:color w:val="231F20"/>
          <w:sz w:val="24"/>
        </w:rPr>
        <w:t>Inflation Report</w:t>
      </w:r>
      <w:r>
        <w:rPr>
          <w:color w:val="231F20"/>
          <w:sz w:val="24"/>
        </w:rPr>
        <w:t>, and minutes of recent MPC meetings, have noted that the slowdown in consumption growth during 1998 was sharper than the</w:t>
      </w:r>
    </w:p>
    <w:p>
      <w:pPr>
        <w:spacing w:after="0" w:line="280" w:lineRule="atLeast"/>
        <w:jc w:val="left"/>
        <w:rPr>
          <w:sz w:val="24"/>
        </w:rPr>
        <w:sectPr>
          <w:type w:val="continuous"/>
          <w:pgSz w:w="11900" w:h="16840"/>
          <w:pgMar w:top="1220" w:bottom="280" w:left="640" w:right="640"/>
          <w:cols w:num="3" w:equalWidth="0">
            <w:col w:w="1503" w:space="40"/>
            <w:col w:w="2063" w:space="998"/>
            <w:col w:w="6016"/>
          </w:cols>
        </w:sectPr>
      </w:pPr>
    </w:p>
    <w:p>
      <w:pPr>
        <w:tabs>
          <w:tab w:pos="1107" w:val="left" w:leader="none"/>
          <w:tab w:pos="1442" w:val="left" w:leader="none"/>
          <w:tab w:pos="1774" w:val="left" w:leader="none"/>
          <w:tab w:pos="2110" w:val="left" w:leader="none"/>
          <w:tab w:pos="2445" w:val="left" w:leader="none"/>
          <w:tab w:pos="2775" w:val="left" w:leader="none"/>
          <w:tab w:pos="3112" w:val="left" w:leader="none"/>
        </w:tabs>
        <w:spacing w:line="67" w:lineRule="exact" w:before="0"/>
        <w:ind w:left="357" w:right="0" w:firstLine="0"/>
        <w:jc w:val="left"/>
        <w:rPr>
          <w:sz w:val="12"/>
        </w:rPr>
      </w:pPr>
      <w:r>
        <w:rPr>
          <w:color w:val="231F20"/>
          <w:sz w:val="12"/>
        </w:rPr>
        <w:t>1990    </w:t>
      </w:r>
      <w:r>
        <w:rPr>
          <w:color w:val="231F20"/>
          <w:spacing w:val="27"/>
          <w:sz w:val="12"/>
        </w:rPr>
        <w:t> </w:t>
      </w:r>
      <w:r>
        <w:rPr>
          <w:color w:val="231F20"/>
          <w:sz w:val="12"/>
        </w:rPr>
        <w:t>91</w:t>
        <w:tab/>
        <w:t>92</w:t>
        <w:tab/>
        <w:t>93</w:t>
        <w:tab/>
        <w:t>94</w:t>
        <w:tab/>
        <w:t>95</w:t>
        <w:tab/>
        <w:t>96</w:t>
        <w:tab/>
        <w:t>97</w:t>
        <w:tab/>
        <w:t>98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2"/>
        </w:rPr>
      </w:pPr>
    </w:p>
    <w:p>
      <w:pPr>
        <w:pStyle w:val="Heading4"/>
        <w:spacing w:before="0"/>
      </w:pPr>
      <w:r>
        <w:rPr>
          <w:color w:val="0093C1"/>
        </w:rPr>
        <w:t>Chart 2.9</w:t>
      </w:r>
    </w:p>
    <w:p>
      <w:pPr>
        <w:pStyle w:val="Heading4"/>
      </w:pPr>
      <w:r>
        <w:rPr>
          <w:color w:val="0093C1"/>
        </w:rPr>
        <w:t>Consumer confidence</w:t>
      </w:r>
    </w:p>
    <w:p>
      <w:pPr>
        <w:spacing w:before="156"/>
        <w:ind w:left="2212" w:right="0" w:firstLine="0"/>
        <w:jc w:val="left"/>
        <w:rPr>
          <w:sz w:val="12"/>
        </w:rPr>
      </w:pPr>
      <w:r>
        <w:rPr/>
        <w:pict>
          <v:group style="position:absolute;margin-left:41.792pt;margin-top:15.151555pt;width:163.9pt;height:150.6pt;mso-position-horizontal-relative:page;mso-position-vertical-relative:paragraph;z-index:-21234688" coordorigin="836,303" coordsize="3278,3012">
            <v:shape style="position:absolute;left:1000;top:1074;width:2970;height:715" coordorigin="1000,1075" coordsize="2970,715" path="m1000,1607l1080,1790,1145,1740,1225,1725,1305,1657,1370,1690,1450,1590,1530,1540,1610,1457,1675,1525,1755,1390,1835,1575,1915,1375,1995,1340,2060,1407,2140,1457,2205,1190,2285,1125,2365,1140,2445,1075,2525,1125,2590,1157,2670,1340,2750,1425,2830,1275,2910,1290,2975,1375,3055,1275,3120,1175,3200,1340,3280,1475,3360,1640,3440,1525,3505,1740,3585,1657,3665,1690,3745,1507,3810,1457,3890,1375,3970,1375e" filled="false" stroked="true" strokeweight="1pt" strokecolor="#008256">
              <v:path arrowok="t"/>
              <v:stroke dashstyle="solid"/>
            </v:shape>
            <v:shape style="position:absolute;left:1000;top:374;width:2890;height:2783" coordorigin="1000,375" coordsize="2890,2783" path="m1000,1840l1080,2107,1145,2075,1225,1657,1305,1807,1370,1540,1450,1775,1530,1357,1610,1475,1675,1475,1755,1425,1835,1775,1915,1425,1995,1357,2060,1390,2140,940,2205,375,2285,725,2365,1057,2445,1507,2525,790,2590,1175,2670,1575,2750,1575,2830,1475,2910,1357,2975,1275,3055,1390,3120,1390,3200,2140,3280,2225,3360,2440,3440,2822,3505,3157,3585,2590,3665,2557,3745,2290,3810,1990,3890,1657e" filled="false" stroked="true" strokeweight="1pt" strokecolor="#faab54">
              <v:path arrowok="t"/>
              <v:stroke dashstyle="solid"/>
            </v:shape>
            <v:line style="position:absolute" from="983,1425" to="3983,1427" stroked="true" strokeweight=".5pt" strokecolor="#000000">
              <v:stroke dashstyle="solid"/>
            </v:line>
            <v:shape style="position:absolute;left:835;top:308;width:3278;height:2628" coordorigin="836,308" coordsize="3278,2628" path="m4020,308l4087,308m4024,682l4090,682m846,1056l913,1056m4030,1056l4097,1056m862,1428l929,1428m4047,1428l4113,1428m842,1808l909,1808m4027,1808l4093,1808m836,2188l902,2188m4020,2188l4087,2188m852,2561l918,2561m4036,2561l4102,2561m846,2936l913,2936m4030,2936l4097,2936e" filled="false" stroked="true" strokeweight=".5pt" strokecolor="#000000">
              <v:path arrowok="t"/>
              <v:stroke dashstyle="solid"/>
            </v:shape>
            <v:line style="position:absolute" from="3983,3307" to="1000,3310" stroked="true" strokeweight=".5pt" strokecolor="#000000">
              <v:stroke dashstyle="solid"/>
            </v:line>
            <v:line style="position:absolute" from="4024,3308" to="4090,3308" stroked="true" strokeweight=".5pt" strokecolor="#000000">
              <v:stroke dashstyle="solid"/>
            </v:line>
            <v:shape style="position:absolute;left:991;top:3203;width:2987;height:108" coordorigin="992,3203" coordsize="2987,108" path="m1218,3306l1218,3239m992,3308l992,3206m1678,3306l1678,3239m1452,3308l1452,3241m2138,3306l2138,3239m1912,3308l1912,3206m2585,3306l2585,3239m2358,3308l2358,3241m3052,3303l3052,3237m2825,3306l2825,3203m3498,3308l3498,3241m3272,3311l3272,3244m3978,3306l3978,3239m3752,3308l3752,3206e" filled="false" stroked="true" strokeweight=".5pt" strokecolor="#000000">
              <v:path arrowok="t"/>
              <v:stroke dashstyle="solid"/>
            </v:shape>
            <w10:wrap type="none"/>
          </v:group>
        </w:pict>
      </w:r>
      <w:r>
        <w:rPr/>
        <w:pict>
          <v:line style="position:absolute;mso-position-horizontal-relative:page;mso-position-vertical-relative:paragraph;z-index:15900160" from="41.792pt,15.401555pt" to="45.125pt,15.401555pt" stroked="true" strokeweight=".5pt" strokecolor="#000000">
            <v:stroke dashstyle="solid"/>
            <w10:wrap type="none"/>
          </v:line>
        </w:pict>
      </w:r>
      <w:r>
        <w:rPr>
          <w:sz w:val="12"/>
        </w:rPr>
        <w:t>Percentage point balances </w:t>
      </w:r>
      <w:r>
        <w:rPr>
          <w:position w:val="-7"/>
          <w:sz w:val="12"/>
        </w:rPr>
        <w:t>30</w:t>
      </w:r>
    </w:p>
    <w:p>
      <w:pPr>
        <w:spacing w:line="242" w:lineRule="auto" w:before="4"/>
        <w:ind w:left="170" w:right="174" w:firstLine="0"/>
        <w:jc w:val="left"/>
        <w:rPr>
          <w:sz w:val="24"/>
        </w:rPr>
      </w:pPr>
      <w:r>
        <w:rPr/>
        <w:br w:type="column"/>
      </w:r>
      <w:r>
        <w:rPr>
          <w:color w:val="231F20"/>
          <w:sz w:val="24"/>
        </w:rPr>
        <w:t>MPC had expected, and have discussed a number of possible reasons for this. One of these was that past fiscal tightening may have been greater than previously thought. Unfortunately, this has been difficult to assess, since a number of changes came into effect at around the same time. These included the July 1997 Budget measures, a new system of self-assessment for income</w:t>
      </w:r>
    </w:p>
    <w:p>
      <w:pPr>
        <w:spacing w:after="0" w:line="242" w:lineRule="auto"/>
        <w:jc w:val="left"/>
        <w:rPr>
          <w:sz w:val="24"/>
        </w:rPr>
        <w:sectPr>
          <w:type w:val="continuous"/>
          <w:pgSz w:w="11900" w:h="16840"/>
          <w:pgMar w:top="1220" w:bottom="280" w:left="640" w:right="640"/>
          <w:cols w:num="2" w:equalWidth="0">
            <w:col w:w="3675" w:space="1135"/>
            <w:col w:w="5810"/>
          </w:cols>
        </w:sectPr>
      </w:pPr>
    </w:p>
    <w:p>
      <w:pPr>
        <w:spacing w:before="16"/>
        <w:ind w:left="0" w:right="0" w:firstLine="0"/>
        <w:jc w:val="right"/>
        <w:rPr>
          <w:sz w:val="12"/>
        </w:rPr>
      </w:pPr>
      <w:r>
        <w:rPr>
          <w:sz w:val="12"/>
        </w:rPr>
        <w:t>MORI</w:t>
      </w:r>
    </w:p>
    <w:p>
      <w:pPr>
        <w:pStyle w:val="BodyText"/>
        <w:spacing w:before="1"/>
        <w:rPr>
          <w:sz w:val="7"/>
        </w:rPr>
      </w:pPr>
    </w:p>
    <w:p>
      <w:pPr>
        <w:pStyle w:val="BodyText"/>
        <w:spacing w:line="20" w:lineRule="exact"/>
        <w:ind w:left="194"/>
        <w:rPr>
          <w:sz w:val="2"/>
        </w:rPr>
      </w:pPr>
      <w:r>
        <w:rPr>
          <w:sz w:val="2"/>
        </w:rPr>
        <w:pict>
          <v:group style="width:3.35pt;height:.5pt;mso-position-horizontal-relative:char;mso-position-vertical-relative:line" coordorigin="0,0" coordsize="67,10">
            <v:line style="position:absolute" from="0,5" to="67,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r>
        <w:rPr/>
        <w:pict>
          <v:shape style="position:absolute;margin-left:41.979pt;margin-top:15.579543pt;width:3.35pt;height:.1pt;mso-position-horizontal-relative:page;mso-position-vertical-relative:paragraph;z-index:-15558144;mso-wrap-distance-left:0;mso-wrap-distance-right:0" coordorigin="840,312" coordsize="67,0" path="m840,312l906,312e" filled="false" stroked="true" strokeweight=".5pt" strokecolor="#000000">
            <v:path arrowok="t"/>
            <v:stroke dashstyle="solid"/>
            <w10:wrap type="topAndBottom"/>
          </v:shape>
        </w:pict>
      </w:r>
    </w:p>
    <w:p>
      <w:pPr>
        <w:pStyle w:val="BodyText"/>
        <w:spacing w:before="5"/>
        <w:rPr>
          <w:sz w:val="13"/>
        </w:rPr>
      </w:pPr>
      <w:r>
        <w:rPr/>
        <w:br w:type="column"/>
      </w:r>
      <w:r>
        <w:rPr>
          <w:sz w:val="13"/>
        </w:rPr>
      </w:r>
    </w:p>
    <w:p>
      <w:pPr>
        <w:spacing w:before="1"/>
        <w:ind w:left="0" w:right="38" w:firstLine="0"/>
        <w:jc w:val="right"/>
        <w:rPr>
          <w:sz w:val="12"/>
        </w:rPr>
      </w:pPr>
      <w:r>
        <w:rPr>
          <w:sz w:val="12"/>
        </w:rPr>
        <w:t>20</w:t>
      </w:r>
    </w:p>
    <w:p>
      <w:pPr>
        <w:tabs>
          <w:tab w:pos="2091" w:val="right" w:leader="none"/>
        </w:tabs>
        <w:spacing w:before="244"/>
        <w:ind w:left="994" w:right="0" w:firstLine="0"/>
        <w:jc w:val="left"/>
        <w:rPr>
          <w:sz w:val="12"/>
        </w:rPr>
      </w:pPr>
      <w:r>
        <w:rPr>
          <w:color w:val="231F20"/>
          <w:sz w:val="12"/>
        </w:rPr>
        <w:t>GfK headline</w:t>
        <w:tab/>
      </w:r>
      <w:r>
        <w:rPr>
          <w:position w:val="1"/>
          <w:sz w:val="12"/>
        </w:rPr>
        <w:t>10</w:t>
      </w:r>
    </w:p>
    <w:p>
      <w:pPr>
        <w:tabs>
          <w:tab w:pos="1897" w:val="left" w:leader="none"/>
        </w:tabs>
        <w:spacing w:line="180" w:lineRule="auto" w:before="19"/>
        <w:ind w:left="1024" w:right="0" w:firstLine="0"/>
        <w:jc w:val="left"/>
        <w:rPr>
          <w:sz w:val="16"/>
        </w:rPr>
      </w:pPr>
      <w:r>
        <w:rPr>
          <w:color w:val="231F20"/>
          <w:sz w:val="12"/>
        </w:rPr>
        <w:t>measure</w:t>
        <w:tab/>
      </w:r>
      <w:r>
        <w:rPr>
          <w:position w:val="-7"/>
          <w:sz w:val="16"/>
        </w:rPr>
        <w:t>+</w:t>
      </w:r>
    </w:p>
    <w:p>
      <w:pPr>
        <w:spacing w:line="114" w:lineRule="exact" w:before="20"/>
        <w:ind w:left="0" w:right="38" w:firstLine="0"/>
        <w:jc w:val="right"/>
        <w:rPr>
          <w:sz w:val="12"/>
        </w:rPr>
      </w:pPr>
      <w:r>
        <w:rPr>
          <w:sz w:val="12"/>
        </w:rPr>
        <w:t>0</w:t>
      </w:r>
    </w:p>
    <w:p>
      <w:pPr>
        <w:spacing w:line="160" w:lineRule="exact" w:before="0"/>
        <w:ind w:left="0" w:right="152" w:firstLine="0"/>
        <w:jc w:val="right"/>
        <w:rPr>
          <w:sz w:val="16"/>
        </w:rPr>
      </w:pPr>
      <w:r>
        <w:rPr>
          <w:sz w:val="16"/>
        </w:rPr>
        <w:t>_</w:t>
      </w:r>
    </w:p>
    <w:p>
      <w:pPr>
        <w:spacing w:before="108"/>
        <w:ind w:left="0" w:right="38" w:firstLine="0"/>
        <w:jc w:val="right"/>
        <w:rPr>
          <w:sz w:val="12"/>
        </w:rPr>
      </w:pPr>
      <w:r>
        <w:rPr>
          <w:sz w:val="12"/>
        </w:rPr>
        <w:t>10</w:t>
      </w:r>
    </w:p>
    <w:p>
      <w:pPr>
        <w:pStyle w:val="BodyText"/>
        <w:rPr>
          <w:sz w:val="12"/>
        </w:rPr>
      </w:pPr>
    </w:p>
    <w:p>
      <w:pPr>
        <w:pStyle w:val="BodyText"/>
        <w:spacing w:before="5"/>
        <w:rPr>
          <w:sz w:val="9"/>
        </w:rPr>
      </w:pPr>
    </w:p>
    <w:p>
      <w:pPr>
        <w:spacing w:before="1"/>
        <w:ind w:left="0" w:right="38" w:firstLine="0"/>
        <w:jc w:val="right"/>
        <w:rPr>
          <w:sz w:val="12"/>
        </w:rPr>
      </w:pPr>
      <w:r>
        <w:rPr>
          <w:sz w:val="12"/>
        </w:rPr>
        <w:t>20</w:t>
      </w:r>
    </w:p>
    <w:p>
      <w:pPr>
        <w:pStyle w:val="BodyText"/>
        <w:rPr>
          <w:sz w:val="12"/>
        </w:rPr>
      </w:pPr>
    </w:p>
    <w:p>
      <w:pPr>
        <w:spacing w:before="89"/>
        <w:ind w:left="0" w:right="38" w:firstLine="0"/>
        <w:jc w:val="right"/>
        <w:rPr>
          <w:sz w:val="12"/>
        </w:rPr>
      </w:pPr>
      <w:r>
        <w:rPr>
          <w:sz w:val="12"/>
        </w:rPr>
        <w:t>30</w:t>
      </w:r>
    </w:p>
    <w:p>
      <w:pPr>
        <w:pStyle w:val="BodyText"/>
        <w:rPr>
          <w:sz w:val="12"/>
        </w:rPr>
      </w:pPr>
    </w:p>
    <w:p>
      <w:pPr>
        <w:spacing w:before="106"/>
        <w:ind w:left="0" w:right="38" w:firstLine="0"/>
        <w:jc w:val="right"/>
        <w:rPr>
          <w:sz w:val="12"/>
        </w:rPr>
      </w:pPr>
      <w:r>
        <w:rPr>
          <w:sz w:val="12"/>
        </w:rPr>
        <w:t>40</w:t>
      </w:r>
    </w:p>
    <w:p>
      <w:pPr>
        <w:pStyle w:val="BodyText"/>
        <w:rPr>
          <w:sz w:val="12"/>
        </w:rPr>
      </w:pPr>
    </w:p>
    <w:p>
      <w:pPr>
        <w:spacing w:before="92"/>
        <w:ind w:left="0" w:right="38" w:firstLine="0"/>
        <w:jc w:val="right"/>
        <w:rPr>
          <w:sz w:val="12"/>
        </w:rPr>
      </w:pPr>
      <w:r>
        <w:rPr>
          <w:sz w:val="12"/>
        </w:rPr>
        <w:t>50</w:t>
      </w:r>
    </w:p>
    <w:p>
      <w:pPr>
        <w:spacing w:line="242" w:lineRule="auto" w:before="9"/>
        <w:ind w:left="1190" w:right="0" w:firstLine="0"/>
        <w:jc w:val="left"/>
        <w:rPr>
          <w:sz w:val="24"/>
        </w:rPr>
      </w:pPr>
      <w:r>
        <w:rPr/>
        <w:br w:type="column"/>
      </w:r>
      <w:r>
        <w:rPr>
          <w:color w:val="231F20"/>
          <w:sz w:val="24"/>
        </w:rPr>
        <w:t>tax, and an extension to the returns deadline. Since the third of these elements significantly altered the pattern of tax payments between 1997 Q4 and 1998 Q1 (see</w:t>
      </w:r>
    </w:p>
    <w:p>
      <w:pPr>
        <w:spacing w:line="242" w:lineRule="auto" w:before="4"/>
        <w:ind w:left="1190" w:right="201" w:firstLine="0"/>
        <w:jc w:val="left"/>
        <w:rPr>
          <w:sz w:val="24"/>
        </w:rPr>
      </w:pPr>
      <w:r>
        <w:rPr>
          <w:color w:val="231F20"/>
          <w:sz w:val="24"/>
        </w:rPr>
        <w:t>Chart 2.10), the full impact of the changes will not be known until the new seasonal pattern of receipts can be determined. On the basis of the available data, the effective tax rate on households’ income is estimated to have increased by between </w:t>
      </w:r>
      <w:r>
        <w:rPr>
          <w:color w:val="231F20"/>
          <w:position w:val="8"/>
          <w:sz w:val="12"/>
        </w:rPr>
        <w:t>1</w:t>
      </w:r>
      <w:r>
        <w:rPr>
          <w:color w:val="231F20"/>
          <w:sz w:val="24"/>
        </w:rPr>
        <w:t>/</w:t>
      </w:r>
      <w:r>
        <w:rPr>
          <w:color w:val="231F20"/>
          <w:sz w:val="12"/>
        </w:rPr>
        <w:t>2 </w:t>
      </w:r>
      <w:r>
        <w:rPr>
          <w:color w:val="231F20"/>
          <w:sz w:val="24"/>
        </w:rPr>
        <w:t>and 1 percentage point in 1998, equivalent to 0.4%–0.7% of GDP. Higher taxes are therefore likely to explain some of the slowdown in</w:t>
      </w:r>
    </w:p>
    <w:p>
      <w:pPr>
        <w:spacing w:line="119" w:lineRule="exact" w:before="9"/>
        <w:ind w:left="1190" w:right="0" w:firstLine="0"/>
        <w:jc w:val="left"/>
        <w:rPr>
          <w:sz w:val="24"/>
        </w:rPr>
      </w:pPr>
      <w:r>
        <w:rPr>
          <w:color w:val="231F20"/>
          <w:sz w:val="24"/>
        </w:rPr>
        <w:t>the growth rate of consumption last year. The actual size</w:t>
      </w:r>
    </w:p>
    <w:p>
      <w:pPr>
        <w:spacing w:after="0" w:line="119" w:lineRule="exact"/>
        <w:jc w:val="left"/>
        <w:rPr>
          <w:sz w:val="24"/>
        </w:rPr>
        <w:sectPr>
          <w:type w:val="continuous"/>
          <w:pgSz w:w="11900" w:h="16840"/>
          <w:pgMar w:top="1220" w:bottom="280" w:left="640" w:right="640"/>
          <w:cols w:num="3" w:equalWidth="0">
            <w:col w:w="1504" w:space="40"/>
            <w:col w:w="2132" w:space="114"/>
            <w:col w:w="6830"/>
          </w:cols>
        </w:sectPr>
      </w:pPr>
    </w:p>
    <w:p>
      <w:pPr>
        <w:tabs>
          <w:tab w:pos="1666" w:val="left" w:leader="none"/>
          <w:tab w:pos="2586" w:val="left" w:leader="none"/>
          <w:tab w:pos="3192" w:val="left" w:leader="none"/>
        </w:tabs>
        <w:spacing w:line="133" w:lineRule="exact" w:before="0"/>
        <w:ind w:left="711" w:right="0" w:firstLine="0"/>
        <w:jc w:val="left"/>
        <w:rPr>
          <w:sz w:val="12"/>
        </w:rPr>
      </w:pPr>
      <w:r>
        <w:rPr>
          <w:sz w:val="12"/>
        </w:rPr>
        <w:t>1996</w:t>
        <w:tab/>
        <w:t>97</w:t>
        <w:tab/>
        <w:t>98</w:t>
        <w:tab/>
        <w:t>99</w:t>
      </w:r>
    </w:p>
    <w:p>
      <w:pPr>
        <w:spacing w:before="76"/>
        <w:ind w:left="170" w:right="0" w:firstLine="0"/>
        <w:jc w:val="left"/>
        <w:rPr>
          <w:sz w:val="12"/>
        </w:rPr>
      </w:pPr>
      <w:r>
        <w:rPr>
          <w:color w:val="231F20"/>
          <w:sz w:val="12"/>
        </w:rPr>
        <w:t>Sources: GfK and MORI.</w:t>
      </w:r>
    </w:p>
    <w:p>
      <w:pPr>
        <w:spacing w:line="242" w:lineRule="auto" w:before="160"/>
        <w:ind w:left="170" w:right="189" w:firstLine="0"/>
        <w:jc w:val="left"/>
        <w:rPr>
          <w:sz w:val="24"/>
        </w:rPr>
      </w:pPr>
      <w:r>
        <w:rPr/>
        <w:br w:type="column"/>
      </w:r>
      <w:r>
        <w:rPr>
          <w:color w:val="231F20"/>
          <w:sz w:val="24"/>
        </w:rPr>
        <w:t>of this effect will have been determined by whether households viewed the tax changes as temporary or</w:t>
      </w:r>
    </w:p>
    <w:p>
      <w:pPr>
        <w:spacing w:after="0" w:line="242" w:lineRule="auto"/>
        <w:jc w:val="left"/>
        <w:rPr>
          <w:sz w:val="24"/>
        </w:rPr>
        <w:sectPr>
          <w:type w:val="continuous"/>
          <w:pgSz w:w="11900" w:h="16840"/>
          <w:pgMar w:top="1220" w:bottom="280" w:left="640" w:right="640"/>
          <w:cols w:num="2" w:equalWidth="0">
            <w:col w:w="3353" w:space="1457"/>
            <w:col w:w="5810"/>
          </w:cols>
        </w:sectPr>
      </w:pPr>
    </w:p>
    <w:p>
      <w:pPr>
        <w:pStyle w:val="BodyText"/>
        <w:rPr>
          <w:sz w:val="20"/>
        </w:rPr>
      </w:pPr>
    </w:p>
    <w:p>
      <w:pPr>
        <w:spacing w:after="0"/>
        <w:rPr>
          <w:sz w:val="20"/>
        </w:rPr>
        <w:sectPr>
          <w:pgSz w:w="11900" w:h="16840"/>
          <w:pgMar w:header="586" w:footer="597" w:top="780" w:bottom="780" w:left="640" w:right="640"/>
        </w:sectPr>
      </w:pPr>
    </w:p>
    <w:p>
      <w:pPr>
        <w:pStyle w:val="BodyText"/>
        <w:spacing w:before="6"/>
        <w:rPr>
          <w:sz w:val="20"/>
        </w:rPr>
      </w:pPr>
    </w:p>
    <w:p>
      <w:pPr>
        <w:pStyle w:val="Heading4"/>
        <w:spacing w:before="0"/>
        <w:ind w:left="160"/>
      </w:pPr>
      <w:r>
        <w:rPr>
          <w:color w:val="0093C1"/>
        </w:rPr>
        <w:t>Chart 2.10</w:t>
      </w:r>
    </w:p>
    <w:p>
      <w:pPr>
        <w:pStyle w:val="Heading4"/>
        <w:ind w:left="160"/>
        <w:rPr>
          <w:b w:val="0"/>
          <w:sz w:val="12"/>
        </w:rPr>
      </w:pPr>
      <w:r>
        <w:rPr>
          <w:color w:val="0093C1"/>
        </w:rPr>
        <w:t>Household effective tax rate on</w:t>
      </w:r>
      <w:r>
        <w:rPr>
          <w:color w:val="0093C1"/>
          <w:spacing w:val="-1"/>
        </w:rPr>
        <w:t> </w:t>
      </w:r>
      <w:r>
        <w:rPr>
          <w:color w:val="0093C1"/>
        </w:rPr>
        <w:t>income</w:t>
      </w:r>
      <w:r>
        <w:rPr>
          <w:b w:val="0"/>
          <w:color w:val="231F20"/>
          <w:position w:val="4"/>
          <w:sz w:val="12"/>
        </w:rPr>
        <w:t>(a)</w:t>
      </w:r>
    </w:p>
    <w:p>
      <w:pPr>
        <w:spacing w:before="33"/>
        <w:ind w:left="3052" w:right="0" w:firstLine="0"/>
        <w:jc w:val="left"/>
        <w:rPr>
          <w:sz w:val="12"/>
        </w:rPr>
      </w:pPr>
      <w:r>
        <w:rPr/>
        <w:pict>
          <v:line style="position:absolute;mso-position-horizontal-relative:page;mso-position-vertical-relative:paragraph;z-index:15905792" from="42.938pt,8.372351pt" to="46.187pt,8.372351pt" stroked="true" strokeweight=".5pt" strokecolor="#231f20">
            <v:stroke dashstyle="solid"/>
            <w10:wrap type="none"/>
          </v:line>
        </w:pict>
      </w:r>
      <w:r>
        <w:rPr/>
        <w:pict>
          <v:line style="position:absolute;mso-position-horizontal-relative:page;mso-position-vertical-relative:paragraph;z-index:-21228032" from="201.311996pt,8.372351pt" to="204.561996pt,8.372351pt" stroked="true" strokeweight=".5pt" strokecolor="#231f20">
            <v:stroke dashstyle="solid"/>
            <w10:wrap type="none"/>
          </v:line>
        </w:pict>
      </w:r>
      <w:r>
        <w:rPr>
          <w:color w:val="231F20"/>
          <w:sz w:val="12"/>
        </w:rPr>
        <w:t>Per cent</w:t>
      </w:r>
      <w:r>
        <w:rPr>
          <w:color w:val="231F20"/>
          <w:spacing w:val="15"/>
          <w:sz w:val="12"/>
        </w:rPr>
        <w:t> </w:t>
      </w:r>
      <w:r>
        <w:rPr>
          <w:color w:val="231F20"/>
          <w:position w:val="-6"/>
          <w:sz w:val="12"/>
        </w:rPr>
        <w:t>22</w:t>
      </w:r>
    </w:p>
    <w:p>
      <w:pPr>
        <w:pStyle w:val="BodyText"/>
        <w:spacing w:before="7"/>
        <w:rPr>
          <w:sz w:val="20"/>
        </w:rPr>
      </w:pPr>
      <w:r>
        <w:rPr/>
        <w:br w:type="column"/>
      </w:r>
      <w:r>
        <w:rPr>
          <w:sz w:val="20"/>
        </w:rPr>
      </w:r>
    </w:p>
    <w:p>
      <w:pPr>
        <w:spacing w:line="242" w:lineRule="auto" w:before="0"/>
        <w:ind w:left="160" w:right="284" w:firstLine="0"/>
        <w:jc w:val="left"/>
        <w:rPr>
          <w:sz w:val="24"/>
        </w:rPr>
      </w:pPr>
      <w:r>
        <w:rPr>
          <w:color w:val="231F20"/>
          <w:sz w:val="24"/>
        </w:rPr>
        <w:t>permanent, and by the extent to which the introduction of the new system of self-assessment encouraged an increase in tax compliance.</w:t>
      </w:r>
    </w:p>
    <w:p>
      <w:pPr>
        <w:spacing w:after="0" w:line="242" w:lineRule="auto"/>
        <w:jc w:val="left"/>
        <w:rPr>
          <w:sz w:val="24"/>
        </w:rPr>
        <w:sectPr>
          <w:type w:val="continuous"/>
          <w:pgSz w:w="11900" w:h="16840"/>
          <w:pgMar w:top="1220" w:bottom="280" w:left="640" w:right="640"/>
          <w:cols w:num="2" w:equalWidth="0">
            <w:col w:w="3648" w:space="1152"/>
            <w:col w:w="5820"/>
          </w:cols>
        </w:sectPr>
      </w:pPr>
    </w:p>
    <w:p>
      <w:pPr>
        <w:pStyle w:val="BodyText"/>
        <w:spacing w:before="2"/>
        <w:rPr>
          <w:sz w:val="14"/>
        </w:rPr>
      </w:pPr>
    </w:p>
    <w:p>
      <w:pPr>
        <w:spacing w:after="0"/>
        <w:rPr>
          <w:sz w:val="14"/>
        </w:rPr>
        <w:sectPr>
          <w:type w:val="continuous"/>
          <w:pgSz w:w="11900" w:h="16840"/>
          <w:pgMar w:top="122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4"/>
        </w:rPr>
      </w:pPr>
    </w:p>
    <w:p>
      <w:pPr>
        <w:tabs>
          <w:tab w:pos="1142" w:val="left" w:leader="none"/>
        </w:tabs>
        <w:spacing w:line="127" w:lineRule="exact" w:before="0"/>
        <w:ind w:left="337" w:right="0" w:firstLine="0"/>
        <w:jc w:val="left"/>
        <w:rPr>
          <w:sz w:val="12"/>
        </w:rPr>
      </w:pPr>
      <w:r>
        <w:rPr>
          <w:color w:val="231F20"/>
          <w:sz w:val="12"/>
        </w:rPr>
        <w:t>Q1</w:t>
        <w:tab/>
        <w:t>Q4</w:t>
      </w:r>
      <w:r>
        <w:rPr>
          <w:color w:val="231F20"/>
          <w:spacing w:val="28"/>
          <w:sz w:val="12"/>
        </w:rPr>
        <w:t> </w:t>
      </w:r>
      <w:r>
        <w:rPr>
          <w:color w:val="231F20"/>
          <w:sz w:val="12"/>
        </w:rPr>
        <w:t>Q1</w:t>
      </w:r>
    </w:p>
    <w:p>
      <w:pPr>
        <w:tabs>
          <w:tab w:pos="1599" w:val="left" w:leader="none"/>
        </w:tabs>
        <w:spacing w:line="60" w:lineRule="exact" w:before="0"/>
        <w:ind w:left="602" w:right="0" w:firstLine="0"/>
        <w:jc w:val="left"/>
        <w:rPr>
          <w:sz w:val="12"/>
        </w:rPr>
      </w:pPr>
      <w:r>
        <w:rPr>
          <w:color w:val="231F20"/>
          <w:sz w:val="12"/>
        </w:rPr>
        <w:t>1996</w:t>
        <w:tab/>
        <w:t>97</w:t>
      </w:r>
    </w:p>
    <w:p>
      <w:pPr>
        <w:spacing w:before="95"/>
        <w:ind w:left="0" w:right="38" w:firstLine="0"/>
        <w:jc w:val="right"/>
        <w:rPr>
          <w:sz w:val="12"/>
        </w:rPr>
      </w:pPr>
      <w:r>
        <w:rPr/>
        <w:br w:type="column"/>
      </w:r>
      <w:r>
        <w:rPr>
          <w:color w:val="231F20"/>
          <w:sz w:val="12"/>
        </w:rPr>
        <w:t>20</w:t>
      </w:r>
    </w:p>
    <w:p>
      <w:pPr>
        <w:pStyle w:val="BodyText"/>
        <w:rPr>
          <w:sz w:val="12"/>
        </w:rPr>
      </w:pPr>
    </w:p>
    <w:p>
      <w:pPr>
        <w:pStyle w:val="BodyText"/>
        <w:spacing w:before="5"/>
        <w:rPr>
          <w:sz w:val="16"/>
        </w:rPr>
      </w:pPr>
    </w:p>
    <w:p>
      <w:pPr>
        <w:spacing w:before="0"/>
        <w:ind w:left="0" w:right="38" w:firstLine="0"/>
        <w:jc w:val="right"/>
        <w:rPr>
          <w:sz w:val="12"/>
        </w:rPr>
      </w:pPr>
      <w:r>
        <w:rPr/>
        <w:pict>
          <v:group style="position:absolute;margin-left:42.25pt;margin-top:-41.023438pt;width:163.450pt;height:151.65pt;mso-position-horizontal-relative:page;mso-position-vertical-relative:paragraph;z-index:15905280" coordorigin="845,-820" coordsize="3269,3033">
            <v:rect style="position:absolute;left:995;top:294;width:208;height:1775" filled="true" fillcolor="#0066a5" stroked="false">
              <v:fill type="solid"/>
            </v:rect>
            <v:rect style="position:absolute;left:995;top:294;width:208;height:1775" filled="false" stroked="true" strokeweight=".5pt" strokecolor="#231f20">
              <v:stroke dashstyle="solid"/>
            </v:rect>
            <v:rect style="position:absolute;left:1247;top:1024;width:210;height:1045" filled="true" fillcolor="#0066a5" stroked="false">
              <v:fill type="solid"/>
            </v:rect>
            <v:rect style="position:absolute;left:1247;top:1024;width:210;height:1045" filled="false" stroked="true" strokeweight=".5pt" strokecolor="#231f20">
              <v:stroke dashstyle="solid"/>
            </v:rect>
            <v:rect style="position:absolute;left:1502;top:692;width:208;height:1378" filled="true" fillcolor="#0066a5" stroked="false">
              <v:fill type="solid"/>
            </v:rect>
            <v:rect style="position:absolute;left:1502;top:692;width:208;height:1378" filled="false" stroked="true" strokeweight=".5pt" strokecolor="#231f20">
              <v:stroke dashstyle="solid"/>
            </v:rect>
            <v:rect style="position:absolute;left:1755;top:509;width:193;height:1560" filled="true" fillcolor="#0066a5" stroked="false">
              <v:fill type="solid"/>
            </v:rect>
            <v:rect style="position:absolute;left:1755;top:509;width:193;height:1560" filled="false" stroked="true" strokeweight=".5pt" strokecolor="#231f20">
              <v:stroke dashstyle="solid"/>
            </v:rect>
            <v:rect style="position:absolute;left:2010;top:112;width:193;height:1958" filled="true" fillcolor="#0066a5" stroked="false">
              <v:fill type="solid"/>
            </v:rect>
            <v:rect style="position:absolute;left:2010;top:112;width:193;height:1958" filled="false" stroked="true" strokeweight=".5pt" strokecolor="#231f20">
              <v:stroke dashstyle="solid"/>
            </v:rect>
            <v:rect style="position:absolute;left:2247;top:1189;width:208;height:880" filled="true" fillcolor="#0066a5" stroked="false">
              <v:fill type="solid"/>
            </v:rect>
            <v:rect style="position:absolute;left:2247;top:1189;width:208;height:880" filled="false" stroked="true" strokeweight=".5pt" strokecolor="#231f20">
              <v:stroke dashstyle="solid"/>
            </v:rect>
            <v:rect style="position:absolute;left:2500;top:874;width:210;height:1195" filled="true" fillcolor="#0066a5" stroked="false">
              <v:fill type="solid"/>
            </v:rect>
            <v:rect style="position:absolute;left:2500;top:874;width:210;height:1195" filled="false" stroked="true" strokeweight=".5pt" strokecolor="#231f20">
              <v:stroke dashstyle="solid"/>
            </v:rect>
            <v:rect style="position:absolute;left:2755;top:1072;width:208;height:998" filled="true" fillcolor="#0066a5" stroked="false">
              <v:fill type="solid"/>
            </v:rect>
            <v:rect style="position:absolute;left:2755;top:1072;width:208;height:998" filled="false" stroked="true" strokeweight=".5pt" strokecolor="#231f20">
              <v:stroke dashstyle="solid"/>
            </v:rect>
            <v:rect style="position:absolute;left:3007;top:-816;width:193;height:2885" filled="true" fillcolor="#0066a5" stroked="false">
              <v:fill type="solid"/>
            </v:rect>
            <v:rect style="position:absolute;left:3007;top:-816;width:193;height:2885" filled="false" stroked="true" strokeweight=".5pt" strokecolor="#231f20">
              <v:stroke dashstyle="solid"/>
            </v:rect>
            <v:rect style="position:absolute;left:3245;top:1139;width:210;height:930" filled="true" fillcolor="#0066a5" stroked="false">
              <v:fill type="solid"/>
            </v:rect>
            <v:rect style="position:absolute;left:3245;top:1139;width:210;height:930" filled="false" stroked="true" strokeweight=".5pt" strokecolor="#231f20">
              <v:stroke dashstyle="solid"/>
            </v:rect>
            <v:rect style="position:absolute;left:3500;top:409;width:208;height:1660" filled="true" fillcolor="#0066a5" stroked="false">
              <v:fill type="solid"/>
            </v:rect>
            <v:rect style="position:absolute;left:3500;top:409;width:208;height:1660" filled="false" stroked="true" strokeweight=".5pt" strokecolor="#231f20">
              <v:stroke dashstyle="solid"/>
            </v:rect>
            <v:rect style="position:absolute;left:3752;top:857;width:210;height:1213" filled="true" fillcolor="#0066a5" stroked="false">
              <v:fill type="solid"/>
            </v:rect>
            <v:rect style="position:absolute;left:3752;top:857;width:210;height:1213" filled="false" stroked="true" strokeweight=".5pt" strokecolor="#231f20">
              <v:stroke dashstyle="solid"/>
            </v:rect>
            <v:shape style="position:absolute;left:895;top:2077;width:40;height:127" coordorigin="895,2078" coordsize="40,127" path="m915,2078l915,2105,895,2121,935,2135,895,2155,935,2171,912,2181,911,2205e" filled="false" stroked="true" strokeweight=".5pt" strokecolor="#231f20">
              <v:path arrowok="t"/>
              <v:stroke dashstyle="solid"/>
            </v:shape>
            <v:line style="position:absolute" from="850,2067" to="915,2067" stroked="true" strokeweight=".5pt" strokecolor="#231f20">
              <v:stroke dashstyle="solid"/>
            </v:line>
            <v:shape style="position:absolute;left:4068;top:2065;width:40;height:142" coordorigin="4069,2065" coordsize="40,142" path="m4089,2065l4089,2092,4069,2108,4109,2122,4069,2142,4109,2159,4085,2169,4085,2207e" filled="false" stroked="true" strokeweight=".5pt" strokecolor="#231f20">
              <v:path arrowok="t"/>
              <v:stroke dashstyle="solid"/>
            </v:shape>
            <v:shape style="position:absolute;left:845;top:-418;width:3247;height:2628" coordorigin="845,-418" coordsize="3247,2628" path="m4018,2067l4083,2067m859,1572l924,1572m4026,1572l4091,1572m854,1077l919,1077m4021,1077l4086,1077m854,572l919,572m4021,572l4086,572m859,77l924,77m4026,77l4091,77m859,-418l924,-418m4026,-418l4091,-418m845,2207l4080,2207m975,2207l975,2097m1220,2207l1220,2137m1465,2210l1465,2140m1720,2210l1720,2140m1980,2207l1980,2097m2225,2207l2225,2137m2470,2207l2470,2137m2725,2207l2725,2137m2980,2207l2980,2097m3235,2207l3235,2137m3470,2210l3470,2140m3725,2210l3725,2140m3975,2207l3975,2097e" filled="false" stroked="true" strokeweight=".5pt" strokecolor="#231f20">
              <v:path arrowok="t"/>
              <v:stroke dashstyle="solid"/>
            </v:shape>
            <w10:wrap type="none"/>
          </v:group>
        </w:pict>
      </w:r>
      <w:r>
        <w:rPr>
          <w:color w:val="231F20"/>
          <w:sz w:val="12"/>
        </w:rPr>
        <w:t>18</w:t>
      </w:r>
    </w:p>
    <w:p>
      <w:pPr>
        <w:pStyle w:val="BodyText"/>
        <w:rPr>
          <w:sz w:val="12"/>
        </w:rPr>
      </w:pPr>
    </w:p>
    <w:p>
      <w:pPr>
        <w:pStyle w:val="BodyText"/>
        <w:rPr>
          <w:sz w:val="12"/>
        </w:rPr>
      </w:pPr>
    </w:p>
    <w:p>
      <w:pPr>
        <w:spacing w:before="96"/>
        <w:ind w:left="0" w:right="38" w:firstLine="0"/>
        <w:jc w:val="right"/>
        <w:rPr>
          <w:sz w:val="12"/>
        </w:rPr>
      </w:pPr>
      <w:r>
        <w:rPr>
          <w:color w:val="231F20"/>
          <w:sz w:val="12"/>
        </w:rPr>
        <w:t>16</w:t>
      </w:r>
    </w:p>
    <w:p>
      <w:pPr>
        <w:pStyle w:val="BodyText"/>
        <w:rPr>
          <w:sz w:val="12"/>
        </w:rPr>
      </w:pPr>
    </w:p>
    <w:p>
      <w:pPr>
        <w:pStyle w:val="BodyText"/>
        <w:rPr>
          <w:sz w:val="12"/>
        </w:rPr>
      </w:pPr>
    </w:p>
    <w:p>
      <w:pPr>
        <w:spacing w:before="86"/>
        <w:ind w:left="0" w:right="38" w:firstLine="0"/>
        <w:jc w:val="right"/>
        <w:rPr>
          <w:sz w:val="12"/>
        </w:rPr>
      </w:pPr>
      <w:r>
        <w:rPr>
          <w:color w:val="231F20"/>
          <w:sz w:val="12"/>
        </w:rPr>
        <w:t>14</w:t>
      </w:r>
    </w:p>
    <w:p>
      <w:pPr>
        <w:pStyle w:val="BodyText"/>
        <w:rPr>
          <w:sz w:val="12"/>
        </w:rPr>
      </w:pPr>
    </w:p>
    <w:p>
      <w:pPr>
        <w:pStyle w:val="BodyText"/>
        <w:rPr>
          <w:sz w:val="12"/>
        </w:rPr>
      </w:pPr>
    </w:p>
    <w:p>
      <w:pPr>
        <w:spacing w:before="71"/>
        <w:ind w:left="0" w:right="38" w:firstLine="0"/>
        <w:jc w:val="right"/>
        <w:rPr>
          <w:sz w:val="12"/>
        </w:rPr>
      </w:pPr>
      <w:r>
        <w:rPr>
          <w:color w:val="231F20"/>
          <w:sz w:val="12"/>
        </w:rPr>
        <w:t>12</w:t>
      </w:r>
    </w:p>
    <w:p>
      <w:pPr>
        <w:pStyle w:val="BodyText"/>
        <w:rPr>
          <w:sz w:val="12"/>
        </w:rPr>
      </w:pPr>
    </w:p>
    <w:p>
      <w:pPr>
        <w:pStyle w:val="BodyText"/>
        <w:rPr>
          <w:sz w:val="12"/>
        </w:rPr>
      </w:pPr>
    </w:p>
    <w:p>
      <w:pPr>
        <w:spacing w:line="134" w:lineRule="exact" w:before="91"/>
        <w:ind w:left="1677" w:right="0" w:firstLine="0"/>
        <w:jc w:val="left"/>
        <w:rPr>
          <w:sz w:val="12"/>
        </w:rPr>
      </w:pPr>
      <w:r>
        <w:rPr>
          <w:color w:val="231F20"/>
          <w:sz w:val="12"/>
        </w:rPr>
        <w:t>10</w:t>
      </w:r>
    </w:p>
    <w:p>
      <w:pPr>
        <w:spacing w:line="113" w:lineRule="exact" w:before="0"/>
        <w:ind w:left="1737" w:right="0" w:firstLine="0"/>
        <w:jc w:val="left"/>
        <w:rPr>
          <w:sz w:val="12"/>
        </w:rPr>
      </w:pPr>
      <w:r>
        <w:rPr>
          <w:color w:val="231F20"/>
          <w:sz w:val="12"/>
        </w:rPr>
        <w:t>0</w:t>
      </w:r>
    </w:p>
    <w:p>
      <w:pPr>
        <w:tabs>
          <w:tab w:pos="1327" w:val="left" w:leader="none"/>
        </w:tabs>
        <w:spacing w:line="105" w:lineRule="exact" w:before="0"/>
        <w:ind w:left="337" w:right="0" w:firstLine="0"/>
        <w:jc w:val="left"/>
        <w:rPr>
          <w:sz w:val="12"/>
        </w:rPr>
      </w:pPr>
      <w:r>
        <w:rPr>
          <w:color w:val="231F20"/>
          <w:sz w:val="12"/>
        </w:rPr>
        <w:t>Q4 </w:t>
      </w:r>
      <w:r>
        <w:rPr>
          <w:color w:val="231F20"/>
          <w:spacing w:val="23"/>
          <w:sz w:val="12"/>
        </w:rPr>
        <w:t> </w:t>
      </w:r>
      <w:r>
        <w:rPr>
          <w:color w:val="231F20"/>
          <w:sz w:val="12"/>
        </w:rPr>
        <w:t>Q1</w:t>
        <w:tab/>
        <w:t>Q4</w:t>
      </w:r>
    </w:p>
    <w:p>
      <w:pPr>
        <w:spacing w:line="60" w:lineRule="exact" w:before="0"/>
        <w:ind w:left="771" w:right="906" w:firstLine="0"/>
        <w:jc w:val="center"/>
        <w:rPr>
          <w:sz w:val="12"/>
        </w:rPr>
      </w:pPr>
      <w:r>
        <w:rPr>
          <w:color w:val="231F20"/>
          <w:sz w:val="12"/>
        </w:rPr>
        <w:t>98</w:t>
      </w:r>
    </w:p>
    <w:p>
      <w:pPr>
        <w:spacing w:line="242" w:lineRule="auto" w:before="161"/>
        <w:ind w:left="337" w:right="248" w:firstLine="0"/>
        <w:jc w:val="left"/>
        <w:rPr>
          <w:sz w:val="24"/>
        </w:rPr>
      </w:pPr>
      <w:r>
        <w:rPr/>
        <w:br w:type="column"/>
      </w:r>
      <w:r>
        <w:rPr>
          <w:color w:val="231F20"/>
          <w:sz w:val="24"/>
        </w:rPr>
        <w:t>Looking ahead, the measures introduced in the March 1999 Budget are expected by HM Treasury to leave the effective tax rate on household incomes broadly unchanged over the next three years. Overall, therefore, the factors which may have caused consumption growth to slow by more than the MPC had expected in 1998— higher taxes, lower consumer confidence, and the unwinding of the windfall payout effects arising from the building society demutualisations—seem likely to have less of a restraining influence in 1999. This</w:t>
      </w:r>
    </w:p>
    <w:p>
      <w:pPr>
        <w:spacing w:after="0" w:line="242" w:lineRule="auto"/>
        <w:jc w:val="left"/>
        <w:rPr>
          <w:sz w:val="24"/>
        </w:rPr>
        <w:sectPr>
          <w:type w:val="continuous"/>
          <w:pgSz w:w="11900" w:h="16840"/>
          <w:pgMar w:top="1220" w:bottom="280" w:left="640" w:right="640"/>
          <w:cols w:num="3" w:equalWidth="0">
            <w:col w:w="1761" w:space="49"/>
            <w:col w:w="1838" w:space="975"/>
            <w:col w:w="5997"/>
          </w:cols>
        </w:sectPr>
      </w:pPr>
    </w:p>
    <w:p>
      <w:pPr>
        <w:pStyle w:val="BodyText"/>
        <w:spacing w:before="1"/>
        <w:rPr>
          <w:sz w:val="14"/>
        </w:rPr>
      </w:pPr>
    </w:p>
    <w:p>
      <w:pPr>
        <w:spacing w:line="208" w:lineRule="auto" w:before="1"/>
        <w:ind w:left="405" w:right="23" w:hanging="240"/>
        <w:jc w:val="left"/>
        <w:rPr>
          <w:sz w:val="12"/>
        </w:rPr>
      </w:pPr>
      <w:r>
        <w:rPr>
          <w:color w:val="231F20"/>
          <w:sz w:val="12"/>
        </w:rPr>
        <w:t>(a) Current taxes expressed as a percentage of gross primary income. Non seasonally adjusted data.</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98"/>
        <w:ind w:left="165"/>
      </w:pPr>
      <w:r>
        <w:rPr>
          <w:color w:val="0093C1"/>
        </w:rPr>
        <w:t>Chart 2.11</w:t>
      </w:r>
    </w:p>
    <w:p>
      <w:pPr>
        <w:pStyle w:val="Heading4"/>
        <w:ind w:left="165"/>
      </w:pPr>
      <w:r>
        <w:rPr>
          <w:color w:val="0093C1"/>
        </w:rPr>
        <w:t>Real household pre-tax income growth</w:t>
      </w:r>
    </w:p>
    <w:p>
      <w:pPr>
        <w:spacing w:line="120" w:lineRule="exact" w:before="140"/>
        <w:ind w:left="1755" w:right="0" w:firstLine="0"/>
        <w:jc w:val="left"/>
        <w:rPr>
          <w:sz w:val="12"/>
        </w:rPr>
      </w:pPr>
      <w:r>
        <w:rPr>
          <w:sz w:val="12"/>
        </w:rPr>
        <w:t>Percentage changes on a year earlier</w:t>
      </w:r>
    </w:p>
    <w:p>
      <w:pPr>
        <w:spacing w:line="120" w:lineRule="exact" w:before="0"/>
        <w:ind w:left="3523" w:right="0" w:firstLine="0"/>
        <w:jc w:val="left"/>
        <w:rPr>
          <w:sz w:val="12"/>
        </w:rPr>
      </w:pPr>
      <w:r>
        <w:rPr/>
        <w:pict>
          <v:group style="position:absolute;margin-left:42.466999pt;margin-top:22.836563pt;width:168.7pt;height:129.9pt;mso-position-horizontal-relative:page;mso-position-vertical-relative:paragraph;z-index:15903744" coordorigin="849,457" coordsize="3374,2598">
            <v:shape style="position:absolute;left:1010;top:466;width:2970;height:2463" coordorigin="1011,467" coordsize="2970,2463" path="m1011,517l1073,567,1138,717,1218,467,1283,949,1348,1099,1428,617,1491,1167,1556,1117,1621,1199,1701,1682,1766,1914,1828,1999,1908,2797,1973,2747,2038,2929,2118,2597,2183,1964,2246,2032,2326,1617,2391,2199,2456,2099,2521,2149,2601,1964,2663,1949,2728,1814,2808,1482,2873,1599,2938,1167,3018,1249,3081,1617,3146,1567,3226,1432,3291,1632,3356,1599,3418,1567,3498,1617,3563,984,3628,1034,3708,1217,3773,1099,3836,1599,3916,1732,3981,1517e" filled="false" stroked="true" strokeweight="1pt" strokecolor="#ed1b2d">
              <v:path arrowok="t"/>
              <v:stroke dashstyle="solid"/>
            </v:shape>
            <v:shape style="position:absolute;left:849;top:1046;width:3298;height:2003" coordorigin="849,1047" coordsize="3298,2003" path="m993,2049l3993,2052m849,1052l944,1052m4047,1047l4142,1047m849,2057l944,2057m4047,2052l4142,2052m854,3047l949,3047m1011,3047l1011,2992m4052,3042l4147,3042m1021,3047l4021,3049m1281,3047l1281,2992m1551,3044l1551,2989m1831,3049l1831,2994m2121,3039l2121,2984m2391,3039l2391,2984m2661,3037l2661,2982m2941,3042l2941,2987m3226,3044l3226,2989m3496,3044l3496,2989m3766,3042l3766,2987e" filled="false" stroked="true" strokeweight=".5pt" strokecolor="#000000">
              <v:path arrowok="t"/>
              <v:stroke dashstyle="solid"/>
            </v:shape>
            <v:shape style="position:absolute;left:4113;top:1821;width:111;height:443" type="#_x0000_t202" filled="false" stroked="false">
              <v:textbox inset="0,0,0,0">
                <w:txbxContent>
                  <w:p>
                    <w:pPr>
                      <w:spacing w:line="177" w:lineRule="exact" w:before="0"/>
                      <w:ind w:left="0" w:right="0" w:firstLine="0"/>
                      <w:jc w:val="left"/>
                      <w:rPr>
                        <w:sz w:val="16"/>
                      </w:rPr>
                    </w:pPr>
                    <w:r>
                      <w:rPr>
                        <w:sz w:val="16"/>
                      </w:rPr>
                      <w:t>+</w:t>
                    </w:r>
                  </w:p>
                  <w:p>
                    <w:pPr>
                      <w:spacing w:before="81"/>
                      <w:ind w:left="0" w:right="0" w:firstLine="0"/>
                      <w:jc w:val="left"/>
                      <w:rPr>
                        <w:sz w:val="16"/>
                      </w:rPr>
                    </w:pPr>
                    <w:r>
                      <w:rPr>
                        <w:sz w:val="16"/>
                      </w:rPr>
                      <w:t>_</w:t>
                    </w:r>
                  </w:p>
                </w:txbxContent>
              </v:textbox>
              <w10:wrap type="none"/>
            </v:shape>
            <v:shape style="position:absolute;left:2183;top:2329;width:1510;height:374" type="#_x0000_t202" filled="false" stroked="false">
              <v:textbox inset="0,0,0,0">
                <w:txbxContent>
                  <w:p>
                    <w:pPr>
                      <w:spacing w:line="208" w:lineRule="auto" w:before="9"/>
                      <w:ind w:left="60" w:right="0" w:hanging="60"/>
                      <w:jc w:val="left"/>
                      <w:rPr>
                        <w:sz w:val="12"/>
                      </w:rPr>
                    </w:pPr>
                    <w:r>
                      <w:rPr>
                        <w:sz w:val="12"/>
                      </w:rPr>
                      <w:t>Gross primary income deflated using the consumers’ expenditure deflator</w:t>
                    </w:r>
                  </w:p>
                </w:txbxContent>
              </v:textbox>
              <w10:wrap type="none"/>
            </v:shape>
            <w10:wrap type="none"/>
          </v:group>
        </w:pict>
      </w:r>
      <w:r>
        <w:rPr/>
        <w:pict>
          <v:line style="position:absolute;mso-position-horizontal-relative:page;mso-position-vertical-relative:paragraph;z-index:15904256" from="42.779999pt,2.586563pt" to="47.529999pt,2.586563pt" stroked="true" strokeweight=".5pt" strokecolor="#000000">
            <v:stroke dashstyle="solid"/>
            <w10:wrap type="none"/>
          </v:line>
        </w:pict>
      </w:r>
      <w:r>
        <w:rPr/>
        <w:pict>
          <v:line style="position:absolute;mso-position-horizontal-relative:page;mso-position-vertical-relative:paragraph;z-index:15904768" from="202.654999pt,2.336563pt" to="207.404999pt,2.336563pt" stroked="true" strokeweight=".5pt" strokecolor="#000000">
            <v:stroke dashstyle="solid"/>
            <w10:wrap type="none"/>
          </v:line>
        </w:pict>
      </w:r>
      <w:r>
        <w:rPr>
          <w:sz w:val="12"/>
        </w:rPr>
        <w:t>10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0"/>
        <w:ind w:left="3583" w:right="0" w:firstLine="0"/>
        <w:jc w:val="left"/>
        <w:rPr>
          <w:sz w:val="12"/>
        </w:rPr>
      </w:pPr>
      <w:r>
        <w:rPr>
          <w:sz w:val="12"/>
        </w:rPr>
        <w:t>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spacing w:before="0"/>
        <w:ind w:left="3583" w:right="0" w:firstLine="0"/>
        <w:jc w:val="left"/>
        <w:rPr>
          <w:sz w:val="12"/>
        </w:rPr>
      </w:pPr>
      <w:r>
        <w:rPr>
          <w:sz w:val="12"/>
        </w:rPr>
        <w:t>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spacing w:line="120" w:lineRule="exact" w:before="0"/>
        <w:ind w:left="3583" w:right="0" w:firstLine="0"/>
        <w:jc w:val="left"/>
        <w:rPr>
          <w:sz w:val="12"/>
        </w:rPr>
      </w:pPr>
      <w:r>
        <w:rPr>
          <w:sz w:val="12"/>
        </w:rPr>
        <w:t>5</w:t>
      </w:r>
    </w:p>
    <w:p>
      <w:pPr>
        <w:spacing w:line="120" w:lineRule="exact" w:before="0"/>
        <w:ind w:left="353" w:right="0" w:firstLine="0"/>
        <w:jc w:val="left"/>
        <w:rPr>
          <w:sz w:val="12"/>
        </w:rPr>
      </w:pPr>
      <w:r>
        <w:rPr>
          <w:sz w:val="12"/>
        </w:rPr>
        <w:t>1988 89 90 91 92 93 94 95 96 97 98</w:t>
      </w:r>
    </w:p>
    <w:p>
      <w:pPr>
        <w:spacing w:line="242" w:lineRule="auto" w:before="0"/>
        <w:ind w:left="165" w:right="448" w:firstLine="0"/>
        <w:jc w:val="left"/>
        <w:rPr>
          <w:sz w:val="24"/>
        </w:rPr>
      </w:pPr>
      <w:r>
        <w:rPr/>
        <w:br w:type="column"/>
      </w:r>
      <w:r>
        <w:rPr>
          <w:color w:val="231F20"/>
          <w:sz w:val="24"/>
        </w:rPr>
        <w:t>suggests that the growth rate of consumption will become more closely aligned with its fundamental determinants (labour income and total net wealth) this year.</w:t>
      </w:r>
    </w:p>
    <w:p>
      <w:pPr>
        <w:pStyle w:val="BodyText"/>
        <w:spacing w:before="5"/>
        <w:rPr>
          <w:sz w:val="27"/>
        </w:rPr>
      </w:pPr>
    </w:p>
    <w:p>
      <w:pPr>
        <w:spacing w:line="242" w:lineRule="auto" w:before="0"/>
        <w:ind w:left="165" w:right="186" w:firstLine="0"/>
        <w:jc w:val="left"/>
        <w:rPr>
          <w:sz w:val="24"/>
        </w:rPr>
      </w:pPr>
      <w:r>
        <w:rPr>
          <w:color w:val="231F20"/>
          <w:sz w:val="24"/>
        </w:rPr>
        <w:t>As can be seen from Chart 2.11, the growth rate of real pre-tax primary incomes (wages and salaries plus net property income) slowed in 1998. This was largely because of higher net interest payments by the household sector and weaker growth in equity </w:t>
      </w:r>
      <w:r>
        <w:rPr>
          <w:color w:val="231F20"/>
          <w:spacing w:val="-3"/>
          <w:sz w:val="24"/>
        </w:rPr>
        <w:t>dividends; </w:t>
      </w:r>
      <w:r>
        <w:rPr>
          <w:color w:val="231F20"/>
          <w:sz w:val="24"/>
        </w:rPr>
        <w:t>the growth rate of real wages and salaries remained reasonably robust. This slowdown in the growth rate of primary incomes is unlikely to continue in</w:t>
      </w:r>
      <w:r>
        <w:rPr>
          <w:color w:val="231F20"/>
          <w:spacing w:val="-2"/>
          <w:sz w:val="24"/>
        </w:rPr>
        <w:t> </w:t>
      </w:r>
      <w:r>
        <w:rPr>
          <w:color w:val="231F20"/>
          <w:sz w:val="24"/>
        </w:rPr>
        <w:t>1999.</w:t>
      </w:r>
    </w:p>
    <w:p>
      <w:pPr>
        <w:spacing w:line="242" w:lineRule="auto" w:before="10"/>
        <w:ind w:left="165" w:right="510" w:firstLine="0"/>
        <w:jc w:val="left"/>
        <w:rPr>
          <w:sz w:val="24"/>
        </w:rPr>
      </w:pPr>
      <w:r>
        <w:rPr>
          <w:color w:val="231F20"/>
          <w:sz w:val="24"/>
        </w:rPr>
        <w:t>Households’ net interest payments are likely to fall </w:t>
      </w:r>
      <w:r>
        <w:rPr>
          <w:color w:val="231F20"/>
          <w:spacing w:val="-8"/>
          <w:sz w:val="24"/>
        </w:rPr>
        <w:t>in </w:t>
      </w:r>
      <w:r>
        <w:rPr>
          <w:color w:val="231F20"/>
          <w:sz w:val="24"/>
        </w:rPr>
        <w:t>1999, as the rise in official interest rates over</w:t>
      </w:r>
      <w:r>
        <w:rPr>
          <w:color w:val="231F20"/>
          <w:spacing w:val="-11"/>
          <w:sz w:val="24"/>
        </w:rPr>
        <w:t> </w:t>
      </w:r>
      <w:r>
        <w:rPr>
          <w:color w:val="231F20"/>
          <w:sz w:val="24"/>
        </w:rPr>
        <w:t>the</w:t>
      </w:r>
    </w:p>
    <w:p>
      <w:pPr>
        <w:spacing w:line="242" w:lineRule="auto" w:before="2"/>
        <w:ind w:left="165" w:right="148" w:firstLine="0"/>
        <w:jc w:val="left"/>
        <w:rPr>
          <w:sz w:val="24"/>
        </w:rPr>
      </w:pPr>
      <w:r>
        <w:rPr>
          <w:color w:val="231F20"/>
          <w:sz w:val="24"/>
        </w:rPr>
        <w:t>14 months to June 1998 has now been more than completely reversed. This fall in official interest rates tends to feed through to lower loan rates for households with a lag, partly because of the impact of fixed-rate </w:t>
      </w:r>
      <w:hyperlink w:history="true" w:anchor="_bookmark2">
        <w:r>
          <w:rPr>
            <w:color w:val="231F20"/>
            <w:sz w:val="24"/>
          </w:rPr>
          <w:t>loans (see Section 1).</w:t>
        </w:r>
      </w:hyperlink>
      <w:r>
        <w:rPr>
          <w:color w:val="231F20"/>
          <w:sz w:val="24"/>
        </w:rPr>
        <w:t> In addition, surveys by the British Chambers of Commerce (BCC) have found a recovery in firms’ profit expectations in recent months, suggesting that the growth rate of dividend payments is unlikely to weaken much further in 1999.</w:t>
      </w:r>
    </w:p>
    <w:p>
      <w:pPr>
        <w:pStyle w:val="BodyText"/>
        <w:spacing w:before="10"/>
        <w:rPr>
          <w:sz w:val="28"/>
        </w:rPr>
      </w:pPr>
    </w:p>
    <w:p>
      <w:pPr>
        <w:spacing w:line="242" w:lineRule="auto" w:before="0"/>
        <w:ind w:left="165" w:right="180" w:firstLine="0"/>
        <w:jc w:val="left"/>
        <w:rPr>
          <w:sz w:val="24"/>
        </w:rPr>
      </w:pPr>
      <w:r>
        <w:rPr>
          <w:color w:val="231F20"/>
          <w:sz w:val="24"/>
        </w:rPr>
        <w:t>Household spending will also be affected by wage and salary developments and wealth considerations. The MPC’s central expectation is that this year’s growth rate of real earnings may be slightly stronger than in 1998 </w:t>
      </w:r>
      <w:hyperlink w:history="true" w:anchor="_bookmark30">
        <w:r>
          <w:rPr>
            <w:color w:val="231F20"/>
            <w:sz w:val="24"/>
          </w:rPr>
          <w:t>(see Section 6).</w:t>
        </w:r>
      </w:hyperlink>
      <w:r>
        <w:rPr>
          <w:color w:val="231F20"/>
          <w:sz w:val="24"/>
        </w:rPr>
        <w:t> Furthermore, there are likely to be positive wealth effects on spending stemming from higher house and equity prices. Consequently, it seems likely that consumption growth will gradually return to around its trend rate of increase over the next twelve months.</w:t>
      </w:r>
    </w:p>
    <w:p>
      <w:pPr>
        <w:spacing w:after="0" w:line="242" w:lineRule="auto"/>
        <w:jc w:val="left"/>
        <w:rPr>
          <w:sz w:val="24"/>
        </w:rPr>
        <w:sectPr>
          <w:type w:val="continuous"/>
          <w:pgSz w:w="11900" w:h="16840"/>
          <w:pgMar w:top="1220" w:bottom="280" w:left="640" w:right="640"/>
          <w:cols w:num="2" w:equalWidth="0">
            <w:col w:w="3684" w:space="1111"/>
            <w:col w:w="5825"/>
          </w:cols>
        </w:sectPr>
      </w:pPr>
    </w:p>
    <w:p>
      <w:pPr>
        <w:pStyle w:val="BodyText"/>
        <w:rPr>
          <w:sz w:val="20"/>
        </w:rPr>
      </w:pPr>
    </w:p>
    <w:p>
      <w:pPr>
        <w:spacing w:before="207"/>
        <w:ind w:left="4980" w:right="0" w:firstLine="0"/>
        <w:jc w:val="left"/>
        <w:rPr>
          <w:i/>
          <w:sz w:val="24"/>
        </w:rPr>
      </w:pPr>
      <w:bookmarkStart w:name="Investment demand" w:id="37"/>
      <w:bookmarkEnd w:id="37"/>
      <w:r>
        <w:rPr/>
      </w:r>
      <w:bookmarkStart w:name="_bookmark14" w:id="38"/>
      <w:bookmarkEnd w:id="38"/>
      <w:r>
        <w:rPr/>
      </w:r>
      <w:r>
        <w:rPr>
          <w:i/>
          <w:color w:val="009483"/>
          <w:sz w:val="24"/>
        </w:rPr>
        <w:t>Investment demand</w:t>
      </w:r>
    </w:p>
    <w:p>
      <w:pPr>
        <w:spacing w:line="242" w:lineRule="auto" w:before="164"/>
        <w:ind w:left="4980" w:right="181" w:firstLine="0"/>
        <w:jc w:val="left"/>
        <w:rPr>
          <w:sz w:val="24"/>
        </w:rPr>
      </w:pPr>
      <w:r>
        <w:rPr>
          <w:color w:val="231F20"/>
          <w:sz w:val="24"/>
        </w:rPr>
        <w:t>Whole-economy investment increased by 2.9% in Q4 and the level of investment in Q3 was revised up by 1% relative to the position reported in December. Business and government investment both increased strongly in the fourth quarter, more than offsetting a 5.7% decline </w:t>
      </w:r>
      <w:r>
        <w:rPr>
          <w:color w:val="231F20"/>
          <w:spacing w:val="-9"/>
          <w:sz w:val="24"/>
        </w:rPr>
        <w:t>in </w:t>
      </w:r>
      <w:r>
        <w:rPr>
          <w:color w:val="231F20"/>
          <w:sz w:val="24"/>
        </w:rPr>
        <w:t>private sector spending on dwellings.  The Q4 outturn for total investment was stronger than the </w:t>
      </w:r>
      <w:r>
        <w:rPr>
          <w:color w:val="231F20"/>
          <w:spacing w:val="-3"/>
          <w:sz w:val="24"/>
        </w:rPr>
        <w:t>MPC’s </w:t>
      </w:r>
      <w:r>
        <w:rPr>
          <w:color w:val="231F20"/>
          <w:sz w:val="24"/>
        </w:rPr>
        <w:t>central projection at the time of the February</w:t>
      </w:r>
      <w:r>
        <w:rPr>
          <w:color w:val="231F20"/>
          <w:spacing w:val="-1"/>
          <w:sz w:val="24"/>
        </w:rPr>
        <w:t> </w:t>
      </w:r>
      <w:r>
        <w:rPr>
          <w:i/>
          <w:color w:val="231F20"/>
          <w:sz w:val="24"/>
        </w:rPr>
        <w:t>Report</w:t>
      </w:r>
      <w:r>
        <w:rPr>
          <w:color w:val="231F20"/>
          <w:sz w:val="24"/>
        </w:rPr>
        <w:t>.</w:t>
      </w:r>
    </w:p>
    <w:p>
      <w:pPr>
        <w:pStyle w:val="BodyText"/>
        <w:spacing w:before="8"/>
        <w:rPr>
          <w:sz w:val="28"/>
        </w:rPr>
      </w:pPr>
    </w:p>
    <w:p>
      <w:pPr>
        <w:spacing w:line="242" w:lineRule="auto" w:before="0"/>
        <w:ind w:left="4979" w:right="314" w:firstLine="0"/>
        <w:jc w:val="left"/>
        <w:rPr>
          <w:sz w:val="24"/>
        </w:rPr>
      </w:pPr>
      <w:r>
        <w:rPr>
          <w:color w:val="231F20"/>
          <w:sz w:val="24"/>
        </w:rPr>
        <w:t>Investment reflects the difference between the current and desired levels of a </w:t>
      </w:r>
      <w:r>
        <w:rPr>
          <w:color w:val="231F20"/>
          <w:spacing w:val="-4"/>
          <w:sz w:val="24"/>
        </w:rPr>
        <w:t>firm’s </w:t>
      </w:r>
      <w:r>
        <w:rPr>
          <w:color w:val="231F20"/>
          <w:sz w:val="24"/>
        </w:rPr>
        <w:t>capital stock. This, in turn, is influenced by the current level of capacity utilisation, expectations about future output and </w:t>
      </w:r>
      <w:r>
        <w:rPr>
          <w:color w:val="231F20"/>
          <w:spacing w:val="-4"/>
          <w:sz w:val="24"/>
        </w:rPr>
        <w:t>profits, </w:t>
      </w:r>
      <w:r>
        <w:rPr>
          <w:color w:val="231F20"/>
          <w:sz w:val="24"/>
        </w:rPr>
        <w:t>the </w:t>
      </w:r>
      <w:r>
        <w:rPr>
          <w:color w:val="231F20"/>
          <w:spacing w:val="-4"/>
          <w:sz w:val="24"/>
        </w:rPr>
        <w:t>firm’s </w:t>
      </w:r>
      <w:r>
        <w:rPr>
          <w:color w:val="231F20"/>
          <w:sz w:val="24"/>
        </w:rPr>
        <w:t>financial position, advances in technology, and the cost of capital. Unfortunately, the desired capital stock is not directly observable. As a result, attention (at the macroeconomic level) is generally focused on proxy measures, such as the estimated deviation from trend of the capital stock to GDP ratio and survey measures of capacity utilisation rates and investment intentions.</w:t>
      </w:r>
    </w:p>
    <w:p>
      <w:pPr>
        <w:pStyle w:val="BodyText"/>
        <w:spacing w:before="4"/>
        <w:rPr>
          <w:sz w:val="21"/>
        </w:rPr>
      </w:pPr>
    </w:p>
    <w:p>
      <w:pPr>
        <w:spacing w:after="0"/>
        <w:rPr>
          <w:sz w:val="21"/>
        </w:rPr>
        <w:sectPr>
          <w:pgSz w:w="11900" w:h="16840"/>
          <w:pgMar w:header="586" w:footer="617" w:top="780" w:bottom="80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9"/>
        </w:rPr>
      </w:pPr>
    </w:p>
    <w:p>
      <w:pPr>
        <w:pStyle w:val="Heading4"/>
        <w:spacing w:before="0"/>
      </w:pPr>
      <w:r>
        <w:rPr>
          <w:color w:val="0093C1"/>
        </w:rPr>
        <w:t>Chart 2.12</w:t>
      </w:r>
    </w:p>
    <w:p>
      <w:pPr>
        <w:pStyle w:val="Heading4"/>
        <w:spacing w:line="249" w:lineRule="auto"/>
        <w:ind w:right="20"/>
      </w:pPr>
      <w:r>
        <w:rPr>
          <w:color w:val="0093C1"/>
        </w:rPr>
        <w:t>Real business investment and the net capital stock</w:t>
      </w:r>
    </w:p>
    <w:p>
      <w:pPr>
        <w:spacing w:line="242" w:lineRule="auto" w:before="90"/>
        <w:ind w:left="170" w:right="181" w:firstLine="0"/>
        <w:jc w:val="left"/>
        <w:rPr>
          <w:sz w:val="24"/>
        </w:rPr>
      </w:pPr>
      <w:r>
        <w:rPr/>
        <w:br w:type="column"/>
      </w:r>
      <w:r>
        <w:rPr>
          <w:color w:val="231F20"/>
          <w:sz w:val="24"/>
        </w:rPr>
        <w:t>The ONS has recently published revised estimates for the capital stock, following the recommendations of a study undertaken by the National Institute.</w:t>
      </w:r>
      <w:r>
        <w:rPr>
          <w:color w:val="231F20"/>
          <w:position w:val="5"/>
          <w:sz w:val="16"/>
        </w:rPr>
        <w:t>(1) </w:t>
      </w:r>
      <w:r>
        <w:rPr>
          <w:color w:val="231F20"/>
          <w:sz w:val="24"/>
        </w:rPr>
        <w:t>This study highlighted the possibility that previous estimates of the UK capital stock were too large, since they failed to take enough account of capital scrapping in economic downturns and of the effects of rapid technological change. In particular, there may have been an increasing amount of investment in assets with shorter lives, notably computers and related equipment.</w:t>
      </w:r>
    </w:p>
    <w:p>
      <w:pPr>
        <w:spacing w:after="0" w:line="242" w:lineRule="auto"/>
        <w:jc w:val="left"/>
        <w:rPr>
          <w:sz w:val="24"/>
        </w:rPr>
        <w:sectPr>
          <w:type w:val="continuous"/>
          <w:pgSz w:w="11900" w:h="16840"/>
          <w:pgMar w:top="1220" w:bottom="280" w:left="640" w:right="640"/>
          <w:cols w:num="2" w:equalWidth="0">
            <w:col w:w="3977" w:space="833"/>
            <w:col w:w="5810"/>
          </w:cols>
        </w:sectPr>
      </w:pPr>
    </w:p>
    <w:p>
      <w:pPr>
        <w:pStyle w:val="BodyText"/>
        <w:spacing w:before="7"/>
        <w:rPr>
          <w:sz w:val="9"/>
        </w:rPr>
      </w:pPr>
    </w:p>
    <w:p>
      <w:pPr>
        <w:spacing w:line="117" w:lineRule="exact" w:before="0"/>
        <w:ind w:left="448" w:right="0" w:firstLine="0"/>
        <w:jc w:val="left"/>
        <w:rPr>
          <w:sz w:val="12"/>
        </w:rPr>
      </w:pPr>
      <w:r>
        <w:rPr>
          <w:sz w:val="12"/>
        </w:rPr>
        <w:t>Ratio</w:t>
      </w:r>
    </w:p>
    <w:p>
      <w:pPr>
        <w:spacing w:line="117" w:lineRule="exact" w:before="0"/>
        <w:ind w:left="250" w:right="0" w:firstLine="0"/>
        <w:jc w:val="left"/>
        <w:rPr>
          <w:sz w:val="12"/>
        </w:rPr>
      </w:pPr>
      <w:r>
        <w:rPr/>
        <w:pict>
          <v:group style="position:absolute;margin-left:54.417pt;margin-top:9.69534pt;width:164.25pt;height:128.9pt;mso-position-horizontal-relative:page;mso-position-vertical-relative:paragraph;z-index:15909376" coordorigin="1088,194" coordsize="3285,2578">
            <v:line style="position:absolute" from="1227,2114" to="4240,2114" stroked="true" strokeweight=".5pt" strokecolor="#000000">
              <v:stroke dashstyle="solid"/>
            </v:line>
            <v:shape style="position:absolute;left:1232;top:2193;width:818;height:493" coordorigin="1233,2194" coordsize="818,493" path="m1233,2336l1268,2384m1268,2384l1290,2194m1290,2194l1325,2399m1325,2399l1360,2414m1360,2414l1395,2289m1395,2289l1418,2319m1418,2319l1453,2384m1453,2384l1485,2556m1485,2556l1520,2256m1520,2256l1543,2414m1543,2414l1578,2319m1578,2319l1613,2304m1613,2304l1648,2271m1648,2271l1670,2431m1670,2431l1705,2509m1705,2509l1740,2336m1740,2336l1773,2431m1773,2431l1798,2304m1798,2304l1833,2399m1833,2399l1865,2431m1865,2431l1900,2414m1900,2414l1923,2461m1923,2461l1958,2509m1958,2509l1993,2666m1993,2666l2028,2684m2028,2684l2050,2686e" filled="false" stroked="true" strokeweight="1pt" strokecolor="#ed1b2d">
              <v:path arrowok="t"/>
              <v:stroke dashstyle="solid"/>
            </v:shape>
            <v:line style="position:absolute" from="2040,2685" to="2095,2685" stroked="true" strokeweight="1.125pt" strokecolor="#ed1b2d">
              <v:stroke dashstyle="solid"/>
            </v:line>
            <v:shape style="position:absolute;left:2085;top:2241;width:380;height:520" coordorigin="2085,2241" coordsize="380,520" path="m2085,2684l2120,2651m2120,2651l2153,2666m2153,2666l2178,2541m2178,2541l2210,2589m2210,2589l2245,2731m2245,2731l2280,2714m2280,2714l2303,2761m2303,2761l2338,2556m2338,2556l2373,2589m2373,2589l2408,2414m2408,2414l2430,2336m2430,2336l2465,2241e" filled="false" stroked="true" strokeweight="1pt" strokecolor="#ed1b2d">
              <v:path arrowok="t"/>
              <v:stroke dashstyle="solid"/>
            </v:shape>
            <v:line style="position:absolute" from="2483,1869" to="2483,2251" stroked="true" strokeweight="2.75pt" strokecolor="#ed1b2d">
              <v:stroke dashstyle="solid"/>
            </v:line>
            <v:shape style="position:absolute;left:2500;top:1878;width:288;height:678" coordorigin="2500,1879" coordsize="288,678" path="m2500,1879l2533,2414m2533,2414l2558,2319m2558,2319l2590,2336m2590,2336l2625,2366m2625,2366l2660,2556m2660,2556l2683,2399m2683,2399l2718,2479m2718,2479l2753,2494m2753,2494l2788,2384e" filled="false" stroked="true" strokeweight="1pt" strokecolor="#ed1b2d">
              <v:path arrowok="t"/>
              <v:stroke dashstyle="solid"/>
            </v:shape>
            <v:line style="position:absolute" from="2799,2151" to="2799,2394" stroked="true" strokeweight="2.125pt" strokecolor="#ed1b2d">
              <v:stroke dashstyle="solid"/>
            </v:line>
            <v:shape style="position:absolute;left:2810;top:821;width:1428;height:1483" coordorigin="2810,821" coordsize="1428,1483" path="m2810,2161l2845,1956m2845,1956l2878,1941m2878,1941l2913,1909m2913,1909l2935,1784m2935,1784l2970,1689m2970,1689l3005,1514m3005,1514l3040,1419m3040,1419l3063,1356m3063,1356l3098,1404m3098,1404l3133,1436m3133,1436l3168,1419m3168,1419l3190,1451m3190,1451l3225,1514m3225,1514l3258,1594m3258,1594l3293,1784m3293,1784l3315,1971m3315,1971l3350,1831m3350,1831l3385,1846m3385,1846l3420,1909m3420,1909l3443,1956m3443,1956l3478,2146m3478,2146l3513,2066m3513,2066l3545,2226m3545,2226l3570,2229m3570,2226l3603,2209m3603,2209l3638,2161m3638,2161l3673,2304m3673,2304l3695,2209m3695,2209l3730,2161m3730,2161l3765,2209m3765,2209l3800,2084m3800,2084l3823,1894m3823,1894l3858,1909m3858,1909l3893,1719m3893,1719l3925,1814m3925,1814l3950,1766m3950,1766l3983,1799m3983,1799l4018,1656m4018,1656l4053,1546m4053,1546l4075,1514m4075,1514l4110,1341m4110,1341l4145,1214m4145,1214l4180,1246m4180,1246l4203,1089m4203,1089l4238,821e" filled="false" stroked="true" strokeweight="1pt" strokecolor="#ed1b2d">
              <v:path arrowok="t"/>
              <v:stroke dashstyle="solid"/>
            </v:shape>
            <v:shape style="position:absolute;left:1232;top:773;width:565;height:253" coordorigin="1233,774" coordsize="565,253" path="m1233,961l1268,821m1268,821l1290,774m1290,774l1325,804m1325,804l1360,884m1360,884l1395,789m1395,789l1418,804m1418,804l1453,899m1453,899l1485,851m1485,851l1520,789m1520,789l1543,804m1543,804l1578,851m1578,851l1613,836m1613,836l1648,851m1648,851l1670,884m1670,884l1705,866m1705,866l1740,804m1740,804l1773,1026m1773,1026l1798,836e" filled="false" stroked="true" strokeweight="1pt" strokecolor="#40ad49">
              <v:path arrowok="t"/>
              <v:stroke dashstyle="solid"/>
            </v:shape>
            <v:line style="position:absolute" from="1788,837" to="1843,837" stroked="true" strokeweight="1.125pt" strokecolor="#40ad49">
              <v:stroke dashstyle="solid"/>
            </v:line>
            <v:shape style="position:absolute;left:1832;top:346;width:253;height:490" coordorigin="1833,346" coordsize="253,490" path="m1833,836l1865,756m1865,756l1900,584m1900,584l1923,521m1923,521l1958,409m1958,409l1993,361m1993,361l2028,346m2028,346l2050,441m2050,441l2085,409e" filled="false" stroked="true" strokeweight="1pt" strokecolor="#40ad49">
              <v:path arrowok="t"/>
              <v:stroke dashstyle="solid"/>
            </v:shape>
            <v:line style="position:absolute" from="2075,410" to="2130,410" stroked="true" strokeweight="1.125pt" strokecolor="#40ad49">
              <v:stroke dashstyle="solid"/>
            </v:line>
            <v:shape style="position:absolute;left:2120;top:408;width:125;height:223" coordorigin="2120,409" coordsize="125,223" path="m2120,409l2153,489m2153,489l2178,491m2178,489l2210,504m2210,504l2245,631e" filled="false" stroked="true" strokeweight="1pt" strokecolor="#40ad49">
              <v:path arrowok="t"/>
              <v:stroke dashstyle="solid"/>
            </v:shape>
            <v:line style="position:absolute" from="2235,632" to="2290,632" stroked="true" strokeweight="1.125pt" strokecolor="#40ad49">
              <v:stroke dashstyle="solid"/>
            </v:line>
            <v:shape style="position:absolute;left:2280;top:631;width:438;height:520" coordorigin="2280,631" coordsize="438,520" path="m2280,631l2303,694m2303,694l2338,756m2338,756l2373,804m2373,804l2408,774m2408,774l2430,741m2430,741l2465,789m2465,789l2500,851m2500,851l2533,946m2533,946l2558,914m2558,914l2590,931m2590,931l2625,1009m2625,1009l2660,1056m2660,1056l2683,1104m2683,1104l2718,1151e" filled="false" stroked="true" strokeweight="1pt" strokecolor="#40ad49">
              <v:path arrowok="t"/>
              <v:stroke dashstyle="solid"/>
            </v:shape>
            <v:line style="position:absolute" from="2708,1152" to="2763,1152" stroked="true" strokeweight="1.125pt" strokecolor="#40ad49">
              <v:stroke dashstyle="solid"/>
            </v:line>
            <v:shape style="position:absolute;left:2752;top:1151;width:125;height:158" coordorigin="2753,1151" coordsize="125,158" path="m2753,1151l2788,1184m2788,1184l2810,1261m2810,1261l2845,1279m2845,1279l2878,1309e" filled="false" stroked="true" strokeweight="1pt" strokecolor="#40ad49">
              <v:path arrowok="t"/>
              <v:stroke dashstyle="solid"/>
            </v:shape>
            <v:line style="position:absolute" from="2868,1310" to="2923,1310" stroked="true" strokeweight="1.125pt" strokecolor="#40ad49">
              <v:stroke dashstyle="solid"/>
            </v:line>
            <v:line style="position:absolute" from="2913,1309" to="2935,1341" stroked="true" strokeweight="1pt" strokecolor="#40ad49">
              <v:stroke dashstyle="solid"/>
            </v:line>
            <v:line style="position:absolute" from="2925,1342" to="2980,1342" stroked="true" strokeweight="1.125pt" strokecolor="#40ad49">
              <v:stroke dashstyle="solid"/>
            </v:line>
            <v:shape style="position:absolute;left:2970;top:598;width:795;height:743" coordorigin="2970,599" coordsize="795,743" path="m2970,1341l3005,1279m3005,1279l3040,1231m3040,1231l3063,1166m3063,1166l3098,1089m3098,1089l3133,1074m3133,1074l3168,1041m3168,1041l3190,884m3190,884l3225,789m3225,789l3258,741m3258,741l3293,661m3293,661l3315,631m3315,631l3350,599m3350,599l3385,646m3385,646l3420,679m3420,679l3443,756m3443,756l3478,836m3478,836l3513,789m3513,789l3545,756m3545,756l3570,759m3570,756l3603,741m3603,741l3673,866m3673,866l3695,946m3695,946l3730,979m3730,979l3765,994e" filled="false" stroked="true" strokeweight="1pt" strokecolor="#40ad49">
              <v:path arrowok="t"/>
              <v:stroke dashstyle="solid"/>
            </v:shape>
            <v:line style="position:absolute" from="3755,995" to="3810,995" stroked="true" strokeweight="1.125pt" strokecolor="#40ad49">
              <v:stroke dashstyle="solid"/>
            </v:line>
            <v:line style="position:absolute" from="3800,994" to="3822,996" stroked="true" strokeweight="1pt" strokecolor="#40ad49">
              <v:stroke dashstyle="solid"/>
            </v:line>
            <v:line style="position:absolute" from="3812,995" to="3867,995" stroked="true" strokeweight="1.125pt" strokecolor="#40ad49">
              <v:stroke dashstyle="solid"/>
            </v:line>
            <v:shape style="position:absolute;left:3857;top:993;width:93;height:33" coordorigin="3857,994" coordsize="93,33" path="m3857,994l3892,1026m3892,1026l3925,1009m3925,1009l3950,1011e" filled="false" stroked="true" strokeweight="1pt" strokecolor="#40ad49">
              <v:path arrowok="t"/>
              <v:stroke dashstyle="solid"/>
            </v:shape>
            <v:line style="position:absolute" from="3940,1010" to="3992,1010" stroked="true" strokeweight="1.125pt" strokecolor="#40ad49">
              <v:stroke dashstyle="solid"/>
            </v:line>
            <v:shape style="position:absolute;left:3982;top:1008;width:93;height:50" coordorigin="3982,1009" coordsize="93,50" path="m3982,1009l4017,1041m4017,1041l4052,1056m4052,1056l4075,1059e" filled="false" stroked="true" strokeweight="1pt" strokecolor="#40ad49">
              <v:path arrowok="t"/>
              <v:stroke dashstyle="solid"/>
            </v:shape>
            <v:line style="position:absolute" from="4065,1057" to="4120,1057" stroked="true" strokeweight="1.125pt" strokecolor="#40ad49">
              <v:stroke dashstyle="solid"/>
            </v:line>
            <v:shape style="position:absolute;left:4110;top:866;width:128;height:190" coordorigin="4110,866" coordsize="128,190" path="m4110,1056l4145,1026m4145,1026l4180,994m4180,994l4202,946m4202,946l4237,866e" filled="false" stroked="true" strokeweight="1pt" strokecolor="#40ad49">
              <v:path arrowok="t"/>
              <v:stroke dashstyle="solid"/>
            </v:shape>
            <v:shape style="position:absolute;left:1088;top:800;width:3285;height:1501" coordorigin="1088,801" coordsize="3285,1501" path="m1088,801l1175,801m1088,1551l1175,1551m1088,2301l1175,2301m4286,801l4372,801m4286,1551l4372,1551m4286,2301l4372,2301e" filled="false" stroked="true" strokeweight=".5pt" strokecolor="#000000">
              <v:path arrowok="t"/>
              <v:stroke dashstyle="solid"/>
            </v:shape>
            <v:shape style="position:absolute;left:1226;top:193;width:3034;height:659" type="#_x0000_t202" filled="false" stroked="false">
              <v:textbox inset="0,0,0,0">
                <w:txbxContent>
                  <w:p>
                    <w:pPr>
                      <w:spacing w:line="208" w:lineRule="auto" w:before="9"/>
                      <w:ind w:left="929" w:right="1258" w:hanging="60"/>
                      <w:jc w:val="left"/>
                      <w:rPr>
                        <w:sz w:val="12"/>
                      </w:rPr>
                    </w:pPr>
                    <w:r>
                      <w:rPr>
                        <w:sz w:val="12"/>
                      </w:rPr>
                      <w:t>Capital stock/GDP (left-hand scale)</w:t>
                    </w:r>
                  </w:p>
                  <w:p>
                    <w:pPr>
                      <w:spacing w:line="240" w:lineRule="auto" w:before="0"/>
                      <w:rPr>
                        <w:sz w:val="12"/>
                      </w:rPr>
                    </w:pPr>
                  </w:p>
                  <w:p>
                    <w:pPr>
                      <w:spacing w:line="240" w:lineRule="auto" w:before="6"/>
                      <w:rPr>
                        <w:sz w:val="11"/>
                      </w:rPr>
                    </w:pPr>
                  </w:p>
                  <w:p>
                    <w:pPr>
                      <w:tabs>
                        <w:tab w:pos="1461" w:val="left" w:leader="none"/>
                        <w:tab w:pos="3013" w:val="left" w:leader="none"/>
                      </w:tabs>
                      <w:spacing w:before="1"/>
                      <w:ind w:left="0" w:right="0" w:firstLine="0"/>
                      <w:jc w:val="left"/>
                      <w:rPr>
                        <w:sz w:val="12"/>
                      </w:rPr>
                    </w:pPr>
                    <w:r>
                      <w:rPr>
                        <w:sz w:val="12"/>
                        <w:u w:val="single"/>
                      </w:rPr>
                      <w:t> </w:t>
                      <w:tab/>
                      <w:t>Average</w:t>
                      <w:tab/>
                    </w:r>
                  </w:p>
                </w:txbxContent>
              </v:textbox>
              <w10:wrap type="none"/>
            </v:shape>
            <v:shape style="position:absolute;left:1439;top:1968;width:427;height:133" type="#_x0000_t202" filled="false" stroked="false">
              <v:textbox inset="0,0,0,0">
                <w:txbxContent>
                  <w:p>
                    <w:pPr>
                      <w:spacing w:line="133" w:lineRule="exact" w:before="0"/>
                      <w:ind w:left="0" w:right="0" w:firstLine="0"/>
                      <w:jc w:val="left"/>
                      <w:rPr>
                        <w:sz w:val="12"/>
                      </w:rPr>
                    </w:pPr>
                    <w:r>
                      <w:rPr>
                        <w:sz w:val="12"/>
                      </w:rPr>
                      <w:t>Average</w:t>
                    </w:r>
                  </w:p>
                </w:txbxContent>
              </v:textbox>
              <w10:wrap type="none"/>
            </v:shape>
            <v:shape style="position:absolute;left:2795;top:2458;width:930;height:254" type="#_x0000_t202" filled="false" stroked="false">
              <v:textbox inset="0,0,0,0">
                <w:txbxContent>
                  <w:p>
                    <w:pPr>
                      <w:spacing w:line="208" w:lineRule="auto" w:before="9"/>
                      <w:ind w:left="60" w:right="18" w:hanging="60"/>
                      <w:jc w:val="left"/>
                      <w:rPr>
                        <w:sz w:val="12"/>
                      </w:rPr>
                    </w:pPr>
                    <w:r>
                      <w:rPr>
                        <w:sz w:val="12"/>
                      </w:rPr>
                      <w:t>Investment/GDP (right-hand scale)</w:t>
                    </w:r>
                  </w:p>
                </w:txbxContent>
              </v:textbox>
              <w10:wrap type="none"/>
            </v:shape>
            <w10:wrap type="none"/>
          </v:group>
        </w:pict>
      </w:r>
      <w:r>
        <w:rPr/>
        <w:pict>
          <v:line style="position:absolute;mso-position-horizontal-relative:page;mso-position-vertical-relative:paragraph;z-index:15909888" from="54.417pt,2.532253pt" to="58.75pt,2.532253pt" stroked="true" strokeweight=".5pt" strokecolor="#000000">
            <v:stroke dashstyle="solid"/>
            <w10:wrap type="none"/>
          </v:line>
        </w:pict>
      </w:r>
      <w:r>
        <w:rPr>
          <w:sz w:val="12"/>
        </w:rPr>
        <w:t>5.0</w:t>
      </w:r>
    </w:p>
    <w:p>
      <w:pPr>
        <w:pStyle w:val="BodyText"/>
        <w:rPr>
          <w:sz w:val="12"/>
        </w:rPr>
      </w:pPr>
    </w:p>
    <w:p>
      <w:pPr>
        <w:pStyle w:val="BodyText"/>
        <w:rPr>
          <w:sz w:val="12"/>
        </w:rPr>
      </w:pPr>
    </w:p>
    <w:p>
      <w:pPr>
        <w:pStyle w:val="BodyText"/>
        <w:rPr>
          <w:sz w:val="12"/>
        </w:rPr>
      </w:pPr>
    </w:p>
    <w:p>
      <w:pPr>
        <w:pStyle w:val="BodyText"/>
        <w:spacing w:before="10"/>
        <w:rPr>
          <w:sz w:val="17"/>
        </w:rPr>
      </w:pPr>
    </w:p>
    <w:p>
      <w:pPr>
        <w:spacing w:before="0"/>
        <w:ind w:left="250" w:right="0" w:firstLine="0"/>
        <w:jc w:val="left"/>
        <w:rPr>
          <w:sz w:val="12"/>
        </w:rPr>
      </w:pPr>
      <w:r>
        <w:rPr>
          <w:sz w:val="12"/>
        </w:rPr>
        <w:t>4.5</w:t>
      </w:r>
    </w:p>
    <w:p>
      <w:pPr>
        <w:pStyle w:val="BodyText"/>
        <w:rPr>
          <w:sz w:val="12"/>
        </w:rPr>
      </w:pPr>
    </w:p>
    <w:p>
      <w:pPr>
        <w:pStyle w:val="BodyText"/>
        <w:rPr>
          <w:sz w:val="12"/>
        </w:rPr>
      </w:pPr>
    </w:p>
    <w:p>
      <w:pPr>
        <w:pStyle w:val="BodyText"/>
        <w:rPr>
          <w:sz w:val="12"/>
        </w:rPr>
      </w:pPr>
    </w:p>
    <w:p>
      <w:pPr>
        <w:pStyle w:val="BodyText"/>
        <w:spacing w:before="7"/>
        <w:rPr>
          <w:sz w:val="16"/>
        </w:rPr>
      </w:pPr>
    </w:p>
    <w:p>
      <w:pPr>
        <w:spacing w:before="0"/>
        <w:ind w:left="250" w:right="0" w:firstLine="0"/>
        <w:jc w:val="left"/>
        <w:rPr>
          <w:sz w:val="12"/>
        </w:rPr>
      </w:pPr>
      <w:r>
        <w:rPr>
          <w:sz w:val="12"/>
        </w:rPr>
        <w:t>4.0</w:t>
      </w:r>
    </w:p>
    <w:p>
      <w:pPr>
        <w:pStyle w:val="BodyText"/>
        <w:rPr>
          <w:sz w:val="12"/>
        </w:rPr>
      </w:pPr>
    </w:p>
    <w:p>
      <w:pPr>
        <w:pStyle w:val="BodyText"/>
        <w:rPr>
          <w:sz w:val="12"/>
        </w:rPr>
      </w:pPr>
    </w:p>
    <w:p>
      <w:pPr>
        <w:pStyle w:val="BodyText"/>
        <w:rPr>
          <w:sz w:val="12"/>
        </w:rPr>
      </w:pPr>
    </w:p>
    <w:p>
      <w:pPr>
        <w:pStyle w:val="BodyText"/>
        <w:spacing w:before="10"/>
        <w:rPr>
          <w:sz w:val="17"/>
        </w:rPr>
      </w:pPr>
    </w:p>
    <w:p>
      <w:pPr>
        <w:spacing w:before="0"/>
        <w:ind w:left="250" w:right="0" w:firstLine="0"/>
        <w:jc w:val="left"/>
        <w:rPr>
          <w:sz w:val="12"/>
        </w:rPr>
      </w:pPr>
      <w:r>
        <w:rPr>
          <w:sz w:val="12"/>
        </w:rPr>
        <w:t>3.5</w:t>
      </w:r>
    </w:p>
    <w:p>
      <w:pPr>
        <w:pStyle w:val="BodyText"/>
        <w:rPr>
          <w:sz w:val="12"/>
        </w:rPr>
      </w:pPr>
    </w:p>
    <w:p>
      <w:pPr>
        <w:pStyle w:val="BodyText"/>
        <w:rPr>
          <w:sz w:val="12"/>
        </w:rPr>
      </w:pPr>
    </w:p>
    <w:p>
      <w:pPr>
        <w:pStyle w:val="BodyText"/>
        <w:rPr>
          <w:sz w:val="12"/>
        </w:rPr>
      </w:pPr>
    </w:p>
    <w:p>
      <w:pPr>
        <w:pStyle w:val="BodyText"/>
        <w:spacing w:before="6"/>
        <w:rPr>
          <w:sz w:val="16"/>
        </w:rPr>
      </w:pPr>
    </w:p>
    <w:p>
      <w:pPr>
        <w:spacing w:line="129" w:lineRule="exact" w:before="1"/>
        <w:ind w:left="250" w:right="0" w:firstLine="0"/>
        <w:jc w:val="left"/>
        <w:rPr>
          <w:sz w:val="12"/>
        </w:rPr>
      </w:pPr>
      <w:r>
        <w:rPr/>
        <w:pict>
          <v:group style="position:absolute;margin-left:54.417pt;margin-top:1.032223pt;width:164.25pt;height:2.9pt;mso-position-horizontal-relative:page;mso-position-vertical-relative:paragraph;z-index:15907328" coordorigin="1088,21" coordsize="3285,58">
            <v:line style="position:absolute" from="1233,73" to="4238,71" stroked="true" strokeweight=".5pt" strokecolor="#000000">
              <v:stroke dashstyle="solid"/>
            </v:line>
            <v:shape style="position:absolute;left:1233;top:20;width:2913;height:58" coordorigin="1234,21" coordsize="2913,58" path="m1234,21l1234,78m1361,21l1361,78m1486,21l1486,78m1614,21l1614,78m1741,21l1741,78m1866,21l1866,78m1994,21l1994,78m2121,21l2121,78m2246,21l2246,78m2374,21l2374,78m2501,21l2501,78m2626,21l2626,78m2754,21l2754,78m2879,21l2879,78m3006,21l3006,78m3134,21l3134,78m3259,21l3259,78m3386,21l3386,78m3514,21l3514,78m3639,21l3639,78m3766,21l3766,78m3894,21l3894,78m4019,21l4019,78m4146,21l4146,78e" filled="false" stroked="true" strokeweight=".625pt" strokecolor="#000000">
              <v:path arrowok="t"/>
              <v:stroke dashstyle="solid"/>
            </v:shape>
            <v:shape style="position:absolute;left:1088;top:73;width:3285;height:2" coordorigin="1088,74" coordsize="3285,0" path="m1088,74l1175,74m4286,74l4372,74e" filled="false" stroked="true" strokeweight=".5pt" strokecolor="#000000">
              <v:path arrowok="t"/>
              <v:stroke dashstyle="solid"/>
            </v:shape>
            <w10:wrap type="none"/>
          </v:group>
        </w:pict>
      </w:r>
      <w:r>
        <w:rPr>
          <w:sz w:val="12"/>
        </w:rPr>
        <w:t>3.0</w:t>
      </w:r>
    </w:p>
    <w:p>
      <w:pPr>
        <w:tabs>
          <w:tab w:pos="1282" w:val="left" w:leader="none"/>
          <w:tab w:pos="1662" w:val="left" w:leader="none"/>
          <w:tab w:pos="2042" w:val="left" w:leader="none"/>
          <w:tab w:pos="2422" w:val="left" w:leader="none"/>
          <w:tab w:pos="2802" w:val="left" w:leader="none"/>
          <w:tab w:pos="3182" w:val="left" w:leader="none"/>
        </w:tabs>
        <w:spacing w:line="129" w:lineRule="exact" w:before="0"/>
        <w:ind w:left="471" w:right="0" w:firstLine="0"/>
        <w:jc w:val="left"/>
        <w:rPr>
          <w:sz w:val="12"/>
        </w:rPr>
      </w:pPr>
      <w:r>
        <w:rPr>
          <w:sz w:val="12"/>
        </w:rPr>
        <w:t>1975     </w:t>
      </w:r>
      <w:r>
        <w:rPr>
          <w:spacing w:val="11"/>
          <w:sz w:val="12"/>
        </w:rPr>
        <w:t> </w:t>
      </w:r>
      <w:r>
        <w:rPr>
          <w:sz w:val="12"/>
        </w:rPr>
        <w:t>78</w:t>
        <w:tab/>
        <w:t>81</w:t>
        <w:tab/>
        <w:t>84</w:t>
        <w:tab/>
        <w:t>87</w:t>
        <w:tab/>
        <w:t>90</w:t>
        <w:tab/>
        <w:t>93</w:t>
        <w:tab/>
      </w:r>
      <w:r>
        <w:rPr>
          <w:spacing w:val="-10"/>
          <w:sz w:val="12"/>
        </w:rPr>
        <w:t>96</w:t>
      </w:r>
    </w:p>
    <w:p>
      <w:pPr>
        <w:pStyle w:val="BodyText"/>
        <w:spacing w:before="3"/>
        <w:rPr>
          <w:sz w:val="15"/>
        </w:rPr>
      </w:pPr>
    </w:p>
    <w:p>
      <w:pPr>
        <w:spacing w:before="0"/>
        <w:ind w:left="160" w:right="0" w:firstLine="0"/>
        <w:jc w:val="left"/>
        <w:rPr>
          <w:sz w:val="12"/>
        </w:rPr>
      </w:pPr>
      <w:r>
        <w:rPr>
          <w:color w:val="231F20"/>
          <w:sz w:val="12"/>
        </w:rPr>
        <w:t>Note: Averages are calculated over 1975–98.</w:t>
      </w:r>
    </w:p>
    <w:p>
      <w:pPr>
        <w:pStyle w:val="BodyText"/>
        <w:spacing w:before="7"/>
        <w:rPr>
          <w:sz w:val="9"/>
        </w:rPr>
      </w:pPr>
      <w:r>
        <w:rPr/>
        <w:br w:type="column"/>
      </w:r>
      <w:r>
        <w:rPr>
          <w:sz w:val="9"/>
        </w:rPr>
      </w:r>
    </w:p>
    <w:p>
      <w:pPr>
        <w:spacing w:line="114" w:lineRule="exact" w:before="0"/>
        <w:ind w:left="-1" w:right="0" w:firstLine="0"/>
        <w:jc w:val="left"/>
        <w:rPr>
          <w:sz w:val="12"/>
        </w:rPr>
      </w:pPr>
      <w:r>
        <w:rPr>
          <w:sz w:val="12"/>
        </w:rPr>
        <w:t>Per cent</w:t>
      </w:r>
    </w:p>
    <w:p>
      <w:pPr>
        <w:spacing w:line="114" w:lineRule="exact" w:before="0"/>
        <w:ind w:left="416" w:right="0" w:firstLine="0"/>
        <w:jc w:val="left"/>
        <w:rPr>
          <w:sz w:val="12"/>
        </w:rPr>
      </w:pPr>
      <w:r>
        <w:rPr/>
        <w:pict>
          <v:line style="position:absolute;mso-position-horizontal-relative:page;mso-position-vertical-relative:paragraph;z-index:15910400" from="214.292007pt,2.693615pt" to="218.625007pt,2.693615pt" stroked="true" strokeweight=".5pt" strokecolor="#000000">
            <v:stroke dashstyle="solid"/>
            <w10:wrap type="none"/>
          </v:line>
        </w:pict>
      </w:r>
      <w:r>
        <w:rPr>
          <w:sz w:val="12"/>
        </w:rPr>
        <w:t>16</w:t>
      </w:r>
    </w:p>
    <w:p>
      <w:pPr>
        <w:pStyle w:val="BodyText"/>
        <w:rPr>
          <w:sz w:val="12"/>
        </w:rPr>
      </w:pPr>
    </w:p>
    <w:p>
      <w:pPr>
        <w:pStyle w:val="BodyText"/>
        <w:rPr>
          <w:sz w:val="12"/>
        </w:rPr>
      </w:pPr>
    </w:p>
    <w:p>
      <w:pPr>
        <w:pStyle w:val="BodyText"/>
        <w:rPr>
          <w:sz w:val="12"/>
        </w:rPr>
      </w:pPr>
    </w:p>
    <w:p>
      <w:pPr>
        <w:pStyle w:val="BodyText"/>
        <w:spacing w:before="10"/>
        <w:rPr>
          <w:sz w:val="17"/>
        </w:rPr>
      </w:pPr>
    </w:p>
    <w:p>
      <w:pPr>
        <w:spacing w:before="0"/>
        <w:ind w:left="0" w:right="38" w:firstLine="0"/>
        <w:jc w:val="right"/>
        <w:rPr>
          <w:sz w:val="12"/>
        </w:rPr>
      </w:pPr>
      <w:r>
        <w:rPr>
          <w:sz w:val="12"/>
        </w:rPr>
        <w:t>14</w:t>
      </w:r>
    </w:p>
    <w:p>
      <w:pPr>
        <w:pStyle w:val="BodyText"/>
        <w:rPr>
          <w:sz w:val="12"/>
        </w:rPr>
      </w:pPr>
    </w:p>
    <w:p>
      <w:pPr>
        <w:pStyle w:val="BodyText"/>
        <w:rPr>
          <w:sz w:val="12"/>
        </w:rPr>
      </w:pPr>
    </w:p>
    <w:p>
      <w:pPr>
        <w:pStyle w:val="BodyText"/>
        <w:rPr>
          <w:sz w:val="12"/>
        </w:rPr>
      </w:pPr>
    </w:p>
    <w:p>
      <w:pPr>
        <w:pStyle w:val="BodyText"/>
        <w:spacing w:before="7"/>
        <w:rPr>
          <w:sz w:val="16"/>
        </w:rPr>
      </w:pPr>
    </w:p>
    <w:p>
      <w:pPr>
        <w:spacing w:before="0"/>
        <w:ind w:left="0" w:right="38" w:firstLine="0"/>
        <w:jc w:val="right"/>
        <w:rPr>
          <w:sz w:val="12"/>
        </w:rPr>
      </w:pPr>
      <w:r>
        <w:rPr>
          <w:sz w:val="12"/>
        </w:rPr>
        <w:t>12</w:t>
      </w:r>
    </w:p>
    <w:p>
      <w:pPr>
        <w:pStyle w:val="BodyText"/>
        <w:rPr>
          <w:sz w:val="12"/>
        </w:rPr>
      </w:pPr>
    </w:p>
    <w:p>
      <w:pPr>
        <w:pStyle w:val="BodyText"/>
        <w:rPr>
          <w:sz w:val="12"/>
        </w:rPr>
      </w:pPr>
    </w:p>
    <w:p>
      <w:pPr>
        <w:pStyle w:val="BodyText"/>
        <w:rPr>
          <w:sz w:val="12"/>
        </w:rPr>
      </w:pPr>
    </w:p>
    <w:p>
      <w:pPr>
        <w:pStyle w:val="BodyText"/>
        <w:spacing w:before="10"/>
        <w:rPr>
          <w:sz w:val="17"/>
        </w:rPr>
      </w:pPr>
    </w:p>
    <w:p>
      <w:pPr>
        <w:spacing w:before="0"/>
        <w:ind w:left="0" w:right="38" w:firstLine="0"/>
        <w:jc w:val="right"/>
        <w:rPr>
          <w:sz w:val="12"/>
        </w:rPr>
      </w:pPr>
      <w:r>
        <w:rPr>
          <w:sz w:val="12"/>
        </w:rPr>
        <w:t>10</w:t>
      </w:r>
    </w:p>
    <w:p>
      <w:pPr>
        <w:pStyle w:val="BodyText"/>
        <w:rPr>
          <w:sz w:val="12"/>
        </w:rPr>
      </w:pPr>
    </w:p>
    <w:p>
      <w:pPr>
        <w:pStyle w:val="BodyText"/>
        <w:rPr>
          <w:sz w:val="12"/>
        </w:rPr>
      </w:pPr>
    </w:p>
    <w:p>
      <w:pPr>
        <w:pStyle w:val="BodyText"/>
        <w:rPr>
          <w:sz w:val="12"/>
        </w:rPr>
      </w:pPr>
    </w:p>
    <w:p>
      <w:pPr>
        <w:pStyle w:val="BodyText"/>
        <w:spacing w:before="6"/>
        <w:rPr>
          <w:sz w:val="16"/>
        </w:rPr>
      </w:pPr>
    </w:p>
    <w:p>
      <w:pPr>
        <w:spacing w:before="1"/>
        <w:ind w:left="0" w:right="38" w:firstLine="0"/>
        <w:jc w:val="right"/>
        <w:rPr>
          <w:sz w:val="12"/>
        </w:rPr>
      </w:pPr>
      <w:r>
        <w:rPr>
          <w:sz w:val="12"/>
        </w:rPr>
        <w:t>8</w:t>
      </w:r>
    </w:p>
    <w:p>
      <w:pPr>
        <w:pStyle w:val="BodyText"/>
        <w:spacing w:before="10"/>
        <w:rPr>
          <w:sz w:val="28"/>
        </w:rPr>
      </w:pPr>
      <w:r>
        <w:rPr/>
        <w:br w:type="column"/>
      </w:r>
      <w:r>
        <w:rPr>
          <w:sz w:val="28"/>
        </w:rPr>
      </w:r>
    </w:p>
    <w:p>
      <w:pPr>
        <w:spacing w:line="242" w:lineRule="auto" w:before="1"/>
        <w:ind w:left="180" w:right="200" w:firstLine="0"/>
        <w:jc w:val="left"/>
        <w:rPr>
          <w:sz w:val="24"/>
        </w:rPr>
      </w:pPr>
      <w:r>
        <w:rPr>
          <w:color w:val="231F20"/>
          <w:sz w:val="24"/>
        </w:rPr>
        <w:t>Chart 2.12 shows the business sector capital stock to output ratio on the basis of the new figures. As a result of revised assumptions about the service lives of assets, the estimated level of the net capital stock in 1997 is now around 4% lower than previously thought. Despite the strong growth in business investment over the past four years, the capital stock to output ratio has only just returned to its long-run average. The revisions may help to explain why business spending on capital has exceeded the MPC’s expectations recently, and suggest that this year’s growth rate of investment may not slow by as much as had been previously thought.</w:t>
      </w:r>
    </w:p>
    <w:p>
      <w:pPr>
        <w:pStyle w:val="BodyText"/>
        <w:rPr>
          <w:sz w:val="20"/>
        </w:rPr>
      </w:pPr>
    </w:p>
    <w:p>
      <w:pPr>
        <w:pStyle w:val="BodyText"/>
        <w:spacing w:before="5"/>
        <w:rPr>
          <w:sz w:val="23"/>
        </w:rPr>
      </w:pPr>
      <w:r>
        <w:rPr/>
        <w:pict>
          <v:shape style="position:absolute;margin-left:278.5pt;margin-top:15.565127pt;width:278pt;height:.1pt;mso-position-horizontal-relative:page;mso-position-vertical-relative:paragraph;z-index:-15550464;mso-wrap-distance-left:0;mso-wrap-distance-right:0" coordorigin="5570,311" coordsize="5560,0" path="m5570,311l11130,311e" filled="false" stroked="true" strokeweight=".125pt" strokecolor="#231f20">
            <v:path arrowok="t"/>
            <v:stroke dashstyle="solid"/>
            <w10:wrap type="topAndBottom"/>
          </v:shape>
        </w:pict>
      </w:r>
    </w:p>
    <w:p>
      <w:pPr>
        <w:spacing w:line="208" w:lineRule="auto" w:before="1"/>
        <w:ind w:left="400" w:right="734" w:hanging="240"/>
        <w:jc w:val="left"/>
        <w:rPr>
          <w:sz w:val="16"/>
        </w:rPr>
      </w:pPr>
      <w:r>
        <w:rPr>
          <w:color w:val="231F20"/>
          <w:sz w:val="16"/>
        </w:rPr>
        <w:t>(1) See ‘The capital stock of the United Kingdom—some new developments in coverage and methodology’, </w:t>
      </w:r>
      <w:r>
        <w:rPr>
          <w:i/>
          <w:color w:val="231F20"/>
          <w:sz w:val="16"/>
        </w:rPr>
        <w:t>Economic Trends</w:t>
      </w:r>
      <w:r>
        <w:rPr>
          <w:color w:val="231F20"/>
          <w:sz w:val="16"/>
        </w:rPr>
        <w:t>, March 1999, and ‘Improving the estimates of capital stock’, </w:t>
      </w:r>
      <w:r>
        <w:rPr>
          <w:i/>
          <w:color w:val="231F20"/>
          <w:sz w:val="16"/>
        </w:rPr>
        <w:t>National Institute Economic </w:t>
      </w:r>
      <w:r>
        <w:rPr>
          <w:i/>
          <w:color w:val="231F20"/>
          <w:sz w:val="16"/>
        </w:rPr>
        <w:t>Review</w:t>
      </w:r>
      <w:r>
        <w:rPr>
          <w:color w:val="231F20"/>
          <w:sz w:val="16"/>
        </w:rPr>
        <w:t>, February 1994.</w:t>
      </w:r>
    </w:p>
    <w:p>
      <w:pPr>
        <w:spacing w:after="0" w:line="208" w:lineRule="auto"/>
        <w:jc w:val="left"/>
        <w:rPr>
          <w:sz w:val="16"/>
        </w:rPr>
        <w:sectPr>
          <w:type w:val="continuous"/>
          <w:pgSz w:w="11900" w:h="16840"/>
          <w:pgMar w:top="1220" w:bottom="280" w:left="640" w:right="640"/>
          <w:cols w:num="3" w:equalWidth="0">
            <w:col w:w="3303" w:space="40"/>
            <w:col w:w="577" w:space="880"/>
            <w:col w:w="5820"/>
          </w:cols>
        </w:sectPr>
      </w:pPr>
    </w:p>
    <w:p>
      <w:pPr>
        <w:pStyle w:val="BodyText"/>
        <w:rPr>
          <w:sz w:val="20"/>
        </w:rPr>
      </w:pPr>
    </w:p>
    <w:p>
      <w:pPr>
        <w:spacing w:after="0"/>
        <w:rPr>
          <w:sz w:val="20"/>
        </w:rPr>
        <w:sectPr>
          <w:pgSz w:w="11900" w:h="16840"/>
          <w:pgMar w:header="586" w:footer="597" w:top="780" w:bottom="78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3"/>
        </w:rPr>
      </w:pPr>
    </w:p>
    <w:p>
      <w:pPr>
        <w:pStyle w:val="Heading4"/>
        <w:spacing w:before="0"/>
        <w:ind w:left="175"/>
      </w:pPr>
      <w:r>
        <w:rPr>
          <w:color w:val="0093C1"/>
        </w:rPr>
        <w:t>Chart 2.13</w:t>
      </w:r>
    </w:p>
    <w:p>
      <w:pPr>
        <w:pStyle w:val="Heading4"/>
        <w:ind w:left="175"/>
      </w:pPr>
      <w:r>
        <w:rPr>
          <w:color w:val="0093C1"/>
        </w:rPr>
        <w:t>Influences on services investment</w:t>
      </w:r>
    </w:p>
    <w:p>
      <w:pPr>
        <w:spacing w:before="100"/>
        <w:ind w:left="2208" w:right="0" w:firstLine="0"/>
        <w:jc w:val="left"/>
        <w:rPr>
          <w:sz w:val="12"/>
        </w:rPr>
      </w:pPr>
      <w:r>
        <w:rPr/>
        <w:pict>
          <v:line style="position:absolute;mso-position-horizontal-relative:page;mso-position-vertical-relative:paragraph;z-index:15912960" from="43.529999pt,12.601563pt" to="46.279999pt,12.601563pt" stroked="true" strokeweight=".5pt" strokecolor="#000000">
            <v:stroke dashstyle="solid"/>
            <w10:wrap type="none"/>
          </v:line>
        </w:pict>
      </w:r>
      <w:r>
        <w:rPr/>
        <w:pict>
          <v:line style="position:absolute;mso-position-horizontal-relative:page;mso-position-vertical-relative:paragraph;z-index:-21220864" from="201.529999pt,12.601563pt" to="204.279999pt,12.601563pt" stroked="true" strokeweight=".5pt" strokecolor="#000000">
            <v:stroke dashstyle="solid"/>
            <w10:wrap type="none"/>
          </v:line>
        </w:pict>
      </w:r>
      <w:r>
        <w:rPr>
          <w:sz w:val="12"/>
        </w:rPr>
        <w:t>Percentage point balances</w:t>
      </w:r>
      <w:r>
        <w:rPr>
          <w:spacing w:val="26"/>
          <w:sz w:val="12"/>
        </w:rPr>
        <w:t> </w:t>
      </w:r>
      <w:r>
        <w:rPr>
          <w:position w:val="-6"/>
          <w:sz w:val="12"/>
        </w:rPr>
        <w:t>60</w:t>
      </w:r>
    </w:p>
    <w:p>
      <w:pPr>
        <w:pStyle w:val="BodyText"/>
        <w:spacing w:before="4"/>
        <w:rPr>
          <w:sz w:val="20"/>
        </w:rPr>
      </w:pPr>
    </w:p>
    <w:p>
      <w:pPr>
        <w:spacing w:before="1"/>
        <w:ind w:left="0" w:right="38" w:firstLine="0"/>
        <w:jc w:val="right"/>
        <w:rPr>
          <w:sz w:val="12"/>
        </w:rPr>
      </w:pPr>
      <w:r>
        <w:rPr/>
        <w:pict>
          <v:group style="position:absolute;margin-left:43.404999pt;margin-top:1.77699pt;width:161pt;height:125pt;mso-position-horizontal-relative:page;mso-position-vertical-relative:paragraph;z-index:15911936" coordorigin="868,36" coordsize="3220,2500">
            <v:line style="position:absolute" from="3982,1959" to="999,1962" stroked="true" strokeweight=".5pt" strokecolor="#000000">
              <v:stroke dashstyle="solid"/>
            </v:line>
            <v:shape style="position:absolute;left:988;top:760;width:2983;height:1765" coordorigin="988,761" coordsize="2983,1765" path="m988,911l1053,1293,1133,1361,1213,1443,1278,1443,1358,1626,1423,1893,1503,2143,1586,2526,1648,2343,1731,2143,1811,2193,1876,1993,1956,1843,2021,2108,2181,1743,2246,1593,2326,1393,2406,1393,2471,1361,2551,1328,2616,1393,2696,1293,2778,943,2841,1211,2923,1243,3003,1243,3068,1061,3148,1061,3213,1178,3293,1061,3373,911,3438,911,3518,761,3601,1061,3663,978,3746,943,3808,1443,3891,1328,3971,1293e" filled="false" stroked="true" strokeweight="1pt" strokecolor="#0093c0">
              <v:path arrowok="t"/>
              <v:stroke dashstyle="solid"/>
            </v:shape>
            <v:shape style="position:absolute;left:988;top:45;width:2983;height:1880" coordorigin="988,46" coordsize="2983,1880" path="m988,163l1053,728,1133,728,1213,911,1278,978,1358,1211,1423,1811,1503,1926,1586,1661,1648,1661,1731,878,1811,1128,1876,1178,1956,878,2021,1811,2101,1211,2181,728,2246,496,2326,311,2406,611,2471,428,2551,378,2616,461,2696,578,2778,528,2841,828,2923,943,3003,761,3068,378,3148,428,3213,278,3293,46,3373,196,3438,278,3518,163,3601,346,3663,428,3746,678,3808,1328,3891,1393,3971,943e" filled="false" stroked="true" strokeweight="1pt" strokecolor="#df6f1d">
              <v:path arrowok="t"/>
              <v:stroke dashstyle="solid"/>
            </v:shape>
            <v:shape style="position:absolute;left:868;top:75;width:3220;height:2270" coordorigin="868,76" coordsize="3220,2270" path="m873,76l928,76m4033,76l4088,76m873,461l928,461m4033,461l4088,461m868,831l923,831m4028,831l4083,831m868,1211l923,1211m4028,1211l4083,1211m871,1591l926,1591m4031,1591l4086,1591m871,1961l926,1961m4031,1961l4086,1961m871,2346l926,2346m4031,2346l4086,2346e" filled="false" stroked="true" strokeweight=".5pt" strokecolor="#000000">
              <v:path arrowok="t"/>
              <v:stroke dashstyle="solid"/>
            </v:shape>
            <v:shape style="position:absolute;left:1618;top:165;width:924;height:134" type="#_x0000_t202" filled="false" stroked="false">
              <v:textbox inset="0,0,0,0">
                <w:txbxContent>
                  <w:p>
                    <w:pPr>
                      <w:spacing w:line="133" w:lineRule="exact" w:before="0"/>
                      <w:ind w:left="0" w:right="0" w:firstLine="0"/>
                      <w:jc w:val="left"/>
                      <w:rPr>
                        <w:sz w:val="12"/>
                      </w:rPr>
                    </w:pPr>
                    <w:r>
                      <w:rPr>
                        <w:sz w:val="12"/>
                      </w:rPr>
                      <w:t>Profit expectations</w:t>
                    </w:r>
                  </w:p>
                </w:txbxContent>
              </v:textbox>
              <w10:wrap type="none"/>
            </v:shape>
            <v:shape style="position:absolute;left:1895;top:2178;width:1130;height:251" type="#_x0000_t202" filled="false" stroked="false">
              <v:textbox inset="0,0,0,0">
                <w:txbxContent>
                  <w:p>
                    <w:pPr>
                      <w:spacing w:line="204" w:lineRule="auto" w:before="12"/>
                      <w:ind w:left="50" w:right="0" w:hanging="50"/>
                      <w:jc w:val="left"/>
                      <w:rPr>
                        <w:sz w:val="12"/>
                      </w:rPr>
                    </w:pPr>
                    <w:r>
                      <w:rPr>
                        <w:sz w:val="12"/>
                      </w:rPr>
                      <w:t>Investment intentions (plant and machinery)</w:t>
                    </w:r>
                  </w:p>
                </w:txbxContent>
              </v:textbox>
              <w10:wrap type="none"/>
            </v:shape>
            <w10:wrap type="none"/>
          </v:group>
        </w:pict>
      </w:r>
      <w:r>
        <w:rPr>
          <w:sz w:val="12"/>
        </w:rPr>
        <w:t>50</w:t>
      </w:r>
    </w:p>
    <w:p>
      <w:pPr>
        <w:pStyle w:val="BodyText"/>
        <w:rPr>
          <w:sz w:val="12"/>
        </w:rPr>
      </w:pPr>
    </w:p>
    <w:p>
      <w:pPr>
        <w:spacing w:before="106"/>
        <w:ind w:left="0" w:right="38" w:firstLine="0"/>
        <w:jc w:val="right"/>
        <w:rPr>
          <w:sz w:val="12"/>
        </w:rPr>
      </w:pPr>
      <w:r>
        <w:rPr>
          <w:sz w:val="12"/>
        </w:rPr>
        <w:t>40</w:t>
      </w:r>
    </w:p>
    <w:p>
      <w:pPr>
        <w:pStyle w:val="BodyText"/>
        <w:rPr>
          <w:sz w:val="12"/>
        </w:rPr>
      </w:pPr>
    </w:p>
    <w:p>
      <w:pPr>
        <w:spacing w:before="89"/>
        <w:ind w:left="0" w:right="38" w:firstLine="0"/>
        <w:jc w:val="right"/>
        <w:rPr>
          <w:sz w:val="12"/>
        </w:rPr>
      </w:pPr>
      <w:r>
        <w:rPr>
          <w:sz w:val="12"/>
        </w:rPr>
        <w:t>30</w:t>
      </w:r>
    </w:p>
    <w:p>
      <w:pPr>
        <w:pStyle w:val="BodyText"/>
        <w:rPr>
          <w:sz w:val="12"/>
        </w:rPr>
      </w:pPr>
    </w:p>
    <w:p>
      <w:pPr>
        <w:spacing w:before="107"/>
        <w:ind w:left="0" w:right="38" w:firstLine="0"/>
        <w:jc w:val="right"/>
        <w:rPr>
          <w:sz w:val="12"/>
        </w:rPr>
      </w:pPr>
      <w:r>
        <w:rPr>
          <w:sz w:val="12"/>
        </w:rPr>
        <w:t>20</w:t>
      </w:r>
    </w:p>
    <w:p>
      <w:pPr>
        <w:pStyle w:val="BodyText"/>
        <w:rPr>
          <w:sz w:val="12"/>
        </w:rPr>
      </w:pPr>
    </w:p>
    <w:p>
      <w:pPr>
        <w:spacing w:before="106"/>
        <w:ind w:left="0" w:right="38" w:firstLine="0"/>
        <w:jc w:val="right"/>
        <w:rPr>
          <w:sz w:val="12"/>
        </w:rPr>
      </w:pPr>
      <w:r>
        <w:rPr>
          <w:sz w:val="12"/>
        </w:rPr>
        <w:t>10</w:t>
      </w:r>
    </w:p>
    <w:p>
      <w:pPr>
        <w:spacing w:before="32"/>
        <w:ind w:left="0" w:right="100" w:firstLine="0"/>
        <w:jc w:val="right"/>
        <w:rPr>
          <w:sz w:val="16"/>
        </w:rPr>
      </w:pPr>
      <w:r>
        <w:rPr>
          <w:sz w:val="16"/>
        </w:rPr>
        <w:t>+</w:t>
      </w:r>
    </w:p>
    <w:p>
      <w:pPr>
        <w:spacing w:line="242" w:lineRule="auto" w:before="207"/>
        <w:ind w:left="175" w:right="249" w:firstLine="0"/>
        <w:jc w:val="left"/>
        <w:rPr>
          <w:sz w:val="24"/>
        </w:rPr>
      </w:pPr>
      <w:r>
        <w:rPr/>
        <w:br w:type="column"/>
      </w:r>
      <w:r>
        <w:rPr>
          <w:color w:val="231F20"/>
          <w:sz w:val="24"/>
        </w:rPr>
        <w:t>Turning to the other influences on investment, the real cost of borrowing faced by firms continues to fall.</w:t>
      </w:r>
    </w:p>
    <w:p>
      <w:pPr>
        <w:spacing w:line="242" w:lineRule="auto" w:before="3"/>
        <w:ind w:left="175" w:right="249" w:firstLine="0"/>
        <w:jc w:val="left"/>
        <w:rPr>
          <w:sz w:val="20"/>
        </w:rPr>
      </w:pPr>
      <w:r>
        <w:rPr>
          <w:color w:val="231F20"/>
          <w:sz w:val="24"/>
        </w:rPr>
        <w:t>Interest rates have been reduced further in the past few months; the London clearing banks’ base rate is now at its lowest level since 1994 Q3. And equity prices have rebounded strongly since October, with the F</w:t>
      </w:r>
      <w:r>
        <w:rPr>
          <w:color w:val="231F20"/>
          <w:sz w:val="20"/>
        </w:rPr>
        <w:t>T-SE</w:t>
      </w:r>
    </w:p>
    <w:p>
      <w:pPr>
        <w:spacing w:line="242" w:lineRule="auto" w:before="5"/>
        <w:ind w:left="175" w:right="249" w:firstLine="0"/>
        <w:jc w:val="left"/>
        <w:rPr>
          <w:sz w:val="24"/>
        </w:rPr>
      </w:pPr>
      <w:r>
        <w:rPr>
          <w:color w:val="231F20"/>
          <w:sz w:val="24"/>
        </w:rPr>
        <w:t>All-Share index reaching new highs in April (see </w:t>
      </w:r>
      <w:hyperlink w:history="true" w:anchor="_bookmark2">
        <w:r>
          <w:rPr>
            <w:color w:val="231F20"/>
            <w:sz w:val="24"/>
          </w:rPr>
          <w:t>Section 1).</w:t>
        </w:r>
      </w:hyperlink>
    </w:p>
    <w:p>
      <w:pPr>
        <w:pStyle w:val="BodyText"/>
        <w:rPr>
          <w:sz w:val="28"/>
        </w:rPr>
      </w:pPr>
    </w:p>
    <w:p>
      <w:pPr>
        <w:spacing w:line="242" w:lineRule="auto" w:before="0"/>
        <w:ind w:left="175" w:right="249" w:firstLine="0"/>
        <w:jc w:val="left"/>
        <w:rPr>
          <w:sz w:val="24"/>
        </w:rPr>
      </w:pPr>
      <w:r>
        <w:rPr>
          <w:color w:val="231F20"/>
          <w:sz w:val="24"/>
        </w:rPr>
        <w:t>The latest BCC survey found that profit expectations among service sector firms recovered in 1999 Q1.</w:t>
      </w:r>
    </w:p>
    <w:p>
      <w:pPr>
        <w:spacing w:line="242" w:lineRule="auto" w:before="3"/>
        <w:ind w:left="175" w:right="155" w:firstLine="0"/>
        <w:jc w:val="left"/>
        <w:rPr>
          <w:sz w:val="24"/>
        </w:rPr>
      </w:pPr>
      <w:r>
        <w:rPr>
          <w:color w:val="231F20"/>
          <w:sz w:val="24"/>
        </w:rPr>
        <w:t>Correspondingly, investment intentions in the sector</w:t>
      </w:r>
      <w:r>
        <w:rPr>
          <w:color w:val="231F20"/>
          <w:spacing w:val="-25"/>
          <w:sz w:val="24"/>
        </w:rPr>
        <w:t> </w:t>
      </w:r>
      <w:r>
        <w:rPr>
          <w:color w:val="231F20"/>
          <w:spacing w:val="-7"/>
          <w:sz w:val="24"/>
        </w:rPr>
        <w:t>have </w:t>
      </w:r>
      <w:r>
        <w:rPr>
          <w:color w:val="231F20"/>
          <w:sz w:val="24"/>
        </w:rPr>
        <w:t>also improved. Although these intentions remain below the levels observed in 1997, they are close to the balances recorded during 1994–96 (see Chart 2.13), suggesting that further growth in service sector investment is</w:t>
      </w:r>
      <w:r>
        <w:rPr>
          <w:color w:val="231F20"/>
          <w:spacing w:val="-1"/>
          <w:sz w:val="24"/>
        </w:rPr>
        <w:t> </w:t>
      </w:r>
      <w:r>
        <w:rPr>
          <w:color w:val="231F20"/>
          <w:spacing w:val="-3"/>
          <w:sz w:val="24"/>
        </w:rPr>
        <w:t>likely.</w:t>
      </w:r>
    </w:p>
    <w:p>
      <w:pPr>
        <w:spacing w:after="0" w:line="242" w:lineRule="auto"/>
        <w:jc w:val="left"/>
        <w:rPr>
          <w:sz w:val="24"/>
        </w:rPr>
        <w:sectPr>
          <w:type w:val="continuous"/>
          <w:pgSz w:w="11900" w:h="16840"/>
          <w:pgMar w:top="1220" w:bottom="280" w:left="640" w:right="640"/>
          <w:cols w:num="2" w:equalWidth="0">
            <w:col w:w="3671" w:space="1113"/>
            <w:col w:w="5836"/>
          </w:cols>
        </w:sectPr>
      </w:pPr>
    </w:p>
    <w:p>
      <w:pPr>
        <w:spacing w:before="14"/>
        <w:ind w:left="0" w:right="3376" w:firstLine="0"/>
        <w:jc w:val="center"/>
        <w:rPr>
          <w:sz w:val="12"/>
        </w:rPr>
      </w:pPr>
      <w:r>
        <w:rPr>
          <w:sz w:val="12"/>
        </w:rPr>
        <w:t>0</w:t>
      </w:r>
    </w:p>
    <w:p>
      <w:pPr>
        <w:tabs>
          <w:tab w:pos="4959" w:val="left" w:leader="none"/>
        </w:tabs>
        <w:spacing w:line="249" w:lineRule="exact" w:before="0"/>
        <w:ind w:left="3443" w:right="0" w:firstLine="0"/>
        <w:jc w:val="left"/>
        <w:rPr>
          <w:sz w:val="24"/>
        </w:rPr>
      </w:pPr>
      <w:r>
        <w:rPr>
          <w:position w:val="4"/>
          <w:sz w:val="16"/>
        </w:rPr>
        <w:t>_</w:t>
        <w:tab/>
      </w:r>
      <w:r>
        <w:rPr>
          <w:color w:val="231F20"/>
          <w:spacing w:val="-4"/>
          <w:sz w:val="24"/>
        </w:rPr>
        <w:t>However, </w:t>
      </w:r>
      <w:r>
        <w:rPr>
          <w:color w:val="231F20"/>
          <w:sz w:val="24"/>
        </w:rPr>
        <w:t>BCC survey results suggest that</w:t>
      </w:r>
      <w:r>
        <w:rPr>
          <w:color w:val="231F20"/>
          <w:spacing w:val="-3"/>
          <w:sz w:val="24"/>
        </w:rPr>
        <w:t> </w:t>
      </w:r>
      <w:r>
        <w:rPr>
          <w:color w:val="231F20"/>
          <w:sz w:val="24"/>
        </w:rPr>
        <w:t>investment</w:t>
      </w:r>
    </w:p>
    <w:p>
      <w:pPr>
        <w:spacing w:after="0" w:line="249" w:lineRule="exact"/>
        <w:jc w:val="left"/>
        <w:rPr>
          <w:sz w:val="24"/>
        </w:rPr>
        <w:sectPr>
          <w:type w:val="continuous"/>
          <w:pgSz w:w="11900" w:h="16840"/>
          <w:pgMar w:top="1220" w:bottom="280" w:left="640" w:right="640"/>
        </w:sectPr>
      </w:pPr>
    </w:p>
    <w:p>
      <w:pPr>
        <w:spacing w:line="133" w:lineRule="exact" w:before="0"/>
        <w:ind w:left="3510" w:right="0" w:firstLine="0"/>
        <w:jc w:val="left"/>
        <w:rPr>
          <w:sz w:val="12"/>
        </w:rPr>
      </w:pPr>
      <w:r>
        <w:rPr>
          <w:sz w:val="12"/>
        </w:rPr>
        <w:t>10</w:t>
      </w:r>
    </w:p>
    <w:p>
      <w:pPr>
        <w:pStyle w:val="BodyText"/>
        <w:rPr>
          <w:sz w:val="12"/>
        </w:rPr>
      </w:pPr>
    </w:p>
    <w:p>
      <w:pPr>
        <w:spacing w:line="129" w:lineRule="exact" w:before="89"/>
        <w:ind w:left="3510" w:right="0" w:firstLine="0"/>
        <w:jc w:val="left"/>
        <w:rPr>
          <w:sz w:val="12"/>
        </w:rPr>
      </w:pPr>
      <w:r>
        <w:rPr/>
        <w:pict>
          <v:shape style="position:absolute;margin-left:43.154999pt;margin-top:3.614563pt;width:160.75pt;height:4.95pt;mso-position-horizontal-relative:page;mso-position-vertical-relative:paragraph;z-index:15912448" coordorigin="863,72" coordsize="3215,99" path="m3971,169l988,171m863,171l918,171m4023,171l4078,171m991,171l991,81m1281,169l1281,79m1586,171l1586,81m1876,169l1876,79m2176,170l2176,80m2471,167l2471,77m2771,170l2771,80m3061,167l3061,77m3376,165l3376,75m3666,162l3666,72m3971,165l3971,75e" filled="false" stroked="true" strokeweight=".5pt" strokecolor="#000000">
            <v:path arrowok="t"/>
            <v:stroke dashstyle="solid"/>
            <w10:wrap type="none"/>
          </v:shape>
        </w:pict>
      </w:r>
      <w:r>
        <w:rPr>
          <w:sz w:val="12"/>
        </w:rPr>
        <w:t>20</w:t>
      </w:r>
    </w:p>
    <w:p>
      <w:pPr>
        <w:spacing w:line="129" w:lineRule="exact" w:before="0"/>
        <w:ind w:left="225" w:right="0" w:firstLine="0"/>
        <w:jc w:val="left"/>
        <w:rPr>
          <w:sz w:val="12"/>
        </w:rPr>
      </w:pPr>
      <w:r>
        <w:rPr>
          <w:color w:val="231F20"/>
          <w:sz w:val="12"/>
        </w:rPr>
        <w:t>1989 90 91 92 93 94 95 96 97 98 99</w:t>
      </w:r>
    </w:p>
    <w:p>
      <w:pPr>
        <w:spacing w:before="81"/>
        <w:ind w:left="165" w:right="0" w:firstLine="0"/>
        <w:jc w:val="left"/>
        <w:rPr>
          <w:sz w:val="12"/>
        </w:rPr>
      </w:pPr>
      <w:r>
        <w:rPr>
          <w:color w:val="231F20"/>
          <w:sz w:val="12"/>
        </w:rPr>
        <w:t>Source: BCC.</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2"/>
        </w:rPr>
      </w:pPr>
    </w:p>
    <w:p>
      <w:pPr>
        <w:pStyle w:val="Heading4"/>
        <w:spacing w:before="0"/>
        <w:ind w:left="160"/>
      </w:pPr>
      <w:r>
        <w:rPr>
          <w:color w:val="0093C1"/>
        </w:rPr>
        <w:t>Chart 2.14</w:t>
      </w:r>
    </w:p>
    <w:p>
      <w:pPr>
        <w:pStyle w:val="Heading4"/>
        <w:ind w:left="160"/>
      </w:pPr>
      <w:r>
        <w:rPr>
          <w:color w:val="0093C1"/>
        </w:rPr>
        <w:t>Influences on manufacturing investment</w:t>
      </w:r>
    </w:p>
    <w:p>
      <w:pPr>
        <w:spacing w:line="118" w:lineRule="exact" w:before="180"/>
        <w:ind w:left="2257" w:right="0" w:firstLine="0"/>
        <w:jc w:val="left"/>
        <w:rPr>
          <w:sz w:val="12"/>
        </w:rPr>
      </w:pPr>
      <w:r>
        <w:rPr>
          <w:sz w:val="12"/>
        </w:rPr>
        <w:t>Percentage point balances</w:t>
      </w:r>
    </w:p>
    <w:p>
      <w:pPr>
        <w:spacing w:line="118" w:lineRule="exact" w:before="0"/>
        <w:ind w:left="3550" w:right="0" w:firstLine="0"/>
        <w:jc w:val="left"/>
        <w:rPr>
          <w:sz w:val="12"/>
        </w:rPr>
      </w:pPr>
      <w:r>
        <w:rPr/>
        <w:pict>
          <v:line style="position:absolute;mso-position-horizontal-relative:page;mso-position-vertical-relative:paragraph;z-index:15914496" from="45pt,2.460907pt" to="48.25pt,2.460907pt" stroked="true" strokeweight=".5pt" strokecolor="#000000">
            <v:stroke dashstyle="solid"/>
            <w10:wrap type="none"/>
          </v:line>
        </w:pict>
      </w:r>
      <w:r>
        <w:rPr/>
        <w:pict>
          <v:line style="position:absolute;mso-position-horizontal-relative:page;mso-position-vertical-relative:paragraph;z-index:15915008" from="203.375pt,2.460907pt" to="206.625pt,2.460907pt" stroked="true" strokeweight=".5pt" strokecolor="#000000">
            <v:stroke dashstyle="solid"/>
            <w10:wrap type="none"/>
          </v:line>
        </w:pict>
      </w:r>
      <w:r>
        <w:rPr>
          <w:sz w:val="12"/>
        </w:rPr>
        <w:t>70</w:t>
      </w:r>
    </w:p>
    <w:p>
      <w:pPr>
        <w:spacing w:line="242" w:lineRule="auto" w:before="31"/>
        <w:ind w:left="160" w:right="175" w:firstLine="0"/>
        <w:jc w:val="left"/>
        <w:rPr>
          <w:sz w:val="24"/>
        </w:rPr>
      </w:pPr>
      <w:r>
        <w:rPr/>
        <w:br w:type="column"/>
      </w:r>
      <w:r>
        <w:rPr>
          <w:color w:val="231F20"/>
          <w:sz w:val="24"/>
        </w:rPr>
        <w:t>intentions among manufacturers remain significantly weaker than for service sector companies. The CBI’s measure of capacity utilisation in manufacturing remains well below the levels reached at the end of 1997. And, although there has been an improvement in confidence about future turnover and profitability, the balance of manufacturing firms expecting to authorise more capital spending remains low by historical standards (see</w:t>
      </w:r>
    </w:p>
    <w:p>
      <w:pPr>
        <w:spacing w:before="10"/>
        <w:ind w:left="160" w:right="0" w:firstLine="0"/>
        <w:jc w:val="left"/>
        <w:rPr>
          <w:sz w:val="24"/>
        </w:rPr>
      </w:pPr>
      <w:r>
        <w:rPr>
          <w:color w:val="231F20"/>
          <w:sz w:val="24"/>
        </w:rPr>
        <w:t>Chart 2.14).</w:t>
      </w:r>
    </w:p>
    <w:p>
      <w:pPr>
        <w:pStyle w:val="BodyText"/>
        <w:spacing w:before="8"/>
        <w:rPr>
          <w:sz w:val="24"/>
        </w:rPr>
      </w:pPr>
    </w:p>
    <w:p>
      <w:pPr>
        <w:spacing w:line="242" w:lineRule="auto" w:before="0"/>
        <w:ind w:left="160" w:right="284" w:firstLine="0"/>
        <w:jc w:val="left"/>
        <w:rPr>
          <w:sz w:val="24"/>
        </w:rPr>
      </w:pPr>
      <w:r>
        <w:rPr>
          <w:color w:val="231F20"/>
          <w:sz w:val="24"/>
        </w:rPr>
        <w:t>The turn of the Millennium is also likely to affect the profile of investment between 1999 and 2000,</w:t>
      </w:r>
    </w:p>
    <w:p>
      <w:pPr>
        <w:spacing w:line="242" w:lineRule="auto" w:before="3"/>
        <w:ind w:left="160" w:right="380" w:firstLine="0"/>
        <w:jc w:val="left"/>
        <w:rPr>
          <w:sz w:val="24"/>
        </w:rPr>
      </w:pPr>
      <w:r>
        <w:rPr>
          <w:color w:val="231F20"/>
          <w:sz w:val="24"/>
        </w:rPr>
        <w:t>with spending both on construction projects and IT equipment being brought forward, boosting </w:t>
      </w:r>
      <w:r>
        <w:rPr>
          <w:color w:val="231F20"/>
          <w:spacing w:val="-4"/>
          <w:sz w:val="24"/>
        </w:rPr>
        <w:t>investment </w:t>
      </w:r>
      <w:r>
        <w:rPr>
          <w:color w:val="231F20"/>
          <w:sz w:val="24"/>
        </w:rPr>
        <w:t>this </w:t>
      </w:r>
      <w:r>
        <w:rPr>
          <w:color w:val="231F20"/>
          <w:spacing w:val="-3"/>
          <w:sz w:val="24"/>
        </w:rPr>
        <w:t>year. </w:t>
      </w:r>
      <w:r>
        <w:rPr>
          <w:color w:val="231F20"/>
          <w:sz w:val="24"/>
        </w:rPr>
        <w:t>Around 40% of firms contacted by the </w:t>
      </w:r>
      <w:r>
        <w:rPr>
          <w:color w:val="231F20"/>
          <w:spacing w:val="-3"/>
          <w:sz w:val="24"/>
        </w:rPr>
        <w:t>Bank’s </w:t>
      </w:r>
      <w:r>
        <w:rPr>
          <w:color w:val="231F20"/>
          <w:sz w:val="24"/>
        </w:rPr>
        <w:t>Agents in April indicated that they still had outstanding Millennium-related investment</w:t>
      </w:r>
      <w:r>
        <w:rPr>
          <w:color w:val="231F20"/>
          <w:spacing w:val="-7"/>
          <w:sz w:val="24"/>
        </w:rPr>
        <w:t> </w:t>
      </w:r>
      <w:r>
        <w:rPr>
          <w:color w:val="231F20"/>
          <w:sz w:val="24"/>
        </w:rPr>
        <w:t>spending</w:t>
      </w:r>
    </w:p>
    <w:p>
      <w:pPr>
        <w:spacing w:after="0" w:line="242" w:lineRule="auto"/>
        <w:jc w:val="left"/>
        <w:rPr>
          <w:sz w:val="24"/>
        </w:rPr>
        <w:sectPr>
          <w:type w:val="continuous"/>
          <w:pgSz w:w="11900" w:h="16840"/>
          <w:pgMar w:top="1220" w:bottom="280" w:left="640" w:right="640"/>
          <w:cols w:num="2" w:equalWidth="0">
            <w:col w:w="3711" w:space="1089"/>
            <w:col w:w="5820"/>
          </w:cols>
        </w:sectPr>
      </w:pPr>
    </w:p>
    <w:p>
      <w:pPr>
        <w:spacing w:before="62"/>
        <w:ind w:left="492" w:right="0" w:firstLine="0"/>
        <w:jc w:val="left"/>
        <w:rPr>
          <w:sz w:val="12"/>
        </w:rPr>
      </w:pPr>
      <w:r>
        <w:rPr>
          <w:sz w:val="12"/>
        </w:rPr>
        <w:t>Capacity utilisation (CBI)</w:t>
      </w:r>
    </w:p>
    <w:p>
      <w:pPr>
        <w:tabs>
          <w:tab w:pos="1902" w:val="left" w:leader="none"/>
        </w:tabs>
        <w:spacing w:before="6"/>
        <w:ind w:left="492" w:right="0" w:firstLine="0"/>
        <w:jc w:val="left"/>
        <w:rPr>
          <w:sz w:val="24"/>
        </w:rPr>
      </w:pPr>
      <w:r>
        <w:rPr/>
        <w:br w:type="column"/>
      </w:r>
      <w:r>
        <w:rPr>
          <w:position w:val="8"/>
          <w:sz w:val="12"/>
        </w:rPr>
        <w:t>60</w:t>
        <w:tab/>
      </w:r>
      <w:r>
        <w:rPr>
          <w:color w:val="231F20"/>
          <w:sz w:val="24"/>
        </w:rPr>
        <w:t>plans. About two thirds of this expenditure</w:t>
      </w:r>
      <w:r>
        <w:rPr>
          <w:color w:val="231F20"/>
          <w:spacing w:val="-4"/>
          <w:sz w:val="24"/>
        </w:rPr>
        <w:t> </w:t>
      </w:r>
      <w:r>
        <w:rPr>
          <w:color w:val="231F20"/>
          <w:sz w:val="24"/>
        </w:rPr>
        <w:t>was</w:t>
      </w:r>
    </w:p>
    <w:p>
      <w:pPr>
        <w:tabs>
          <w:tab w:pos="1902" w:val="left" w:leader="none"/>
        </w:tabs>
        <w:spacing w:before="4"/>
        <w:ind w:left="492" w:right="0" w:firstLine="0"/>
        <w:jc w:val="left"/>
        <w:rPr>
          <w:sz w:val="24"/>
        </w:rPr>
      </w:pPr>
      <w:r>
        <w:rPr/>
        <w:pict>
          <v:group style="position:absolute;margin-left:44.937pt;margin-top:-12.496472pt;width:162.15pt;height:136.9pt;mso-position-horizontal-relative:page;mso-position-vertical-relative:paragraph;z-index:-21220352" coordorigin="899,-250" coordsize="3243,2738">
            <v:line style="position:absolute" from="1018,1818" to="4018,1820" stroked="true" strokeweight=".5pt" strokecolor="#000000">
              <v:stroke dashstyle="solid"/>
            </v:line>
            <v:shape style="position:absolute;left:1002;top:-240;width:3005;height:1225" coordorigin="1003,-240" coordsize="3005,1225" path="m1003,-240l1068,-175,1148,25,1230,-7,1295,158,1375,325,1440,358,1523,555,1603,820,1668,920,1750,853,1830,888,1895,888,1978,788,2043,853,2123,985,2205,653,2270,690,2350,523,2433,455,2498,490,2578,325,2643,255,2725,190,2805,-40,2870,93,2953,93,3033,223,3098,358,3180,358,3245,255,3325,358,3408,255,3473,358,3553,93,3635,58,3700,358,3780,490,3845,690,3928,653,4008,723e" filled="false" stroked="true" strokeweight="1pt" strokecolor="#0099d8">
              <v:path arrowok="t"/>
              <v:stroke dashstyle="solid"/>
            </v:shape>
            <v:shape style="position:absolute;left:1002;top:190;width:3005;height:1825" coordorigin="1003,190" coordsize="3005,1825" path="m1003,620l1068,1220,1148,1318,1230,1388,1295,1120,1375,1253,1440,1818,1523,2015,1603,1785,1668,1715,1750,855,1830,953,1895,985,1978,755,2043,1683,2123,1185,2205,620,2270,523,2350,523,2433,358,2498,390,2578,325,2643,190,2725,325,2805,455,2870,655,2953,555,3033,620,3098,490,3180,523,3245,325,3325,223,3408,325,3473,655,3553,723,3635,655,3700,820,3780,1120,3845,1753,3928,1618,4008,1220e" filled="false" stroked="true" strokeweight="1pt" strokecolor="#008256">
              <v:path arrowok="t"/>
              <v:stroke dashstyle="solid"/>
            </v:shape>
            <v:shape style="position:absolute;left:1002;top:952;width:3005;height:1425" coordorigin="1003,953" coordsize="3005,1425" path="m1003,1218l1068,1385,1148,1350,1230,1485,1295,1485,1375,1683,1440,1815,1523,2115,1603,2378,1668,2245,1750,2080,1830,1883,1895,1915,1978,1783,2043,1883,2123,1715,2205,1518,2270,1385,2350,1250,2433,1250,2498,1153,2578,1088,2643,953,2725,985,2805,985,2870,1055,2953,1055,3033,1088,3098,1088,3180,1185,3245,1088,3325,1218,3408,985,3473,1088,3553,1153,3635,1055,3700,1285,3780,1385,3845,1815,3928,1848,4008,1683e" filled="false" stroked="true" strokeweight="1pt" strokecolor="#ed1b2d">
              <v:path arrowok="t"/>
              <v:stroke dashstyle="solid"/>
            </v:shape>
            <v:shape style="position:absolute;left:898;top:-175;width:3243;height:2658" coordorigin="899,-175" coordsize="3243,2658" path="m908,-175l973,-175m4075,-175l4140,-175m909,155l974,155m4076,155l4141,155m899,485l964,485m4066,485l4131,485m900,815l965,815m4068,815l4133,815m899,1145l964,1145m4066,1145l4131,1145m905,1480l970,1480m4073,1480l4138,1480m899,1815l964,1815m4066,1815l4131,1815m899,2145l964,2145m4066,2145l4131,2145m4018,2480l1003,2483m899,2475l964,2475m4066,2475l4131,2475m1005,2480l1005,2405m1298,2483l1298,2408m1600,2475l1600,2400m1895,2475l1895,2400m2200,2476l2200,2401m2493,2479l2493,2404m2795,2471l2795,2396m3090,2471l3090,2396m3405,2480l3405,2405m3698,2483l3698,2408m4000,2475l4000,2400e" filled="false" stroked="true" strokeweight=".5pt" strokecolor="#000000">
              <v:path arrowok="t"/>
              <v:stroke dashstyle="solid"/>
            </v:shape>
            <w10:wrap type="none"/>
          </v:group>
        </w:pict>
      </w:r>
      <w:r>
        <w:rPr>
          <w:position w:val="3"/>
          <w:sz w:val="12"/>
        </w:rPr>
        <w:t>50</w:t>
        <w:tab/>
      </w:r>
      <w:r>
        <w:rPr>
          <w:color w:val="231F20"/>
          <w:sz w:val="24"/>
        </w:rPr>
        <w:t>expected to be additional, rather than displacing</w:t>
      </w:r>
      <w:r>
        <w:rPr>
          <w:color w:val="231F20"/>
          <w:spacing w:val="-2"/>
          <w:sz w:val="24"/>
        </w:rPr>
        <w:t> </w:t>
      </w:r>
      <w:r>
        <w:rPr>
          <w:color w:val="231F20"/>
          <w:sz w:val="24"/>
        </w:rPr>
        <w:t>other</w:t>
      </w:r>
    </w:p>
    <w:p>
      <w:pPr>
        <w:tabs>
          <w:tab w:pos="1902" w:val="left" w:leader="none"/>
        </w:tabs>
        <w:spacing w:before="4"/>
        <w:ind w:left="492" w:right="0" w:firstLine="0"/>
        <w:jc w:val="left"/>
        <w:rPr>
          <w:sz w:val="24"/>
        </w:rPr>
      </w:pPr>
      <w:r>
        <w:rPr>
          <w:sz w:val="12"/>
        </w:rPr>
        <w:t>40</w:t>
        <w:tab/>
      </w:r>
      <w:r>
        <w:rPr>
          <w:color w:val="231F20"/>
          <w:position w:val="2"/>
          <w:sz w:val="24"/>
        </w:rPr>
        <w:t>investment.</w:t>
      </w:r>
    </w:p>
    <w:p>
      <w:pPr>
        <w:spacing w:after="0"/>
        <w:jc w:val="left"/>
        <w:rPr>
          <w:sz w:val="24"/>
        </w:rPr>
        <w:sectPr>
          <w:type w:val="continuous"/>
          <w:pgSz w:w="11900" w:h="16840"/>
          <w:pgMar w:top="1220" w:bottom="280" w:left="640" w:right="640"/>
          <w:cols w:num="2" w:equalWidth="0">
            <w:col w:w="1779" w:space="1278"/>
            <w:col w:w="7563"/>
          </w:cols>
        </w:sectPr>
      </w:pPr>
    </w:p>
    <w:p>
      <w:pPr>
        <w:pStyle w:val="BodyText"/>
        <w:spacing w:before="1"/>
        <w:rPr>
          <w:sz w:val="16"/>
        </w:rPr>
      </w:pPr>
    </w:p>
    <w:p>
      <w:pPr>
        <w:spacing w:before="1"/>
        <w:ind w:left="0" w:right="174" w:firstLine="0"/>
        <w:jc w:val="right"/>
        <w:rPr>
          <w:sz w:val="12"/>
        </w:rPr>
      </w:pPr>
      <w:r>
        <w:rPr>
          <w:sz w:val="12"/>
        </w:rPr>
        <w:t>Profit expectations (BCC)</w:t>
      </w:r>
    </w:p>
    <w:p>
      <w:pPr>
        <w:pStyle w:val="BodyText"/>
        <w:rPr>
          <w:sz w:val="12"/>
        </w:rPr>
      </w:pPr>
    </w:p>
    <w:p>
      <w:pPr>
        <w:pStyle w:val="BodyText"/>
        <w:rPr>
          <w:sz w:val="12"/>
        </w:rPr>
      </w:pPr>
    </w:p>
    <w:p>
      <w:pPr>
        <w:pStyle w:val="BodyText"/>
        <w:rPr>
          <w:sz w:val="12"/>
        </w:rPr>
      </w:pPr>
    </w:p>
    <w:p>
      <w:pPr>
        <w:pStyle w:val="BodyText"/>
        <w:rPr>
          <w:sz w:val="12"/>
        </w:rPr>
      </w:pPr>
    </w:p>
    <w:p>
      <w:pPr>
        <w:spacing w:before="87"/>
        <w:ind w:left="0" w:right="236" w:firstLine="0"/>
        <w:jc w:val="right"/>
        <w:rPr>
          <w:sz w:val="12"/>
        </w:rPr>
      </w:pPr>
      <w:r>
        <w:rPr>
          <w:sz w:val="12"/>
        </w:rPr>
        <w:t>Investment intentions (BCC)</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tabs>
          <w:tab w:pos="2554" w:val="left" w:leader="none"/>
        </w:tabs>
        <w:spacing w:before="1"/>
        <w:ind w:left="320" w:right="0" w:firstLine="0"/>
        <w:jc w:val="left"/>
        <w:rPr>
          <w:sz w:val="12"/>
        </w:rPr>
      </w:pPr>
      <w:r>
        <w:rPr>
          <w:sz w:val="12"/>
        </w:rPr>
        <w:t>1989      90      91      92     93     </w:t>
      </w:r>
      <w:r>
        <w:rPr>
          <w:spacing w:val="19"/>
          <w:sz w:val="12"/>
        </w:rPr>
        <w:t> </w:t>
      </w:r>
      <w:r>
        <w:rPr>
          <w:sz w:val="12"/>
        </w:rPr>
        <w:t>94    </w:t>
      </w:r>
      <w:r>
        <w:rPr>
          <w:spacing w:val="27"/>
          <w:sz w:val="12"/>
        </w:rPr>
        <w:t> </w:t>
      </w:r>
      <w:r>
        <w:rPr>
          <w:sz w:val="12"/>
        </w:rPr>
        <w:t>95</w:t>
        <w:tab/>
        <w:t>96 97</w:t>
      </w:r>
      <w:r>
        <w:rPr>
          <w:spacing w:val="25"/>
          <w:sz w:val="12"/>
        </w:rPr>
        <w:t> </w:t>
      </w:r>
      <w:r>
        <w:rPr>
          <w:spacing w:val="-10"/>
          <w:sz w:val="12"/>
        </w:rPr>
        <w:t>98</w:t>
      </w:r>
    </w:p>
    <w:p>
      <w:pPr>
        <w:spacing w:before="70"/>
        <w:ind w:left="160" w:right="0" w:firstLine="0"/>
        <w:jc w:val="left"/>
        <w:rPr>
          <w:sz w:val="12"/>
        </w:rPr>
      </w:pPr>
      <w:r>
        <w:rPr>
          <w:color w:val="231F20"/>
          <w:sz w:val="12"/>
        </w:rPr>
        <w:t>Sources: CBI and BCC.</w:t>
      </w:r>
    </w:p>
    <w:p>
      <w:pPr>
        <w:pStyle w:val="BodyText"/>
        <w:spacing w:before="4"/>
        <w:rPr>
          <w:sz w:val="16"/>
        </w:rPr>
      </w:pPr>
      <w:r>
        <w:rPr/>
        <w:br w:type="column"/>
      </w:r>
      <w:r>
        <w:rPr>
          <w:sz w:val="16"/>
        </w:rPr>
      </w:r>
    </w:p>
    <w:p>
      <w:pPr>
        <w:spacing w:before="0"/>
        <w:ind w:left="300" w:right="0" w:firstLine="0"/>
        <w:jc w:val="left"/>
        <w:rPr>
          <w:sz w:val="12"/>
        </w:rPr>
      </w:pPr>
      <w:r>
        <w:rPr>
          <w:sz w:val="12"/>
        </w:rPr>
        <w:t>30</w:t>
      </w:r>
    </w:p>
    <w:p>
      <w:pPr>
        <w:pStyle w:val="BodyText"/>
        <w:spacing w:before="10"/>
        <w:rPr>
          <w:sz w:val="16"/>
        </w:rPr>
      </w:pPr>
    </w:p>
    <w:p>
      <w:pPr>
        <w:spacing w:before="1"/>
        <w:ind w:left="300" w:right="0" w:firstLine="0"/>
        <w:jc w:val="left"/>
        <w:rPr>
          <w:sz w:val="12"/>
        </w:rPr>
      </w:pPr>
      <w:r>
        <w:rPr>
          <w:sz w:val="12"/>
        </w:rPr>
        <w:t>20</w:t>
      </w:r>
    </w:p>
    <w:p>
      <w:pPr>
        <w:pStyle w:val="BodyText"/>
        <w:spacing w:before="8"/>
        <w:rPr>
          <w:sz w:val="16"/>
        </w:rPr>
      </w:pPr>
    </w:p>
    <w:p>
      <w:pPr>
        <w:spacing w:before="0"/>
        <w:ind w:left="300" w:right="0" w:firstLine="0"/>
        <w:jc w:val="left"/>
        <w:rPr>
          <w:sz w:val="12"/>
        </w:rPr>
      </w:pPr>
      <w:r>
        <w:rPr>
          <w:sz w:val="12"/>
        </w:rPr>
        <w:t>10</w:t>
      </w:r>
    </w:p>
    <w:p>
      <w:pPr>
        <w:spacing w:line="166" w:lineRule="exact" w:before="47"/>
        <w:ind w:left="80" w:right="0" w:firstLine="0"/>
        <w:jc w:val="center"/>
        <w:rPr>
          <w:sz w:val="16"/>
        </w:rPr>
      </w:pPr>
      <w:r>
        <w:rPr>
          <w:sz w:val="16"/>
        </w:rPr>
        <w:t>+</w:t>
      </w:r>
    </w:p>
    <w:p>
      <w:pPr>
        <w:spacing w:line="148" w:lineRule="auto" w:before="3"/>
        <w:ind w:left="225" w:right="0" w:firstLine="0"/>
        <w:jc w:val="left"/>
        <w:rPr>
          <w:sz w:val="12"/>
        </w:rPr>
      </w:pPr>
      <w:r>
        <w:rPr>
          <w:position w:val="-8"/>
          <w:sz w:val="16"/>
        </w:rPr>
        <w:t>_</w:t>
      </w:r>
      <w:r>
        <w:rPr>
          <w:spacing w:val="15"/>
          <w:position w:val="-8"/>
          <w:sz w:val="16"/>
        </w:rPr>
        <w:t> </w:t>
      </w:r>
      <w:r>
        <w:rPr>
          <w:sz w:val="12"/>
        </w:rPr>
        <w:t>0</w:t>
      </w:r>
    </w:p>
    <w:p>
      <w:pPr>
        <w:spacing w:before="142"/>
        <w:ind w:left="300" w:right="0" w:firstLine="0"/>
        <w:jc w:val="left"/>
        <w:rPr>
          <w:sz w:val="12"/>
        </w:rPr>
      </w:pPr>
      <w:r>
        <w:rPr>
          <w:sz w:val="12"/>
        </w:rPr>
        <w:t>10</w:t>
      </w:r>
    </w:p>
    <w:p>
      <w:pPr>
        <w:pStyle w:val="BodyText"/>
        <w:spacing w:before="11"/>
        <w:rPr>
          <w:sz w:val="16"/>
        </w:rPr>
      </w:pPr>
    </w:p>
    <w:p>
      <w:pPr>
        <w:spacing w:before="0"/>
        <w:ind w:left="58" w:right="21" w:firstLine="0"/>
        <w:jc w:val="center"/>
        <w:rPr>
          <w:sz w:val="12"/>
        </w:rPr>
      </w:pPr>
      <w:r>
        <w:rPr>
          <w:position w:val="-7"/>
          <w:sz w:val="12"/>
        </w:rPr>
        <w:t>99  </w:t>
      </w:r>
      <w:r>
        <w:rPr>
          <w:spacing w:val="12"/>
          <w:position w:val="-7"/>
          <w:sz w:val="12"/>
        </w:rPr>
        <w:t> </w:t>
      </w:r>
      <w:r>
        <w:rPr>
          <w:sz w:val="12"/>
        </w:rPr>
        <w:t>20</w:t>
      </w:r>
    </w:p>
    <w:p>
      <w:pPr>
        <w:pStyle w:val="BodyText"/>
        <w:spacing w:before="2"/>
        <w:rPr>
          <w:sz w:val="28"/>
        </w:rPr>
      </w:pPr>
      <w:r>
        <w:rPr/>
        <w:br w:type="column"/>
      </w:r>
      <w:r>
        <w:rPr>
          <w:sz w:val="28"/>
        </w:rPr>
      </w:r>
    </w:p>
    <w:p>
      <w:pPr>
        <w:spacing w:line="242" w:lineRule="auto" w:before="0"/>
        <w:ind w:left="160" w:right="350" w:firstLine="0"/>
        <w:jc w:val="left"/>
        <w:rPr>
          <w:sz w:val="24"/>
        </w:rPr>
      </w:pPr>
      <w:r>
        <w:rPr>
          <w:color w:val="231F20"/>
          <w:sz w:val="24"/>
        </w:rPr>
        <w:t>Overall, the prospects for business investment growth have improved relative to the position three months ago. The MPC has therefore revised its central projection upwards; in 1999, the annual growth rate</w:t>
      </w:r>
    </w:p>
    <w:p>
      <w:pPr>
        <w:spacing w:line="242" w:lineRule="auto" w:before="5"/>
        <w:ind w:left="160" w:right="300" w:firstLine="0"/>
        <w:jc w:val="left"/>
        <w:rPr>
          <w:sz w:val="24"/>
        </w:rPr>
      </w:pPr>
      <w:r>
        <w:rPr>
          <w:color w:val="231F20"/>
          <w:sz w:val="24"/>
        </w:rPr>
        <w:t>of business investment is expected to slow to around its trend rate of increase. Given the recent improvement in indicators of housing market activity, private sector investment spending on dwellings (which makes up around 15% of total investment) is also likely to strengthen this year.</w:t>
      </w:r>
    </w:p>
    <w:p>
      <w:pPr>
        <w:spacing w:after="0" w:line="242" w:lineRule="auto"/>
        <w:jc w:val="left"/>
        <w:rPr>
          <w:sz w:val="24"/>
        </w:rPr>
        <w:sectPr>
          <w:type w:val="continuous"/>
          <w:pgSz w:w="11900" w:h="16840"/>
          <w:pgMar w:top="1220" w:bottom="280" w:left="640" w:right="640"/>
          <w:cols w:num="3" w:equalWidth="0">
            <w:col w:w="3210" w:space="40"/>
            <w:col w:w="461" w:space="1089"/>
            <w:col w:w="5820"/>
          </w:cols>
        </w:sectPr>
      </w:pPr>
    </w:p>
    <w:p>
      <w:pPr>
        <w:pStyle w:val="BodyText"/>
        <w:rPr>
          <w:sz w:val="20"/>
        </w:rPr>
      </w:pPr>
    </w:p>
    <w:p>
      <w:pPr>
        <w:spacing w:after="0"/>
        <w:rPr>
          <w:sz w:val="20"/>
        </w:rPr>
        <w:sectPr>
          <w:pgSz w:w="11900" w:h="16840"/>
          <w:pgMar w:header="586" w:footer="617" w:top="780" w:bottom="80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spacing w:before="187"/>
        <w:ind w:left="190"/>
      </w:pPr>
      <w:bookmarkStart w:name="Inventory investment" w:id="39"/>
      <w:bookmarkEnd w:id="39"/>
      <w:r>
        <w:rPr>
          <w:b w:val="0"/>
        </w:rPr>
      </w:r>
      <w:bookmarkStart w:name="Public sector demand" w:id="40"/>
      <w:bookmarkEnd w:id="40"/>
      <w:r>
        <w:rPr>
          <w:b w:val="0"/>
        </w:rPr>
      </w:r>
      <w:bookmarkStart w:name="_bookmark15" w:id="41"/>
      <w:bookmarkEnd w:id="41"/>
      <w:r>
        <w:rPr>
          <w:b w:val="0"/>
        </w:rPr>
      </w:r>
      <w:r>
        <w:rPr>
          <w:color w:val="0093C1"/>
        </w:rPr>
        <w:t>Chart 2.15</w:t>
      </w:r>
    </w:p>
    <w:p>
      <w:pPr>
        <w:pStyle w:val="Heading4"/>
        <w:ind w:left="190"/>
        <w:rPr>
          <w:b w:val="0"/>
          <w:sz w:val="12"/>
        </w:rPr>
      </w:pPr>
      <w:r>
        <w:rPr>
          <w:color w:val="0093C1"/>
        </w:rPr>
        <w:t>Change in inventories</w:t>
      </w:r>
      <w:r>
        <w:rPr>
          <w:b w:val="0"/>
          <w:color w:val="231F20"/>
          <w:position w:val="4"/>
          <w:sz w:val="12"/>
        </w:rPr>
        <w:t>(a)</w:t>
      </w:r>
    </w:p>
    <w:p>
      <w:pPr>
        <w:spacing w:line="283" w:lineRule="auto" w:before="197"/>
        <w:ind w:left="490" w:right="733" w:firstLine="0"/>
        <w:jc w:val="left"/>
        <w:rPr>
          <w:sz w:val="12"/>
        </w:rPr>
      </w:pPr>
      <w:r>
        <w:rPr/>
        <w:drawing>
          <wp:anchor distT="0" distB="0" distL="0" distR="0" allowOverlap="1" layoutInCell="1" locked="0" behindDoc="0" simplePos="0" relativeHeight="15918080">
            <wp:simplePos x="0" y="0"/>
            <wp:positionH relativeFrom="page">
              <wp:posOffset>564095</wp:posOffset>
            </wp:positionH>
            <wp:positionV relativeFrom="paragraph">
              <wp:posOffset>116072</wp:posOffset>
            </wp:positionV>
            <wp:extent cx="107950" cy="311937"/>
            <wp:effectExtent l="0" t="0" r="0" b="0"/>
            <wp:wrapNone/>
            <wp:docPr id="145" name="image28.png"/>
            <wp:cNvGraphicFramePr>
              <a:graphicFrameLocks noChangeAspect="1"/>
            </wp:cNvGraphicFramePr>
            <a:graphic>
              <a:graphicData uri="http://schemas.openxmlformats.org/drawingml/2006/picture">
                <pic:pic>
                  <pic:nvPicPr>
                    <pic:cNvPr id="146" name="image28.png"/>
                    <pic:cNvPicPr/>
                  </pic:nvPicPr>
                  <pic:blipFill>
                    <a:blip r:embed="rId67" cstate="print"/>
                    <a:stretch>
                      <a:fillRect/>
                    </a:stretch>
                  </pic:blipFill>
                  <pic:spPr>
                    <a:xfrm>
                      <a:off x="0" y="0"/>
                      <a:ext cx="107950" cy="311937"/>
                    </a:xfrm>
                    <a:prstGeom prst="rect">
                      <a:avLst/>
                    </a:prstGeom>
                  </pic:spPr>
                </pic:pic>
              </a:graphicData>
            </a:graphic>
          </wp:anchor>
        </w:drawing>
      </w:r>
      <w:r>
        <w:rPr>
          <w:color w:val="231F20"/>
          <w:sz w:val="12"/>
        </w:rPr>
        <w:t>Manufacturing Wholesale and retail Other</w:t>
      </w:r>
    </w:p>
    <w:p>
      <w:pPr>
        <w:pStyle w:val="BodyText"/>
        <w:spacing w:before="8"/>
        <w:rPr>
          <w:sz w:val="5"/>
        </w:rPr>
      </w:pPr>
    </w:p>
    <w:p>
      <w:pPr>
        <w:pStyle w:val="BodyText"/>
        <w:spacing w:line="20" w:lineRule="exact"/>
        <w:ind w:left="243"/>
        <w:rPr>
          <w:sz w:val="2"/>
        </w:rPr>
      </w:pPr>
      <w:r>
        <w:rPr>
          <w:sz w:val="2"/>
        </w:rPr>
        <w:pict>
          <v:group style="width:4pt;height:.5pt;mso-position-horizontal-relative:char;mso-position-vertical-relative:line" coordorigin="0,0" coordsize="80,10">
            <v:line style="position:absolute" from="0,5" to="80,5" stroked="true" strokeweight=".5pt" strokecolor="#231f20">
              <v:stroke dashstyle="solid"/>
            </v:line>
          </v:group>
        </w:pict>
      </w:r>
      <w:r>
        <w:rPr>
          <w:sz w:val="2"/>
        </w:rPr>
      </w:r>
    </w:p>
    <w:p>
      <w:pPr>
        <w:pStyle w:val="BodyText"/>
        <w:rPr>
          <w:sz w:val="20"/>
        </w:rPr>
      </w:pPr>
    </w:p>
    <w:p>
      <w:pPr>
        <w:pStyle w:val="BodyText"/>
        <w:spacing w:before="1"/>
        <w:rPr>
          <w:sz w:val="12"/>
        </w:rPr>
      </w:pPr>
      <w:r>
        <w:rPr/>
        <w:pict>
          <v:shape style="position:absolute;margin-left:44.417pt;margin-top:9.175498pt;width:4pt;height:.1pt;mso-position-horizontal-relative:page;mso-position-vertical-relative:paragraph;z-index:-15541248;mso-wrap-distance-left:0;mso-wrap-distance-right:0" coordorigin="888,184" coordsize="80,0" path="m888,184l968,184e" filled="false" stroked="true" strokeweight=".5pt" strokecolor="#231f20">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spacing w:line="126" w:lineRule="exact" w:before="0"/>
        <w:ind w:left="190" w:right="0" w:firstLine="0"/>
        <w:jc w:val="left"/>
        <w:rPr>
          <w:sz w:val="12"/>
        </w:rPr>
      </w:pPr>
      <w:r>
        <w:rPr>
          <w:color w:val="231F20"/>
          <w:sz w:val="12"/>
        </w:rPr>
        <w:t>£ millions</w:t>
      </w:r>
    </w:p>
    <w:p>
      <w:pPr>
        <w:spacing w:line="126" w:lineRule="exact" w:before="0"/>
        <w:ind w:left="706" w:right="0" w:firstLine="0"/>
        <w:jc w:val="left"/>
        <w:rPr>
          <w:sz w:val="12"/>
        </w:rPr>
      </w:pPr>
      <w:r>
        <w:rPr/>
        <w:pict>
          <v:line style="position:absolute;mso-position-horizontal-relative:page;mso-position-vertical-relative:paragraph;z-index:15917056" from="206.5pt,3.882193pt" to="210.5pt,3.882193pt" stroked="true" strokeweight=".5pt" strokecolor="#231f20">
            <v:stroke dashstyle="solid"/>
            <w10:wrap type="none"/>
          </v:line>
        </w:pict>
      </w:r>
      <w:r>
        <w:rPr>
          <w:color w:val="231F20"/>
          <w:sz w:val="12"/>
        </w:rPr>
        <w:t>1,000</w:t>
      </w:r>
    </w:p>
    <w:p>
      <w:pPr>
        <w:pStyle w:val="BodyText"/>
        <w:rPr>
          <w:sz w:val="12"/>
        </w:rPr>
      </w:pPr>
    </w:p>
    <w:p>
      <w:pPr>
        <w:pStyle w:val="BodyText"/>
        <w:spacing w:before="7"/>
        <w:rPr>
          <w:sz w:val="13"/>
        </w:rPr>
      </w:pPr>
    </w:p>
    <w:p>
      <w:pPr>
        <w:spacing w:before="0"/>
        <w:ind w:left="0" w:right="38" w:firstLine="0"/>
        <w:jc w:val="right"/>
        <w:rPr>
          <w:sz w:val="12"/>
        </w:rPr>
      </w:pPr>
      <w:r>
        <w:rPr/>
        <w:pict>
          <v:group style="position:absolute;margin-left:44.417pt;margin-top:-1.488831pt;width:166.1pt;height:134.65pt;mso-position-horizontal-relative:page;mso-position-vertical-relative:paragraph;z-index:-21217792" coordorigin="888,-30" coordsize="3322,2693">
            <v:rect style="position:absolute;left:1085;top:1810;width:165;height:750" filled="true" fillcolor="#0066a5" stroked="false">
              <v:fill type="solid"/>
            </v:rect>
            <v:rect style="position:absolute;left:1085;top:1810;width:165;height:750" filled="false" stroked="true" strokeweight=".5pt" strokecolor="#231f20">
              <v:stroke dashstyle="solid"/>
            </v:rect>
            <v:rect style="position:absolute;left:1247;top:1437;width:160;height:370" filled="true" fillcolor="#b5e1e1" stroked="false">
              <v:fill type="solid"/>
            </v:rect>
            <v:rect style="position:absolute;left:1247;top:1437;width:163;height:370" filled="false" stroked="true" strokeweight=".5pt" strokecolor="#231f20">
              <v:stroke dashstyle="solid"/>
            </v:rect>
            <v:rect style="position:absolute;left:1407;top:422;width:165;height:1385" filled="true" fillcolor="#0093c0" stroked="false">
              <v:fill type="solid"/>
            </v:rect>
            <v:shape style="position:absolute;left:1020;top:422;width:3060;height:2235" coordorigin="1020,423" coordsize="3060,2235" path="m1408,423l1573,423,1573,1808,1408,1808,1408,423xm4080,2655l1020,2658e" filled="false" stroked="true" strokeweight=".5pt" strokecolor="#231f20">
              <v:path arrowok="t"/>
              <v:stroke dashstyle="solid"/>
            </v:shape>
            <v:shape style="position:absolute;left:1021;top:2538;width:3060;height:122" coordorigin="1021,2539" coordsize="3060,122" path="m4081,2630l4081,2660m2851,2592l2851,2660m2236,2592l2236,2660m1636,2630l1636,2660m1021,2592l1021,2660m1636,2539l1636,2660m4081,2598l4081,2660m3458,2592l3458,2660e" filled="false" stroked="true" strokeweight=".625pt" strokecolor="#231f20">
              <v:path arrowok="t"/>
              <v:stroke dashstyle="solid"/>
            </v:shape>
            <v:shape style="position:absolute;left:888;top:512;width:3322;height:2139" coordorigin="888,513" coordsize="3322,2139" path="m888,513l968,513m888,940l968,940m888,1368l968,1368m888,1808l968,1808m888,2223l968,2223m888,2651l968,2651m4130,513l4210,513m4130,940l4210,940m4130,1368l4210,1368m4130,1808l4210,1808m4130,2223l4210,2223m4130,2651l4210,2651e" filled="false" stroked="true" strokeweight=".5pt" strokecolor="#231f20">
              <v:path arrowok="t"/>
              <v:stroke dashstyle="solid"/>
            </v:shape>
            <v:rect style="position:absolute;left:1700;top:1810;width:165;height:120" filled="true" fillcolor="#0066a5" stroked="false">
              <v:fill type="solid"/>
            </v:rect>
            <v:rect style="position:absolute;left:1700;top:1810;width:165;height:120" filled="false" stroked="true" strokeweight=".5pt" strokecolor="#231f20">
              <v:stroke dashstyle="solid"/>
            </v:rect>
            <v:rect style="position:absolute;left:1862;top:622;width:163;height:1185" filled="true" fillcolor="#b5e1e1" stroked="false">
              <v:fill type="solid"/>
            </v:rect>
            <v:rect style="position:absolute;left:1862;top:622;width:165;height:1185" filled="false" stroked="true" strokeweight=".5pt" strokecolor="#231f20">
              <v:stroke dashstyle="solid"/>
            </v:rect>
            <v:rect style="position:absolute;left:2025;top:275;width:148;height:1533" filled="true" fillcolor="#0093c0" stroked="false">
              <v:fill type="solid"/>
            </v:rect>
            <v:rect style="position:absolute;left:2025;top:275;width:148;height:1533" filled="false" stroked="true" strokeweight=".5pt" strokecolor="#231f20">
              <v:stroke dashstyle="solid"/>
            </v:rect>
            <v:rect style="position:absolute;left:2300;top:990;width:163;height:818" filled="true" fillcolor="#0066a5" stroked="false">
              <v:fill type="solid"/>
            </v:rect>
            <v:rect style="position:absolute;left:2300;top:990;width:163;height:818" filled="false" stroked="true" strokeweight=".5pt" strokecolor="#231f20">
              <v:stroke dashstyle="solid"/>
            </v:rect>
            <v:rect style="position:absolute;left:2460;top:1505;width:163;height:303" filled="true" fillcolor="#b5e1e1" stroked="false">
              <v:fill type="solid"/>
            </v:rect>
            <v:rect style="position:absolute;left:2460;top:1505;width:165;height:303" filled="false" stroked="true" strokeweight=".5pt" strokecolor="#231f20">
              <v:stroke dashstyle="solid"/>
            </v:rect>
            <v:rect style="position:absolute;left:2622;top:805;width:165;height:1003" filled="true" fillcolor="#0093c0" stroked="false">
              <v:fill type="solid"/>
            </v:rect>
            <v:rect style="position:absolute;left:2622;top:805;width:165;height:1003" filled="false" stroked="true" strokeweight=".5pt" strokecolor="#231f20">
              <v:stroke dashstyle="solid"/>
            </v:rect>
            <v:rect style="position:absolute;left:2915;top:1257;width:160;height:550" filled="true" fillcolor="#0066a5" stroked="false">
              <v:fill type="solid"/>
            </v:rect>
            <v:rect style="position:absolute;left:2915;top:1257;width:163;height:550" filled="false" stroked="true" strokeweight=".5pt" strokecolor="#231f20">
              <v:stroke dashstyle="solid"/>
            </v:rect>
            <v:rect style="position:absolute;left:3075;top:940;width:165;height:868" filled="true" fillcolor="#b5e1e1" stroked="false">
              <v:fill type="solid"/>
            </v:rect>
            <v:rect style="position:absolute;left:3075;top:940;width:165;height:868" filled="false" stroked="true" strokeweight=".5pt" strokecolor="#231f20">
              <v:stroke dashstyle="solid"/>
            </v:rect>
            <v:rect style="position:absolute;left:3251;top:1737;width:152;height:70" filled="true" fillcolor="#0093c0" stroked="false">
              <v:fill type="solid"/>
            </v:rect>
            <v:rect style="position:absolute;left:3251;top:1737;width:152;height:70" filled="false" stroked="true" strokeweight=".5pt" strokecolor="#231f20">
              <v:stroke dashstyle="solid"/>
            </v:rect>
            <v:rect style="position:absolute;left:3530;top:1810;width:165;height:368" filled="true" fillcolor="#0066a5" stroked="false">
              <v:fill type="solid"/>
            </v:rect>
            <v:rect style="position:absolute;left:3530;top:1810;width:165;height:368" filled="false" stroked="true" strokeweight=".5pt" strokecolor="#231f20">
              <v:stroke dashstyle="solid"/>
            </v:rect>
            <v:rect style="position:absolute;left:3692;top:1787;width:160;height:20" filled="true" fillcolor="#b5e1e1" stroked="false">
              <v:fill type="solid"/>
            </v:rect>
            <v:shape style="position:absolute;left:3687;top:1782;width:173;height:40" coordorigin="3688,1783" coordsize="173,40" path="m3860,1783l3688,1783,3688,1798,3688,1808,3688,1823,3860,1823,3860,1808,3860,1798,3860,1783xe" filled="true" fillcolor="#231f20" stroked="false">
              <v:path arrowok="t"/>
              <v:fill type="solid"/>
            </v:shape>
            <v:rect style="position:absolute;left:3852;top:-25;width:165;height:1833" filled="true" fillcolor="#0093c0" stroked="false">
              <v:fill type="solid"/>
            </v:rect>
            <v:shape style="position:absolute;left:1020;top:-25;width:3060;height:1835" coordorigin="1020,-25" coordsize="3060,1835" path="m3853,-25l4018,-25,4018,1808,3853,1808,3853,-25xm1020,1810l4080,1810e" filled="false" stroked="true" strokeweight=".5pt" strokecolor="#231f20">
              <v:path arrowok="t"/>
              <v:stroke dashstyle="solid"/>
            </v:shape>
            <w10:wrap type="none"/>
          </v:group>
        </w:pict>
      </w:r>
      <w:r>
        <w:rPr/>
        <w:pict>
          <v:line style="position:absolute;mso-position-horizontal-relative:page;mso-position-vertical-relative:paragraph;z-index:15917568" from="206.5pt,4.250169pt" to="210.5pt,4.250169pt" stroked="true" strokeweight=".5pt" strokecolor="#231f20">
            <v:stroke dashstyle="solid"/>
            <w10:wrap type="none"/>
          </v:line>
        </w:pict>
      </w:r>
      <w:r>
        <w:rPr>
          <w:color w:val="231F20"/>
          <w:sz w:val="12"/>
        </w:rPr>
        <w:t>800</w:t>
      </w:r>
    </w:p>
    <w:p>
      <w:pPr>
        <w:pStyle w:val="BodyText"/>
        <w:rPr>
          <w:sz w:val="12"/>
        </w:rPr>
      </w:pPr>
    </w:p>
    <w:p>
      <w:pPr>
        <w:pStyle w:val="BodyText"/>
        <w:spacing w:before="9"/>
        <w:rPr>
          <w:sz w:val="12"/>
        </w:rPr>
      </w:pPr>
    </w:p>
    <w:p>
      <w:pPr>
        <w:spacing w:before="0"/>
        <w:ind w:left="0" w:right="38" w:firstLine="0"/>
        <w:jc w:val="right"/>
        <w:rPr>
          <w:sz w:val="12"/>
        </w:rPr>
      </w:pPr>
      <w:r>
        <w:rPr>
          <w:color w:val="231F20"/>
          <w:sz w:val="12"/>
        </w:rPr>
        <w:t>600</w:t>
      </w:r>
    </w:p>
    <w:p>
      <w:pPr>
        <w:pStyle w:val="BodyText"/>
        <w:rPr>
          <w:sz w:val="12"/>
        </w:rPr>
      </w:pPr>
    </w:p>
    <w:p>
      <w:pPr>
        <w:pStyle w:val="BodyText"/>
        <w:spacing w:before="1"/>
        <w:rPr>
          <w:sz w:val="12"/>
        </w:rPr>
      </w:pPr>
    </w:p>
    <w:p>
      <w:pPr>
        <w:spacing w:before="0"/>
        <w:ind w:left="0" w:right="38" w:firstLine="0"/>
        <w:jc w:val="right"/>
        <w:rPr>
          <w:sz w:val="12"/>
        </w:rPr>
      </w:pPr>
      <w:r>
        <w:rPr>
          <w:color w:val="231F20"/>
          <w:sz w:val="12"/>
        </w:rPr>
        <w:t>400</w:t>
      </w:r>
    </w:p>
    <w:p>
      <w:pPr>
        <w:pStyle w:val="BodyText"/>
        <w:rPr>
          <w:sz w:val="12"/>
        </w:rPr>
      </w:pPr>
    </w:p>
    <w:p>
      <w:pPr>
        <w:pStyle w:val="BodyText"/>
        <w:spacing w:before="5"/>
        <w:rPr>
          <w:sz w:val="11"/>
        </w:rPr>
      </w:pPr>
    </w:p>
    <w:p>
      <w:pPr>
        <w:spacing w:before="0"/>
        <w:ind w:left="0" w:right="38" w:firstLine="0"/>
        <w:jc w:val="right"/>
        <w:rPr>
          <w:sz w:val="12"/>
        </w:rPr>
      </w:pPr>
      <w:r>
        <w:rPr>
          <w:color w:val="231F20"/>
          <w:sz w:val="12"/>
        </w:rPr>
        <w:t>200</w:t>
      </w:r>
    </w:p>
    <w:p>
      <w:pPr>
        <w:pStyle w:val="BodyText"/>
        <w:spacing w:before="9"/>
        <w:rPr>
          <w:sz w:val="10"/>
        </w:rPr>
      </w:pPr>
    </w:p>
    <w:p>
      <w:pPr>
        <w:spacing w:line="176" w:lineRule="exact" w:before="1"/>
        <w:ind w:left="712" w:right="0" w:firstLine="0"/>
        <w:jc w:val="left"/>
        <w:rPr>
          <w:sz w:val="16"/>
        </w:rPr>
      </w:pPr>
      <w:r>
        <w:rPr>
          <w:color w:val="231F20"/>
          <w:sz w:val="16"/>
        </w:rPr>
        <w:t>+</w:t>
      </w:r>
    </w:p>
    <w:p>
      <w:pPr>
        <w:spacing w:line="130" w:lineRule="exact" w:before="0"/>
        <w:ind w:left="0" w:right="38" w:firstLine="0"/>
        <w:jc w:val="right"/>
        <w:rPr>
          <w:sz w:val="12"/>
        </w:rPr>
      </w:pPr>
      <w:r>
        <w:rPr>
          <w:color w:val="231F20"/>
          <w:sz w:val="12"/>
        </w:rPr>
        <w:t>0</w:t>
      </w:r>
    </w:p>
    <w:p>
      <w:pPr>
        <w:spacing w:before="34"/>
        <w:ind w:left="723" w:right="0" w:firstLine="0"/>
        <w:jc w:val="left"/>
        <w:rPr>
          <w:sz w:val="16"/>
        </w:rPr>
      </w:pPr>
      <w:r>
        <w:rPr>
          <w:color w:val="231F20"/>
          <w:sz w:val="16"/>
        </w:rPr>
        <w:t>–</w:t>
      </w:r>
    </w:p>
    <w:p>
      <w:pPr>
        <w:spacing w:before="89"/>
        <w:ind w:left="0" w:right="38" w:firstLine="0"/>
        <w:jc w:val="right"/>
        <w:rPr>
          <w:sz w:val="12"/>
        </w:rPr>
      </w:pPr>
      <w:r>
        <w:rPr>
          <w:color w:val="231F20"/>
          <w:sz w:val="12"/>
        </w:rPr>
        <w:t>200</w:t>
      </w:r>
    </w:p>
    <w:p>
      <w:pPr>
        <w:pStyle w:val="BodyText"/>
        <w:rPr>
          <w:sz w:val="12"/>
        </w:rPr>
      </w:pPr>
    </w:p>
    <w:p>
      <w:pPr>
        <w:pStyle w:val="BodyText"/>
        <w:spacing w:before="6"/>
        <w:rPr>
          <w:sz w:val="15"/>
        </w:rPr>
      </w:pPr>
    </w:p>
    <w:p>
      <w:pPr>
        <w:spacing w:line="37" w:lineRule="exact" w:before="0"/>
        <w:ind w:left="796" w:right="0" w:firstLine="0"/>
        <w:jc w:val="left"/>
        <w:rPr>
          <w:sz w:val="12"/>
        </w:rPr>
      </w:pPr>
      <w:r>
        <w:rPr>
          <w:color w:val="231F20"/>
          <w:sz w:val="12"/>
        </w:rPr>
        <w:t>400</w:t>
      </w:r>
    </w:p>
    <w:p>
      <w:pPr>
        <w:spacing w:line="242" w:lineRule="auto" w:before="227"/>
        <w:ind w:left="190" w:right="151" w:firstLine="0"/>
        <w:jc w:val="left"/>
        <w:rPr>
          <w:sz w:val="24"/>
        </w:rPr>
      </w:pPr>
      <w:r>
        <w:rPr/>
        <w:br w:type="column"/>
      </w:r>
      <w:r>
        <w:rPr>
          <w:color w:val="231F20"/>
          <w:sz w:val="24"/>
        </w:rPr>
        <w:t>General government investment is estimated to have increased by 9.1% in Q4, and the level of public investment in the first three quarters of the year was also revised upwards since the February </w:t>
      </w:r>
      <w:r>
        <w:rPr>
          <w:i/>
          <w:color w:val="231F20"/>
          <w:sz w:val="24"/>
        </w:rPr>
        <w:t>Report</w:t>
      </w:r>
      <w:r>
        <w:rPr>
          <w:color w:val="231F20"/>
          <w:sz w:val="24"/>
        </w:rPr>
        <w:t>. The March Budget maintained the government’s commitment to increase the ratio of public sector net investment to GDP to 1% by financial year 2001–02. Since net investment was only 0.4% of GDP in 1998–99, the growth rate of government capital expenditure is likely to remain robust.</w:t>
      </w:r>
    </w:p>
    <w:p>
      <w:pPr>
        <w:pStyle w:val="BodyText"/>
        <w:spacing w:before="11"/>
        <w:rPr>
          <w:sz w:val="28"/>
        </w:rPr>
      </w:pPr>
    </w:p>
    <w:p>
      <w:pPr>
        <w:spacing w:before="0"/>
        <w:ind w:left="190" w:right="0" w:firstLine="0"/>
        <w:jc w:val="left"/>
        <w:rPr>
          <w:i/>
          <w:sz w:val="24"/>
        </w:rPr>
      </w:pPr>
      <w:r>
        <w:rPr>
          <w:i/>
          <w:color w:val="009483"/>
          <w:sz w:val="24"/>
        </w:rPr>
        <w:t>Inventory investment</w:t>
      </w:r>
    </w:p>
    <w:p>
      <w:pPr>
        <w:spacing w:line="242" w:lineRule="auto" w:before="184"/>
        <w:ind w:left="190" w:right="231" w:firstLine="0"/>
        <w:jc w:val="left"/>
        <w:rPr>
          <w:sz w:val="24"/>
        </w:rPr>
      </w:pPr>
      <w:r>
        <w:rPr>
          <w:color w:val="231F20"/>
          <w:sz w:val="24"/>
        </w:rPr>
        <w:t>Whole-economy inventories (excluding the alignment adjustment) increased by £0.7 billion (at 1995 prices) in Q4, in line with the rise in Q3. Inventory levels in the distributive trades sector were broadly unchanged in the fourth quarter and they fell in the manufacturing sector (see Chart 2.15). Consequently, most of the stockbuilding was concentrated in other sectors of the economy. Evidence from the Bank’s Agents and the CBI suggests that concern about stock levels among manufacturers and distributors diminished in 1999 Q1 (see Chart 2.16). However, there was a pick-up in the</w:t>
      </w:r>
    </w:p>
    <w:p>
      <w:pPr>
        <w:spacing w:after="0" w:line="242" w:lineRule="auto"/>
        <w:jc w:val="left"/>
        <w:rPr>
          <w:sz w:val="24"/>
        </w:rPr>
        <w:sectPr>
          <w:type w:val="continuous"/>
          <w:pgSz w:w="11900" w:h="16840"/>
          <w:pgMar w:top="1220" w:bottom="280" w:left="640" w:right="640"/>
          <w:cols w:num="3" w:equalWidth="0">
            <w:col w:w="2230" w:space="658"/>
            <w:col w:w="1017" w:space="895"/>
            <w:col w:w="5820"/>
          </w:cols>
        </w:sectPr>
      </w:pPr>
    </w:p>
    <w:p>
      <w:pPr>
        <w:tabs>
          <w:tab w:pos="1196" w:val="left" w:leader="none"/>
          <w:tab w:pos="1827" w:val="left" w:leader="none"/>
          <w:tab w:pos="2324" w:val="right" w:leader="none"/>
          <w:tab w:pos="2459" w:val="left" w:leader="none"/>
          <w:tab w:pos="3090" w:val="left" w:leader="none"/>
        </w:tabs>
        <w:spacing w:line="352" w:lineRule="auto" w:before="78"/>
        <w:ind w:left="520" w:right="693" w:firstLine="44"/>
        <w:jc w:val="left"/>
        <w:rPr>
          <w:sz w:val="12"/>
        </w:rPr>
      </w:pPr>
      <w:r>
        <w:rPr>
          <w:color w:val="231F20"/>
          <w:sz w:val="12"/>
        </w:rPr>
        <w:t>Q4</w:t>
        <w:tab/>
        <w:t>Q1</w:t>
        <w:tab/>
        <w:t>Q2</w:t>
        <w:tab/>
        <w:tab/>
        <w:t>Q3</w:t>
        <w:tab/>
      </w:r>
      <w:r>
        <w:rPr>
          <w:color w:val="231F20"/>
          <w:spacing w:val="-9"/>
          <w:sz w:val="12"/>
        </w:rPr>
        <w:t>Q4 </w:t>
      </w:r>
      <w:r>
        <w:rPr>
          <w:color w:val="231F20"/>
          <w:sz w:val="12"/>
        </w:rPr>
        <w:t>1997</w:t>
        <w:tab/>
        <w:tab/>
        <w:tab/>
        <w:t>98</w:t>
      </w:r>
    </w:p>
    <w:p>
      <w:pPr>
        <w:spacing w:before="54"/>
        <w:ind w:left="179" w:right="0" w:firstLine="0"/>
        <w:jc w:val="left"/>
        <w:rPr>
          <w:sz w:val="12"/>
        </w:rPr>
      </w:pPr>
      <w:r>
        <w:rPr>
          <w:color w:val="231F20"/>
          <w:sz w:val="12"/>
        </w:rPr>
        <w:t>(a) At constant 1995 prices, excluding the alignment adjustment.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3"/>
        </w:rPr>
      </w:pPr>
    </w:p>
    <w:p>
      <w:pPr>
        <w:pStyle w:val="Heading4"/>
        <w:spacing w:before="0"/>
        <w:ind w:left="180"/>
      </w:pPr>
      <w:r>
        <w:rPr>
          <w:color w:val="0093C1"/>
        </w:rPr>
        <w:t>Chart 2.16</w:t>
      </w:r>
    </w:p>
    <w:p>
      <w:pPr>
        <w:pStyle w:val="Heading4"/>
        <w:ind w:left="180"/>
      </w:pPr>
      <w:r>
        <w:rPr>
          <w:color w:val="0093C1"/>
        </w:rPr>
        <w:t>Survey evidence for inventories</w:t>
      </w:r>
    </w:p>
    <w:p>
      <w:pPr>
        <w:spacing w:before="141"/>
        <w:ind w:left="2530" w:right="0" w:firstLine="0"/>
        <w:jc w:val="left"/>
        <w:rPr>
          <w:sz w:val="12"/>
        </w:rPr>
      </w:pPr>
      <w:r>
        <w:rPr/>
        <w:pict>
          <v:line style="position:absolute;mso-position-horizontal-relative:page;mso-position-vertical-relative:paragraph;z-index:15919616" from="43.5pt,15.086312pt" to="47.833pt,15.086312pt" stroked="true" strokeweight=".5pt" strokecolor="#000000">
            <v:stroke dashstyle="solid"/>
            <w10:wrap type="none"/>
          </v:line>
        </w:pict>
      </w:r>
      <w:r>
        <w:rPr>
          <w:sz w:val="12"/>
        </w:rPr>
        <w:t>Percentage balanc</w:t>
      </w:r>
      <w:r>
        <w:rPr>
          <w:sz w:val="12"/>
          <w:u w:val="single"/>
        </w:rPr>
        <w:t>es</w:t>
      </w:r>
      <w:r>
        <w:rPr>
          <w:sz w:val="12"/>
        </w:rPr>
        <w:t> </w:t>
      </w:r>
      <w:r>
        <w:rPr>
          <w:spacing w:val="10"/>
          <w:sz w:val="12"/>
        </w:rPr>
        <w:t> </w:t>
      </w:r>
      <w:r>
        <w:rPr>
          <w:color w:val="231F20"/>
          <w:position w:val="-7"/>
          <w:sz w:val="12"/>
        </w:rPr>
        <w:t>35</w:t>
      </w:r>
    </w:p>
    <w:p>
      <w:pPr>
        <w:pStyle w:val="BodyText"/>
        <w:rPr>
          <w:sz w:val="20"/>
        </w:rPr>
      </w:pPr>
    </w:p>
    <w:p>
      <w:pPr>
        <w:spacing w:before="137"/>
        <w:ind w:left="3570" w:right="0" w:firstLine="0"/>
        <w:jc w:val="left"/>
        <w:rPr>
          <w:sz w:val="12"/>
        </w:rPr>
      </w:pPr>
      <w:r>
        <w:rPr/>
        <w:pict>
          <v:group style="position:absolute;margin-left:43.5pt;margin-top:10.175562pt;width:163.5pt;height:106.25pt;mso-position-horizontal-relative:page;mso-position-vertical-relative:paragraph;z-index:15919104" coordorigin="870,204" coordsize="3270,2125">
            <v:shape style="position:absolute;left:1013;top:213;width:2983;height:1938" coordorigin="1013,214" coordsize="2983,1938" path="m1013,1284l1096,1616,1176,1416,1258,314,1338,214,1418,616,1501,681,1598,1184,1678,314,1761,949,1841,1184,1921,1316,2003,1751,2083,2051,2166,1249,2261,2151,2343,1716,2423,1984,2506,1484,2586,2019,2666,1384,2748,1751,2828,1919,2926,1084,3006,1951,3088,1249,3168,1284,3251,1584,3331,1651,3411,1684,3493,1551,3591,1216,3671,1484,3751,1484,3833,781,3913,1116,3996,1616e" filled="false" stroked="true" strokeweight="1pt" strokecolor="#40ad49">
              <v:path arrowok="t"/>
              <v:stroke dashstyle="solid"/>
            </v:shape>
            <v:shape style="position:absolute;left:1013;top:648;width:2983;height:1670" coordorigin="1013,649" coordsize="2983,1670" path="m1013,1884l1096,2084,1176,1884,1258,1351,1338,781,1418,649,1501,984,1598,1384,1678,1316,1761,1751,1841,1149,1921,1149,2003,1216,2083,1716,2166,1716,2261,1784,2343,2019,2423,1951,2506,2186,2586,2286,2666,2251,2748,2319,2828,1616,2926,1316,3006,1384,3088,1149,3168,1551,3251,1551,3331,1584,3411,1484,3493,1751,3591,2019,3671,1651,3751,1651,3833,1416,3913,716,3996,984e" filled="false" stroked="true" strokeweight="1pt" strokecolor="#0066a5">
              <v:path arrowok="t"/>
              <v:stroke dashstyle="solid"/>
            </v:shape>
            <v:shape style="position:absolute;left:870;top:213;width:3270;height:2006" coordorigin="870,213" coordsize="3270,2006" path="m870,214l957,214m870,715l957,715m870,1216l957,1216m870,1718l957,1718m870,2219l957,2219m4053,213l4140,213m4053,714l4140,714m4053,1216l4140,1216m4053,1717l4140,1717m4053,2218l4140,2218e" filled="false" stroked="true" strokeweight=".5pt" strokecolor="#000000">
              <v:path arrowok="t"/>
              <v:stroke dashstyle="solid"/>
            </v:shape>
            <v:shape style="position:absolute;left:1733;top:306;width:1073;height:134" type="#_x0000_t202" filled="false" stroked="false">
              <v:textbox inset="0,0,0,0">
                <w:txbxContent>
                  <w:p>
                    <w:pPr>
                      <w:spacing w:line="133" w:lineRule="exact" w:before="0"/>
                      <w:ind w:left="0" w:right="0" w:firstLine="0"/>
                      <w:jc w:val="left"/>
                      <w:rPr>
                        <w:sz w:val="12"/>
                      </w:rPr>
                    </w:pPr>
                    <w:r>
                      <w:rPr>
                        <w:sz w:val="12"/>
                      </w:rPr>
                      <w:t>Distributive trades (a)</w:t>
                    </w:r>
                  </w:p>
                </w:txbxContent>
              </v:textbox>
              <w10:wrap type="none"/>
            </v:shape>
            <w10:wrap type="none"/>
          </v:group>
        </w:pict>
      </w:r>
      <w:r>
        <w:rPr>
          <w:sz w:val="12"/>
        </w:rPr>
        <w:t>30</w:t>
      </w:r>
    </w:p>
    <w:p>
      <w:pPr>
        <w:pStyle w:val="BodyText"/>
        <w:rPr>
          <w:sz w:val="12"/>
        </w:rPr>
      </w:pPr>
    </w:p>
    <w:p>
      <w:pPr>
        <w:pStyle w:val="BodyText"/>
        <w:rPr>
          <w:sz w:val="12"/>
        </w:rPr>
      </w:pPr>
    </w:p>
    <w:p>
      <w:pPr>
        <w:spacing w:before="89"/>
        <w:ind w:left="3570" w:right="0" w:firstLine="0"/>
        <w:jc w:val="left"/>
        <w:rPr>
          <w:sz w:val="12"/>
        </w:rPr>
      </w:pPr>
      <w:r>
        <w:rPr>
          <w:sz w:val="12"/>
        </w:rPr>
        <w:t>25</w:t>
      </w:r>
    </w:p>
    <w:p>
      <w:pPr>
        <w:pStyle w:val="BodyText"/>
        <w:rPr>
          <w:sz w:val="12"/>
        </w:rPr>
      </w:pPr>
    </w:p>
    <w:p>
      <w:pPr>
        <w:pStyle w:val="BodyText"/>
        <w:rPr>
          <w:sz w:val="12"/>
        </w:rPr>
      </w:pPr>
    </w:p>
    <w:p>
      <w:pPr>
        <w:spacing w:before="88"/>
        <w:ind w:left="3570" w:right="0" w:firstLine="0"/>
        <w:jc w:val="left"/>
        <w:rPr>
          <w:sz w:val="12"/>
        </w:rPr>
      </w:pPr>
      <w:r>
        <w:rPr>
          <w:sz w:val="12"/>
        </w:rPr>
        <w:t>20</w:t>
      </w:r>
    </w:p>
    <w:p>
      <w:pPr>
        <w:pStyle w:val="BodyText"/>
        <w:rPr>
          <w:sz w:val="12"/>
        </w:rPr>
      </w:pPr>
    </w:p>
    <w:p>
      <w:pPr>
        <w:pStyle w:val="BodyText"/>
        <w:rPr>
          <w:sz w:val="12"/>
        </w:rPr>
      </w:pPr>
    </w:p>
    <w:p>
      <w:pPr>
        <w:spacing w:before="89"/>
        <w:ind w:left="3570" w:right="0" w:firstLine="0"/>
        <w:jc w:val="left"/>
        <w:rPr>
          <w:sz w:val="12"/>
        </w:rPr>
      </w:pPr>
      <w:r>
        <w:rPr>
          <w:sz w:val="12"/>
        </w:rPr>
        <w:t>15</w:t>
      </w:r>
    </w:p>
    <w:p>
      <w:pPr>
        <w:pStyle w:val="BodyText"/>
        <w:rPr>
          <w:sz w:val="12"/>
        </w:rPr>
      </w:pPr>
    </w:p>
    <w:p>
      <w:pPr>
        <w:pStyle w:val="BodyText"/>
        <w:rPr>
          <w:sz w:val="12"/>
        </w:rPr>
      </w:pPr>
    </w:p>
    <w:p>
      <w:pPr>
        <w:spacing w:before="89"/>
        <w:ind w:left="3570" w:right="0" w:firstLine="0"/>
        <w:jc w:val="left"/>
        <w:rPr>
          <w:sz w:val="12"/>
        </w:rPr>
      </w:pPr>
      <w:r>
        <w:rPr>
          <w:sz w:val="12"/>
        </w:rPr>
        <w:t>10</w:t>
      </w:r>
    </w:p>
    <w:p>
      <w:pPr>
        <w:spacing w:before="38"/>
        <w:ind w:left="1834" w:right="0" w:firstLine="0"/>
        <w:jc w:val="left"/>
        <w:rPr>
          <w:sz w:val="12"/>
        </w:rPr>
      </w:pPr>
      <w:r>
        <w:rPr>
          <w:sz w:val="12"/>
        </w:rPr>
        <w:t>Manufacturing (b)</w:t>
      </w:r>
    </w:p>
    <w:p>
      <w:pPr>
        <w:pStyle w:val="BodyText"/>
        <w:spacing w:before="5"/>
        <w:rPr>
          <w:sz w:val="16"/>
        </w:rPr>
      </w:pPr>
    </w:p>
    <w:p>
      <w:pPr>
        <w:spacing w:line="134" w:lineRule="exact" w:before="0"/>
        <w:ind w:left="3630" w:right="0" w:firstLine="0"/>
        <w:jc w:val="left"/>
        <w:rPr>
          <w:sz w:val="12"/>
        </w:rPr>
      </w:pPr>
      <w:r>
        <w:rPr/>
        <w:pict>
          <v:shape style="position:absolute;margin-left:43.479pt;margin-top:3.367069pt;width:164.35pt;height:6.5pt;mso-position-horizontal-relative:page;mso-position-vertical-relative:paragraph;z-index:15920128" coordorigin="870,67" coordsize="3287,130" path="m870,68l957,68m870,196l4133,196m1013,80l1013,196m1096,149l1096,196m1178,149l1178,196m1261,149l1261,196m1344,80l1344,196m1427,149l1427,196m1510,149l1510,196m1593,149l1593,196m1676,80l1676,196m1759,149l1759,196m1842,149l1842,196m1925,149l1925,196m2008,80l2008,196m2091,149l2091,196m2174,149l2174,196m2257,149l2257,196m2340,80l2340,196m2423,149l2423,196m2505,149l2505,196m2588,149l2588,196m2671,80l2671,196m2754,149l2754,196m2837,149l2837,196m2920,149l2920,196m3003,80l3003,196m3086,149l3086,196m3169,149l3169,196m3252,149l3252,196m3335,80l3335,196m3418,149l3418,196m3501,149l3501,196m3584,149l3584,196m3667,80l3667,196m3750,149l3750,196m3833,149l3833,196m3915,149l3915,196m4053,67l4140,67m3998,80l3998,196m4136,70l4136,97,4116,113,4156,127,4116,147,4156,163,4133,173,4133,197m953,67l953,94,933,110,973,124,933,144,973,161,950,171,950,194e" filled="false" stroked="true" strokeweight=".5pt" strokecolor="#000000">
            <v:path arrowok="t"/>
            <v:stroke dashstyle="solid"/>
            <w10:wrap type="none"/>
          </v:shape>
        </w:pict>
      </w:r>
      <w:r>
        <w:rPr>
          <w:sz w:val="12"/>
        </w:rPr>
        <w:t>5</w:t>
      </w:r>
    </w:p>
    <w:p>
      <w:pPr>
        <w:spacing w:line="112" w:lineRule="exact" w:before="0"/>
        <w:ind w:left="3629" w:right="0" w:firstLine="0"/>
        <w:jc w:val="left"/>
        <w:rPr>
          <w:sz w:val="12"/>
        </w:rPr>
      </w:pPr>
      <w:r>
        <w:rPr>
          <w:color w:val="231F20"/>
          <w:sz w:val="12"/>
        </w:rPr>
        <w:t>0</w:t>
      </w:r>
    </w:p>
    <w:p>
      <w:pPr>
        <w:tabs>
          <w:tab w:pos="1160" w:val="left" w:leader="none"/>
          <w:tab w:pos="1500" w:val="left" w:leader="none"/>
          <w:tab w:pos="1823" w:val="left" w:leader="none"/>
          <w:tab w:pos="2163" w:val="left" w:leader="none"/>
          <w:tab w:pos="2488" w:val="left" w:leader="none"/>
          <w:tab w:pos="2827" w:val="left" w:leader="none"/>
        </w:tabs>
        <w:spacing w:line="117" w:lineRule="exact" w:before="0"/>
        <w:ind w:left="400" w:right="0" w:firstLine="0"/>
        <w:jc w:val="left"/>
        <w:rPr>
          <w:sz w:val="12"/>
        </w:rPr>
      </w:pPr>
      <w:r>
        <w:rPr>
          <w:sz w:val="12"/>
        </w:rPr>
        <w:t>1990     </w:t>
      </w:r>
      <w:r>
        <w:rPr>
          <w:spacing w:val="15"/>
          <w:sz w:val="12"/>
        </w:rPr>
        <w:t> </w:t>
      </w:r>
      <w:r>
        <w:rPr>
          <w:sz w:val="12"/>
        </w:rPr>
        <w:t>91</w:t>
        <w:tab/>
        <w:t>92</w:t>
        <w:tab/>
        <w:t>93</w:t>
        <w:tab/>
        <w:t>94</w:t>
        <w:tab/>
        <w:t>95</w:t>
        <w:tab/>
        <w:t>96</w:t>
        <w:tab/>
        <w:t>97 98</w:t>
      </w:r>
      <w:r>
        <w:rPr>
          <w:spacing w:val="3"/>
          <w:sz w:val="12"/>
        </w:rPr>
        <w:t> </w:t>
      </w:r>
      <w:r>
        <w:rPr>
          <w:color w:val="231F20"/>
          <w:sz w:val="12"/>
        </w:rPr>
        <w:t>99</w:t>
      </w:r>
    </w:p>
    <w:p>
      <w:pPr>
        <w:spacing w:line="208" w:lineRule="auto" w:before="101"/>
        <w:ind w:left="550" w:right="0" w:hanging="360"/>
        <w:jc w:val="left"/>
        <w:rPr>
          <w:sz w:val="12"/>
        </w:rPr>
      </w:pPr>
      <w:r>
        <w:rPr>
          <w:color w:val="231F20"/>
          <w:sz w:val="12"/>
        </w:rPr>
        <w:t>Note: The chart shows quarterly figures derived as the average of monthly observations.</w:t>
      </w:r>
    </w:p>
    <w:p>
      <w:pPr>
        <w:spacing w:before="105"/>
        <w:ind w:left="190" w:right="0" w:firstLine="0"/>
        <w:jc w:val="left"/>
        <w:rPr>
          <w:sz w:val="12"/>
        </w:rPr>
      </w:pPr>
      <w:r>
        <w:rPr>
          <w:color w:val="231F20"/>
          <w:sz w:val="12"/>
        </w:rPr>
        <w:t>Source: CBI.</w:t>
      </w:r>
    </w:p>
    <w:p>
      <w:pPr>
        <w:pStyle w:val="ListParagraph"/>
        <w:numPr>
          <w:ilvl w:val="0"/>
          <w:numId w:val="13"/>
        </w:numPr>
        <w:tabs>
          <w:tab w:pos="430" w:val="left" w:leader="none"/>
        </w:tabs>
        <w:spacing w:line="129" w:lineRule="exact" w:before="102" w:after="0"/>
        <w:ind w:left="429" w:right="0" w:hanging="240"/>
        <w:jc w:val="left"/>
        <w:rPr>
          <w:sz w:val="12"/>
        </w:rPr>
      </w:pPr>
      <w:r>
        <w:rPr>
          <w:color w:val="231F20"/>
          <w:sz w:val="12"/>
        </w:rPr>
        <w:t>Volume of stocks in relation to expected sales.</w:t>
      </w:r>
    </w:p>
    <w:p>
      <w:pPr>
        <w:pStyle w:val="ListParagraph"/>
        <w:numPr>
          <w:ilvl w:val="0"/>
          <w:numId w:val="13"/>
        </w:numPr>
        <w:tabs>
          <w:tab w:pos="431" w:val="left" w:leader="none"/>
        </w:tabs>
        <w:spacing w:line="129" w:lineRule="exact" w:before="0" w:after="0"/>
        <w:ind w:left="430" w:right="0" w:hanging="241"/>
        <w:jc w:val="left"/>
        <w:rPr>
          <w:sz w:val="12"/>
        </w:rPr>
      </w:pPr>
      <w:r>
        <w:rPr>
          <w:color w:val="231F20"/>
          <w:sz w:val="12"/>
        </w:rPr>
        <w:t>Balance of firms reporting more than adequate stocks of finished goods.</w:t>
      </w:r>
    </w:p>
    <w:p>
      <w:pPr>
        <w:spacing w:line="242" w:lineRule="auto" w:before="0"/>
        <w:ind w:left="179" w:right="162" w:firstLine="0"/>
        <w:jc w:val="left"/>
        <w:rPr>
          <w:sz w:val="24"/>
        </w:rPr>
      </w:pPr>
      <w:r>
        <w:rPr/>
        <w:br w:type="column"/>
      </w:r>
      <w:r>
        <w:rPr>
          <w:color w:val="231F20"/>
          <w:sz w:val="24"/>
        </w:rPr>
        <w:t>CBI Distributive Trades Survey measure of stocks relative to expected sales in April. Overall, the </w:t>
      </w:r>
      <w:r>
        <w:rPr>
          <w:color w:val="231F20"/>
          <w:spacing w:val="-3"/>
          <w:sz w:val="24"/>
        </w:rPr>
        <w:t>MPC’s </w:t>
      </w:r>
      <w:r>
        <w:rPr>
          <w:color w:val="231F20"/>
          <w:sz w:val="24"/>
        </w:rPr>
        <w:t>central projection continues to be that stockbuilding will detract from output growth this </w:t>
      </w:r>
      <w:r>
        <w:rPr>
          <w:color w:val="231F20"/>
          <w:spacing w:val="-3"/>
          <w:sz w:val="24"/>
        </w:rPr>
        <w:t>year. </w:t>
      </w:r>
      <w:r>
        <w:rPr>
          <w:color w:val="231F20"/>
          <w:sz w:val="24"/>
        </w:rPr>
        <w:t>The recent improvement in the survey evidence does suggest, </w:t>
      </w:r>
      <w:r>
        <w:rPr>
          <w:color w:val="231F20"/>
          <w:spacing w:val="-4"/>
          <w:sz w:val="24"/>
        </w:rPr>
        <w:t>however, </w:t>
      </w:r>
      <w:r>
        <w:rPr>
          <w:color w:val="231F20"/>
          <w:sz w:val="24"/>
        </w:rPr>
        <w:t>that the size of the unwanted inventory overhang may not be as large as the MPC had </w:t>
      </w:r>
      <w:r>
        <w:rPr>
          <w:color w:val="231F20"/>
          <w:spacing w:val="-3"/>
          <w:sz w:val="24"/>
        </w:rPr>
        <w:t>previously </w:t>
      </w:r>
      <w:r>
        <w:rPr>
          <w:color w:val="231F20"/>
          <w:sz w:val="24"/>
        </w:rPr>
        <w:t>thought </w:t>
      </w:r>
      <w:r>
        <w:rPr>
          <w:color w:val="231F20"/>
          <w:spacing w:val="-3"/>
          <w:sz w:val="24"/>
        </w:rPr>
        <w:t>likely. </w:t>
      </w:r>
      <w:r>
        <w:rPr>
          <w:color w:val="231F20"/>
          <w:sz w:val="24"/>
        </w:rPr>
        <w:t>Precautionary stockbuilding ahead of the Millennium may also affect the quarterly profile of inventory</w:t>
      </w:r>
      <w:r>
        <w:rPr>
          <w:color w:val="231F20"/>
          <w:spacing w:val="-1"/>
          <w:sz w:val="24"/>
        </w:rPr>
        <w:t> </w:t>
      </w:r>
      <w:r>
        <w:rPr>
          <w:color w:val="231F20"/>
          <w:sz w:val="24"/>
        </w:rPr>
        <w:t>investment.</w:t>
      </w:r>
    </w:p>
    <w:p>
      <w:pPr>
        <w:pStyle w:val="BodyText"/>
        <w:spacing w:before="4"/>
        <w:rPr>
          <w:sz w:val="26"/>
        </w:rPr>
      </w:pPr>
    </w:p>
    <w:p>
      <w:pPr>
        <w:spacing w:before="0"/>
        <w:ind w:left="179" w:right="0" w:firstLine="0"/>
        <w:jc w:val="left"/>
        <w:rPr>
          <w:i/>
          <w:sz w:val="24"/>
        </w:rPr>
      </w:pPr>
      <w:r>
        <w:rPr>
          <w:i/>
          <w:color w:val="009483"/>
          <w:sz w:val="24"/>
        </w:rPr>
        <w:t>Public sector demand</w:t>
      </w:r>
    </w:p>
    <w:p>
      <w:pPr>
        <w:spacing w:line="242" w:lineRule="auto" w:before="124"/>
        <w:ind w:left="179" w:right="238" w:firstLine="0"/>
        <w:jc w:val="left"/>
        <w:rPr>
          <w:sz w:val="24"/>
        </w:rPr>
      </w:pPr>
      <w:r>
        <w:rPr>
          <w:color w:val="231F20"/>
          <w:sz w:val="24"/>
        </w:rPr>
        <w:t>Real general government consumption increased by 1.7% in the year to 1998 Q4. In assessing the outlook for the public finances, the MPC has taken as its central case the nominal government expenditure plans and effective tax rates from the 9 March Budget statement. The Government intends to expand current nominal spending on goods and services by 5.3% this financial year. Given that current spending is estimated to have increased by 4.7% in 1998–99, the growth rate of real government consumption is likely to rise. But, the overall stance of fiscal policy is not expected to</w:t>
      </w:r>
    </w:p>
    <w:p>
      <w:pPr>
        <w:spacing w:line="242" w:lineRule="auto" w:before="14"/>
        <w:ind w:left="179" w:right="181" w:firstLine="0"/>
        <w:jc w:val="left"/>
        <w:rPr>
          <w:sz w:val="24"/>
        </w:rPr>
      </w:pPr>
      <w:r>
        <w:rPr>
          <w:color w:val="231F20"/>
          <w:sz w:val="24"/>
        </w:rPr>
        <w:t>change much—HM Treasury estimate that the government’s cyclically adjusted net borrowing position will decrease by 0.1% of GDP between 1998–99 and 1999–2000.</w:t>
      </w:r>
    </w:p>
    <w:p>
      <w:pPr>
        <w:spacing w:after="0" w:line="242" w:lineRule="auto"/>
        <w:jc w:val="left"/>
        <w:rPr>
          <w:sz w:val="24"/>
        </w:rPr>
        <w:sectPr>
          <w:type w:val="continuous"/>
          <w:pgSz w:w="11900" w:h="16840"/>
          <w:pgMar w:top="1220" w:bottom="280" w:left="640" w:right="640"/>
          <w:cols w:num="2" w:equalWidth="0">
            <w:col w:w="3933" w:space="877"/>
            <w:col w:w="5810"/>
          </w:cols>
        </w:sectPr>
      </w:pPr>
    </w:p>
    <w:p>
      <w:pPr>
        <w:pStyle w:val="BodyText"/>
        <w:spacing w:before="6"/>
        <w:rPr>
          <w:sz w:val="29"/>
        </w:rPr>
      </w:pPr>
    </w:p>
    <w:p>
      <w:pPr>
        <w:spacing w:after="0"/>
        <w:rPr>
          <w:sz w:val="29"/>
        </w:rPr>
        <w:sectPr>
          <w:headerReference w:type="even" r:id="rId68"/>
          <w:headerReference w:type="default" r:id="rId69"/>
          <w:footerReference w:type="even" r:id="rId70"/>
          <w:footerReference w:type="default" r:id="rId71"/>
          <w:pgSz w:w="11900" w:h="16840"/>
          <w:pgMar w:header="586" w:footer="597" w:top="780" w:bottom="780" w:left="640" w:right="640"/>
          <w:pgNumType w:start="20"/>
        </w:sectPr>
      </w:pPr>
    </w:p>
    <w:p>
      <w:pPr>
        <w:pStyle w:val="Heading4"/>
        <w:spacing w:before="147"/>
      </w:pPr>
      <w:bookmarkStart w:name="Output" w:id="42"/>
      <w:bookmarkEnd w:id="42"/>
      <w:r>
        <w:rPr>
          <w:b w:val="0"/>
        </w:rPr>
      </w:r>
      <w:bookmarkStart w:name="_bookmark16" w:id="43"/>
      <w:bookmarkEnd w:id="43"/>
      <w:r>
        <w:rPr>
          <w:b w:val="0"/>
        </w:rPr>
      </w:r>
      <w:r>
        <w:rPr>
          <w:color w:val="0093C1"/>
        </w:rPr>
        <w:t>Chart 2.17</w:t>
      </w:r>
    </w:p>
    <w:p>
      <w:pPr>
        <w:pStyle w:val="Heading4"/>
        <w:rPr>
          <w:b w:val="0"/>
          <w:sz w:val="12"/>
        </w:rPr>
      </w:pPr>
      <w:r>
        <w:rPr>
          <w:color w:val="0093C1"/>
        </w:rPr>
        <w:t>GDP growth rate</w:t>
      </w:r>
      <w:r>
        <w:rPr>
          <w:b w:val="0"/>
          <w:color w:val="231F20"/>
          <w:position w:val="4"/>
          <w:sz w:val="12"/>
        </w:rPr>
        <w:t>(a)</w:t>
      </w:r>
    </w:p>
    <w:p>
      <w:pPr>
        <w:pStyle w:val="BodyText"/>
        <w:spacing w:before="10" w:after="39"/>
        <w:rPr>
          <w:sz w:val="25"/>
        </w:rPr>
      </w:pPr>
    </w:p>
    <w:p>
      <w:pPr>
        <w:pStyle w:val="BodyText"/>
        <w:spacing w:line="20" w:lineRule="exact"/>
        <w:ind w:left="240"/>
        <w:rPr>
          <w:sz w:val="2"/>
        </w:rPr>
      </w:pPr>
      <w:r>
        <w:rPr>
          <w:sz w:val="2"/>
        </w:rPr>
        <w:pict>
          <v:group style="width:4.25pt;height:.5pt;mso-position-horizontal-relative:char;mso-position-vertical-relative:line" coordorigin="0,0" coordsize="85,10">
            <v:line style="position:absolute" from="0,5" to="84,5" stroked="true" strokeweight=".5pt" strokecolor="#231f2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28" w:lineRule="exact" w:before="86"/>
        <w:ind w:left="170" w:right="0" w:firstLine="0"/>
        <w:jc w:val="left"/>
        <w:rPr>
          <w:sz w:val="12"/>
        </w:rPr>
      </w:pPr>
      <w:r>
        <w:rPr>
          <w:color w:val="231F20"/>
          <w:sz w:val="12"/>
        </w:rPr>
        <w:t>Percentage changes</w:t>
      </w:r>
    </w:p>
    <w:p>
      <w:pPr>
        <w:spacing w:line="128" w:lineRule="exact" w:before="0"/>
        <w:ind w:left="1183" w:right="0" w:firstLine="0"/>
        <w:jc w:val="left"/>
        <w:rPr>
          <w:sz w:val="12"/>
        </w:rPr>
      </w:pPr>
      <w:r>
        <w:rPr/>
        <w:pict>
          <v:line style="position:absolute;mso-position-horizontal-relative:page;mso-position-vertical-relative:paragraph;z-index:15925760" from="203.925995pt,2.740958pt" to="208.133995pt,2.740958pt" stroked="true" strokeweight=".5pt" strokecolor="#231f20">
            <v:stroke dashstyle="solid"/>
            <w10:wrap type="none"/>
          </v:line>
        </w:pict>
      </w:r>
      <w:r>
        <w:rPr>
          <w:color w:val="231F20"/>
          <w:sz w:val="12"/>
        </w:rPr>
        <w:t>6</w:t>
      </w:r>
    </w:p>
    <w:p>
      <w:pPr>
        <w:pStyle w:val="BodyText"/>
        <w:rPr>
          <w:sz w:val="12"/>
        </w:rPr>
      </w:pPr>
    </w:p>
    <w:p>
      <w:pPr>
        <w:pStyle w:val="BodyText"/>
        <w:rPr>
          <w:sz w:val="12"/>
        </w:rPr>
      </w:pPr>
    </w:p>
    <w:p>
      <w:pPr>
        <w:spacing w:before="87"/>
        <w:ind w:left="0" w:right="38" w:firstLine="0"/>
        <w:jc w:val="right"/>
        <w:rPr>
          <w:sz w:val="12"/>
        </w:rPr>
      </w:pPr>
      <w:r>
        <w:rPr/>
        <w:pict>
          <v:group style="position:absolute;margin-left:44.279999pt;margin-top:7.132797pt;width:163.9pt;height:126.35pt;mso-position-horizontal-relative:page;mso-position-vertical-relative:paragraph;z-index:15925248" coordorigin="886,143" coordsize="3278,2527">
            <v:rect style="position:absolute;left:1066;top:2385;width:91;height:275" filled="true" fillcolor="#e1eecd" stroked="false">
              <v:fill type="solid"/>
            </v:rect>
            <v:rect style="position:absolute;left:1066;top:2385;width:91;height:275" filled="false" stroked="true" strokeweight=".5pt" strokecolor="#231f20">
              <v:stroke dashstyle="solid"/>
            </v:rect>
            <v:rect style="position:absolute;left:1171;top:2385;width:91;height:275" filled="true" fillcolor="#e1eecd" stroked="false">
              <v:fill type="solid"/>
            </v:rect>
            <v:rect style="position:absolute;left:1171;top:2385;width:91;height:275" filled="false" stroked="true" strokeweight=".5pt" strokecolor="#231f20">
              <v:stroke dashstyle="solid"/>
            </v:rect>
            <v:rect style="position:absolute;left:1276;top:2175;width:91;height:485" filled="true" fillcolor="#e1eecd" stroked="false">
              <v:fill type="solid"/>
            </v:rect>
            <v:rect style="position:absolute;left:1276;top:2175;width:91;height:485" filled="false" stroked="true" strokeweight=".5pt" strokecolor="#231f20">
              <v:stroke dashstyle="solid"/>
            </v:rect>
            <v:rect style="position:absolute;left:1381;top:2128;width:91;height:533" filled="true" fillcolor="#e1eecd" stroked="false">
              <v:fill type="solid"/>
            </v:rect>
            <v:rect style="position:absolute;left:1381;top:2128;width:91;height:533" filled="false" stroked="true" strokeweight=".5pt" strokecolor="#231f20">
              <v:stroke dashstyle="solid"/>
            </v:rect>
            <v:rect style="position:absolute;left:1539;top:2128;width:91;height:533" filled="true" fillcolor="#e1eecd" stroked="false">
              <v:fill type="solid"/>
            </v:rect>
            <v:rect style="position:absolute;left:1539;top:2128;width:91;height:533" filled="false" stroked="true" strokeweight=".5pt" strokecolor="#231f20">
              <v:stroke dashstyle="solid"/>
            </v:rect>
            <v:rect style="position:absolute;left:1646;top:2038;width:91;height:623" filled="true" fillcolor="#e1eecd" stroked="false">
              <v:fill type="solid"/>
            </v:rect>
            <v:rect style="position:absolute;left:1646;top:2038;width:91;height:623" filled="false" stroked="true" strokeweight=".5pt" strokecolor="#231f20">
              <v:stroke dashstyle="solid"/>
            </v:rect>
            <v:rect style="position:absolute;left:1753;top:1933;width:91;height:728" filled="true" fillcolor="#e1eecd" stroked="false">
              <v:fill type="solid"/>
            </v:rect>
            <v:rect style="position:absolute;left:1753;top:1933;width:91;height:728" filled="false" stroked="true" strokeweight=".5pt" strokecolor="#231f20">
              <v:stroke dashstyle="solid"/>
            </v:rect>
            <v:rect style="position:absolute;left:1859;top:2250;width:91;height:410" filled="true" fillcolor="#e1eecd" stroked="false">
              <v:fill type="solid"/>
            </v:rect>
            <v:rect style="position:absolute;left:1859;top:2250;width:91;height:410" filled="false" stroked="true" strokeweight=".5pt" strokecolor="#231f20">
              <v:stroke dashstyle="solid"/>
            </v:rect>
            <v:rect style="position:absolute;left:2017;top:2460;width:91;height:200" filled="true" fillcolor="#e1eecd" stroked="false">
              <v:fill type="solid"/>
            </v:rect>
            <v:rect style="position:absolute;left:2017;top:2460;width:91;height:200" filled="false" stroked="true" strokeweight=".5pt" strokecolor="#231f20">
              <v:stroke dashstyle="solid"/>
            </v:rect>
            <v:rect style="position:absolute;left:2126;top:2460;width:91;height:200" filled="true" fillcolor="#e1eecd" stroked="false">
              <v:fill type="solid"/>
            </v:rect>
            <v:rect style="position:absolute;left:2126;top:2460;width:91;height:200" filled="false" stroked="true" strokeweight=".5pt" strokecolor="#231f20">
              <v:stroke dashstyle="solid"/>
            </v:rect>
            <v:rect style="position:absolute;left:2235;top:2415;width:91;height:245" filled="true" fillcolor="#e1eecd" stroked="false">
              <v:fill type="solid"/>
            </v:rect>
            <v:rect style="position:absolute;left:2235;top:2415;width:91;height:245" filled="false" stroked="true" strokeweight=".5pt" strokecolor="#231f20">
              <v:stroke dashstyle="solid"/>
            </v:rect>
            <v:rect style="position:absolute;left:2344;top:2355;width:91;height:305" filled="true" fillcolor="#e1eecd" stroked="false">
              <v:fill type="solid"/>
            </v:rect>
            <v:rect style="position:absolute;left:2344;top:2355;width:91;height:305" filled="false" stroked="true" strokeweight=".5pt" strokecolor="#231f20">
              <v:stroke dashstyle="solid"/>
            </v:rect>
            <v:rect style="position:absolute;left:2498;top:2160;width:91;height:500" filled="true" fillcolor="#e1eecd" stroked="false">
              <v:fill type="solid"/>
            </v:rect>
            <v:rect style="position:absolute;left:2498;top:2160;width:91;height:500" filled="false" stroked="true" strokeweight=".5pt" strokecolor="#231f20">
              <v:stroke dashstyle="solid"/>
            </v:rect>
            <v:rect style="position:absolute;left:2607;top:2460;width:91;height:200" filled="true" fillcolor="#e1eecd" stroked="false">
              <v:fill type="solid"/>
            </v:rect>
            <v:rect style="position:absolute;left:2607;top:2460;width:91;height:200" filled="false" stroked="true" strokeweight=".5pt" strokecolor="#231f20">
              <v:stroke dashstyle="solid"/>
            </v:rect>
            <v:rect style="position:absolute;left:2716;top:2370;width:91;height:290" filled="true" fillcolor="#e1eecd" stroked="false">
              <v:fill type="solid"/>
            </v:rect>
            <v:rect style="position:absolute;left:2716;top:2370;width:91;height:290" filled="false" stroked="true" strokeweight=".5pt" strokecolor="#231f20">
              <v:stroke dashstyle="solid"/>
            </v:rect>
            <v:rect style="position:absolute;left:2824;top:2370;width:91;height:290" filled="true" fillcolor="#e1eecd" stroked="false">
              <v:fill type="solid"/>
            </v:rect>
            <v:rect style="position:absolute;left:2824;top:2370;width:91;height:290" filled="false" stroked="true" strokeweight=".5pt" strokecolor="#231f20">
              <v:stroke dashstyle="solid"/>
            </v:rect>
            <v:rect style="position:absolute;left:2977;top:1978;width:91;height:683" filled="true" fillcolor="#e1eecd" stroked="false">
              <v:fill type="solid"/>
            </v:rect>
            <v:rect style="position:absolute;left:2977;top:1978;width:91;height:683" filled="false" stroked="true" strokeweight=".5pt" strokecolor="#231f20">
              <v:stroke dashstyle="solid"/>
            </v:rect>
            <v:rect style="position:absolute;left:3085;top:2190;width:91;height:470" filled="true" fillcolor="#e1eecd" stroked="false">
              <v:fill type="solid"/>
            </v:rect>
            <v:rect style="position:absolute;left:3085;top:2190;width:91;height:470" filled="false" stroked="true" strokeweight=".5pt" strokecolor="#231f20">
              <v:stroke dashstyle="solid"/>
            </v:rect>
            <v:rect style="position:absolute;left:3193;top:2235;width:91;height:425" filled="true" fillcolor="#e1eecd" stroked="false">
              <v:fill type="solid"/>
            </v:rect>
            <v:rect style="position:absolute;left:3193;top:2235;width:91;height:425" filled="false" stroked="true" strokeweight=".5pt" strokecolor="#231f20">
              <v:stroke dashstyle="solid"/>
            </v:rect>
            <v:rect style="position:absolute;left:3301;top:2280;width:91;height:380" filled="true" fillcolor="#e1eecd" stroked="false">
              <v:fill type="solid"/>
            </v:rect>
            <v:rect style="position:absolute;left:3301;top:2280;width:91;height:380" filled="false" stroked="true" strokeweight=".5pt" strokecolor="#231f20">
              <v:stroke dashstyle="solid"/>
            </v:rect>
            <v:rect style="position:absolute;left:3453;top:2430;width:91;height:230" filled="true" fillcolor="#e1eecd" stroked="false">
              <v:fill type="solid"/>
            </v:rect>
            <v:rect style="position:absolute;left:3453;top:2430;width:91;height:230" filled="false" stroked="true" strokeweight=".5pt" strokecolor="#231f20">
              <v:stroke dashstyle="solid"/>
            </v:rect>
            <v:rect style="position:absolute;left:3562;top:2520;width:91;height:140" filled="true" fillcolor="#e1eecd" stroked="false">
              <v:fill type="solid"/>
            </v:rect>
            <v:rect style="position:absolute;left:3562;top:2520;width:91;height:140" filled="false" stroked="true" strokeweight=".5pt" strokecolor="#231f20">
              <v:stroke dashstyle="solid"/>
            </v:rect>
            <v:rect style="position:absolute;left:3671;top:2520;width:91;height:140" filled="true" fillcolor="#e1eecd" stroked="false">
              <v:fill type="solid"/>
            </v:rect>
            <v:rect style="position:absolute;left:3671;top:2520;width:91;height:140" filled="false" stroked="true" strokeweight=".5pt" strokecolor="#231f20">
              <v:stroke dashstyle="solid"/>
            </v:rect>
            <v:rect style="position:absolute;left:3781;top:2613;width:91;height:48" filled="true" fillcolor="#e1eecd" stroked="false">
              <v:fill type="solid"/>
            </v:rect>
            <v:rect style="position:absolute;left:3781;top:2613;width:91;height:48" filled="false" stroked="true" strokeweight=".5pt" strokecolor="#231f20">
              <v:stroke dashstyle="solid"/>
            </v:rect>
            <v:rect style="position:absolute;left:3931;top:2613;width:98;height:48" filled="true" fillcolor="#e1eecd" stroked="false">
              <v:fill type="solid"/>
            </v:rect>
            <v:rect style="position:absolute;left:3931;top:2613;width:98;height:48" filled="false" stroked="true" strokeweight=".5pt" strokecolor="#231f20">
              <v:stroke dashstyle="solid"/>
            </v:rect>
            <v:shape style="position:absolute;left:1088;top:198;width:2890;height:2098" coordorigin="1089,198" coordsize="2890,2098" path="m1089,2008l1214,1616,1341,1406,1451,1073,1579,816,1689,438,1814,198,1941,333,2051,666,2179,1103,2289,1586,2414,1706,2541,1406,2651,1406,2779,1358,2889,1376,3016,1193,3126,891,3251,756,3379,681,3489,1133,3616,1481,3726,1768,3854,2098,3979,2296e" filled="false" stroked="true" strokeweight="1pt" strokecolor="#008256">
              <v:path arrowok="t"/>
              <v:stroke dashstyle="solid"/>
            </v:shape>
            <v:shape style="position:absolute;left:1025;top:2603;width:3003;height:58" coordorigin="1026,2603" coordsize="3003,58" path="m4026,2658l4029,2643m1026,2603l1026,2654m1500,2603l1500,2654m1981,2603l1981,2654m2462,2603l2462,2654m2943,2603l2943,2654m3423,2603l3423,2654m3904,2603l3904,2654m1028,2661l4022,2661e" filled="false" stroked="true" strokeweight=".5pt" strokecolor="#231f20">
              <v:path arrowok="t"/>
              <v:stroke dashstyle="solid"/>
            </v:shape>
            <v:shape style="position:absolute;left:885;top:655;width:3278;height:2009" coordorigin="886,655" coordsize="3278,2009" path="m886,655l970,655m886,1158l970,1158m886,1660l970,1660m886,2162l970,2162m886,2664l970,2664m4079,656l4163,656m4079,1158l4163,1158m4079,1660l4163,1660m4079,2162l4163,2162m4079,2664l4163,2664e" filled="false" stroked="true" strokeweight=".5pt" strokecolor="#231f20">
              <v:path arrowok="t"/>
              <v:stroke dashstyle="solid"/>
            </v:shape>
            <v:shape style="position:absolute;left:1893;top:142;width:1193;height:134" type="#_x0000_t202" filled="false" stroked="false">
              <v:textbox inset="0,0,0,0">
                <w:txbxContent>
                  <w:p>
                    <w:pPr>
                      <w:spacing w:line="133" w:lineRule="exact" w:before="0"/>
                      <w:ind w:left="0" w:right="0" w:firstLine="0"/>
                      <w:jc w:val="left"/>
                      <w:rPr>
                        <w:sz w:val="12"/>
                      </w:rPr>
                    </w:pPr>
                    <w:r>
                      <w:rPr>
                        <w:color w:val="231F20"/>
                        <w:sz w:val="12"/>
                      </w:rPr>
                      <w:t>Quarter on a year earlier</w:t>
                    </w:r>
                  </w:p>
                </w:txbxContent>
              </v:textbox>
              <w10:wrap type="none"/>
            </v:shape>
            <v:shape style="position:absolute;left:2009;top:1816;width:1350;height:134" type="#_x0000_t202" filled="false" stroked="false">
              <v:textbox inset="0,0,0,0">
                <w:txbxContent>
                  <w:p>
                    <w:pPr>
                      <w:spacing w:line="133" w:lineRule="exact" w:before="0"/>
                      <w:ind w:left="0" w:right="0" w:firstLine="0"/>
                      <w:jc w:val="left"/>
                      <w:rPr>
                        <w:sz w:val="12"/>
                      </w:rPr>
                    </w:pPr>
                    <w:r>
                      <w:rPr>
                        <w:color w:val="231F20"/>
                        <w:sz w:val="12"/>
                      </w:rPr>
                      <w:t>Quarter on previous quarter</w:t>
                    </w:r>
                  </w:p>
                </w:txbxContent>
              </v:textbox>
              <w10:wrap type="none"/>
            </v:shape>
            <w10:wrap type="none"/>
          </v:group>
        </w:pict>
      </w:r>
      <w:r>
        <w:rPr>
          <w:color w:val="231F20"/>
          <w:sz w:val="12"/>
        </w:rPr>
        <w:t>5</w:t>
      </w:r>
    </w:p>
    <w:p>
      <w:pPr>
        <w:pStyle w:val="BodyText"/>
        <w:rPr>
          <w:sz w:val="12"/>
        </w:rPr>
      </w:pPr>
    </w:p>
    <w:p>
      <w:pPr>
        <w:pStyle w:val="BodyText"/>
        <w:rPr>
          <w:sz w:val="12"/>
        </w:rPr>
      </w:pPr>
    </w:p>
    <w:p>
      <w:pPr>
        <w:spacing w:before="87"/>
        <w:ind w:left="0" w:right="38" w:firstLine="0"/>
        <w:jc w:val="right"/>
        <w:rPr>
          <w:sz w:val="12"/>
        </w:rPr>
      </w:pPr>
      <w:r>
        <w:rPr>
          <w:color w:val="231F20"/>
          <w:sz w:val="12"/>
        </w:rPr>
        <w:t>4</w:t>
      </w:r>
    </w:p>
    <w:p>
      <w:pPr>
        <w:pStyle w:val="BodyText"/>
        <w:rPr>
          <w:sz w:val="12"/>
        </w:rPr>
      </w:pPr>
    </w:p>
    <w:p>
      <w:pPr>
        <w:pStyle w:val="BodyText"/>
        <w:rPr>
          <w:sz w:val="12"/>
        </w:rPr>
      </w:pPr>
    </w:p>
    <w:p>
      <w:pPr>
        <w:spacing w:before="87"/>
        <w:ind w:left="0" w:right="38" w:firstLine="0"/>
        <w:jc w:val="right"/>
        <w:rPr>
          <w:sz w:val="12"/>
        </w:rPr>
      </w:pPr>
      <w:r>
        <w:rPr>
          <w:color w:val="231F20"/>
          <w:sz w:val="12"/>
        </w:rPr>
        <w:t>3</w:t>
      </w:r>
    </w:p>
    <w:p>
      <w:pPr>
        <w:pStyle w:val="BodyText"/>
        <w:rPr>
          <w:sz w:val="12"/>
        </w:rPr>
      </w:pPr>
    </w:p>
    <w:p>
      <w:pPr>
        <w:pStyle w:val="BodyText"/>
        <w:rPr>
          <w:sz w:val="12"/>
        </w:rPr>
      </w:pPr>
    </w:p>
    <w:p>
      <w:pPr>
        <w:spacing w:before="86"/>
        <w:ind w:left="0" w:right="38" w:firstLine="0"/>
        <w:jc w:val="right"/>
        <w:rPr>
          <w:sz w:val="12"/>
        </w:rPr>
      </w:pPr>
      <w:r>
        <w:rPr>
          <w:color w:val="231F20"/>
          <w:sz w:val="12"/>
        </w:rPr>
        <w:t>2</w:t>
      </w:r>
    </w:p>
    <w:p>
      <w:pPr>
        <w:pStyle w:val="BodyText"/>
        <w:rPr>
          <w:sz w:val="12"/>
        </w:rPr>
      </w:pPr>
    </w:p>
    <w:p>
      <w:pPr>
        <w:pStyle w:val="BodyText"/>
        <w:rPr>
          <w:sz w:val="12"/>
        </w:rPr>
      </w:pPr>
    </w:p>
    <w:p>
      <w:pPr>
        <w:spacing w:before="87"/>
        <w:ind w:left="0" w:right="38" w:firstLine="0"/>
        <w:jc w:val="right"/>
        <w:rPr>
          <w:sz w:val="12"/>
        </w:rPr>
      </w:pPr>
      <w:r>
        <w:rPr>
          <w:color w:val="231F20"/>
          <w:sz w:val="12"/>
        </w:rPr>
        <w:t>1</w:t>
      </w:r>
    </w:p>
    <w:p>
      <w:pPr>
        <w:pStyle w:val="ListParagraph"/>
        <w:numPr>
          <w:ilvl w:val="1"/>
          <w:numId w:val="11"/>
        </w:numPr>
        <w:tabs>
          <w:tab w:pos="4579" w:val="left" w:leader="none"/>
          <w:tab w:pos="4580" w:val="left" w:leader="none"/>
        </w:tabs>
        <w:spacing w:line="240" w:lineRule="auto" w:before="88" w:after="0"/>
        <w:ind w:left="4579" w:right="0" w:hanging="4410"/>
        <w:jc w:val="left"/>
        <w:rPr>
          <w:b/>
          <w:sz w:val="28"/>
        </w:rPr>
      </w:pPr>
      <w:r>
        <w:rPr>
          <w:b/>
          <w:color w:val="009483"/>
          <w:sz w:val="28"/>
          <w:u w:val="thick" w:color="0093C1"/>
        </w:rPr>
        <w:br w:type="column"/>
        <w:t>Output</w:t>
      </w:r>
      <w:r>
        <w:rPr>
          <w:b/>
          <w:color w:val="009483"/>
          <w:spacing w:val="-11"/>
          <w:sz w:val="28"/>
          <w:u w:val="thick" w:color="0093C1"/>
        </w:rPr>
        <w:t> </w:t>
      </w:r>
    </w:p>
    <w:p>
      <w:pPr>
        <w:pStyle w:val="BodyText"/>
        <w:spacing w:before="11"/>
        <w:rPr>
          <w:b/>
          <w:sz w:val="23"/>
        </w:rPr>
      </w:pPr>
    </w:p>
    <w:p>
      <w:pPr>
        <w:spacing w:line="242" w:lineRule="auto" w:before="0"/>
        <w:ind w:left="170" w:right="163" w:firstLine="0"/>
        <w:jc w:val="left"/>
        <w:rPr>
          <w:sz w:val="24"/>
        </w:rPr>
      </w:pPr>
      <w:r>
        <w:rPr>
          <w:color w:val="231F20"/>
          <w:sz w:val="24"/>
        </w:rPr>
        <w:t>According to the preliminary estimate, GDP (at constant market prices) increased by 0.1% in 1999 Q1. This, together with revisions to previous quarters, lowered the annual rate of increase to 0.7% (see Chart 2.17), a little below the MPC’s central projection at the time of the February </w:t>
      </w:r>
      <w:r>
        <w:rPr>
          <w:i/>
          <w:color w:val="231F20"/>
          <w:sz w:val="24"/>
        </w:rPr>
        <w:t>Report</w:t>
      </w:r>
      <w:r>
        <w:rPr>
          <w:color w:val="231F20"/>
          <w:sz w:val="24"/>
        </w:rPr>
        <w:t>. The level of the basic price measure of GDP in 1998 Q4 has been reduced by 0.2% since the January National Accounts release, while the level of the market price measure has been lowered by 0.5%. These revisions were mainly the result of lower estimates of VAT receipts and company profits.</w:t>
      </w:r>
    </w:p>
    <w:p>
      <w:pPr>
        <w:spacing w:after="0" w:line="242" w:lineRule="auto"/>
        <w:jc w:val="left"/>
        <w:rPr>
          <w:sz w:val="24"/>
        </w:rPr>
        <w:sectPr>
          <w:type w:val="continuous"/>
          <w:pgSz w:w="11900" w:h="16840"/>
          <w:pgMar w:top="1220" w:bottom="280" w:left="640" w:right="640"/>
          <w:cols w:num="3" w:equalWidth="0">
            <w:col w:w="1821" w:space="588"/>
            <w:col w:w="1284" w:space="1102"/>
            <w:col w:w="5825"/>
          </w:cols>
        </w:sectPr>
      </w:pPr>
    </w:p>
    <w:p>
      <w:pPr>
        <w:pStyle w:val="BodyText"/>
        <w:spacing w:before="9"/>
        <w:rPr>
          <w:sz w:val="12"/>
        </w:rPr>
      </w:pPr>
    </w:p>
    <w:p>
      <w:pPr>
        <w:spacing w:line="127" w:lineRule="exact" w:before="0"/>
        <w:ind w:left="3592" w:right="0" w:firstLine="0"/>
        <w:jc w:val="left"/>
        <w:rPr>
          <w:sz w:val="12"/>
        </w:rPr>
      </w:pPr>
      <w:r>
        <w:rPr>
          <w:color w:val="231F20"/>
          <w:sz w:val="12"/>
        </w:rPr>
        <w:t>0</w:t>
      </w:r>
    </w:p>
    <w:p>
      <w:pPr>
        <w:tabs>
          <w:tab w:pos="1048" w:val="left" w:leader="none"/>
          <w:tab w:pos="1521" w:val="left" w:leader="none"/>
          <w:tab w:pos="1996" w:val="left" w:leader="none"/>
          <w:tab w:pos="2486" w:val="left" w:leader="none"/>
          <w:tab w:pos="2958" w:val="left" w:leader="none"/>
          <w:tab w:pos="3278" w:val="left" w:leader="none"/>
        </w:tabs>
        <w:spacing w:line="127" w:lineRule="exact" w:before="0"/>
        <w:ind w:left="488" w:right="0" w:firstLine="0"/>
        <w:jc w:val="left"/>
        <w:rPr>
          <w:sz w:val="12"/>
        </w:rPr>
      </w:pPr>
      <w:r>
        <w:rPr>
          <w:color w:val="231F20"/>
          <w:sz w:val="12"/>
        </w:rPr>
        <w:t>1993</w:t>
        <w:tab/>
        <w:t>94</w:t>
        <w:tab/>
        <w:t>95</w:t>
        <w:tab/>
        <w:t>96</w:t>
        <w:tab/>
        <w:t>97</w:t>
        <w:tab/>
        <w:t>98</w:t>
        <w:tab/>
        <w:t>99</w:t>
      </w:r>
    </w:p>
    <w:p>
      <w:pPr>
        <w:pStyle w:val="BodyText"/>
        <w:spacing w:before="5"/>
        <w:rPr>
          <w:sz w:val="12"/>
        </w:rPr>
      </w:pPr>
    </w:p>
    <w:p>
      <w:pPr>
        <w:spacing w:before="0"/>
        <w:ind w:left="150" w:right="0" w:firstLine="0"/>
        <w:jc w:val="left"/>
        <w:rPr>
          <w:sz w:val="12"/>
        </w:rPr>
      </w:pPr>
      <w:r>
        <w:rPr>
          <w:color w:val="231F20"/>
          <w:sz w:val="12"/>
        </w:rPr>
        <w:t>(a) At 1995 market prices.</w:t>
      </w:r>
    </w:p>
    <w:p>
      <w:pPr>
        <w:pStyle w:val="BodyText"/>
        <w:rPr>
          <w:sz w:val="12"/>
        </w:rPr>
      </w:pPr>
    </w:p>
    <w:p>
      <w:pPr>
        <w:pStyle w:val="BodyText"/>
        <w:rPr>
          <w:sz w:val="12"/>
        </w:rPr>
      </w:pPr>
    </w:p>
    <w:p>
      <w:pPr>
        <w:pStyle w:val="BodyText"/>
        <w:spacing w:before="4"/>
        <w:rPr>
          <w:sz w:val="15"/>
        </w:rPr>
      </w:pPr>
    </w:p>
    <w:p>
      <w:pPr>
        <w:pStyle w:val="Heading4"/>
        <w:spacing w:before="1"/>
        <w:ind w:left="165"/>
      </w:pPr>
      <w:r>
        <w:rPr>
          <w:color w:val="0093C1"/>
        </w:rPr>
        <w:t>Chart 2.18</w:t>
      </w:r>
    </w:p>
    <w:p>
      <w:pPr>
        <w:pStyle w:val="Heading4"/>
        <w:ind w:left="165"/>
      </w:pPr>
      <w:r>
        <w:rPr>
          <w:color w:val="0093C1"/>
        </w:rPr>
        <w:t>Annual growth rate of GDP</w:t>
      </w:r>
    </w:p>
    <w:p>
      <w:pPr>
        <w:pStyle w:val="BodyText"/>
        <w:spacing w:before="3"/>
        <w:rPr>
          <w:b/>
          <w:sz w:val="27"/>
        </w:rPr>
      </w:pPr>
      <w:r>
        <w:rPr/>
        <w:br w:type="column"/>
      </w:r>
      <w:r>
        <w:rPr>
          <w:b/>
          <w:sz w:val="27"/>
        </w:rPr>
      </w:r>
    </w:p>
    <w:p>
      <w:pPr>
        <w:spacing w:line="242" w:lineRule="auto" w:before="1"/>
        <w:ind w:left="150" w:right="203" w:firstLine="0"/>
        <w:jc w:val="left"/>
        <w:rPr>
          <w:sz w:val="24"/>
        </w:rPr>
      </w:pPr>
      <w:r>
        <w:rPr>
          <w:color w:val="231F20"/>
          <w:sz w:val="24"/>
        </w:rPr>
        <w:t>The strength of economic activity across different sectors of the economy continues to differ markedly </w:t>
      </w:r>
      <w:r>
        <w:rPr>
          <w:color w:val="231F20"/>
          <w:spacing w:val="-4"/>
          <w:sz w:val="24"/>
        </w:rPr>
        <w:t>(see </w:t>
      </w:r>
      <w:r>
        <w:rPr>
          <w:color w:val="231F20"/>
          <w:sz w:val="24"/>
        </w:rPr>
        <w:t>Chart 2.18). Industrial production fell by 1.2% between December and February, leaving the average </w:t>
      </w:r>
      <w:r>
        <w:rPr>
          <w:color w:val="231F20"/>
          <w:spacing w:val="-3"/>
          <w:sz w:val="24"/>
        </w:rPr>
        <w:t>level </w:t>
      </w:r>
      <w:r>
        <w:rPr>
          <w:color w:val="231F20"/>
          <w:sz w:val="24"/>
        </w:rPr>
        <w:t>in the first two months of 1999 0.2% lower than a year earlier.</w:t>
      </w:r>
    </w:p>
    <w:p>
      <w:pPr>
        <w:spacing w:after="0" w:line="242" w:lineRule="auto"/>
        <w:jc w:val="left"/>
        <w:rPr>
          <w:sz w:val="24"/>
        </w:rPr>
        <w:sectPr>
          <w:type w:val="continuous"/>
          <w:pgSz w:w="11900" w:h="16840"/>
          <w:pgMar w:top="1220" w:bottom="280" w:left="640" w:right="640"/>
          <w:cols w:num="2" w:equalWidth="0">
            <w:col w:w="3693" w:space="1122"/>
            <w:col w:w="5805"/>
          </w:cols>
        </w:sectPr>
      </w:pPr>
    </w:p>
    <w:p>
      <w:pPr>
        <w:pStyle w:val="BodyText"/>
        <w:spacing w:before="9"/>
        <w:rPr>
          <w:sz w:val="10"/>
        </w:rPr>
      </w:pPr>
    </w:p>
    <w:p>
      <w:pPr>
        <w:pStyle w:val="BodyText"/>
        <w:spacing w:line="20" w:lineRule="exact"/>
        <w:ind w:left="200"/>
        <w:rPr>
          <w:sz w:val="2"/>
        </w:rPr>
      </w:pPr>
      <w:r>
        <w:rPr>
          <w:sz w:val="2"/>
        </w:rPr>
        <w:pict>
          <v:group style="width:3.5pt;height:.5pt;mso-position-horizontal-relative:char;mso-position-vertical-relative:line" coordorigin="0,0" coordsize="70,10">
            <v:line style="position:absolute" from="0,5" to="70,5" stroked="true" strokeweight=".5pt" strokecolor="#000000">
              <v:stroke dashstyle="solid"/>
            </v:line>
          </v:group>
        </w:pict>
      </w:r>
      <w:r>
        <w:rPr>
          <w:sz w:val="2"/>
        </w:rPr>
      </w:r>
    </w:p>
    <w:p>
      <w:pPr>
        <w:pStyle w:val="BodyText"/>
        <w:spacing w:before="7"/>
        <w:rPr>
          <w:sz w:val="10"/>
        </w:rPr>
      </w:pPr>
    </w:p>
    <w:p>
      <w:pPr>
        <w:spacing w:before="1"/>
        <w:ind w:left="830" w:right="0" w:firstLine="0"/>
        <w:jc w:val="left"/>
        <w:rPr>
          <w:sz w:val="12"/>
        </w:rPr>
      </w:pPr>
      <w:r>
        <w:rPr>
          <w:sz w:val="12"/>
        </w:rPr>
        <w:t>Manufacturing</w:t>
      </w:r>
    </w:p>
    <w:p>
      <w:pPr>
        <w:spacing w:line="189" w:lineRule="auto" w:before="0"/>
        <w:ind w:left="154" w:right="0" w:firstLine="0"/>
        <w:jc w:val="left"/>
        <w:rPr>
          <w:sz w:val="12"/>
        </w:rPr>
      </w:pPr>
      <w:r>
        <w:rPr/>
        <w:br w:type="column"/>
      </w:r>
      <w:r>
        <w:rPr>
          <w:sz w:val="12"/>
        </w:rPr>
        <w:t>Percentage changes on a year earlier </w:t>
      </w:r>
      <w:r>
        <w:rPr>
          <w:position w:val="-7"/>
          <w:sz w:val="12"/>
        </w:rPr>
        <w:t>7</w:t>
      </w:r>
    </w:p>
    <w:p>
      <w:pPr>
        <w:pStyle w:val="BodyText"/>
        <w:spacing w:before="5"/>
        <w:rPr>
          <w:sz w:val="21"/>
        </w:rPr>
      </w:pPr>
    </w:p>
    <w:p>
      <w:pPr>
        <w:spacing w:before="0"/>
        <w:ind w:left="0" w:right="38" w:firstLine="0"/>
        <w:jc w:val="right"/>
        <w:rPr>
          <w:sz w:val="12"/>
        </w:rPr>
      </w:pPr>
      <w:r>
        <w:rPr/>
        <w:pict>
          <v:group style="position:absolute;margin-left:42.029999pt;margin-top:-1.52417pt;width:163.9pt;height:128pt;mso-position-horizontal-relative:page;mso-position-vertical-relative:paragraph;z-index:15922688" coordorigin="841,-30" coordsize="3278,2560">
            <v:shape style="position:absolute;left:983;top:-21;width:2853;height:2540" coordorigin="983,-20" coordsize="2853,2540" path="m983,1765l1098,1810,1228,1960,1343,1642,1473,1372,1606,737,1721,162,1851,-20,1966,1115,2098,1522,2213,1990,2343,2400,2476,2020,2591,2400,2721,2292,2836,2037,2968,1915,3098,1840,3213,1840,3346,2187,3461,2262,3591,1960,3706,2142,3836,2520e" filled="false" stroked="true" strokeweight="1pt" strokecolor="#0066a5">
              <v:path arrowok="t"/>
              <v:stroke dashstyle="solid"/>
            </v:shape>
            <v:shape style="position:absolute;left:983;top:312;width:2985;height:1135" coordorigin="983,312" coordsize="2985,1135" path="m983,1447l1098,1190,1228,992,1343,1085,1473,887,1606,660,1721,435,1851,312,1966,540,2098,1037,2213,1372,2343,1417,2476,1310,2591,1037,2721,1055,2836,917,2968,857,3098,690,3213,510,3346,420,3461,630,3591,932,3706,1055,3836,1340,3968,1447e" filled="false" stroked="true" strokeweight="1pt" strokecolor="#faab54">
              <v:path arrowok="t"/>
              <v:stroke dashstyle="solid"/>
            </v:shape>
            <v:shape style="position:absolute;left:983;top:479;width:2985;height:1573" coordorigin="983,480" coordsize="2985,1573" path="m983,1840l1098,1537,1228,1387,1343,1145,1473,947,1606,660,1721,480,1851,585,1966,827,2098,1160,2213,1522,2343,1612,2476,1387,2591,1387,2721,1355,2836,1355,2968,1220,3098,1007,3213,902,3346,842,3461,1175,3591,1447,3706,1657,3836,1915,3968,2052e" filled="false" stroked="true" strokeweight="1pt" strokecolor="#008256">
              <v:path arrowok="t"/>
              <v:stroke dashstyle="solid"/>
            </v:shape>
            <v:shape style="position:absolute;left:840;top:75;width:3278;height:2249" coordorigin="841,76" coordsize="3278,2249" path="m983,2322l3983,2320m856,76l926,76m4046,76l4116,76m851,447l921,447m4041,447l4111,447m854,827l924,827m4044,827l4114,827m858,1207l928,1207m4048,1207l4118,1207m846,1586l916,1586m4036,1586l4106,1586m841,1962l911,1962m4031,1962l4101,1962m851,2325l921,2325m4041,2325l4111,2325e" filled="false" stroked="true" strokeweight=".5pt" strokecolor="#000000">
              <v:path arrowok="t"/>
              <v:stroke dashstyle="solid"/>
            </v:shape>
            <v:shape style="position:absolute;left:3055;top:287;width:427;height:133" type="#_x0000_t202" filled="false" stroked="false">
              <v:textbox inset="0,0,0,0">
                <w:txbxContent>
                  <w:p>
                    <w:pPr>
                      <w:spacing w:line="133" w:lineRule="exact" w:before="0"/>
                      <w:ind w:left="0" w:right="0" w:firstLine="0"/>
                      <w:jc w:val="left"/>
                      <w:rPr>
                        <w:sz w:val="12"/>
                      </w:rPr>
                    </w:pPr>
                    <w:r>
                      <w:rPr>
                        <w:sz w:val="12"/>
                      </w:rPr>
                      <w:t>Services</w:t>
                    </w:r>
                  </w:p>
                </w:txbxContent>
              </v:textbox>
              <w10:wrap type="none"/>
            </v:shape>
            <v:shape style="position:absolute;left:2893;top:1302;width:261;height:133" type="#_x0000_t202" filled="false" stroked="false">
              <v:textbox inset="0,0,0,0">
                <w:txbxContent>
                  <w:p>
                    <w:pPr>
                      <w:spacing w:line="133" w:lineRule="exact" w:before="0"/>
                      <w:ind w:left="0" w:right="0" w:firstLine="0"/>
                      <w:jc w:val="left"/>
                      <w:rPr>
                        <w:sz w:val="12"/>
                      </w:rPr>
                    </w:pPr>
                    <w:r>
                      <w:rPr>
                        <w:sz w:val="12"/>
                      </w:rPr>
                      <w:t>GDP</w:t>
                    </w:r>
                  </w:p>
                </w:txbxContent>
              </v:textbox>
              <w10:wrap type="none"/>
            </v:shape>
            <w10:wrap type="none"/>
          </v:group>
        </w:pict>
      </w:r>
      <w:r>
        <w:rPr/>
        <w:pict>
          <v:line style="position:absolute;mso-position-horizontal-relative:page;mso-position-vertical-relative:paragraph;z-index:-21210624" from="201.779999pt,-15.39917pt" to="205.279999pt,-15.39917pt" stroked="true" strokeweight=".5pt" strokecolor="#000000">
            <v:stroke dashstyle="solid"/>
            <w10:wrap type="none"/>
          </v:line>
        </w:pict>
      </w:r>
      <w:r>
        <w:rPr>
          <w:sz w:val="12"/>
        </w:rPr>
        <w:t>6</w:t>
      </w:r>
    </w:p>
    <w:p>
      <w:pPr>
        <w:pStyle w:val="BodyText"/>
        <w:rPr>
          <w:sz w:val="12"/>
        </w:rPr>
      </w:pPr>
    </w:p>
    <w:p>
      <w:pPr>
        <w:spacing w:before="102"/>
        <w:ind w:left="0" w:right="38" w:firstLine="0"/>
        <w:jc w:val="right"/>
        <w:rPr>
          <w:sz w:val="12"/>
        </w:rPr>
      </w:pPr>
      <w:r>
        <w:rPr>
          <w:sz w:val="12"/>
        </w:rPr>
        <w:t>5</w:t>
      </w:r>
    </w:p>
    <w:p>
      <w:pPr>
        <w:pStyle w:val="BodyText"/>
        <w:rPr>
          <w:sz w:val="12"/>
        </w:rPr>
      </w:pPr>
    </w:p>
    <w:p>
      <w:pPr>
        <w:spacing w:before="101"/>
        <w:ind w:left="0" w:right="38" w:firstLine="0"/>
        <w:jc w:val="right"/>
        <w:rPr>
          <w:sz w:val="12"/>
        </w:rPr>
      </w:pPr>
      <w:r>
        <w:rPr>
          <w:sz w:val="12"/>
        </w:rPr>
        <w:t>4</w:t>
      </w:r>
    </w:p>
    <w:p>
      <w:pPr>
        <w:pStyle w:val="BodyText"/>
        <w:rPr>
          <w:sz w:val="12"/>
        </w:rPr>
      </w:pPr>
    </w:p>
    <w:p>
      <w:pPr>
        <w:spacing w:before="102"/>
        <w:ind w:left="0" w:right="38" w:firstLine="0"/>
        <w:jc w:val="right"/>
        <w:rPr>
          <w:sz w:val="12"/>
        </w:rPr>
      </w:pPr>
      <w:r>
        <w:rPr>
          <w:sz w:val="12"/>
        </w:rPr>
        <w:t>3</w:t>
      </w:r>
    </w:p>
    <w:p>
      <w:pPr>
        <w:pStyle w:val="BodyText"/>
        <w:rPr>
          <w:sz w:val="12"/>
        </w:rPr>
      </w:pPr>
    </w:p>
    <w:p>
      <w:pPr>
        <w:spacing w:before="101"/>
        <w:ind w:left="0" w:right="38" w:firstLine="0"/>
        <w:jc w:val="right"/>
        <w:rPr>
          <w:sz w:val="12"/>
        </w:rPr>
      </w:pPr>
      <w:r>
        <w:rPr>
          <w:sz w:val="12"/>
        </w:rPr>
        <w:t>2</w:t>
      </w:r>
    </w:p>
    <w:p>
      <w:pPr>
        <w:pStyle w:val="BodyText"/>
        <w:rPr>
          <w:sz w:val="12"/>
        </w:rPr>
      </w:pPr>
    </w:p>
    <w:p>
      <w:pPr>
        <w:spacing w:before="102"/>
        <w:ind w:left="0" w:right="38" w:firstLine="0"/>
        <w:jc w:val="right"/>
        <w:rPr>
          <w:sz w:val="12"/>
        </w:rPr>
      </w:pPr>
      <w:r>
        <w:rPr>
          <w:sz w:val="12"/>
        </w:rPr>
        <w:t>1</w:t>
      </w:r>
    </w:p>
    <w:p>
      <w:pPr>
        <w:spacing w:line="166" w:lineRule="exact" w:before="76"/>
        <w:ind w:left="1915" w:right="0" w:firstLine="0"/>
        <w:jc w:val="left"/>
        <w:rPr>
          <w:sz w:val="16"/>
        </w:rPr>
      </w:pPr>
      <w:r>
        <w:rPr>
          <w:sz w:val="16"/>
        </w:rPr>
        <w:t>+</w:t>
      </w:r>
    </w:p>
    <w:p>
      <w:pPr>
        <w:spacing w:line="90" w:lineRule="exact" w:before="0"/>
        <w:ind w:left="1979" w:right="0" w:firstLine="0"/>
        <w:jc w:val="left"/>
        <w:rPr>
          <w:sz w:val="12"/>
        </w:rPr>
      </w:pPr>
      <w:r>
        <w:rPr>
          <w:sz w:val="12"/>
        </w:rPr>
        <w:t>0</w:t>
      </w:r>
    </w:p>
    <w:p>
      <w:pPr>
        <w:spacing w:line="153" w:lineRule="exact" w:before="0"/>
        <w:ind w:left="1915" w:right="0" w:firstLine="0"/>
        <w:jc w:val="left"/>
        <w:rPr>
          <w:sz w:val="16"/>
        </w:rPr>
      </w:pPr>
      <w:r>
        <w:rPr>
          <w:sz w:val="16"/>
        </w:rPr>
        <w:t>_</w:t>
      </w:r>
    </w:p>
    <w:p>
      <w:pPr>
        <w:spacing w:line="29" w:lineRule="exact" w:before="119"/>
        <w:ind w:left="1979" w:right="0" w:firstLine="0"/>
        <w:jc w:val="left"/>
        <w:rPr>
          <w:sz w:val="12"/>
        </w:rPr>
      </w:pPr>
      <w:r>
        <w:rPr/>
        <w:pict>
          <v:group style="position:absolute;margin-left:42.529999pt;margin-top:5.551837pt;width:163pt;height:4.25pt;mso-position-horizontal-relative:page;mso-position-vertical-relative:paragraph;z-index:15923200" coordorigin="851,111" coordsize="3260,85">
            <v:line style="position:absolute" from="976,191" to="3976,191" stroked="true" strokeweight=".5pt" strokecolor="#000000">
              <v:stroke dashstyle="solid"/>
            </v:line>
            <v:shape style="position:absolute;left:850;top:111;width:3260;height:80" coordorigin="851,111" coordsize="3260,80" path="m851,191l921,191m4041,191l4111,191m976,111l976,191m1091,141l1091,191m1221,141l1221,191m1341,141l1341,191m1486,111l1486,191m1601,141l1601,191m1731,141l1731,191m1851,141l1851,191m1961,111l1961,191m2096,141l2096,191m2206,141l2206,191m2346,141l2346,191m2476,111l2476,191m2591,141l2591,191m2721,141l2721,191m2841,141l2841,191m2966,111l2966,191m3101,141l3101,191m3216,141l3216,191m3346,141l3346,191m3461,111l3461,191m3591,141l3591,191m3706,141l3706,191m3836,141l3836,191m3971,111l3971,191e" filled="false" stroked="true" strokeweight=".5pt" strokecolor="#000000">
              <v:path arrowok="t"/>
              <v:stroke dashstyle="solid"/>
            </v:shape>
            <w10:wrap type="none"/>
          </v:group>
        </w:pict>
      </w:r>
      <w:r>
        <w:rPr>
          <w:sz w:val="12"/>
        </w:rPr>
        <w:t>1</w:t>
      </w:r>
    </w:p>
    <w:p>
      <w:pPr>
        <w:spacing w:line="242" w:lineRule="auto" w:before="6"/>
        <w:ind w:left="830" w:right="243" w:firstLine="0"/>
        <w:jc w:val="left"/>
        <w:rPr>
          <w:sz w:val="24"/>
        </w:rPr>
      </w:pPr>
      <w:r>
        <w:rPr/>
        <w:br w:type="column"/>
      </w:r>
      <w:r>
        <w:rPr>
          <w:color w:val="231F20"/>
          <w:sz w:val="24"/>
        </w:rPr>
        <w:t>In contrast, service sector output increased by 0.4% in 1999 Q1, and by 2.3% in the year to Q1. Much of this divergence has been linked to the industrial sector’s greater exposure to international competition. However, longer-term structural factors (such as technological progress) have also played a role in the growth of services relative to industrial production. Such considerations have been particularly pronounced in the </w:t>
      </w:r>
      <w:hyperlink w:history="true" w:anchor="_bookmark17">
        <w:r>
          <w:rPr>
            <w:color w:val="231F20"/>
            <w:sz w:val="24"/>
          </w:rPr>
          <w:t>communications sector (see the box opposite).</w:t>
        </w:r>
      </w:hyperlink>
    </w:p>
    <w:p>
      <w:pPr>
        <w:pStyle w:val="BodyText"/>
        <w:spacing w:before="4"/>
        <w:rPr>
          <w:sz w:val="25"/>
        </w:rPr>
      </w:pPr>
    </w:p>
    <w:p>
      <w:pPr>
        <w:spacing w:before="0"/>
        <w:ind w:left="830" w:right="0" w:firstLine="0"/>
        <w:jc w:val="left"/>
        <w:rPr>
          <w:sz w:val="24"/>
        </w:rPr>
      </w:pPr>
      <w:r>
        <w:rPr>
          <w:color w:val="231F20"/>
          <w:sz w:val="24"/>
        </w:rPr>
        <w:t>Manufacturing output fell again in February, its sixth</w:t>
      </w:r>
    </w:p>
    <w:p>
      <w:pPr>
        <w:spacing w:after="0"/>
        <w:jc w:val="left"/>
        <w:rPr>
          <w:sz w:val="24"/>
        </w:rPr>
        <w:sectPr>
          <w:type w:val="continuous"/>
          <w:pgSz w:w="11900" w:h="16840"/>
          <w:pgMar w:top="1220" w:bottom="280" w:left="640" w:right="640"/>
          <w:cols w:num="3" w:equalWidth="0">
            <w:col w:w="1544" w:space="40"/>
            <w:col w:w="2080" w:space="471"/>
            <w:col w:w="6485"/>
          </w:cols>
        </w:sectPr>
      </w:pPr>
    </w:p>
    <w:p>
      <w:pPr>
        <w:tabs>
          <w:tab w:pos="1015" w:val="left" w:leader="none"/>
          <w:tab w:pos="1507" w:val="left" w:leader="none"/>
          <w:tab w:pos="1997" w:val="left" w:leader="none"/>
          <w:tab w:pos="2507" w:val="left" w:leader="none"/>
          <w:tab w:pos="3000" w:val="left" w:leader="none"/>
        </w:tabs>
        <w:spacing w:before="76"/>
        <w:ind w:left="505" w:right="0" w:firstLine="0"/>
        <w:jc w:val="left"/>
        <w:rPr>
          <w:sz w:val="12"/>
        </w:rPr>
      </w:pPr>
      <w:r>
        <w:rPr>
          <w:sz w:val="12"/>
        </w:rPr>
        <w:t>1993</w:t>
        <w:tab/>
        <w:t>94</w:t>
        <w:tab/>
        <w:t>95</w:t>
        <w:tab/>
        <w:t>96</w:t>
        <w:tab/>
        <w:t>97</w:t>
        <w:tab/>
        <w:t>98</w:t>
      </w:r>
    </w:p>
    <w:p>
      <w:pPr>
        <w:pStyle w:val="BodyText"/>
        <w:spacing w:before="2"/>
        <w:rPr>
          <w:sz w:val="12"/>
        </w:rPr>
      </w:pPr>
    </w:p>
    <w:p>
      <w:pPr>
        <w:spacing w:line="208" w:lineRule="auto" w:before="1"/>
        <w:ind w:left="520" w:right="0" w:hanging="360"/>
        <w:jc w:val="left"/>
        <w:rPr>
          <w:sz w:val="12"/>
        </w:rPr>
      </w:pPr>
      <w:r>
        <w:rPr>
          <w:color w:val="231F20"/>
          <w:sz w:val="12"/>
        </w:rPr>
        <w:t>Note: GDP at 1995 market prices, manufacturing and services output at 1995 basic prices.</w:t>
      </w:r>
    </w:p>
    <w:p>
      <w:pPr>
        <w:pStyle w:val="BodyText"/>
        <w:rPr>
          <w:sz w:val="12"/>
        </w:rPr>
      </w:pPr>
    </w:p>
    <w:p>
      <w:pPr>
        <w:pStyle w:val="BodyText"/>
        <w:rPr>
          <w:sz w:val="12"/>
        </w:rPr>
      </w:pPr>
    </w:p>
    <w:p>
      <w:pPr>
        <w:pStyle w:val="BodyText"/>
        <w:rPr>
          <w:sz w:val="12"/>
        </w:rPr>
      </w:pPr>
    </w:p>
    <w:p>
      <w:pPr>
        <w:pStyle w:val="BodyText"/>
        <w:spacing w:before="9"/>
        <w:rPr>
          <w:sz w:val="12"/>
        </w:rPr>
      </w:pPr>
    </w:p>
    <w:p>
      <w:pPr>
        <w:pStyle w:val="Heading4"/>
        <w:spacing w:line="249" w:lineRule="auto" w:before="0"/>
        <w:ind w:left="165" w:right="1598"/>
      </w:pPr>
      <w:r>
        <w:rPr>
          <w:color w:val="0093C1"/>
        </w:rPr>
        <w:t>Chart 2.19 Manufacturing output</w:t>
      </w:r>
    </w:p>
    <w:p>
      <w:pPr>
        <w:spacing w:line="137" w:lineRule="exact" w:before="79"/>
        <w:ind w:left="358" w:right="0" w:firstLine="0"/>
        <w:jc w:val="left"/>
        <w:rPr>
          <w:sz w:val="12"/>
        </w:rPr>
      </w:pPr>
      <w:r>
        <w:rPr>
          <w:sz w:val="12"/>
        </w:rPr>
        <w:t>Percentage change</w:t>
      </w:r>
    </w:p>
    <w:p>
      <w:pPr>
        <w:spacing w:line="242" w:lineRule="auto" w:before="0"/>
        <w:ind w:left="160" w:right="215" w:firstLine="0"/>
        <w:jc w:val="left"/>
        <w:rPr>
          <w:sz w:val="24"/>
        </w:rPr>
      </w:pPr>
      <w:r>
        <w:rPr/>
        <w:br w:type="column"/>
      </w:r>
      <w:r>
        <w:rPr>
          <w:color w:val="231F20"/>
          <w:sz w:val="24"/>
        </w:rPr>
        <w:t>monthly decline in seven months. Survey evidence suggests that output may have continued to fall in March. However, there are some signs that the rate of contraction may be easing. The CBI’s measure of business optimism improved to -6 in April, from -40 in January, and the balance of firms expecting to increase</w:t>
      </w:r>
    </w:p>
    <w:p>
      <w:pPr>
        <w:spacing w:line="181" w:lineRule="exact" w:before="0"/>
        <w:ind w:left="160" w:right="0" w:firstLine="0"/>
        <w:jc w:val="left"/>
        <w:rPr>
          <w:sz w:val="24"/>
        </w:rPr>
      </w:pPr>
      <w:r>
        <w:rPr>
          <w:color w:val="231F20"/>
          <w:sz w:val="24"/>
        </w:rPr>
        <w:t>output over the next four months has become steadily</w:t>
      </w:r>
    </w:p>
    <w:p>
      <w:pPr>
        <w:spacing w:after="0" w:line="181" w:lineRule="exact"/>
        <w:jc w:val="left"/>
        <w:rPr>
          <w:sz w:val="24"/>
        </w:rPr>
        <w:sectPr>
          <w:type w:val="continuous"/>
          <w:pgSz w:w="11900" w:h="16840"/>
          <w:pgMar w:top="1220" w:bottom="280" w:left="640" w:right="640"/>
          <w:cols w:num="2" w:equalWidth="0">
            <w:col w:w="3700" w:space="1106"/>
            <w:col w:w="5814"/>
          </w:cols>
        </w:sectPr>
      </w:pPr>
    </w:p>
    <w:p>
      <w:pPr>
        <w:spacing w:line="223" w:lineRule="auto" w:before="0"/>
        <w:ind w:left="183" w:right="0" w:firstLine="0"/>
        <w:jc w:val="left"/>
        <w:rPr>
          <w:sz w:val="12"/>
        </w:rPr>
      </w:pPr>
      <w:r>
        <w:rPr/>
        <w:pict>
          <v:line style="position:absolute;mso-position-horizontal-relative:page;mso-position-vertical-relative:paragraph;z-index:-21207040" from="50.216999pt,7.005835pt" to="53.466999pt,7.005835pt" stroked="true" strokeweight=".5pt" strokecolor="#000000">
            <v:stroke dashstyle="solid"/>
            <w10:wrap type="none"/>
          </v:line>
        </w:pict>
      </w:r>
      <w:r>
        <w:rPr/>
        <w:pict>
          <v:line style="position:absolute;mso-position-horizontal-relative:page;mso-position-vertical-relative:paragraph;z-index:-21206528" from="210.091995pt,7.005835pt" to="213.341995pt,7.005835pt" stroked="true" strokeweight=".5pt" strokecolor="#000000">
            <v:stroke dashstyle="solid"/>
            <w10:wrap type="none"/>
          </v:line>
        </w:pict>
      </w:r>
      <w:r>
        <w:rPr>
          <w:position w:val="-7"/>
          <w:sz w:val="12"/>
        </w:rPr>
        <w:t>2.5 </w:t>
      </w:r>
      <w:r>
        <w:rPr>
          <w:sz w:val="12"/>
        </w:rPr>
        <w:t>on previous quarter</w:t>
      </w:r>
    </w:p>
    <w:p>
      <w:pPr>
        <w:spacing w:line="223" w:lineRule="auto" w:before="0"/>
        <w:ind w:left="183" w:right="0" w:firstLine="0"/>
        <w:jc w:val="left"/>
        <w:rPr>
          <w:sz w:val="12"/>
        </w:rPr>
      </w:pPr>
      <w:r>
        <w:rPr/>
        <w:br w:type="column"/>
      </w:r>
      <w:r>
        <w:rPr>
          <w:sz w:val="12"/>
        </w:rPr>
        <w:t>Percentage balances </w:t>
      </w:r>
      <w:r>
        <w:rPr>
          <w:position w:val="-6"/>
          <w:sz w:val="12"/>
        </w:rPr>
        <w:t>50</w:t>
      </w:r>
    </w:p>
    <w:p>
      <w:pPr>
        <w:spacing w:line="208" w:lineRule="exact" w:before="97"/>
        <w:ind w:left="183" w:right="0" w:firstLine="0"/>
        <w:jc w:val="left"/>
        <w:rPr>
          <w:sz w:val="24"/>
        </w:rPr>
      </w:pPr>
      <w:r>
        <w:rPr/>
        <w:br w:type="column"/>
      </w:r>
      <w:r>
        <w:rPr>
          <w:color w:val="231F20"/>
          <w:sz w:val="24"/>
        </w:rPr>
        <w:t>less negative since October (see Chart 2.19). Similarly,</w:t>
      </w:r>
    </w:p>
    <w:p>
      <w:pPr>
        <w:spacing w:after="0" w:line="208" w:lineRule="exact"/>
        <w:jc w:val="left"/>
        <w:rPr>
          <w:sz w:val="24"/>
        </w:rPr>
        <w:sectPr>
          <w:type w:val="continuous"/>
          <w:pgSz w:w="11900" w:h="16840"/>
          <w:pgMar w:top="1220" w:bottom="280" w:left="640" w:right="640"/>
          <w:cols w:num="3" w:equalWidth="0">
            <w:col w:w="1344" w:space="1128"/>
            <w:col w:w="1351" w:space="959"/>
            <w:col w:w="5838"/>
          </w:cols>
        </w:sectPr>
      </w:pPr>
    </w:p>
    <w:p>
      <w:pPr>
        <w:spacing w:before="65"/>
        <w:ind w:left="183" w:right="0" w:firstLine="0"/>
        <w:jc w:val="left"/>
        <w:rPr>
          <w:sz w:val="12"/>
        </w:rPr>
      </w:pPr>
      <w:r>
        <w:rPr>
          <w:sz w:val="12"/>
        </w:rPr>
        <w:t>2.0</w:t>
      </w:r>
    </w:p>
    <w:p>
      <w:pPr>
        <w:pStyle w:val="BodyText"/>
        <w:spacing w:before="1"/>
        <w:rPr>
          <w:sz w:val="14"/>
        </w:rPr>
      </w:pPr>
    </w:p>
    <w:p>
      <w:pPr>
        <w:spacing w:before="0"/>
        <w:ind w:left="183" w:right="0" w:firstLine="0"/>
        <w:jc w:val="left"/>
        <w:rPr>
          <w:sz w:val="12"/>
        </w:rPr>
      </w:pPr>
      <w:r>
        <w:rPr>
          <w:sz w:val="12"/>
        </w:rPr>
        <w:t>1.5</w:t>
      </w:r>
    </w:p>
    <w:p>
      <w:pPr>
        <w:pStyle w:val="BodyText"/>
        <w:spacing w:before="1"/>
        <w:rPr>
          <w:sz w:val="14"/>
        </w:rPr>
      </w:pPr>
    </w:p>
    <w:p>
      <w:pPr>
        <w:spacing w:before="0"/>
        <w:ind w:left="183" w:right="0" w:firstLine="0"/>
        <w:jc w:val="left"/>
        <w:rPr>
          <w:sz w:val="12"/>
        </w:rPr>
      </w:pPr>
      <w:r>
        <w:rPr>
          <w:sz w:val="12"/>
        </w:rPr>
        <w:t>1.0</w:t>
      </w:r>
    </w:p>
    <w:p>
      <w:pPr>
        <w:pStyle w:val="BodyText"/>
        <w:spacing w:before="10"/>
        <w:rPr>
          <w:sz w:val="13"/>
        </w:rPr>
      </w:pPr>
    </w:p>
    <w:p>
      <w:pPr>
        <w:spacing w:before="0"/>
        <w:ind w:left="183" w:right="0" w:firstLine="0"/>
        <w:jc w:val="left"/>
        <w:rPr>
          <w:sz w:val="12"/>
        </w:rPr>
      </w:pPr>
      <w:r>
        <w:rPr>
          <w:sz w:val="12"/>
        </w:rPr>
        <w:t>0.5</w:t>
      </w:r>
    </w:p>
    <w:p>
      <w:pPr>
        <w:spacing w:line="164" w:lineRule="exact" w:before="17"/>
        <w:ind w:left="0" w:right="0" w:firstLine="0"/>
        <w:jc w:val="right"/>
        <w:rPr>
          <w:sz w:val="16"/>
        </w:rPr>
      </w:pPr>
      <w:r>
        <w:rPr>
          <w:sz w:val="16"/>
        </w:rPr>
        <w:t>+</w:t>
      </w:r>
    </w:p>
    <w:p>
      <w:pPr>
        <w:spacing w:line="146" w:lineRule="auto" w:before="3"/>
        <w:ind w:left="183" w:right="0" w:firstLine="0"/>
        <w:jc w:val="left"/>
        <w:rPr>
          <w:sz w:val="16"/>
        </w:rPr>
      </w:pPr>
      <w:r>
        <w:rPr>
          <w:spacing w:val="-3"/>
          <w:sz w:val="12"/>
        </w:rPr>
        <w:t>0.0</w:t>
      </w:r>
      <w:r>
        <w:rPr>
          <w:spacing w:val="-3"/>
          <w:position w:val="-8"/>
          <w:sz w:val="16"/>
        </w:rPr>
        <w:t>_</w:t>
      </w:r>
    </w:p>
    <w:p>
      <w:pPr>
        <w:spacing w:before="111"/>
        <w:ind w:left="183" w:right="0" w:firstLine="0"/>
        <w:jc w:val="left"/>
        <w:rPr>
          <w:sz w:val="12"/>
        </w:rPr>
      </w:pPr>
      <w:r>
        <w:rPr>
          <w:sz w:val="12"/>
        </w:rPr>
        <w:t>0.5</w:t>
      </w:r>
    </w:p>
    <w:p>
      <w:pPr>
        <w:pStyle w:val="BodyText"/>
        <w:spacing w:before="1"/>
        <w:rPr>
          <w:sz w:val="14"/>
        </w:rPr>
      </w:pPr>
    </w:p>
    <w:p>
      <w:pPr>
        <w:spacing w:before="0"/>
        <w:ind w:left="183" w:right="0" w:firstLine="0"/>
        <w:jc w:val="left"/>
        <w:rPr>
          <w:sz w:val="12"/>
        </w:rPr>
      </w:pPr>
      <w:r>
        <w:rPr>
          <w:sz w:val="12"/>
        </w:rPr>
        <w:t>1.0</w:t>
      </w:r>
    </w:p>
    <w:p>
      <w:pPr>
        <w:pStyle w:val="BodyText"/>
        <w:spacing w:before="1"/>
        <w:rPr>
          <w:sz w:val="14"/>
        </w:rPr>
      </w:pPr>
    </w:p>
    <w:p>
      <w:pPr>
        <w:spacing w:before="0"/>
        <w:ind w:left="183" w:right="0" w:firstLine="0"/>
        <w:jc w:val="left"/>
        <w:rPr>
          <w:sz w:val="12"/>
        </w:rPr>
      </w:pPr>
      <w:r>
        <w:rPr>
          <w:sz w:val="12"/>
        </w:rPr>
        <w:t>1.5</w:t>
      </w:r>
    </w:p>
    <w:p>
      <w:pPr>
        <w:pStyle w:val="BodyText"/>
        <w:spacing w:before="10"/>
        <w:rPr>
          <w:sz w:val="13"/>
        </w:rPr>
      </w:pPr>
    </w:p>
    <w:p>
      <w:pPr>
        <w:spacing w:before="0"/>
        <w:ind w:left="183" w:right="0" w:firstLine="0"/>
        <w:jc w:val="left"/>
        <w:rPr>
          <w:sz w:val="12"/>
        </w:rPr>
      </w:pPr>
      <w:r>
        <w:rPr>
          <w:sz w:val="12"/>
        </w:rPr>
        <w:t>2.0</w:t>
      </w:r>
    </w:p>
    <w:p>
      <w:pPr>
        <w:pStyle w:val="BodyText"/>
        <w:spacing w:before="1"/>
        <w:rPr>
          <w:sz w:val="14"/>
        </w:rPr>
      </w:pPr>
    </w:p>
    <w:p>
      <w:pPr>
        <w:spacing w:before="0"/>
        <w:ind w:left="183" w:right="0" w:firstLine="0"/>
        <w:jc w:val="left"/>
        <w:rPr>
          <w:sz w:val="12"/>
        </w:rPr>
      </w:pPr>
      <w:r>
        <w:rPr>
          <w:sz w:val="12"/>
        </w:rPr>
        <w:t>2.5</w:t>
      </w:r>
    </w:p>
    <w:p>
      <w:pPr>
        <w:tabs>
          <w:tab w:pos="3334" w:val="right" w:leader="none"/>
        </w:tabs>
        <w:spacing w:line="228" w:lineRule="auto" w:before="0"/>
        <w:ind w:left="1389" w:right="0" w:firstLine="0"/>
        <w:jc w:val="left"/>
        <w:rPr>
          <w:sz w:val="12"/>
        </w:rPr>
      </w:pPr>
      <w:r>
        <w:rPr/>
        <w:br w:type="column"/>
      </w:r>
      <w:r>
        <w:rPr>
          <w:sz w:val="12"/>
        </w:rPr>
        <w:t>ONS data (left-hand scale)</w:t>
        <w:tab/>
      </w:r>
      <w:r>
        <w:rPr>
          <w:position w:val="-6"/>
          <w:sz w:val="12"/>
        </w:rPr>
        <w:t>40</w:t>
      </w:r>
    </w:p>
    <w:p>
      <w:pPr>
        <w:spacing w:before="158"/>
        <w:ind w:left="3214" w:right="0" w:firstLine="0"/>
        <w:jc w:val="left"/>
        <w:rPr>
          <w:sz w:val="12"/>
        </w:rPr>
      </w:pPr>
      <w:r>
        <w:rPr/>
        <w:pict>
          <v:group style="position:absolute;margin-left:49.966999pt;margin-top:-10.878229pt;width:164.15pt;height:127.5pt;mso-position-horizontal-relative:page;mso-position-vertical-relative:paragraph;z-index:-21208064" coordorigin="999,-218" coordsize="3283,2550">
            <v:line style="position:absolute" from="4136,1126" to="1136,1129" stroked="true" strokeweight=".5pt" strokecolor="#000000">
              <v:stroke dashstyle="solid"/>
            </v:line>
            <v:shape style="position:absolute;left:1140;top:-208;width:2823;height:2515" coordorigin="1141,-208" coordsize="2823,2515" path="m1141,1007l1221,757,1301,1857,1378,1857,1458,2307,1538,2272,1618,1707,1698,725,1858,1125,1938,925,2033,1325,2113,210,2193,1192,2273,1192,2353,807,2433,-208,2513,192,2591,325,2671,525,2751,1540,2831,825,2911,1057,3006,1192,3086,942,3166,1425,3246,892,3326,757,3406,775,3486,1307,3566,892,3646,1307,3726,892,3806,825,3883,1192,3963,1890e" filled="false" stroked="true" strokeweight="1pt" strokecolor="#faab54">
              <v:path arrowok="t"/>
              <v:stroke dashstyle="solid"/>
            </v:shape>
            <v:shape style="position:absolute;left:1140;top:42;width:3000;height:2165" coordorigin="1141,42" coordsize="3000,2165" path="m1141,1092l1188,1092,1221,975,1236,1007,1268,1125,1301,1275,1331,1207,1348,1425,1378,1640,1411,1822,1428,2022,1458,2022,1491,2207,1508,1840,1538,1357,1571,1675,1586,1457,1618,1390,1651,1307,1683,1092,1698,1057,1731,1092,1763,1275,1778,1242,1811,1207,1843,1192,1858,975,1891,742,1921,892,1938,1207,1971,1490,2001,1540,2033,1340,2048,1675,2081,1340,2113,1057,2128,857,2161,825,2193,707,2208,425,2241,757,2273,1042,2288,642,2321,610,2353,892,2386,757,2401,857,2433,642,2463,410,2481,460,2513,642,2543,425,2561,460,2591,742,2623,225,2656,425,2671,560,2703,492,2736,310,2751,525,2783,42,2816,110,2831,560,2863,192,2896,492,2911,675,2943,492,2976,525,3006,825,3023,857,3056,1057,3086,642,3103,525,3133,410,3166,707,3183,642,3213,757,3246,460,3263,460,3293,525,3326,525,3358,492,3373,742,3406,707,3438,642,3453,375,3486,425,3518,610,3533,742,3566,492,3598,642,3613,610,3646,525,3676,857,3708,825,3726,857,3756,792,3788,757,3806,1042,3836,1192,3868,1207,3883,1357,3916,1575,3948,1525,3963,1990,3996,1940,4028,1525,4061,1525,4076,1425,4108,1357,4141,1157e" filled="false" stroked="true" strokeweight="1pt" strokecolor="#40ad49">
              <v:path arrowok="t"/>
              <v:stroke dashstyle="solid"/>
            </v:shape>
            <v:shape style="position:absolute;left:999;top:-78;width:3283;height:2405" coordorigin="999,-78" coordsize="3283,2405" path="m1006,2327l1071,2327m4203,2327l4268,2327m1006,2022l1071,2022m4203,2022l4268,2022m1006,1727l1071,1727m4203,1727l4268,1727m1004,1427l1069,1427m4202,1427l4267,1427m1014,1127l1079,1127m4212,1127l4277,1127m999,827l1064,827m4197,827l4262,827m1009,527l1074,527m4207,527l4272,527m1006,227l1071,227m4203,227l4268,227m1019,-78l1084,-78m4217,-78l4282,-78e" filled="false" stroked="true" strokeweight=".5pt" strokecolor="#000000">
              <v:path arrowok="t"/>
              <v:stroke dashstyle="solid"/>
            </v:shape>
            <w10:wrap type="none"/>
          </v:group>
        </w:pict>
      </w:r>
      <w:r>
        <w:rPr>
          <w:sz w:val="12"/>
        </w:rPr>
        <w:t>30</w:t>
      </w:r>
    </w:p>
    <w:p>
      <w:pPr>
        <w:pStyle w:val="BodyText"/>
        <w:rPr>
          <w:sz w:val="14"/>
        </w:rPr>
      </w:pPr>
    </w:p>
    <w:p>
      <w:pPr>
        <w:spacing w:before="1"/>
        <w:ind w:left="3214" w:right="0" w:firstLine="0"/>
        <w:jc w:val="left"/>
        <w:rPr>
          <w:sz w:val="12"/>
        </w:rPr>
      </w:pPr>
      <w:r>
        <w:rPr>
          <w:sz w:val="12"/>
        </w:rPr>
        <w:t>20</w:t>
      </w:r>
    </w:p>
    <w:p>
      <w:pPr>
        <w:pStyle w:val="BodyText"/>
        <w:spacing w:before="9"/>
        <w:rPr>
          <w:sz w:val="13"/>
        </w:rPr>
      </w:pPr>
    </w:p>
    <w:p>
      <w:pPr>
        <w:spacing w:before="1"/>
        <w:ind w:left="3214" w:right="0" w:firstLine="0"/>
        <w:jc w:val="left"/>
        <w:rPr>
          <w:sz w:val="12"/>
        </w:rPr>
      </w:pPr>
      <w:r>
        <w:rPr>
          <w:sz w:val="12"/>
        </w:rPr>
        <w:t>10</w:t>
      </w:r>
    </w:p>
    <w:p>
      <w:pPr>
        <w:spacing w:line="162" w:lineRule="exact" w:before="22"/>
        <w:ind w:left="3182" w:right="0" w:firstLine="0"/>
        <w:jc w:val="left"/>
        <w:rPr>
          <w:sz w:val="16"/>
        </w:rPr>
      </w:pPr>
      <w:r>
        <w:rPr>
          <w:sz w:val="16"/>
        </w:rPr>
        <w:t>+</w:t>
      </w:r>
    </w:p>
    <w:p>
      <w:pPr>
        <w:spacing w:line="144" w:lineRule="auto" w:before="0"/>
        <w:ind w:left="3182" w:right="0" w:firstLine="0"/>
        <w:jc w:val="left"/>
        <w:rPr>
          <w:sz w:val="12"/>
        </w:rPr>
      </w:pPr>
      <w:r>
        <w:rPr>
          <w:spacing w:val="6"/>
          <w:position w:val="-9"/>
          <w:sz w:val="16"/>
        </w:rPr>
        <w:t>_</w:t>
      </w:r>
      <w:r>
        <w:rPr>
          <w:spacing w:val="6"/>
          <w:sz w:val="12"/>
        </w:rPr>
        <w:t>0</w:t>
      </w:r>
    </w:p>
    <w:p>
      <w:pPr>
        <w:spacing w:before="105"/>
        <w:ind w:left="3214" w:right="0" w:firstLine="0"/>
        <w:jc w:val="left"/>
        <w:rPr>
          <w:sz w:val="12"/>
        </w:rPr>
      </w:pPr>
      <w:r>
        <w:rPr>
          <w:sz w:val="12"/>
        </w:rPr>
        <w:t>10</w:t>
      </w:r>
    </w:p>
    <w:p>
      <w:pPr>
        <w:pStyle w:val="BodyText"/>
        <w:spacing w:before="5"/>
        <w:rPr>
          <w:sz w:val="14"/>
        </w:rPr>
      </w:pPr>
    </w:p>
    <w:p>
      <w:pPr>
        <w:tabs>
          <w:tab w:pos="3214" w:val="left" w:leader="none"/>
        </w:tabs>
        <w:spacing w:line="138" w:lineRule="exact" w:before="1"/>
        <w:ind w:left="767" w:right="0" w:firstLine="0"/>
        <w:jc w:val="left"/>
        <w:rPr>
          <w:sz w:val="12"/>
        </w:rPr>
      </w:pPr>
      <w:r>
        <w:rPr>
          <w:sz w:val="12"/>
        </w:rPr>
        <w:t>Expected output (a)</w:t>
        <w:tab/>
        <w:t>20</w:t>
      </w:r>
    </w:p>
    <w:p>
      <w:pPr>
        <w:spacing w:line="138" w:lineRule="exact" w:before="0"/>
        <w:ind w:left="832" w:right="0" w:firstLine="0"/>
        <w:jc w:val="left"/>
        <w:rPr>
          <w:sz w:val="12"/>
        </w:rPr>
      </w:pPr>
      <w:r>
        <w:rPr>
          <w:sz w:val="12"/>
        </w:rPr>
        <w:t>(right-hand scale)</w:t>
      </w:r>
    </w:p>
    <w:p>
      <w:pPr>
        <w:spacing w:before="19"/>
        <w:ind w:left="3214" w:right="0" w:firstLine="0"/>
        <w:jc w:val="left"/>
        <w:rPr>
          <w:sz w:val="12"/>
        </w:rPr>
      </w:pPr>
      <w:r>
        <w:rPr>
          <w:sz w:val="12"/>
        </w:rPr>
        <w:t>30</w:t>
      </w:r>
    </w:p>
    <w:p>
      <w:pPr>
        <w:pStyle w:val="BodyText"/>
        <w:spacing w:before="10"/>
        <w:rPr>
          <w:sz w:val="13"/>
        </w:rPr>
      </w:pPr>
    </w:p>
    <w:p>
      <w:pPr>
        <w:spacing w:before="0"/>
        <w:ind w:left="3214" w:right="0" w:firstLine="0"/>
        <w:jc w:val="left"/>
        <w:rPr>
          <w:sz w:val="12"/>
        </w:rPr>
      </w:pPr>
      <w:r>
        <w:rPr>
          <w:sz w:val="12"/>
        </w:rPr>
        <w:t>40</w:t>
      </w:r>
    </w:p>
    <w:p>
      <w:pPr>
        <w:pStyle w:val="BodyText"/>
        <w:spacing w:before="1"/>
        <w:rPr>
          <w:sz w:val="14"/>
        </w:rPr>
      </w:pPr>
    </w:p>
    <w:p>
      <w:pPr>
        <w:spacing w:line="117" w:lineRule="exact" w:before="0"/>
        <w:ind w:left="3214" w:right="0" w:firstLine="0"/>
        <w:jc w:val="left"/>
        <w:rPr>
          <w:sz w:val="12"/>
        </w:rPr>
      </w:pPr>
      <w:r>
        <w:rPr/>
        <w:pict>
          <v:shape style="position:absolute;margin-left:50.466999pt;margin-top:-.778625pt;width:163.15pt;height:4.350pt;mso-position-horizontal-relative:page;mso-position-vertical-relative:paragraph;z-index:15926784" coordorigin="1009,-16" coordsize="3263,87" path="m4151,68l1126,71m1009,69l1074,69m4207,69l4272,69m1136,-16l1136,64m1461,-16l1461,64m1781,-16l1781,64m2116,-16l2116,64m2436,-16l2436,64m2751,-16l2751,64m3086,-16l3086,64m3411,-16l3411,64m3726,-16l3726,64m4061,-16l4061,64m1537,9l1537,64m1614,9l1614,64m1691,9l1691,64m1216,14l1216,69m1296,14l1296,69m1376,14l1376,69m1866,14l1866,69m1951,14l1951,69m2036,14l2036,69m2194,14l2194,69m2272,14l2272,69m2351,14l2351,69m2516,14l2516,69m2596,14l2596,69m2676,14l2676,69m2836,14l2836,69m2921,14l2921,69m3006,14l3006,69m3162,14l3162,69m3239,14l3239,69m3316,14l3316,69m3489,14l3489,69m3567,14l3567,69m3646,14l3646,69m3806,14l3806,69m3886,14l3886,69m3966,14l3966,69m4136,14l4136,69e" filled="false" stroked="true" strokeweight=".5pt" strokecolor="#000000">
            <v:path arrowok="t"/>
            <v:stroke dashstyle="solid"/>
            <w10:wrap type="none"/>
          </v:shape>
        </w:pict>
      </w:r>
      <w:r>
        <w:rPr>
          <w:sz w:val="12"/>
        </w:rPr>
        <w:t>50</w:t>
      </w:r>
    </w:p>
    <w:p>
      <w:pPr>
        <w:tabs>
          <w:tab w:pos="804" w:val="left" w:leader="none"/>
          <w:tab w:pos="1779" w:val="left" w:leader="none"/>
          <w:tab w:pos="2752" w:val="left" w:leader="none"/>
        </w:tabs>
        <w:spacing w:line="117" w:lineRule="exact" w:before="0"/>
        <w:ind w:left="69" w:right="0" w:firstLine="0"/>
        <w:jc w:val="left"/>
        <w:rPr>
          <w:sz w:val="12"/>
        </w:rPr>
      </w:pPr>
      <w:r>
        <w:rPr>
          <w:sz w:val="12"/>
        </w:rPr>
        <w:t>1990    </w:t>
      </w:r>
      <w:r>
        <w:rPr>
          <w:spacing w:val="9"/>
          <w:sz w:val="12"/>
        </w:rPr>
        <w:t> </w:t>
      </w:r>
      <w:r>
        <w:rPr>
          <w:sz w:val="12"/>
        </w:rPr>
        <w:t>91</w:t>
        <w:tab/>
        <w:t>92     </w:t>
      </w:r>
      <w:r>
        <w:rPr>
          <w:spacing w:val="20"/>
          <w:sz w:val="12"/>
        </w:rPr>
        <w:t> </w:t>
      </w:r>
      <w:r>
        <w:rPr>
          <w:sz w:val="12"/>
        </w:rPr>
        <w:t>93     </w:t>
      </w:r>
      <w:r>
        <w:rPr>
          <w:spacing w:val="20"/>
          <w:sz w:val="12"/>
        </w:rPr>
        <w:t> </w:t>
      </w:r>
      <w:r>
        <w:rPr>
          <w:sz w:val="12"/>
        </w:rPr>
        <w:t>94</w:t>
        <w:tab/>
        <w:t>95     </w:t>
      </w:r>
      <w:r>
        <w:rPr>
          <w:spacing w:val="17"/>
          <w:sz w:val="12"/>
        </w:rPr>
        <w:t> </w:t>
      </w:r>
      <w:r>
        <w:rPr>
          <w:sz w:val="12"/>
        </w:rPr>
        <w:t>96     </w:t>
      </w:r>
      <w:r>
        <w:rPr>
          <w:spacing w:val="20"/>
          <w:sz w:val="12"/>
        </w:rPr>
        <w:t> </w:t>
      </w:r>
      <w:r>
        <w:rPr>
          <w:sz w:val="12"/>
        </w:rPr>
        <w:t>97</w:t>
        <w:tab/>
        <w:t>98</w:t>
      </w:r>
      <w:r>
        <w:rPr>
          <w:spacing w:val="27"/>
          <w:sz w:val="12"/>
        </w:rPr>
        <w:t> </w:t>
      </w:r>
      <w:r>
        <w:rPr>
          <w:sz w:val="12"/>
        </w:rPr>
        <w:t>99</w:t>
      </w:r>
    </w:p>
    <w:p>
      <w:pPr>
        <w:spacing w:line="242" w:lineRule="auto" w:before="71"/>
        <w:ind w:left="183" w:right="176" w:firstLine="0"/>
        <w:jc w:val="left"/>
        <w:rPr>
          <w:sz w:val="24"/>
        </w:rPr>
      </w:pPr>
      <w:r>
        <w:rPr/>
        <w:br w:type="column"/>
      </w:r>
      <w:r>
        <w:rPr>
          <w:color w:val="231F20"/>
          <w:sz w:val="24"/>
        </w:rPr>
        <w:t>although the BCC’s latest survey continued to indicate lower sales and orders in Q1, the pace of the contraction in orders appears to have moderated. And, although remaining below the neutral level of 50, the aggregate index of conditions in the manufacturing sector, produced by the Chartered Institute of Purchasing and Supply (C</w:t>
      </w:r>
      <w:r>
        <w:rPr>
          <w:color w:val="231F20"/>
          <w:sz w:val="20"/>
        </w:rPr>
        <w:t>IPS</w:t>
      </w:r>
      <w:r>
        <w:rPr>
          <w:color w:val="231F20"/>
          <w:sz w:val="24"/>
        </w:rPr>
        <w:t>), has been rising since October.</w:t>
      </w:r>
    </w:p>
    <w:p>
      <w:pPr>
        <w:pStyle w:val="BodyText"/>
        <w:spacing w:before="10"/>
        <w:rPr>
          <w:sz w:val="26"/>
        </w:rPr>
      </w:pPr>
    </w:p>
    <w:p>
      <w:pPr>
        <w:spacing w:line="242" w:lineRule="auto" w:before="0"/>
        <w:ind w:left="183" w:right="0" w:firstLine="0"/>
        <w:jc w:val="left"/>
        <w:rPr>
          <w:sz w:val="24"/>
        </w:rPr>
      </w:pPr>
      <w:r>
        <w:rPr>
          <w:color w:val="231F20"/>
          <w:sz w:val="24"/>
        </w:rPr>
        <w:t>Construction output remained weak in the fourth quarter, rising by just 0.1%, following declines in Q2 and Q3.</w:t>
      </w:r>
    </w:p>
    <w:p>
      <w:pPr>
        <w:spacing w:before="3"/>
        <w:ind w:left="183" w:right="0" w:firstLine="0"/>
        <w:jc w:val="left"/>
        <w:rPr>
          <w:sz w:val="24"/>
        </w:rPr>
      </w:pPr>
      <w:r>
        <w:rPr>
          <w:color w:val="231F20"/>
          <w:sz w:val="24"/>
        </w:rPr>
        <w:t>However, the growth rate of activity may have increased</w:t>
      </w:r>
    </w:p>
    <w:p>
      <w:pPr>
        <w:spacing w:after="0"/>
        <w:jc w:val="left"/>
        <w:rPr>
          <w:sz w:val="24"/>
        </w:rPr>
        <w:sectPr>
          <w:type w:val="continuous"/>
          <w:pgSz w:w="11900" w:h="16840"/>
          <w:pgMar w:top="1220" w:bottom="280" w:left="640" w:right="640"/>
          <w:cols w:num="3" w:equalWidth="0">
            <w:col w:w="409" w:space="40"/>
            <w:col w:w="3375" w:space="958"/>
            <w:col w:w="5838"/>
          </w:cols>
        </w:sectPr>
      </w:pPr>
    </w:p>
    <w:p>
      <w:pPr>
        <w:spacing w:before="94"/>
        <w:ind w:left="175" w:right="0" w:firstLine="0"/>
        <w:jc w:val="left"/>
        <w:rPr>
          <w:sz w:val="12"/>
        </w:rPr>
      </w:pPr>
      <w:r>
        <w:rPr>
          <w:color w:val="231F20"/>
          <w:sz w:val="12"/>
        </w:rPr>
        <w:t>Sources: CBI and ONS.</w:t>
      </w:r>
    </w:p>
    <w:p>
      <w:pPr>
        <w:spacing w:before="102"/>
        <w:ind w:left="175" w:right="0" w:firstLine="0"/>
        <w:jc w:val="left"/>
        <w:rPr>
          <w:sz w:val="12"/>
        </w:rPr>
      </w:pPr>
      <w:r>
        <w:rPr>
          <w:color w:val="231F20"/>
          <w:sz w:val="12"/>
        </w:rPr>
        <w:t>(a) Expected trend in output over next four months.</w:t>
      </w:r>
    </w:p>
    <w:p>
      <w:pPr>
        <w:spacing w:line="242" w:lineRule="auto" w:before="4"/>
        <w:ind w:left="175" w:right="357" w:firstLine="0"/>
        <w:jc w:val="left"/>
        <w:rPr>
          <w:sz w:val="24"/>
        </w:rPr>
      </w:pPr>
      <w:r>
        <w:rPr/>
        <w:br w:type="column"/>
      </w:r>
      <w:r>
        <w:rPr>
          <w:color w:val="231F20"/>
          <w:sz w:val="24"/>
        </w:rPr>
        <w:t>in Q1—the volume of new construction orders rose by 2.2% in the second half of 1998 and the C</w:t>
      </w:r>
      <w:r>
        <w:rPr>
          <w:color w:val="231F20"/>
          <w:sz w:val="20"/>
        </w:rPr>
        <w:t>IPS </w:t>
      </w:r>
      <w:r>
        <w:rPr>
          <w:color w:val="231F20"/>
          <w:sz w:val="24"/>
        </w:rPr>
        <w:t>survey of</w:t>
      </w:r>
    </w:p>
    <w:p>
      <w:pPr>
        <w:spacing w:after="0" w:line="242" w:lineRule="auto"/>
        <w:jc w:val="left"/>
        <w:rPr>
          <w:sz w:val="24"/>
        </w:rPr>
        <w:sectPr>
          <w:type w:val="continuous"/>
          <w:pgSz w:w="11900" w:h="16840"/>
          <w:pgMar w:top="1220" w:bottom="280" w:left="640" w:right="640"/>
          <w:cols w:num="2" w:equalWidth="0">
            <w:col w:w="2762" w:space="2028"/>
            <w:col w:w="5830"/>
          </w:cols>
        </w:sectPr>
      </w:pPr>
    </w:p>
    <w:p>
      <w:pPr>
        <w:pStyle w:val="BodyText"/>
        <w:spacing w:before="6"/>
        <w:rPr>
          <w:sz w:val="29"/>
        </w:rPr>
      </w:pPr>
    </w:p>
    <w:p>
      <w:pPr>
        <w:spacing w:before="88"/>
        <w:ind w:left="1939" w:right="1858" w:firstLine="0"/>
        <w:jc w:val="center"/>
        <w:rPr>
          <w:b/>
          <w:sz w:val="28"/>
        </w:rPr>
      </w:pPr>
      <w:bookmarkStart w:name="The communications industry" w:id="44"/>
      <w:bookmarkEnd w:id="44"/>
      <w:r>
        <w:rPr/>
      </w:r>
      <w:bookmarkStart w:name="_bookmark17" w:id="45"/>
      <w:bookmarkEnd w:id="45"/>
      <w:r>
        <w:rPr/>
      </w:r>
      <w:r>
        <w:rPr>
          <w:b/>
          <w:color w:val="009483"/>
          <w:sz w:val="28"/>
        </w:rPr>
        <w:t>The communications industry</w:t>
      </w:r>
    </w:p>
    <w:p>
      <w:pPr>
        <w:spacing w:line="242" w:lineRule="auto" w:before="188"/>
        <w:ind w:left="440" w:right="0" w:firstLine="0"/>
        <w:jc w:val="left"/>
        <w:rPr>
          <w:i/>
          <w:sz w:val="24"/>
        </w:rPr>
      </w:pPr>
      <w:r>
        <w:rPr>
          <w:i/>
          <w:color w:val="231F20"/>
          <w:sz w:val="24"/>
        </w:rPr>
        <w:t>The communications sector provides a good example of the way in which changes in technology and </w:t>
      </w:r>
      <w:r>
        <w:rPr>
          <w:i/>
          <w:color w:val="231F20"/>
          <w:sz w:val="24"/>
        </w:rPr>
        <w:t>tastes have led to rapid expansion in the service sector.</w:t>
      </w:r>
    </w:p>
    <w:p>
      <w:pPr>
        <w:pStyle w:val="BodyText"/>
        <w:rPr>
          <w:i/>
          <w:sz w:val="13"/>
        </w:rPr>
      </w:pPr>
    </w:p>
    <w:p>
      <w:pPr>
        <w:pStyle w:val="Heading5"/>
        <w:spacing w:line="249" w:lineRule="auto" w:before="92"/>
        <w:ind w:left="420" w:right="5577"/>
      </w:pPr>
      <w:r>
        <w:rPr>
          <w:color w:val="231F20"/>
        </w:rPr>
        <w:t>The growth rate of the communications sector (defined as postal and telecommunications services) has averaged about 5% per year since 1960 and 10% per year since the 1990–92 recession. Communications has been one of the fastest-growing sectors of the economy, accounting for a rising share of output (up from around 1.4% of GDP in 1955 to 3.7% of GDP in 1998).</w:t>
      </w:r>
    </w:p>
    <w:p>
      <w:pPr>
        <w:pStyle w:val="Heading4"/>
        <w:spacing w:before="136"/>
        <w:ind w:left="430"/>
      </w:pPr>
      <w:r>
        <w:rPr>
          <w:color w:val="0093C1"/>
        </w:rPr>
        <w:t>Chart A</w:t>
      </w:r>
    </w:p>
    <w:p>
      <w:pPr>
        <w:pStyle w:val="Heading4"/>
        <w:ind w:left="430"/>
      </w:pPr>
      <w:r>
        <w:rPr>
          <w:color w:val="0093C1"/>
        </w:rPr>
        <w:t>Output by sector at 1995 prices</w:t>
      </w:r>
    </w:p>
    <w:p>
      <w:pPr>
        <w:spacing w:after="0"/>
        <w:sectPr>
          <w:pgSz w:w="11900" w:h="16840"/>
          <w:pgMar w:header="586" w:footer="617" w:top="780" w:bottom="800" w:left="640" w:right="64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11"/>
        <w:rPr>
          <w:b/>
          <w:sz w:val="17"/>
        </w:rPr>
      </w:pPr>
    </w:p>
    <w:p>
      <w:pPr>
        <w:spacing w:line="211" w:lineRule="auto" w:before="0"/>
        <w:ind w:left="1494" w:right="-19" w:hanging="67"/>
        <w:jc w:val="left"/>
        <w:rPr>
          <w:sz w:val="12"/>
        </w:rPr>
      </w:pPr>
      <w:r>
        <w:rPr>
          <w:sz w:val="12"/>
        </w:rPr>
        <w:t>Electrical and optical equipment</w:t>
      </w:r>
    </w:p>
    <w:p>
      <w:pPr>
        <w:spacing w:before="76"/>
        <w:ind w:left="1141" w:right="0" w:firstLine="0"/>
        <w:jc w:val="left"/>
        <w:rPr>
          <w:sz w:val="12"/>
        </w:rPr>
      </w:pPr>
      <w:r>
        <w:rPr/>
        <w:br w:type="column"/>
      </w:r>
      <w:r>
        <w:rPr>
          <w:sz w:val="12"/>
        </w:rPr>
        <w:t>1991 Q1 = 100</w:t>
      </w:r>
    </w:p>
    <w:p>
      <w:pPr>
        <w:pStyle w:val="BodyText"/>
        <w:rPr>
          <w:sz w:val="12"/>
        </w:rPr>
      </w:pPr>
    </w:p>
    <w:p>
      <w:pPr>
        <w:pStyle w:val="BodyText"/>
        <w:rPr>
          <w:sz w:val="12"/>
        </w:rPr>
      </w:pPr>
    </w:p>
    <w:p>
      <w:pPr>
        <w:pStyle w:val="BodyText"/>
        <w:spacing w:before="9"/>
        <w:rPr>
          <w:sz w:val="13"/>
        </w:rPr>
      </w:pPr>
    </w:p>
    <w:p>
      <w:pPr>
        <w:spacing w:line="211" w:lineRule="auto" w:before="0"/>
        <w:ind w:left="763" w:right="351" w:hanging="87"/>
        <w:jc w:val="left"/>
        <w:rPr>
          <w:sz w:val="12"/>
        </w:rPr>
      </w:pPr>
      <w:r>
        <w:rPr>
          <w:sz w:val="12"/>
        </w:rPr>
        <w:t>Communications services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0"/>
        <w:ind w:left="687" w:right="0" w:firstLine="0"/>
        <w:jc w:val="left"/>
        <w:rPr>
          <w:sz w:val="12"/>
        </w:rPr>
      </w:pPr>
      <w:r>
        <w:rPr>
          <w:sz w:val="12"/>
        </w:rPr>
        <w:t>Total services</w:t>
      </w:r>
    </w:p>
    <w:p>
      <w:pPr>
        <w:pStyle w:val="BodyText"/>
        <w:rPr>
          <w:sz w:val="12"/>
        </w:rPr>
      </w:pPr>
    </w:p>
    <w:p>
      <w:pPr>
        <w:pStyle w:val="BodyText"/>
        <w:spacing w:before="4"/>
        <w:rPr>
          <w:sz w:val="17"/>
        </w:rPr>
      </w:pPr>
    </w:p>
    <w:p>
      <w:pPr>
        <w:spacing w:before="0"/>
        <w:ind w:left="660" w:right="0" w:firstLine="0"/>
        <w:jc w:val="left"/>
        <w:rPr>
          <w:sz w:val="12"/>
        </w:rPr>
      </w:pPr>
      <w:r>
        <w:rPr>
          <w:sz w:val="12"/>
        </w:rPr>
        <w:t>Total manufacturing</w:t>
      </w:r>
    </w:p>
    <w:p>
      <w:pPr>
        <w:pStyle w:val="BodyText"/>
        <w:spacing w:before="5"/>
        <w:rPr>
          <w:sz w:val="16"/>
        </w:rPr>
      </w:pPr>
      <w:r>
        <w:rPr/>
        <w:br w:type="column"/>
      </w:r>
      <w:r>
        <w:rPr>
          <w:sz w:val="16"/>
        </w:rPr>
      </w:r>
    </w:p>
    <w:p>
      <w:pPr>
        <w:spacing w:before="1"/>
        <w:ind w:left="-33" w:right="0" w:firstLine="0"/>
        <w:jc w:val="left"/>
        <w:rPr>
          <w:sz w:val="12"/>
        </w:rPr>
      </w:pPr>
      <w:r>
        <w:rPr>
          <w:sz w:val="12"/>
        </w:rPr>
        <w:t>190</w:t>
      </w:r>
    </w:p>
    <w:p>
      <w:pPr>
        <w:pStyle w:val="BodyText"/>
        <w:spacing w:before="9"/>
        <w:rPr>
          <w:sz w:val="13"/>
        </w:rPr>
      </w:pPr>
    </w:p>
    <w:p>
      <w:pPr>
        <w:spacing w:before="1"/>
        <w:ind w:left="-33" w:right="0" w:firstLine="0"/>
        <w:jc w:val="left"/>
        <w:rPr>
          <w:sz w:val="12"/>
        </w:rPr>
      </w:pPr>
      <w:r>
        <w:rPr>
          <w:sz w:val="12"/>
        </w:rPr>
        <w:t>180</w:t>
      </w:r>
    </w:p>
    <w:p>
      <w:pPr>
        <w:pStyle w:val="BodyText"/>
        <w:spacing w:before="9"/>
        <w:rPr>
          <w:sz w:val="13"/>
        </w:rPr>
      </w:pPr>
    </w:p>
    <w:p>
      <w:pPr>
        <w:spacing w:before="1"/>
        <w:ind w:left="-33" w:right="0" w:firstLine="0"/>
        <w:jc w:val="left"/>
        <w:rPr>
          <w:sz w:val="12"/>
        </w:rPr>
      </w:pPr>
      <w:r>
        <w:rPr>
          <w:sz w:val="12"/>
        </w:rPr>
        <w:t>170</w:t>
      </w:r>
    </w:p>
    <w:p>
      <w:pPr>
        <w:pStyle w:val="BodyText"/>
        <w:spacing w:before="4"/>
        <w:rPr>
          <w:sz w:val="15"/>
        </w:rPr>
      </w:pPr>
    </w:p>
    <w:p>
      <w:pPr>
        <w:spacing w:before="0"/>
        <w:ind w:left="-33" w:right="0" w:firstLine="0"/>
        <w:jc w:val="left"/>
        <w:rPr>
          <w:sz w:val="12"/>
        </w:rPr>
      </w:pPr>
      <w:r>
        <w:rPr>
          <w:sz w:val="12"/>
        </w:rPr>
        <w:t>160</w:t>
      </w:r>
    </w:p>
    <w:p>
      <w:pPr>
        <w:pStyle w:val="BodyText"/>
        <w:spacing w:before="10"/>
        <w:rPr>
          <w:sz w:val="13"/>
        </w:rPr>
      </w:pPr>
    </w:p>
    <w:p>
      <w:pPr>
        <w:spacing w:before="0"/>
        <w:ind w:left="-33" w:right="0" w:firstLine="0"/>
        <w:jc w:val="left"/>
        <w:rPr>
          <w:sz w:val="12"/>
        </w:rPr>
      </w:pPr>
      <w:r>
        <w:rPr>
          <w:sz w:val="12"/>
        </w:rPr>
        <w:t>150</w:t>
      </w:r>
    </w:p>
    <w:p>
      <w:pPr>
        <w:pStyle w:val="BodyText"/>
        <w:spacing w:before="10"/>
        <w:rPr>
          <w:sz w:val="13"/>
        </w:rPr>
      </w:pPr>
    </w:p>
    <w:p>
      <w:pPr>
        <w:spacing w:before="0"/>
        <w:ind w:left="-33" w:right="0" w:firstLine="0"/>
        <w:jc w:val="left"/>
        <w:rPr>
          <w:sz w:val="12"/>
        </w:rPr>
      </w:pPr>
      <w:r>
        <w:rPr>
          <w:sz w:val="12"/>
        </w:rPr>
        <w:t>140</w:t>
      </w:r>
    </w:p>
    <w:p>
      <w:pPr>
        <w:pStyle w:val="BodyText"/>
        <w:spacing w:before="10"/>
        <w:rPr>
          <w:sz w:val="13"/>
        </w:rPr>
      </w:pPr>
    </w:p>
    <w:p>
      <w:pPr>
        <w:spacing w:before="0"/>
        <w:ind w:left="-33" w:right="0" w:firstLine="0"/>
        <w:jc w:val="left"/>
        <w:rPr>
          <w:sz w:val="12"/>
        </w:rPr>
      </w:pPr>
      <w:r>
        <w:rPr>
          <w:sz w:val="12"/>
        </w:rPr>
        <w:t>130</w:t>
      </w:r>
    </w:p>
    <w:p>
      <w:pPr>
        <w:pStyle w:val="BodyText"/>
        <w:spacing w:before="1"/>
        <w:rPr>
          <w:sz w:val="14"/>
        </w:rPr>
      </w:pPr>
    </w:p>
    <w:p>
      <w:pPr>
        <w:spacing w:before="0"/>
        <w:ind w:left="-33" w:right="0" w:firstLine="0"/>
        <w:jc w:val="left"/>
        <w:rPr>
          <w:sz w:val="12"/>
        </w:rPr>
      </w:pPr>
      <w:r>
        <w:rPr>
          <w:sz w:val="12"/>
        </w:rPr>
        <w:t>120</w:t>
      </w:r>
    </w:p>
    <w:p>
      <w:pPr>
        <w:pStyle w:val="BodyText"/>
        <w:spacing w:before="2"/>
        <w:rPr>
          <w:sz w:val="15"/>
        </w:rPr>
      </w:pPr>
    </w:p>
    <w:p>
      <w:pPr>
        <w:spacing w:before="0"/>
        <w:ind w:left="-33" w:right="0" w:firstLine="0"/>
        <w:jc w:val="left"/>
        <w:rPr>
          <w:sz w:val="12"/>
        </w:rPr>
      </w:pPr>
      <w:r>
        <w:rPr>
          <w:sz w:val="12"/>
        </w:rPr>
        <w:t>110</w:t>
      </w:r>
    </w:p>
    <w:p>
      <w:pPr>
        <w:pStyle w:val="BodyText"/>
        <w:spacing w:before="10"/>
        <w:rPr>
          <w:sz w:val="13"/>
        </w:rPr>
      </w:pPr>
    </w:p>
    <w:p>
      <w:pPr>
        <w:spacing w:before="0"/>
        <w:ind w:left="-33" w:right="0" w:firstLine="0"/>
        <w:jc w:val="left"/>
        <w:rPr>
          <w:sz w:val="12"/>
        </w:rPr>
      </w:pPr>
      <w:r>
        <w:rPr>
          <w:sz w:val="12"/>
        </w:rPr>
        <w:t>100</w:t>
      </w:r>
    </w:p>
    <w:p>
      <w:pPr>
        <w:pStyle w:val="BodyText"/>
        <w:spacing w:before="10"/>
        <w:rPr>
          <w:sz w:val="13"/>
        </w:rPr>
      </w:pPr>
    </w:p>
    <w:p>
      <w:pPr>
        <w:spacing w:line="99" w:lineRule="exact" w:before="0"/>
        <w:ind w:left="27" w:right="0" w:firstLine="0"/>
        <w:jc w:val="left"/>
        <w:rPr>
          <w:sz w:val="12"/>
        </w:rPr>
      </w:pPr>
      <w:r>
        <w:rPr>
          <w:sz w:val="12"/>
        </w:rPr>
        <w:t>90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5"/>
        <w:spacing w:line="249" w:lineRule="auto" w:before="132"/>
        <w:ind w:left="1077" w:right="365"/>
      </w:pPr>
      <w:r>
        <w:rPr>
          <w:color w:val="231F20"/>
        </w:rPr>
        <w:t>indicate that the market expects the sector’s strong growth in turnover to continue.</w:t>
      </w:r>
    </w:p>
    <w:p>
      <w:pPr>
        <w:pStyle w:val="BodyText"/>
        <w:spacing w:before="6"/>
        <w:rPr>
          <w:sz w:val="17"/>
        </w:rPr>
      </w:pPr>
    </w:p>
    <w:p>
      <w:pPr>
        <w:pStyle w:val="Heading5"/>
        <w:spacing w:line="249" w:lineRule="auto" w:before="0"/>
        <w:ind w:left="1077" w:right="432"/>
      </w:pPr>
      <w:r>
        <w:rPr>
          <w:color w:val="231F20"/>
        </w:rPr>
        <w:t>Rising demand for telecommunication services has partly reflected sizable price reductions. Since 1992, prices for household telephone services have fallen on average by almost 3% per year. Given the rise in other retail prices</w:t>
      </w:r>
    </w:p>
    <w:p>
      <w:pPr>
        <w:spacing w:after="0" w:line="249" w:lineRule="auto"/>
        <w:sectPr>
          <w:type w:val="continuous"/>
          <w:pgSz w:w="11900" w:h="16840"/>
          <w:pgMar w:top="1220" w:bottom="280" w:left="640" w:right="640"/>
          <w:cols w:num="4" w:equalWidth="0">
            <w:col w:w="2359" w:space="40"/>
            <w:col w:w="1867" w:space="39"/>
            <w:col w:w="148" w:space="39"/>
            <w:col w:w="6128"/>
          </w:cols>
        </w:sectPr>
      </w:pPr>
    </w:p>
    <w:p>
      <w:pPr>
        <w:tabs>
          <w:tab w:pos="1183" w:val="left" w:leader="none"/>
          <w:tab w:pos="1653" w:val="left" w:leader="none"/>
          <w:tab w:pos="2105" w:val="left" w:leader="none"/>
          <w:tab w:pos="2528" w:val="left" w:leader="none"/>
          <w:tab w:pos="3013" w:val="left" w:leader="none"/>
          <w:tab w:pos="3448" w:val="left" w:leader="none"/>
          <w:tab w:pos="3888" w:val="left" w:leader="none"/>
        </w:tabs>
        <w:spacing w:before="5"/>
        <w:ind w:left="670" w:right="0" w:firstLine="0"/>
        <w:jc w:val="left"/>
        <w:rPr>
          <w:sz w:val="12"/>
        </w:rPr>
      </w:pPr>
      <w:r>
        <w:rPr>
          <w:sz w:val="12"/>
        </w:rPr>
        <w:t>1991</w:t>
        <w:tab/>
        <w:t>92</w:t>
        <w:tab/>
        <w:t>93</w:t>
        <w:tab/>
        <w:t>94</w:t>
        <w:tab/>
        <w:t>95</w:t>
        <w:tab/>
        <w:t>96</w:t>
        <w:tab/>
        <w:t>97</w:t>
        <w:tab/>
        <w:t>98</w:t>
      </w:r>
    </w:p>
    <w:p>
      <w:pPr>
        <w:pStyle w:val="BodyText"/>
        <w:rPr>
          <w:sz w:val="12"/>
        </w:rPr>
      </w:pPr>
    </w:p>
    <w:p>
      <w:pPr>
        <w:pStyle w:val="BodyText"/>
        <w:spacing w:before="3"/>
        <w:rPr>
          <w:sz w:val="12"/>
        </w:rPr>
      </w:pPr>
    </w:p>
    <w:p>
      <w:pPr>
        <w:pStyle w:val="Heading5"/>
        <w:spacing w:line="249" w:lineRule="auto" w:before="0"/>
        <w:ind w:left="420"/>
      </w:pPr>
      <w:r>
        <w:rPr>
          <w:color w:val="231F20"/>
        </w:rPr>
        <w:t>This rapid growth in demand for communications services has had beneficial spill-over effects for the manufacturing sector. As Chart A shows, production of</w:t>
      </w:r>
    </w:p>
    <w:p>
      <w:pPr>
        <w:pStyle w:val="Heading5"/>
        <w:spacing w:line="249" w:lineRule="auto" w:before="0"/>
        <w:ind w:left="420" w:right="648"/>
      </w:pPr>
      <w:r>
        <w:rPr/>
        <w:br w:type="column"/>
      </w:r>
      <w:r>
        <w:rPr>
          <w:color w:val="231F20"/>
        </w:rPr>
        <w:t>over this period, the relative price of communications services has declined even more sharply (see Chart C).</w:t>
      </w:r>
    </w:p>
    <w:p>
      <w:pPr>
        <w:pStyle w:val="Heading5"/>
        <w:tabs>
          <w:tab w:pos="5104" w:val="left" w:leader="none"/>
        </w:tabs>
        <w:spacing w:line="142" w:lineRule="exact" w:before="0"/>
        <w:ind w:left="425"/>
      </w:pPr>
      <w:r>
        <w:rPr>
          <w:color w:val="231F20"/>
          <w:u w:val="single" w:color="231F20"/>
        </w:rPr>
        <w:t> </w:t>
        <w:tab/>
      </w:r>
    </w:p>
    <w:p>
      <w:pPr>
        <w:pStyle w:val="Heading4"/>
        <w:spacing w:line="190" w:lineRule="exact" w:before="0"/>
        <w:ind w:left="430"/>
      </w:pPr>
      <w:r>
        <w:rPr>
          <w:color w:val="0093C1"/>
        </w:rPr>
        <w:t>Chart C</w:t>
      </w:r>
    </w:p>
    <w:p>
      <w:pPr>
        <w:pStyle w:val="Heading4"/>
        <w:spacing w:before="2"/>
        <w:ind w:left="430"/>
      </w:pPr>
      <w:r>
        <w:rPr>
          <w:color w:val="0093C1"/>
        </w:rPr>
        <w:t>Relative price of communications</w:t>
      </w:r>
    </w:p>
    <w:p>
      <w:pPr>
        <w:spacing w:after="0"/>
        <w:sectPr>
          <w:type w:val="continuous"/>
          <w:pgSz w:w="11900" w:h="16840"/>
          <w:pgMar w:top="1220" w:bottom="280" w:left="640" w:right="640"/>
          <w:cols w:num="2" w:equalWidth="0">
            <w:col w:w="4948" w:space="202"/>
            <w:col w:w="5470"/>
          </w:cols>
        </w:sectPr>
      </w:pPr>
    </w:p>
    <w:p>
      <w:pPr>
        <w:pStyle w:val="Heading5"/>
        <w:spacing w:line="249" w:lineRule="auto" w:before="2"/>
        <w:ind w:left="420" w:right="20"/>
      </w:pPr>
      <w:r>
        <w:rPr>
          <w:color w:val="231F20"/>
        </w:rPr>
        <w:t>electrical and optical equipment (which includes much of the hardware used in telecommunications) has increased by more than 40% since 1991, while total manufacturing output has increased by only around 9%. In addition, improvements in communications technology will also have had beneficial productivity effects for other sectors of the economy.</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3"/>
        </w:rPr>
      </w:pPr>
    </w:p>
    <w:p>
      <w:pPr>
        <w:spacing w:line="196" w:lineRule="auto" w:before="1"/>
        <w:ind w:left="459" w:right="21" w:hanging="40"/>
        <w:jc w:val="left"/>
        <w:rPr>
          <w:sz w:val="12"/>
        </w:rPr>
      </w:pPr>
      <w:r>
        <w:rPr>
          <w:sz w:val="12"/>
        </w:rPr>
        <w:t>Retail prices of telephone services</w:t>
      </w:r>
    </w:p>
    <w:p>
      <w:pPr>
        <w:spacing w:line="106" w:lineRule="exact" w:before="0"/>
        <w:ind w:left="420" w:right="0" w:firstLine="0"/>
        <w:jc w:val="left"/>
        <w:rPr>
          <w:sz w:val="12"/>
        </w:rPr>
      </w:pPr>
      <w:r>
        <w:rPr/>
        <w:br w:type="column"/>
      </w:r>
      <w:r>
        <w:rPr>
          <w:sz w:val="12"/>
        </w:rPr>
        <w:t>Jan. 1991 = 100</w:t>
      </w:r>
    </w:p>
    <w:p>
      <w:pPr>
        <w:spacing w:before="76"/>
        <w:ind w:left="18" w:right="0" w:firstLine="0"/>
        <w:jc w:val="left"/>
        <w:rPr>
          <w:sz w:val="12"/>
        </w:rPr>
      </w:pPr>
      <w:r>
        <w:rPr/>
        <w:br w:type="column"/>
      </w:r>
      <w:r>
        <w:rPr>
          <w:sz w:val="12"/>
        </w:rPr>
        <w:t>105</w:t>
      </w:r>
    </w:p>
    <w:p>
      <w:pPr>
        <w:pStyle w:val="BodyText"/>
        <w:rPr>
          <w:sz w:val="12"/>
        </w:rPr>
      </w:pPr>
    </w:p>
    <w:p>
      <w:pPr>
        <w:pStyle w:val="BodyText"/>
        <w:rPr>
          <w:sz w:val="12"/>
        </w:rPr>
      </w:pPr>
    </w:p>
    <w:p>
      <w:pPr>
        <w:pStyle w:val="BodyText"/>
        <w:rPr>
          <w:sz w:val="12"/>
        </w:rPr>
      </w:pPr>
    </w:p>
    <w:p>
      <w:pPr>
        <w:pStyle w:val="BodyText"/>
        <w:spacing w:before="7"/>
        <w:rPr>
          <w:sz w:val="17"/>
        </w:rPr>
      </w:pPr>
    </w:p>
    <w:p>
      <w:pPr>
        <w:spacing w:before="0"/>
        <w:ind w:left="78" w:right="0" w:firstLine="0"/>
        <w:jc w:val="left"/>
        <w:rPr>
          <w:sz w:val="12"/>
        </w:rPr>
      </w:pPr>
      <w:r>
        <w:rPr>
          <w:sz w:val="12"/>
        </w:rPr>
        <w:t>95</w:t>
      </w:r>
    </w:p>
    <w:p>
      <w:pPr>
        <w:pStyle w:val="BodyText"/>
        <w:rPr>
          <w:sz w:val="12"/>
        </w:rPr>
      </w:pPr>
    </w:p>
    <w:p>
      <w:pPr>
        <w:pStyle w:val="BodyText"/>
        <w:rPr>
          <w:sz w:val="12"/>
        </w:rPr>
      </w:pPr>
    </w:p>
    <w:p>
      <w:pPr>
        <w:pStyle w:val="BodyText"/>
        <w:rPr>
          <w:sz w:val="12"/>
        </w:rPr>
      </w:pPr>
    </w:p>
    <w:p>
      <w:pPr>
        <w:pStyle w:val="BodyText"/>
        <w:spacing w:before="3"/>
        <w:rPr>
          <w:sz w:val="17"/>
        </w:rPr>
      </w:pPr>
    </w:p>
    <w:p>
      <w:pPr>
        <w:spacing w:before="0"/>
        <w:ind w:left="78" w:right="0" w:firstLine="0"/>
        <w:jc w:val="left"/>
        <w:rPr>
          <w:sz w:val="12"/>
        </w:rPr>
      </w:pPr>
      <w:r>
        <w:rPr>
          <w:sz w:val="12"/>
        </w:rPr>
        <w:t>85</w:t>
      </w:r>
    </w:p>
    <w:p>
      <w:pPr>
        <w:spacing w:after="0"/>
        <w:jc w:val="left"/>
        <w:rPr>
          <w:sz w:val="12"/>
        </w:rPr>
        <w:sectPr>
          <w:type w:val="continuous"/>
          <w:pgSz w:w="11900" w:h="16840"/>
          <w:pgMar w:top="1220" w:bottom="280" w:left="640" w:right="640"/>
          <w:cols w:num="4" w:equalWidth="0">
            <w:col w:w="5053" w:space="1407"/>
            <w:col w:w="1383" w:space="784"/>
            <w:col w:w="1188" w:space="40"/>
            <w:col w:w="765"/>
          </w:cols>
        </w:sectPr>
      </w:pPr>
    </w:p>
    <w:p>
      <w:pPr>
        <w:pStyle w:val="BodyText"/>
        <w:spacing w:before="2"/>
        <w:rPr>
          <w:sz w:val="13"/>
        </w:rPr>
      </w:pPr>
    </w:p>
    <w:p>
      <w:pPr>
        <w:spacing w:after="0"/>
        <w:rPr>
          <w:sz w:val="13"/>
        </w:rPr>
        <w:sectPr>
          <w:type w:val="continuous"/>
          <w:pgSz w:w="11900" w:h="16840"/>
          <w:pgMar w:top="1220" w:bottom="280" w:left="640" w:right="640"/>
        </w:sectPr>
      </w:pPr>
    </w:p>
    <w:p>
      <w:pPr>
        <w:pStyle w:val="Heading5"/>
        <w:spacing w:line="249" w:lineRule="auto" w:before="92"/>
        <w:ind w:left="420" w:right="108"/>
      </w:pPr>
      <w:r>
        <w:rPr/>
        <w:pict>
          <v:group style="position:absolute;margin-left:39pt;margin-top:41pt;width:517pt;height:739pt;mso-position-horizontal-relative:page;mso-position-vertical-relative:page;z-index:-21202432" coordorigin="780,820" coordsize="10340,14780">
            <v:shape style="position:absolute;left:800;top:840;width:10300;height:14740" coordorigin="800,840" coordsize="10300,14740" path="m11100,840l5964,840,5936,840,800,840,800,8181,800,8239,800,15580,5936,15580,5964,15580,11100,15580,11100,840xe" filled="true" fillcolor="#c3e0dc" stroked="false">
              <v:path arrowok="t"/>
              <v:fill type="solid"/>
            </v:shape>
            <v:shape style="position:absolute;left:879;top:962;width:10141;height:14496" coordorigin="879,962" coordsize="10141,14496" path="m5950,962l879,8210,5950,15458,11020,8210,5950,962xe" filled="true" fillcolor="#c4e1dd" stroked="false">
              <v:path arrowok="t"/>
              <v:fill type="solid"/>
            </v:shape>
            <v:shape style="position:absolute;left:978;top:1104;width:9943;height:14212" coordorigin="979,1104" coordsize="9943,14212" path="m5950,1104l979,8210,5950,15316,10921,8210,5950,1104xe" filled="true" fillcolor="#c5e1dd" stroked="false">
              <v:path arrowok="t"/>
              <v:fill type="solid"/>
            </v:shape>
            <v:shape style="position:absolute;left:1078;top:1246;width:9744;height:13928" coordorigin="1078,1246" coordsize="9744,13928" path="m5950,1246l1078,8210,5950,15174,10822,8210,5950,1246xe" filled="true" fillcolor="#c6e2de" stroked="false">
              <v:path arrowok="t"/>
              <v:fill type="solid"/>
            </v:shape>
            <v:shape style="position:absolute;left:1177;top:1388;width:9545;height:13643" coordorigin="1178,1389" coordsize="9545,13643" path="m5950,1389l1178,8210,5950,15032,10722,8210,5950,1389xe" filled="true" fillcolor="#c7e2df" stroked="false">
              <v:path arrowok="t"/>
              <v:fill type="solid"/>
            </v:shape>
            <v:shape style="position:absolute;left:1277;top:1530;width:9346;height:13359" coordorigin="1277,1531" coordsize="9346,13359" path="m5950,1531l1277,8210,5950,14889,10623,8210,5950,1531xe" filled="true" fillcolor="#c8e3df" stroked="false">
              <v:path arrowok="t"/>
              <v:fill type="solid"/>
            </v:shape>
            <v:shape style="position:absolute;left:1376;top:1672;width:9147;height:13075" coordorigin="1377,1673" coordsize="9147,13075" path="m5950,1673l1377,8210,5950,14747,10523,8210,5950,1673xe" filled="true" fillcolor="#c9e3e0" stroked="false">
              <v:path arrowok="t"/>
              <v:fill type="solid"/>
            </v:shape>
            <v:shape style="position:absolute;left:1475;top:1814;width:8948;height:12791" coordorigin="1476,1815" coordsize="8948,12791" path="m5950,1815l1476,8210,5950,14605,10424,8210,5950,1815xe" filled="true" fillcolor="#cae4e0" stroked="false">
              <v:path arrowok="t"/>
              <v:fill type="solid"/>
            </v:shape>
            <v:shape style="position:absolute;left:1575;top:1957;width:8750;height:12507" coordorigin="1575,1957" coordsize="8750,12507" path="m5950,1957l1575,8210,5950,14463,10324,8210,5950,1957xe" filled="true" fillcolor="#cbe4e1" stroked="false">
              <v:path arrowok="t"/>
              <v:fill type="solid"/>
            </v:shape>
            <v:shape style="position:absolute;left:1674;top:2099;width:8551;height:12222" coordorigin="1675,2099" coordsize="8551,12222" path="m5950,2099l1675,8210,5950,14321,10225,8210,5950,2099xe" filled="true" fillcolor="#cce5e1" stroked="false">
              <v:path arrowok="t"/>
              <v:fill type="solid"/>
            </v:shape>
            <v:shape style="position:absolute;left:1774;top:2241;width:8352;height:11938" coordorigin="1774,2241" coordsize="8352,11938" path="m5950,2241l1774,8210,5950,14179,10126,8210,5950,2241xe" filled="true" fillcolor="#cde5e2" stroked="false">
              <v:path arrowok="t"/>
              <v:fill type="solid"/>
            </v:shape>
            <v:shape style="position:absolute;left:1873;top:2383;width:8153;height:11654" coordorigin="1874,2383" coordsize="8153,11654" path="m5950,2383l1874,8210,5950,14037,10026,8210,5950,2383xe" filled="true" fillcolor="#cee6e3" stroked="false">
              <v:path arrowok="t"/>
              <v:fill type="solid"/>
            </v:shape>
            <v:shape style="position:absolute;left:1973;top:2525;width:7954;height:11370" coordorigin="1973,2525" coordsize="7954,11370" path="m5950,2525l1973,8210,5950,13895,9927,8210,5950,2525xe" filled="true" fillcolor="#cfe6e3" stroked="false">
              <v:path arrowok="t"/>
              <v:fill type="solid"/>
            </v:shape>
            <v:shape style="position:absolute;left:2072;top:2667;width:7755;height:11085" coordorigin="2072,2668" coordsize="7755,11085" path="m5950,2668l2072,8210,5950,13753,9827,8210,5950,2668xe" filled="true" fillcolor="#d0e7e4" stroked="false">
              <v:path arrowok="t"/>
              <v:fill type="solid"/>
            </v:shape>
            <v:shape style="position:absolute;left:2171;top:2809;width:7557;height:10801" coordorigin="2172,2810" coordsize="7557,10801" path="m5950,2810l2172,8210,5950,13610,9728,8210,5950,2810xe" filled="true" fillcolor="#d1e7e4" stroked="false">
              <v:path arrowok="t"/>
              <v:fill type="solid"/>
            </v:shape>
            <v:shape style="position:absolute;left:2271;top:2951;width:7358;height:10517" coordorigin="2271,2952" coordsize="7358,10517" path="m5950,2952l2271,8210,5950,13468,9629,8210,5950,2952xe" filled="true" fillcolor="#d3e8e5" stroked="false">
              <v:path arrowok="t"/>
              <v:fill type="solid"/>
            </v:shape>
            <v:shape style="position:absolute;left:2370;top:3093;width:7159;height:10233" coordorigin="2371,3094" coordsize="7159,10233" path="m5950,3094l2371,8210,5950,13326,9529,8210,5950,3094xe" filled="true" fillcolor="#d4e8e5" stroked="false">
              <v:path arrowok="t"/>
              <v:fill type="solid"/>
            </v:shape>
            <v:shape style="position:absolute;left:2470;top:3236;width:6960;height:9949" coordorigin="2470,3236" coordsize="6960,9949" path="m5950,3236l2470,8210,5950,13184,9430,8210,5950,3236xe" filled="true" fillcolor="#d5e9e6" stroked="false">
              <v:path arrowok="t"/>
              <v:fill type="solid"/>
            </v:shape>
            <v:shape style="position:absolute;left:2569;top:3378;width:6761;height:9664" coordorigin="2570,3378" coordsize="6761,9664" path="m5950,3378l2570,8210,5950,13042,9330,8210,5950,3378xe" filled="true" fillcolor="#d6eae7" stroked="false">
              <v:path arrowok="t"/>
              <v:fill type="solid"/>
            </v:shape>
            <v:shape style="position:absolute;left:2669;top:3520;width:6562;height:9380" coordorigin="2669,3520" coordsize="6562,9380" path="m5950,3520l2669,8210,5950,12900,9231,8210,5950,3520xe" filled="true" fillcolor="#d7eae7" stroked="false">
              <v:path arrowok="t"/>
              <v:fill type="solid"/>
            </v:shape>
            <v:shape style="position:absolute;left:2768;top:3662;width:6363;height:9096" coordorigin="2768,3662" coordsize="6363,9096" path="m5950,3662l2768,8210,5950,12758,9131,8210,5950,3662xe" filled="true" fillcolor="#d8ebe8" stroked="false">
              <v:path arrowok="t"/>
              <v:fill type="solid"/>
            </v:shape>
            <v:shape style="position:absolute;left:2867;top:3804;width:6165;height:8812" coordorigin="2868,3805" coordsize="6165,8812" path="m5950,3805l2868,8210,5950,12616,9032,8210,5950,3805xe" filled="true" fillcolor="#d9ebe8" stroked="false">
              <v:path arrowok="t"/>
              <v:fill type="solid"/>
            </v:shape>
            <v:shape style="position:absolute;left:2967;top:3946;width:5966;height:8527" coordorigin="2967,3947" coordsize="5966,8527" path="m5950,3947l2967,8210,5950,12473,8933,8210,5950,3947xe" filled="true" fillcolor="#daece9" stroked="false">
              <v:path arrowok="t"/>
              <v:fill type="solid"/>
            </v:shape>
            <v:shape style="position:absolute;left:3066;top:4088;width:5767;height:8243" coordorigin="3067,4089" coordsize="5767,8243" path="m5950,4089l3067,8210,5950,12331,8833,8210,5950,4089xe" filled="true" fillcolor="#dbece9" stroked="false">
              <v:path arrowok="t"/>
              <v:fill type="solid"/>
            </v:shape>
            <v:shape style="position:absolute;left:3166;top:4230;width:5568;height:7959" coordorigin="3166,4231" coordsize="5568,7959" path="m5950,4231l3166,8210,5950,12189,8734,8210,5950,4231xe" filled="true" fillcolor="#dcedea" stroked="false">
              <v:path arrowok="t"/>
              <v:fill type="solid"/>
            </v:shape>
            <v:shape style="position:absolute;left:3265;top:4372;width:5369;height:7675" coordorigin="3266,4373" coordsize="5369,7675" path="m5950,4373l3266,8210,5950,12047,8634,8210,5950,4373xe" filled="true" fillcolor="#ddedeb" stroked="false">
              <v:path arrowok="t"/>
              <v:fill type="solid"/>
            </v:shape>
            <v:shape style="position:absolute;left:3364;top:4515;width:5170;height:7390" coordorigin="3365,4515" coordsize="5170,7390" path="m5950,4515l3365,8210,5950,11905,8535,8210,5950,4515xe" filled="true" fillcolor="#deeeeb" stroked="false">
              <v:path arrowok="t"/>
              <v:fill type="solid"/>
            </v:shape>
            <v:shape style="position:absolute;left:3464;top:4657;width:4972;height:7106" coordorigin="3464,4657" coordsize="4972,7106" path="m5950,4657l3464,8210,5950,11763,8435,8210,5950,4657xe" filled="true" fillcolor="#e0efec" stroked="false">
              <v:path arrowok="t"/>
              <v:fill type="solid"/>
            </v:shape>
            <v:shape style="position:absolute;left:3563;top:4799;width:4773;height:6822" coordorigin="3564,4799" coordsize="4773,6822" path="m5950,4799l3564,8210,5950,11621,8336,8210,5950,4799xe" filled="true" fillcolor="#e1efec" stroked="false">
              <v:path arrowok="t"/>
              <v:fill type="solid"/>
            </v:shape>
            <v:shape style="position:absolute;left:3663;top:4941;width:4574;height:6538" coordorigin="3663,4941" coordsize="4574,6538" path="m5950,4941l3663,8210,5950,11479,8237,8210,5950,4941xe" filled="true" fillcolor="#e2f0ed" stroked="false">
              <v:path arrowok="t"/>
              <v:fill type="solid"/>
            </v:shape>
            <v:shape style="position:absolute;left:3762;top:5083;width:4375;height:6254" coordorigin="3763,5084" coordsize="4375,6254" path="m5950,5084l3763,8210,5950,11337,8137,8210,5950,5084xe" filled="true" fillcolor="#e3f0ee" stroked="false">
              <v:path arrowok="t"/>
              <v:fill type="solid"/>
            </v:shape>
            <v:shape style="position:absolute;left:3862;top:5225;width:4176;height:5969" coordorigin="3862,5226" coordsize="4176,5969" path="m5950,5226l3862,8210,5950,11194,8038,8210,5950,5226xe" filled="true" fillcolor="#e4f1ee" stroked="false">
              <v:path arrowok="t"/>
              <v:fill type="solid"/>
            </v:shape>
            <v:shape style="position:absolute;left:3961;top:5367;width:3977;height:5685" coordorigin="3961,5368" coordsize="3977,5685" path="m5950,5368l3961,8210,5950,11052,7938,8210,5950,5368xe" filled="true" fillcolor="#e5f1ef" stroked="false">
              <v:path arrowok="t"/>
              <v:fill type="solid"/>
            </v:shape>
            <v:shape style="position:absolute;left:4060;top:5509;width:3778;height:5401" coordorigin="4061,5510" coordsize="3778,5401" path="m5950,5510l4061,8210,5950,10910,7839,8210,5950,5510xe" filled="true" fillcolor="#e6f2ef" stroked="false">
              <v:path arrowok="t"/>
              <v:fill type="solid"/>
            </v:shape>
            <v:shape style="position:absolute;left:4160;top:5652;width:3580;height:5117" coordorigin="4160,5652" coordsize="3580,5117" path="m5950,5652l4160,8210,5950,10768,7739,8210,5950,5652xe" filled="true" fillcolor="#e7f3f0" stroked="false">
              <v:path arrowok="t"/>
              <v:fill type="solid"/>
            </v:shape>
            <v:shape style="position:absolute;left:4259;top:5794;width:3381;height:4832" coordorigin="4260,5794" coordsize="3381,4832" path="m5950,5794l4260,8210,5950,10626,7640,8210,5950,5794xe" filled="true" fillcolor="#e9f3f1" stroked="false">
              <v:path arrowok="t"/>
              <v:fill type="solid"/>
            </v:shape>
            <v:shape style="position:absolute;left:4359;top:5936;width:3182;height:4548" coordorigin="4359,5936" coordsize="3182,4548" path="m5950,5936l4359,8210,5950,10484,7541,8210,5950,5936xe" filled="true" fillcolor="#eaf4f2" stroked="false">
              <v:path arrowok="t"/>
              <v:fill type="solid"/>
            </v:shape>
            <v:shape style="position:absolute;left:4458;top:6078;width:2983;height:4264" coordorigin="4459,6078" coordsize="2983,4264" path="m5950,6078l4459,8210,5950,10342,7441,8210,5950,6078xe" filled="true" fillcolor="#ebf4f2" stroked="false">
              <v:path arrowok="t"/>
              <v:fill type="solid"/>
            </v:shape>
            <v:shape style="position:absolute;left:4558;top:6220;width:2784;height:3980" coordorigin="4558,6220" coordsize="2784,3980" path="m5950,6220l4558,8210,5950,10200,7342,8210,5950,6220xe" filled="true" fillcolor="#ecf5f3" stroked="false">
              <v:path arrowok="t"/>
              <v:fill type="solid"/>
            </v:shape>
            <v:shape style="position:absolute;left:4657;top:6362;width:2585;height:3695" coordorigin="4657,6363" coordsize="2585,3695" path="m5950,6363l4657,8210,5950,10058,7242,8210,5950,6363xe" filled="true" fillcolor="#edf6f4" stroked="false">
              <v:path arrowok="t"/>
              <v:fill type="solid"/>
            </v:shape>
            <v:shape style="position:absolute;left:4756;top:6504;width:2387;height:3411" coordorigin="4757,6505" coordsize="2387,3411" path="m5950,6505l4757,8210,5950,9915,7143,8210,5950,6505xe" filled="true" fillcolor="#eff7f5" stroked="false">
              <v:path arrowok="t"/>
              <v:fill type="solid"/>
            </v:shape>
            <v:shape style="position:absolute;left:4856;top:6646;width:2188;height:3127" coordorigin="4856,6647" coordsize="2188,3127" path="m5950,6647l4856,8210,5950,9773,7044,8210,5950,6647xe" filled="true" fillcolor="#f0f7f5" stroked="false">
              <v:path arrowok="t"/>
              <v:fill type="solid"/>
            </v:shape>
            <v:shape style="position:absolute;left:4955;top:6788;width:1989;height:2843" coordorigin="4956,6789" coordsize="1989,2843" path="m5950,6789l4956,8210,5950,9631,6944,8210,5950,6789xe" filled="true" fillcolor="#f1f8f6" stroked="false">
              <v:path arrowok="t"/>
              <v:fill type="solid"/>
            </v:shape>
            <v:shape style="position:absolute;left:5055;top:6931;width:1790;height:2559" coordorigin="5055,6931" coordsize="1790,2559" path="m5950,6931l5055,8210,5950,9489,6845,8210,5950,6931xe" filled="true" fillcolor="#f2f8f7" stroked="false">
              <v:path arrowok="t"/>
              <v:fill type="solid"/>
            </v:shape>
            <v:shape style="position:absolute;left:5154;top:7073;width:1591;height:2274" coordorigin="5155,7073" coordsize="1591,2274" path="m5950,7073l5155,8210,5950,9347,6745,8210,5950,7073xe" filled="true" fillcolor="#f3f9f8" stroked="false">
              <v:path arrowok="t"/>
              <v:fill type="solid"/>
            </v:shape>
            <v:shape style="position:absolute;left:5253;top:7215;width:1392;height:1990" coordorigin="5254,7215" coordsize="1392,1990" path="m5950,7215l5254,8210,5950,9205,6646,8210,5950,7215xe" filled="true" fillcolor="#f5f9f8" stroked="false">
              <v:path arrowok="t"/>
              <v:fill type="solid"/>
            </v:shape>
            <v:shape style="position:absolute;left:5353;top:7357;width:1194;height:1706" coordorigin="5353,7357" coordsize="1194,1706" path="m5950,7357l5353,8210,5950,9063,6546,8210,5950,7357xe" filled="true" fillcolor="#f6faf9" stroked="false">
              <v:path arrowok="t"/>
              <v:fill type="solid"/>
            </v:shape>
            <v:shape style="position:absolute;left:5452;top:7499;width:995;height:1422" coordorigin="5453,7499" coordsize="995,1422" path="m5950,7499l5453,8210,5950,8921,6447,8210,5950,7499xe" filled="true" fillcolor="#f8fbfa" stroked="false">
              <v:path arrowok="t"/>
              <v:fill type="solid"/>
            </v:shape>
            <v:shape style="position:absolute;left:5552;top:7641;width:796;height:1137" coordorigin="5552,7642" coordsize="796,1137" path="m5950,7642l5552,8210,5950,8778,6348,8210,5950,7642xe" filled="true" fillcolor="#f9fcfc" stroked="false">
              <v:path arrowok="t"/>
              <v:fill type="solid"/>
            </v:shape>
            <v:shape style="position:absolute;left:5651;top:7783;width:597;height:853" coordorigin="5652,7784" coordsize="597,853" path="m5950,7784l5652,8210,5950,8636,6248,8210,5950,7784xe" filled="true" fillcolor="#fbfdfd" stroked="false">
              <v:path arrowok="t"/>
              <v:fill type="solid"/>
            </v:shape>
            <v:shape style="position:absolute;left:5751;top:7925;width:398;height:569" coordorigin="5751,7926" coordsize="398,569" path="m5950,7926l5751,8210,5950,8494,6149,8210,5950,7926xe" filled="true" fillcolor="#fdfefe" stroked="false">
              <v:path arrowok="t"/>
              <v:fill type="solid"/>
            </v:shape>
            <v:shape style="position:absolute;left:5850;top:8067;width:199;height:285" coordorigin="5850,8068" coordsize="199,285" path="m5950,8068l5850,8210,5950,8352,6049,8210,5950,8068xe" filled="true" fillcolor="#ffffff" stroked="false">
              <v:path arrowok="t"/>
              <v:fill type="solid"/>
            </v:shape>
            <v:rect style="position:absolute;left:790;top:830;width:10320;height:14760" filled="false" stroked="true" strokeweight="1pt" strokecolor="#009483">
              <v:stroke dashstyle="solid"/>
            </v:rect>
            <v:rect style="position:absolute;left:1052;top:4840;width:4548;height:3550" filled="true" fillcolor="#ffffff" stroked="false">
              <v:fill type="solid"/>
            </v:rect>
            <v:line style="position:absolute" from="1244,8070" to="4727,8073" stroked="true" strokeweight=".5pt" strokecolor="#000000">
              <v:stroke dashstyle="solid"/>
            </v:line>
            <v:shape style="position:absolute;left:1244;top:6440;width:3483;height:1429" coordorigin="1244,6440" coordsize="3483,1429" path="m1244,7773l1349,7820,1470,7821,1578,7850,1699,7868,1807,7869,1911,7725,2033,7615,2140,7633,2248,7600,2369,7601,2477,7553,2598,7380,2703,7208,2810,7178,2932,7098,3039,7115,3161,7020,3265,6910,3373,6800,3495,6801,3602,6818,3724,6800,3828,6818,3935,6819,4057,6738,4164,6753,4272,6723,4391,6613,4498,6565,4620,6488,4727,6440e" filled="false" stroked="true" strokeweight="1pt" strokecolor="#ed1b2d">
              <v:path arrowok="t"/>
              <v:stroke dashstyle="solid"/>
            </v:shape>
            <v:shape style="position:absolute;left:1244;top:7522;width:3483;height:328" coordorigin="1244,7523" coordsize="3483,328" path="m1244,7773l1349,7820,1470,7850,1578,7835,1699,7820,1807,7821,2033,7821,2140,7788,2248,7789,2369,7789,2477,7773,2598,7710,2703,7663,2810,7615,2932,7585,3039,7600,3161,7585,3265,7586,3495,7586,3602,7600,3724,7585,3828,7570,3935,7553,4057,7554,4164,7538,4272,7553,4391,7538,4498,7523,4620,7524,4727,7570e" filled="false" stroked="true" strokeweight="1pt" strokecolor="#0066a5">
              <v:path arrowok="t"/>
              <v:stroke dashstyle="solid"/>
            </v:shape>
            <v:shape style="position:absolute;left:1244;top:6957;width:3483;height:815" coordorigin="1244,6958" coordsize="3483,815" path="m1244,7773l1349,7758,1470,7743,1578,7758,1699,7759,1807,7759,1911,7743,2033,7710,2140,7695,2248,7663,2369,7633,2477,7615,2598,7570,2703,7523,2810,7475,2932,7443,3039,7413,3161,7414,3265,7380,3373,7365,3495,7335,3602,7303,3724,7270,3828,7240,3935,7193,4057,7145,4164,7098,4272,7053,4391,7035,4498,7005,4620,6973,4727,6958e" filled="false" stroked="true" strokeweight="1pt" strokecolor="#faab54">
              <v:path arrowok="t"/>
              <v:stroke dashstyle="solid"/>
            </v:shape>
            <v:shape style="position:absolute;left:1244;top:5357;width:3483;height:2448" coordorigin="1244,5358" coordsize="3483,2448" path="m1244,7773l1349,7774,1470,7805,1578,7788,1699,7789,1807,7789,1911,7805,2033,7773,2140,7710,2248,7663,2369,7600,2477,7553,2598,7508,2703,7413,2810,7318,2932,7208,3039,7178,3161,7083,3265,6958,3373,6833,3495,6753,3602,6690,3724,6565,3828,6393,3935,6205,4057,6000,4164,5860,4272,5813,4391,5750,4498,5673,4620,5530,4727,5358e" filled="false" stroked="true" strokeweight="1pt" strokecolor="#00a995">
              <v:path arrowok="t"/>
              <v:stroke dashstyle="solid"/>
            </v:shape>
            <v:line style="position:absolute" from="2531,6516" to="2751,7089" stroked="true" strokeweight=".5pt" strokecolor="#231f20">
              <v:stroke dashstyle="solid"/>
            </v:line>
            <v:shape style="position:absolute;left:2721;top:7064;width:54;height:89" coordorigin="2722,7064" coordsize="54,89" path="m2769,7064l2722,7082,2733,7095,2742,7105,2776,7152,2774,7144,2772,7133,2771,7121,2769,7108,2769,7096,2769,7064xe" filled="true" fillcolor="#231f20" stroked="false">
              <v:path arrowok="t"/>
              <v:fill type="solid"/>
            </v:shape>
            <v:shape style="position:absolute;left:1095;top:5062;width:3805;height:3014" coordorigin="1095,5063" coordsize="3805,3014" path="m1100,5063l1170,5063m4817,5063l4887,5063m1101,5349l1171,5349m4818,5350l4888,5350m1105,5649l1175,5649m4821,5650l4891,5650m1105,5984l1175,5984m4821,5984l4891,5984m1114,6257l1184,6257m4830,6257l4900,6257m1098,6564l1168,6564m4815,6564l4885,6564m1095,6862l1165,6862m4812,6863l4882,6863m1101,7162l1171,7162m4818,7163l4888,7163m1098,7483l1168,7483m4815,7483l4885,7483m1098,7777l1168,7777m4815,7777l4885,7777m1101,8076l1171,8076m4818,8076l4888,8076m1238,8072l1238,7985m1698,8066l1698,7979m2132,8066l2132,7979m2605,8059l2605,7972m3039,8066l3039,7979m3493,8059l3493,7972m3938,8072l3938,7986m4391,8076l4391,7989e" filled="false" stroked="true" strokeweight=".5pt" strokecolor="#000000">
              <v:path arrowok="t"/>
              <v:stroke dashstyle="solid"/>
            </v:shape>
            <v:rect style="position:absolute;left:6200;top:9200;width:4690;height:3420" filled="true" fillcolor="#ffffff" stroked="false">
              <v:fill type="solid"/>
            </v:rect>
            <v:shape style="position:absolute;left:6410;top:9752;width:195;height:85" coordorigin="6410,9753" coordsize="195,85" path="m6410,9768l6443,9803m6443,9803l6490,9838m6490,9838l6523,9753m6523,9753l6573,9803m6573,9803l6605,9823e" filled="false" stroked="true" strokeweight="1pt" strokecolor="#0093c0">
              <v:path arrowok="t"/>
              <v:stroke dashstyle="solid"/>
            </v:shape>
            <v:line style="position:absolute" from="6595,9824" to="6663,9824" stroked="true" strokeweight="1.125pt" strokecolor="#0093c0">
              <v:stroke dashstyle="solid"/>
            </v:line>
            <v:shape style="position:absolute;left:6652;top:9767;width:83;height:90" coordorigin="6653,9768" coordsize="83,90" path="m6653,9823l6685,9858m6685,9858l6735,9768e" filled="false" stroked="true" strokeweight="1pt" strokecolor="#0093c0">
              <v:path arrowok="t"/>
              <v:stroke dashstyle="solid"/>
            </v:shape>
            <v:line style="position:absolute" from="6725,9769" to="6778,9769" stroked="true" strokeweight="1.125pt" strokecolor="#0093c0">
              <v:stroke dashstyle="solid"/>
            </v:line>
            <v:line style="position:absolute" from="6768,9768" to="6800,9753" stroked="true" strokeweight="1pt" strokecolor="#0093c0">
              <v:stroke dashstyle="solid"/>
            </v:line>
            <v:shape style="position:absolute;left:6790;top:9753;width:100;height:2" coordorigin="6790,9754" coordsize="100,0" path="m6790,9754l6858,9754m6838,9754l6890,9754e" filled="false" stroked="true" strokeweight="1.125pt" strokecolor="#0093c0">
              <v:path arrowok="t"/>
              <v:stroke dashstyle="solid"/>
            </v:shape>
            <v:shape style="position:absolute;left:6880;top:9752;width:243;height:205" coordorigin="6880,9753" coordsize="243,205" path="m6880,9753l6930,9803m6930,9803l6960,9838m6960,9838l7010,9908m7010,9908l7043,9940m7043,9940l7090,9958m7090,9958l7123,9923e" filled="false" stroked="true" strokeweight="1pt" strokecolor="#0093c0">
              <v:path arrowok="t"/>
              <v:stroke dashstyle="solid"/>
            </v:shape>
            <v:line style="position:absolute" from="7113,9924" to="7183,9924" stroked="true" strokeweight="1.125pt" strokecolor="#0093c0">
              <v:stroke dashstyle="solid"/>
            </v:line>
            <v:shape style="position:absolute;left:7172;top:9922;width:118;height:68" coordorigin="7173,9923" coordsize="118,68" path="m7173,9923l7205,9940m7205,9940l7238,9975m7238,9975l7290,9990e" filled="false" stroked="true" strokeweight="1pt" strokecolor="#0093c0">
              <v:path arrowok="t"/>
              <v:stroke dashstyle="solid"/>
            </v:shape>
            <v:line style="position:absolute" from="7280,9991" to="7333,9991" stroked="true" strokeweight="1.125pt" strokecolor="#0093c0">
              <v:stroke dashstyle="solid"/>
            </v:line>
            <v:shape style="position:absolute;left:7322;top:9922;width:80;height:68" coordorigin="7323,9923" coordsize="80,68" path="m7323,9990l7370,9923m7370,9923l7403,9940e" filled="false" stroked="true" strokeweight="1pt" strokecolor="#0093c0">
              <v:path arrowok="t"/>
              <v:stroke dashstyle="solid"/>
            </v:shape>
            <v:line style="position:absolute" from="7393,9941" to="7463,9941" stroked="true" strokeweight="1.125pt" strokecolor="#0093c0">
              <v:stroke dashstyle="solid"/>
            </v:line>
            <v:shape style="position:absolute;left:7452;top:9940;width:308;height:273" coordorigin="7453,9940" coordsize="308,273" path="m7453,9940l7485,10010m7485,10010l7533,10025m7533,10025l7565,10213m7565,10213l7598,10093m7598,10093l7648,10128m7648,10128l7680,10163m7680,10163l7728,10143m7728,10143l7760,10128e" filled="false" stroked="true" strokeweight="1pt" strokecolor="#0093c0">
              <v:path arrowok="t"/>
              <v:stroke dashstyle="solid"/>
            </v:shape>
            <v:line style="position:absolute" from="7750,10129" to="7820,10129" stroked="true" strokeweight="1.125pt" strokecolor="#0093c0">
              <v:stroke dashstyle="solid"/>
            </v:line>
            <v:shape style="position:absolute;left:7810;top:10127;width:113;height:445" coordorigin="7810,10128" coordsize="113,445" path="m7810,10128l7843,10318m7843,10318l7890,10385m7890,10385l7923,10573e" filled="false" stroked="true" strokeweight="1pt" strokecolor="#0093c0">
              <v:path arrowok="t"/>
              <v:stroke dashstyle="solid"/>
            </v:shape>
            <v:line style="position:absolute" from="7913,10574" to="7983,10574" stroked="true" strokeweight="1.125pt" strokecolor="#0093c0">
              <v:stroke dashstyle="solid"/>
            </v:line>
            <v:line style="position:absolute" from="7973,10573" to="8005,10608" stroked="true" strokeweight="1pt" strokecolor="#0093c0">
              <v:stroke dashstyle="solid"/>
            </v:line>
            <v:line style="position:absolute" from="7995,10609" to="8048,10609" stroked="true" strokeweight="1.125pt" strokecolor="#0093c0">
              <v:stroke dashstyle="solid"/>
            </v:line>
            <v:shape style="position:absolute;left:8037;top:10592;width:163;height:255" coordorigin="8038,10593" coordsize="163,255" path="m8038,10608l8085,10593m8085,10593l8118,10623m8118,10623l8168,10693m8168,10693l8200,10848e" filled="false" stroked="true" strokeweight="1pt" strokecolor="#0093c0">
              <v:path arrowok="t"/>
              <v:stroke dashstyle="solid"/>
            </v:shape>
            <v:shape style="position:absolute;left:8190;top:10848;width:148;height:2" coordorigin="8190,10849" coordsize="148,0" path="m8190,10849l8258,10849m8238,10849l8290,10849m8270,10849l8338,10849e" filled="false" stroked="true" strokeweight="1.125pt" strokecolor="#0093c0">
              <v:path arrowok="t"/>
              <v:stroke dashstyle="solid"/>
            </v:shape>
            <v:line style="position:absolute" from="8328,10848" to="8360,10865" stroked="true" strokeweight="1pt" strokecolor="#0093c0">
              <v:stroke dashstyle="solid"/>
            </v:line>
            <v:line style="position:absolute" from="8350,10866" to="8403,10866" stroked="true" strokeweight="1.125pt" strokecolor="#0093c0">
              <v:stroke dashstyle="solid"/>
            </v:line>
            <v:shape style="position:absolute;left:8392;top:10865;width:83;height:50" coordorigin="8393,10865" coordsize="83,50" path="m8393,10865l8443,10880m8443,10880l8475,10915e" filled="false" stroked="true" strokeweight="1pt" strokecolor="#0093c0">
              <v:path arrowok="t"/>
              <v:stroke dashstyle="solid"/>
            </v:shape>
            <v:line style="position:absolute" from="8465,10916" to="8533,10916" stroked="true" strokeweight="1.125pt" strokecolor="#0093c0">
              <v:stroke dashstyle="solid"/>
            </v:line>
            <v:shape style="position:absolute;left:8522;top:10915;width:163;height:255" coordorigin="8523,10915" coordsize="163,255" path="m8523,10915l8555,11103m8555,11103l8605,11138m8605,11138l8638,11170m8638,11170l8685,11138e" filled="false" stroked="true" strokeweight="1pt" strokecolor="#0093c0">
              <v:path arrowok="t"/>
              <v:stroke dashstyle="solid"/>
            </v:shape>
            <v:line style="position:absolute" from="8675,11139" to="8728,11139" stroked="true" strokeweight="1.125pt" strokecolor="#0093c0">
              <v:stroke dashstyle="solid"/>
            </v:line>
            <v:shape style="position:absolute;left:8717;top:11137;width:245;height:135" coordorigin="8718,11138" coordsize="245,135" path="m8718,11138l8750,11155m8750,11155l8800,11138m8800,11138l8833,11170m8833,11170l8880,11205m8880,11205l8913,11258m8913,11258l8963,11273e" filled="false" stroked="true" strokeweight="1pt" strokecolor="#0093c0">
              <v:path arrowok="t"/>
              <v:stroke dashstyle="solid"/>
            </v:shape>
            <v:line style="position:absolute" from="8953,11274" to="9005,11274" stroked="true" strokeweight="1.125pt" strokecolor="#0093c0">
              <v:stroke dashstyle="solid"/>
            </v:line>
            <v:shape style="position:absolute;left:8995;top:11272;width:163;height:225" coordorigin="8995,11273" coordsize="163,225" path="m8995,11273l9043,11293m9043,11293l9075,11345m9075,11345l9125,11360m9125,11360l9158,11498e" filled="false" stroked="true" strokeweight="1pt" strokecolor="#0093c0">
              <v:path arrowok="t"/>
              <v:stroke dashstyle="solid"/>
            </v:shape>
            <v:shape style="position:absolute;left:9147;top:11498;width:133;height:2" coordorigin="9148,11499" coordsize="133,0" path="m9148,11499l9200,11499m9180,11499l9248,11499m9228,11499l9280,11499e" filled="false" stroked="true" strokeweight="1.125pt" strokecolor="#0093c0">
              <v:path arrowok="t"/>
              <v:stroke dashstyle="solid"/>
            </v:shape>
            <v:shape style="position:absolute;left:9270;top:11497;width:443;height:170" coordorigin="9270,11498" coordsize="443,170" path="m9270,11498l9320,11533m9320,11533l9353,11583m9353,11583l9400,11600m9400,11600l9433,11615m9433,11615l9483,11668m9483,11668l9515,11615m9515,11615l9548,11635m9548,11635l9595,11615m9595,11615l9628,11635m9628,11635l9680,11650m9680,11650l9713,11635e" filled="false" stroked="true" strokeweight="1pt" strokecolor="#0093c0">
              <v:path arrowok="t"/>
              <v:stroke dashstyle="solid"/>
            </v:shape>
            <v:line style="position:absolute" from="9703,11636" to="9770,11636" stroked="true" strokeweight="1.125pt" strokecolor="#0093c0">
              <v:stroke dashstyle="solid"/>
            </v:line>
            <v:shape style="position:absolute;left:9760;top:11635;width:310;height:258" coordorigin="9760,11635" coordsize="310,258" path="m9760,11635l9793,11685m9793,11685l9843,11703m9843,11703l9875,11738m9875,11738l9923,11773m9923,11773l9955,11788m9955,11788l9988,11773m9988,11773l10038,11858m10038,11858l10070,11893e" filled="false" stroked="true" strokeweight="1pt" strokecolor="#0093c0">
              <v:path arrowok="t"/>
              <v:stroke dashstyle="solid"/>
            </v:shape>
            <v:shape style="position:absolute;left:10060;top:11893;width:150;height:2" coordorigin="10060,11894" coordsize="150,0" path="m10060,11894l10128,11894m10108,11894l10160,11894m10140,11894l10210,11894e" filled="false" stroked="true" strokeweight="1.125pt" strokecolor="#0093c0">
              <v:path arrowok="t"/>
              <v:stroke dashstyle="solid"/>
            </v:shape>
            <v:shape style="position:absolute;left:10200;top:11875;width:80;height:18" coordorigin="10200,11875" coordsize="80,18" path="m10200,11893l10233,11875m10233,11875l10280,11893e" filled="false" stroked="true" strokeweight="1pt" strokecolor="#0093c0">
              <v:path arrowok="t"/>
              <v:stroke dashstyle="solid"/>
            </v:shape>
            <v:line style="position:absolute" from="10270,11894" to="10323,11894" stroked="true" strokeweight="1.125pt" strokecolor="#0093c0">
              <v:stroke dashstyle="solid"/>
            </v:line>
            <v:shape style="position:absolute;left:6410;top:9732;width:80;height:35" coordorigin="6410,9733" coordsize="80,35" path="m6410,9768l6443,9733m6443,9733l6490,9753e" filled="false" stroked="true" strokeweight="1pt" strokecolor="#95459a">
              <v:path arrowok="t"/>
              <v:stroke dashstyle="solid"/>
            </v:shape>
            <v:line style="position:absolute" from="6480,9754" to="6533,9754" stroked="true" strokeweight="1.125pt" strokecolor="#95459a">
              <v:stroke dashstyle="solid"/>
            </v:line>
            <v:shape style="position:absolute;left:6522;top:9717;width:83;height:35" coordorigin="6523,9718" coordsize="83,35" path="m6523,9753l6573,9718m6573,9718l6605,9733e" filled="false" stroked="true" strokeweight="1pt" strokecolor="#95459a">
              <v:path arrowok="t"/>
              <v:stroke dashstyle="solid"/>
            </v:shape>
            <v:line style="position:absolute" from="6595,9734" to="6663,9734" stroked="true" strokeweight="1.125pt" strokecolor="#95459a">
              <v:stroke dashstyle="solid"/>
            </v:line>
            <v:shape style="position:absolute;left:6652;top:9732;width:148;height:158" coordorigin="6653,9733" coordsize="148,158" path="m6653,9733l6685,9838m6685,9838l6735,9858m6735,9858l6768,9873m6768,9873l6800,9890e" filled="false" stroked="true" strokeweight="1pt" strokecolor="#95459a">
              <v:path arrowok="t"/>
              <v:stroke dashstyle="solid"/>
            </v:shape>
            <v:line style="position:absolute" from="6790,9891" to="6858,9891" stroked="true" strokeweight="1.125pt" strokecolor="#95459a">
              <v:stroke dashstyle="solid"/>
            </v:line>
            <v:line style="position:absolute" from="6848,9890" to="6880,9858" stroked="true" strokeweight="1pt" strokecolor="#95459a">
              <v:stroke dashstyle="solid"/>
            </v:line>
            <v:line style="position:absolute" from="6870,9859" to="6940,9859" stroked="true" strokeweight="1.125pt" strokecolor="#95459a">
              <v:stroke dashstyle="solid"/>
            </v:line>
            <v:shape style="position:absolute;left:6930;top:9857;width:193;height:168" coordorigin="6930,9858" coordsize="193,168" path="m6930,9858l6960,9923m6960,9923l7010,9958m7010,9958l7043,10010m7043,10010l7090,9990m7090,9990l7123,10025e" filled="false" stroked="true" strokeweight="1pt" strokecolor="#95459a">
              <v:path arrowok="t"/>
              <v:stroke dashstyle="solid"/>
            </v:shape>
            <v:line style="position:absolute" from="7113,10026" to="7183,10026" stroked="true" strokeweight="1.125pt" strokecolor="#95459a">
              <v:stroke dashstyle="solid"/>
            </v:line>
            <v:shape style="position:absolute;left:7172;top:10025;width:65;height:68" coordorigin="7173,10025" coordsize="65,68" path="m7173,10025l7205,10043m7205,10043l7238,10093e" filled="false" stroked="true" strokeweight="1pt" strokecolor="#95459a">
              <v:path arrowok="t"/>
              <v:stroke dashstyle="solid"/>
            </v:shape>
            <v:line style="position:absolute" from="7228,10095" to="7300,10095" stroked="true" strokeweight="1.25pt" strokecolor="#95459a">
              <v:stroke dashstyle="solid"/>
            </v:line>
            <v:shape style="position:absolute;left:7290;top:10060;width:438;height:463" coordorigin="7290,10060" coordsize="438,463" path="m7290,10093l7323,10060m7323,10060l7370,10385m7370,10385l7403,10318m7403,10318l7453,10353m7453,10353l7485,10420m7485,10420l7533,10470m7533,10470l7565,10523m7565,10523l7598,10470m7598,10470l7648,10505m7648,10505l7680,10523m7680,10523l7728,10488e" filled="false" stroked="true" strokeweight="1pt" strokecolor="#95459a">
              <v:path arrowok="t"/>
              <v:stroke dashstyle="solid"/>
            </v:shape>
            <v:shape style="position:absolute;left:7717;top:10490;width:103;height:2" coordorigin="7718,10490" coordsize="103,0" path="m7718,10490l7770,10490m7750,10490l7820,10490e" filled="false" stroked="true" strokeweight="1.25pt" strokecolor="#95459a">
              <v:path arrowok="t"/>
              <v:stroke dashstyle="solid"/>
            </v:shape>
            <v:shape style="position:absolute;left:7810;top:10455;width:113;height:68" coordorigin="7810,10455" coordsize="113,68" path="m7810,10488l7843,10523m7843,10523l7890,10488m7890,10488l7923,10455e" filled="false" stroked="true" strokeweight="1pt" strokecolor="#95459a">
              <v:path arrowok="t"/>
              <v:stroke dashstyle="solid"/>
            </v:shape>
            <v:line style="position:absolute" from="7913,10456" to="7983,10456" stroked="true" strokeweight="1.125pt" strokecolor="#95459a">
              <v:stroke dashstyle="solid"/>
            </v:line>
            <v:shape style="position:absolute;left:7972;top:10455;width:275;height:220" coordorigin="7973,10455" coordsize="275,220" path="m7973,10455l8005,10488m8005,10488l8038,10623m8038,10623l8085,10608m8085,10608l8118,10538m8118,10538l8168,10593m8168,10593l8200,10643m8200,10643l8248,10675e" filled="false" stroked="true" strokeweight="1pt" strokecolor="#95459a">
              <v:path arrowok="t"/>
              <v:stroke dashstyle="solid"/>
            </v:shape>
            <v:line style="position:absolute" from="8238,10676" to="8290,10676" stroked="true" strokeweight="1.125pt" strokecolor="#95459a">
              <v:stroke dashstyle="solid"/>
            </v:line>
            <v:shape style="position:absolute;left:8280;top:10675;width:275;height:190" coordorigin="8280,10675" coordsize="275,190" path="m8280,10675l8328,10745m8328,10745l8360,10725m8360,10725l8393,10813m8393,10813l8443,10830m8443,10830l8475,10865m8475,10865l8523,10848m8523,10848l8555,10865e" filled="false" stroked="true" strokeweight="1pt" strokecolor="#95459a">
              <v:path arrowok="t"/>
              <v:stroke dashstyle="solid"/>
            </v:shape>
            <v:line style="position:absolute" from="8545,10866" to="8615,10866" stroked="true" strokeweight="1.125pt" strokecolor="#95459a">
              <v:stroke dashstyle="solid"/>
            </v:line>
            <v:line style="position:absolute" from="8605,10865" to="8638,10900" stroked="true" strokeweight="1pt" strokecolor="#95459a">
              <v:stroke dashstyle="solid"/>
            </v:line>
            <v:line style="position:absolute" from="8628,10901" to="8695,10901" stroked="true" strokeweight="1.125pt" strokecolor="#95459a">
              <v:stroke dashstyle="solid"/>
            </v:line>
            <v:shape style="position:absolute;left:8685;top:10830;width:390;height:530" coordorigin="8685,10830" coordsize="390,530" path="m8685,10900l8750,10830m8750,10830l8800,10915m8800,10915l8833,10968m8833,10968l8880,10915m8880,10915l8913,11170m8913,11170l8963,11293m8963,11293l8995,11273m8995,11273l9043,11345m9043,11345l9075,11360e" filled="false" stroked="true" strokeweight="1pt" strokecolor="#95459a">
              <v:path arrowok="t"/>
              <v:stroke dashstyle="solid"/>
            </v:shape>
            <v:line style="position:absolute" from="9065,11361" to="9135,11361" stroked="true" strokeweight="1.125pt" strokecolor="#95459a">
              <v:stroke dashstyle="solid"/>
            </v:line>
            <v:shape style="position:absolute;left:9125;top:11360;width:390;height:205" coordorigin="9125,11360" coordsize="390,205" path="m9125,11360l9158,11380m9158,11380l9190,11360m9190,11360l9238,11380m9238,11380l9270,11498m9270,11498l9320,11533m9320,11533l9353,11483m9353,11483l9400,11533m9400,11533l9433,11550m9433,11550l9483,11565m9483,11565l9515,11550e" filled="false" stroked="true" strokeweight="1pt" strokecolor="#95459a">
              <v:path arrowok="t"/>
              <v:stroke dashstyle="solid"/>
            </v:shape>
            <v:line style="position:absolute" from="9505,11551" to="9558,11551" stroked="true" strokeweight="1.125pt" strokecolor="#95459a">
              <v:stroke dashstyle="solid"/>
            </v:line>
            <v:shape style="position:absolute;left:9547;top:11550;width:603;height:598" coordorigin="9548,11550" coordsize="603,598" path="m9548,11550l9595,11668m9595,11668l9628,11738m9628,11738l9680,11753m9680,11753l9713,11773m9713,11773l9760,11823m9760,11823l9793,11908m9793,11908l9843,11943m9843,11943l9875,11960m9875,11960l9923,11943m9923,11943l9955,12010m9955,12010l9988,12045m9988,12045l10038,12080m10038,12080l10070,12095m10070,12095l10118,12130m10118,12130l10150,12148e" filled="false" stroked="true" strokeweight="1pt" strokecolor="#95459a">
              <v:path arrowok="t"/>
              <v:stroke dashstyle="solid"/>
            </v:shape>
            <v:line style="position:absolute" from="10140,12149" to="10210,12149" stroked="true" strokeweight="1.125pt" strokecolor="#95459a">
              <v:stroke dashstyle="solid"/>
            </v:line>
            <v:shape style="position:absolute;left:10200;top:12147;width:80;height:50" coordorigin="10200,12148" coordsize="80,50" path="m10200,12148l10233,12183m10233,12183l10280,12198e" filled="false" stroked="true" strokeweight="1pt" strokecolor="#95459a">
              <v:path arrowok="t"/>
              <v:stroke dashstyle="solid"/>
            </v:shape>
            <v:line style="position:absolute" from="10270,12199" to="10323,12199" stroked="true" strokeweight="1.125pt" strokecolor="#95459a">
              <v:stroke dashstyle="solid"/>
            </v:line>
            <v:shape style="position:absolute;left:6240;top:9401;width:4213;height:2986" coordorigin="6240,9402" coordsize="4213,2986" path="m6240,9402l6315,9402m6240,10148l6315,10148m6240,10916l6315,10916m6240,11649l6315,11649m6240,12387l6315,12387m10377,9402l10452,9402m10377,10148l10452,10148m10377,10915l10452,10915m10377,11648l10452,11648m10377,12387l10452,12387e" filled="false" stroked="true" strokeweight=".5pt" strokecolor="#000000">
              <v:path arrowok="t"/>
              <v:stroke dashstyle="solid"/>
            </v:shape>
            <v:shape style="position:absolute;left:7369;top:12300;width:2;height:87" coordorigin="7370,12301" coordsize="0,87" path="m7370,12301l7370,12387e" filled="true" fillcolor="#ffffff" stroked="false">
              <v:path arrowok="t"/>
              <v:fill type="solid"/>
            </v:shape>
            <v:line style="position:absolute" from="7370,12301" to="7370,12387" stroked="true" strokeweight=".5pt" strokecolor="#231f20">
              <v:stroke dashstyle="solid"/>
            </v:line>
            <v:shape style="position:absolute;left:8336;top:12300;width:2;height:87" coordorigin="8336,12301" coordsize="0,87" path="m8336,12301l8336,12387e" filled="true" fillcolor="#ffffff" stroked="false">
              <v:path arrowok="t"/>
              <v:fill type="solid"/>
            </v:shape>
            <v:line style="position:absolute" from="8336,12301" to="8336,12387" stroked="true" strokeweight=".5pt" strokecolor="#231f20">
              <v:stroke dashstyle="solid"/>
            </v:line>
            <v:shape style="position:absolute;left:9270;top:12300;width:2;height:87" coordorigin="9270,12301" coordsize="0,87" path="m9270,12301l9270,12387e" filled="true" fillcolor="#ffffff" stroked="false">
              <v:path arrowok="t"/>
              <v:fill type="solid"/>
            </v:shape>
            <v:line style="position:absolute" from="9270,12301" to="9270,12387" stroked="true" strokeweight=".5pt" strokecolor="#231f20">
              <v:stroke dashstyle="solid"/>
            </v:line>
            <v:shape style="position:absolute;left:10236;top:12300;width:2;height:87" coordorigin="10237,12301" coordsize="0,87" path="m10237,12301l10237,12387e" filled="true" fillcolor="#ffffff" stroked="false">
              <v:path arrowok="t"/>
              <v:fill type="solid"/>
            </v:shape>
            <v:line style="position:absolute" from="10237,12301" to="10237,12387" stroked="true" strokeweight=".5pt" strokecolor="#231f20">
              <v:stroke dashstyle="solid"/>
            </v:line>
            <v:shape style="position:absolute;left:6410;top:12300;width:2;height:87" coordorigin="6410,12301" coordsize="0,87" path="m6410,12301l6410,12387e" filled="true" fillcolor="#ffffff" stroked="false">
              <v:path arrowok="t"/>
              <v:fill type="solid"/>
            </v:shape>
            <v:line style="position:absolute" from="6410,12301" to="6410,12387" stroked="true" strokeweight=".5pt" strokecolor="#231f20">
              <v:stroke dashstyle="solid"/>
            </v:line>
            <v:line style="position:absolute" from="6400,12388" to="10304,12388" stroked="true" strokeweight=".5pt" strokecolor="#000000">
              <v:stroke dashstyle="solid"/>
            </v:line>
            <v:rect style="position:absolute;left:6200;top:3060;width:4700;height:3360" filled="true" fillcolor="#ffffff" stroked="false">
              <v:fill type="solid"/>
            </v:rect>
            <v:line style="position:absolute" from="6420,6220" to="9917,6223" stroked="true" strokeweight=".5pt" strokecolor="#000000">
              <v:stroke dashstyle="solid"/>
            </v:line>
            <v:shape style="position:absolute;left:6420;top:4072;width:3498;height:1872" coordorigin="6420,4073" coordsize="3498,1872" path="m6420,5943l6536,5944,6652,5893,6754,5663,6870,5648,6986,5533,7102,5270,7203,5368,7319,5385,7435,5400,7551,5385,7667,5386,7769,5303,7885,5253,8001,5220,8117,5221,8218,5253,8337,5170,8453,5073,8569,5008,8670,5138,8786,5253,8902,5155,9018,5055,9134,5073,9236,4908,9352,4860,9468,4793,9584,4598,9685,4465,9801,4285,9917,4073e" filled="false" stroked="true" strokeweight="1pt" strokecolor="#a790c4">
              <v:path arrowok="t"/>
              <v:stroke dashstyle="solid"/>
            </v:shape>
            <v:shape style="position:absolute;left:6420;top:5450;width:3498;height:542" coordorigin="6420,5450" coordsize="3498,542" path="m6420,5943l6536,5990,6652,5975,6754,5990,6870,5991,6986,5958,7102,5959,7203,5943,7319,5925,7435,5926,7551,5875,7667,5860,7769,5843,7885,5828,8001,5810,8117,5795,8218,5796,8337,5778,8453,5779,8569,5745,8670,5695,8786,5680,8902,5663,9134,5598,9236,5548,9352,5533,9468,5498,9584,5483,9685,5465,9801,5466,9917,5450e" filled="false" stroked="true" strokeweight="1.0pt" strokecolor="#f89f6d">
              <v:path arrowok="t"/>
              <v:stroke dashstyle="solid"/>
            </v:shape>
            <v:shape style="position:absolute;left:6420;top:3515;width:3498;height:2493" coordorigin="6420,3515" coordsize="3498,2493" path="m6420,5943l6536,5958,6652,6008,6754,5958,6870,5975,6986,5976,7102,5943,7203,5875,7319,5860,7435,5843,7551,5760,7667,5695,7769,5450,7885,5368,8117,5238,8218,4908,8337,5040,8453,4940,8569,4695,8670,4680,8786,4713,8902,4630,9018,4580,9134,4253,9236,4203,9352,4155,9468,4170,9584,3958,9685,3760,9801,3663,9917,3515e" filled="false" stroked="true" strokeweight="1pt" strokecolor="#00a995">
              <v:path arrowok="t"/>
              <v:stroke dashstyle="solid"/>
            </v:shape>
            <v:shape style="position:absolute;left:6262;top:3227;width:3807;height:3006" coordorigin="6263,3227" coordsize="3807,3006" path="m6269,3227l6344,3227m10001,3227l10064,3227m6270,3512l6345,3512m10002,3512l10065,3512m6268,3774l6343,3774m10000,3774l10062,3774m6270,4052l6345,4052m10002,4052l10065,4052m6270,4319l6345,4319m10002,4319l10065,4319m6270,4606l6345,4606m10002,4606l10065,4606m6270,4859l6345,4859m10002,4859l10065,4859m6268,5140l6343,5140m10000,5140l10062,5140m6270,5399l6345,5399m10002,5399l10065,5399m6275,5679l6350,5679m10007,5679l10069,5679m6275,5947l6350,5947m10007,5947l10069,5947m6263,6219l6338,6219m9995,6219l10057,6219m6412,6219l6412,6119m6865,6219l6865,6119m7319,6232l7319,6132m7772,6219l7772,6119m8219,6212l8219,6112m8671,6226l8671,6126m9136,6219l9136,6119m9586,6219l9586,6119e" filled="false" stroked="true" strokeweight=".5pt" strokecolor="#000000">
              <v:path arrowok="t"/>
              <v:stroke dashstyle="solid"/>
            </v:shape>
            <v:shape style="position:absolute;left:1050;top:2550;width:9846;height:10450" coordorigin="1050,2550" coordsize="9846,10450" path="m5600,4360l1050,4360,1050,4840,5600,4840,5600,4360xm10890,12610l6200,12610,6200,13000,10890,13000,10890,12610xm10890,2550l6200,2550,6200,3060,10890,3060,10890,2550xm10896,8700l6200,8700,6200,9200,10896,9200,10896,8700xe" filled="true" fillcolor="#ffffff" stroked="false">
              <v:path arrowok="t"/>
              <v:fill type="solid"/>
            </v:shape>
            <v:shape style="position:absolute;left:1040;top:4365;width:9880;height:8635" coordorigin="1040,4365" coordsize="9880,8635" path="m1060,4365l5580,4365m1040,8395l5560,8395m6200,6427l10920,6427m6200,13000l10890,13000e" filled="false" stroked="true" strokeweight=".125pt" strokecolor="#231f20">
              <v:path arrowok="t"/>
              <v:stroke dashstyle="solid"/>
            </v:shape>
            <v:shape style="position:absolute;left:6220;top:2531;width:3861;height:664" type="#_x0000_t202" filled="false" stroked="false">
              <v:textbox inset="0,0,0,0">
                <w:txbxContent>
                  <w:p>
                    <w:pPr>
                      <w:spacing w:line="221" w:lineRule="exact" w:before="0"/>
                      <w:ind w:left="0" w:right="0" w:firstLine="0"/>
                      <w:jc w:val="left"/>
                      <w:rPr>
                        <w:b/>
                        <w:sz w:val="20"/>
                      </w:rPr>
                    </w:pPr>
                    <w:r>
                      <w:rPr>
                        <w:b/>
                        <w:color w:val="0093C1"/>
                        <w:sz w:val="20"/>
                      </w:rPr>
                      <w:t>Chart B</w:t>
                    </w:r>
                  </w:p>
                  <w:p>
                    <w:pPr>
                      <w:spacing w:before="10"/>
                      <w:ind w:left="0" w:right="0" w:firstLine="0"/>
                      <w:jc w:val="left"/>
                      <w:rPr>
                        <w:b/>
                        <w:sz w:val="20"/>
                      </w:rPr>
                    </w:pPr>
                    <w:r>
                      <w:rPr>
                        <w:b/>
                        <w:color w:val="0093C1"/>
                        <w:sz w:val="20"/>
                      </w:rPr>
                      <w:t>Consumption by sector at 1995 prices</w:t>
                    </w:r>
                  </w:p>
                  <w:p>
                    <w:pPr>
                      <w:spacing w:before="64"/>
                      <w:ind w:left="0" w:right="18" w:firstLine="0"/>
                      <w:jc w:val="right"/>
                      <w:rPr>
                        <w:sz w:val="12"/>
                      </w:rPr>
                    </w:pPr>
                    <w:r>
                      <w:rPr>
                        <w:sz w:val="12"/>
                      </w:rPr>
                      <w:t>1991 Q1 = 100</w:t>
                    </w:r>
                  </w:p>
                </w:txbxContent>
              </v:textbox>
              <w10:wrap type="none"/>
            </v:shape>
            <v:shape style="position:absolute;left:10134;top:3161;width:200;height:676" type="#_x0000_t202" filled="false" stroked="false">
              <v:textbox inset="0,0,0,0">
                <w:txbxContent>
                  <w:p>
                    <w:pPr>
                      <w:spacing w:line="133" w:lineRule="exact" w:before="0"/>
                      <w:ind w:left="0" w:right="0" w:firstLine="0"/>
                      <w:jc w:val="left"/>
                      <w:rPr>
                        <w:sz w:val="12"/>
                      </w:rPr>
                    </w:pPr>
                    <w:r>
                      <w:rPr>
                        <w:sz w:val="12"/>
                      </w:rPr>
                      <w:t>200</w:t>
                    </w:r>
                  </w:p>
                  <w:p>
                    <w:pPr>
                      <w:spacing w:line="240" w:lineRule="auto" w:before="4"/>
                      <w:rPr>
                        <w:sz w:val="12"/>
                      </w:rPr>
                    </w:pPr>
                  </w:p>
                  <w:p>
                    <w:pPr>
                      <w:spacing w:before="0"/>
                      <w:ind w:left="0" w:right="0" w:firstLine="0"/>
                      <w:jc w:val="left"/>
                      <w:rPr>
                        <w:sz w:val="12"/>
                      </w:rPr>
                    </w:pPr>
                    <w:r>
                      <w:rPr>
                        <w:sz w:val="12"/>
                      </w:rPr>
                      <w:t>190</w:t>
                    </w:r>
                  </w:p>
                  <w:p>
                    <w:pPr>
                      <w:spacing w:line="240" w:lineRule="auto" w:before="9"/>
                      <w:rPr>
                        <w:sz w:val="10"/>
                      </w:rPr>
                    </w:pPr>
                  </w:p>
                  <w:p>
                    <w:pPr>
                      <w:spacing w:before="0"/>
                      <w:ind w:left="0" w:right="0" w:firstLine="0"/>
                      <w:jc w:val="left"/>
                      <w:rPr>
                        <w:sz w:val="12"/>
                      </w:rPr>
                    </w:pPr>
                    <w:r>
                      <w:rPr>
                        <w:sz w:val="12"/>
                      </w:rPr>
                      <w:t>180</w:t>
                    </w:r>
                  </w:p>
                </w:txbxContent>
              </v:textbox>
              <w10:wrap type="none"/>
            </v:shape>
            <v:shape style="position:absolute;left:8206;top:4015;width:1257;height:134" type="#_x0000_t202" filled="false" stroked="false">
              <v:textbox inset="0,0,0,0">
                <w:txbxContent>
                  <w:p>
                    <w:pPr>
                      <w:spacing w:line="133" w:lineRule="exact" w:before="0"/>
                      <w:ind w:left="0" w:right="0" w:firstLine="0"/>
                      <w:jc w:val="left"/>
                      <w:rPr>
                        <w:sz w:val="12"/>
                      </w:rPr>
                    </w:pPr>
                    <w:r>
                      <w:rPr>
                        <w:sz w:val="12"/>
                      </w:rPr>
                      <w:t>Communications services</w:t>
                    </w:r>
                  </w:p>
                </w:txbxContent>
              </v:textbox>
              <w10:wrap type="none"/>
            </v:shape>
            <v:shape style="position:absolute;left:10134;top:3981;width:200;height:938" type="#_x0000_t202" filled="false" stroked="false">
              <v:textbox inset="0,0,0,0">
                <w:txbxContent>
                  <w:p>
                    <w:pPr>
                      <w:spacing w:line="133" w:lineRule="exact" w:before="0"/>
                      <w:ind w:left="0" w:right="0" w:firstLine="0"/>
                      <w:jc w:val="left"/>
                      <w:rPr>
                        <w:sz w:val="12"/>
                      </w:rPr>
                    </w:pPr>
                    <w:r>
                      <w:rPr>
                        <w:sz w:val="12"/>
                      </w:rPr>
                      <w:t>170</w:t>
                    </w:r>
                  </w:p>
                  <w:p>
                    <w:pPr>
                      <w:spacing w:line="240" w:lineRule="auto" w:before="9"/>
                      <w:rPr>
                        <w:sz w:val="10"/>
                      </w:rPr>
                    </w:pPr>
                  </w:p>
                  <w:p>
                    <w:pPr>
                      <w:spacing w:before="0"/>
                      <w:ind w:left="0" w:right="0" w:firstLine="0"/>
                      <w:jc w:val="left"/>
                      <w:rPr>
                        <w:sz w:val="12"/>
                      </w:rPr>
                    </w:pPr>
                    <w:r>
                      <w:rPr>
                        <w:sz w:val="12"/>
                      </w:rPr>
                      <w:t>160</w:t>
                    </w:r>
                  </w:p>
                  <w:p>
                    <w:pPr>
                      <w:spacing w:line="240" w:lineRule="auto" w:before="4"/>
                      <w:rPr>
                        <w:sz w:val="12"/>
                      </w:rPr>
                    </w:pPr>
                  </w:p>
                  <w:p>
                    <w:pPr>
                      <w:spacing w:before="0"/>
                      <w:ind w:left="0" w:right="0" w:firstLine="0"/>
                      <w:jc w:val="left"/>
                      <w:rPr>
                        <w:sz w:val="12"/>
                      </w:rPr>
                    </w:pPr>
                    <w:r>
                      <w:rPr>
                        <w:sz w:val="12"/>
                      </w:rPr>
                      <w:t>150</w:t>
                    </w:r>
                  </w:p>
                  <w:p>
                    <w:pPr>
                      <w:spacing w:line="240" w:lineRule="auto" w:before="10"/>
                      <w:rPr>
                        <w:sz w:val="10"/>
                      </w:rPr>
                    </w:pPr>
                  </w:p>
                  <w:p>
                    <w:pPr>
                      <w:spacing w:before="0"/>
                      <w:ind w:left="0" w:right="0" w:firstLine="0"/>
                      <w:jc w:val="left"/>
                      <w:rPr>
                        <w:sz w:val="12"/>
                      </w:rPr>
                    </w:pPr>
                    <w:r>
                      <w:rPr>
                        <w:sz w:val="12"/>
                      </w:rPr>
                      <w:t>140</w:t>
                    </w:r>
                  </w:p>
                </w:txbxContent>
              </v:textbox>
              <w10:wrap type="none"/>
            </v:shape>
            <v:shape style="position:absolute;left:6827;top:5022;width:647;height:233" type="#_x0000_t202" filled="false" stroked="false">
              <v:textbox inset="0,0,0,0">
                <w:txbxContent>
                  <w:p>
                    <w:pPr>
                      <w:spacing w:line="172" w:lineRule="auto" w:before="26"/>
                      <w:ind w:left="69" w:right="1" w:hanging="70"/>
                      <w:jc w:val="left"/>
                      <w:rPr>
                        <w:sz w:val="12"/>
                      </w:rPr>
                    </w:pPr>
                    <w:r>
                      <w:rPr>
                        <w:sz w:val="12"/>
                      </w:rPr>
                      <w:t>Audio-visual equipment</w:t>
                    </w:r>
                  </w:p>
                </w:txbxContent>
              </v:textbox>
              <w10:wrap type="none"/>
            </v:shape>
            <v:shape style="position:absolute;left:10134;top:5063;width:200;height:133" type="#_x0000_t202" filled="false" stroked="false">
              <v:textbox inset="0,0,0,0">
                <w:txbxContent>
                  <w:p>
                    <w:pPr>
                      <w:spacing w:line="133" w:lineRule="exact" w:before="0"/>
                      <w:ind w:left="0" w:right="0" w:firstLine="0"/>
                      <w:jc w:val="left"/>
                      <w:rPr>
                        <w:sz w:val="12"/>
                      </w:rPr>
                    </w:pPr>
                    <w:r>
                      <w:rPr>
                        <w:sz w:val="12"/>
                      </w:rPr>
                      <w:t>130</w:t>
                    </w:r>
                  </w:p>
                </w:txbxContent>
              </v:textbox>
              <w10:wrap type="none"/>
            </v:shape>
            <v:shape style="position:absolute;left:6286;top:5317;width:4049;height:1084" type="#_x0000_t202" filled="false" stroked="false">
              <v:textbox inset="0,0,0,0">
                <w:txbxContent>
                  <w:p>
                    <w:pPr>
                      <w:tabs>
                        <w:tab w:pos="4028" w:val="right" w:leader="none"/>
                      </w:tabs>
                      <w:spacing w:line="142" w:lineRule="exact" w:before="0"/>
                      <w:ind w:left="3165" w:right="0" w:firstLine="0"/>
                      <w:jc w:val="left"/>
                      <w:rPr>
                        <w:sz w:val="12"/>
                      </w:rPr>
                    </w:pPr>
                    <w:r>
                      <w:rPr>
                        <w:position w:val="1"/>
                        <w:sz w:val="12"/>
                      </w:rPr>
                      <w:t>Total</w:t>
                      <w:tab/>
                    </w:r>
                    <w:r>
                      <w:rPr>
                        <w:sz w:val="12"/>
                      </w:rPr>
                      <w:t>120</w:t>
                    </w:r>
                  </w:p>
                  <w:p>
                    <w:pPr>
                      <w:spacing w:line="240" w:lineRule="auto" w:before="4"/>
                      <w:rPr>
                        <w:sz w:val="12"/>
                      </w:rPr>
                    </w:pPr>
                  </w:p>
                  <w:p>
                    <w:pPr>
                      <w:spacing w:before="0"/>
                      <w:ind w:left="3848" w:right="0" w:firstLine="0"/>
                      <w:jc w:val="left"/>
                      <w:rPr>
                        <w:sz w:val="12"/>
                      </w:rPr>
                    </w:pPr>
                    <w:r>
                      <w:rPr>
                        <w:sz w:val="12"/>
                      </w:rPr>
                      <w:t>110</w:t>
                    </w:r>
                  </w:p>
                  <w:p>
                    <w:pPr>
                      <w:spacing w:line="240" w:lineRule="auto" w:before="9"/>
                      <w:rPr>
                        <w:sz w:val="10"/>
                      </w:rPr>
                    </w:pPr>
                  </w:p>
                  <w:p>
                    <w:pPr>
                      <w:spacing w:before="0"/>
                      <w:ind w:left="3848" w:right="0" w:firstLine="0"/>
                      <w:jc w:val="left"/>
                      <w:rPr>
                        <w:sz w:val="12"/>
                      </w:rPr>
                    </w:pPr>
                    <w:r>
                      <w:rPr>
                        <w:sz w:val="12"/>
                      </w:rPr>
                      <w:t>100</w:t>
                    </w:r>
                  </w:p>
                  <w:p>
                    <w:pPr>
                      <w:spacing w:line="240" w:lineRule="auto" w:before="2"/>
                      <w:rPr>
                        <w:sz w:val="12"/>
                      </w:rPr>
                    </w:pPr>
                  </w:p>
                  <w:p>
                    <w:pPr>
                      <w:spacing w:line="130" w:lineRule="exact" w:before="0"/>
                      <w:ind w:left="3908" w:right="0" w:firstLine="0"/>
                      <w:jc w:val="left"/>
                      <w:rPr>
                        <w:sz w:val="12"/>
                      </w:rPr>
                    </w:pPr>
                    <w:r>
                      <w:rPr>
                        <w:sz w:val="12"/>
                      </w:rPr>
                      <w:t>90</w:t>
                    </w:r>
                  </w:p>
                  <w:p>
                    <w:pPr>
                      <w:tabs>
                        <w:tab w:pos="524" w:val="left" w:leader="none"/>
                        <w:tab w:pos="974" w:val="left" w:leader="none"/>
                        <w:tab w:pos="1423" w:val="left" w:leader="none"/>
                        <w:tab w:pos="1873" w:val="left" w:leader="none"/>
                        <w:tab w:pos="2325" w:val="left" w:leader="none"/>
                        <w:tab w:pos="2789" w:val="left" w:leader="none"/>
                        <w:tab w:pos="3239" w:val="left" w:leader="none"/>
                      </w:tabs>
                      <w:spacing w:line="130" w:lineRule="exact" w:before="0"/>
                      <w:ind w:left="0" w:right="0" w:firstLine="0"/>
                      <w:jc w:val="left"/>
                      <w:rPr>
                        <w:sz w:val="12"/>
                      </w:rPr>
                    </w:pPr>
                    <w:r>
                      <w:rPr>
                        <w:sz w:val="12"/>
                      </w:rPr>
                      <w:t>1991</w:t>
                      <w:tab/>
                      <w:t>92</w:t>
                      <w:tab/>
                      <w:t>93</w:t>
                      <w:tab/>
                      <w:t>94</w:t>
                      <w:tab/>
                      <w:t>95</w:t>
                      <w:tab/>
                      <w:t>96</w:t>
                      <w:tab/>
                      <w:t>97</w:t>
                      <w:tab/>
                      <w:t>98</w:t>
                    </w:r>
                  </w:p>
                </w:txbxContent>
              </v:textbox>
              <w10:wrap type="none"/>
            </v:shape>
            <w10:wrap type="none"/>
          </v:group>
        </w:pict>
      </w:r>
      <w:r>
        <w:rPr>
          <w:color w:val="231F20"/>
        </w:rPr>
        <w:t>Similar trends are evident in households’ spending patterns. In recent years, increases in spending on communications services and audio-visual equipment (which includes mobile phones and computers) have far exceeded the rise in total consumption (see Chart B).</w:t>
      </w:r>
    </w:p>
    <w:p>
      <w:pPr>
        <w:pStyle w:val="Heading5"/>
        <w:spacing w:line="249" w:lineRule="auto" w:before="4"/>
        <w:ind w:left="420" w:right="20"/>
      </w:pPr>
      <w:r>
        <w:rPr>
          <w:color w:val="231F20"/>
        </w:rPr>
        <w:t>Total call minutes provided by the telecommunications sector have increased at an average annual rate of around 10% over the past four years. Given the rising demand for Internet services and mobile phones (subscriptions to mobile phone networks increased by almost 27% in the year to March 1998), further strong demand growth seems likely.</w:t>
      </w:r>
    </w:p>
    <w:p>
      <w:pPr>
        <w:pStyle w:val="BodyText"/>
        <w:spacing w:before="10"/>
        <w:rPr>
          <w:sz w:val="24"/>
        </w:rPr>
      </w:pPr>
    </w:p>
    <w:p>
      <w:pPr>
        <w:pStyle w:val="Heading5"/>
        <w:spacing w:line="249" w:lineRule="auto" w:before="0"/>
        <w:ind w:left="420" w:right="69"/>
      </w:pPr>
      <w:r>
        <w:rPr>
          <w:color w:val="231F20"/>
        </w:rPr>
        <w:t>Reflecting these developments, increases in the share prices of telecommunications companies have far exceeded the rise in the overall stock market since 1980. The high price-earnings multiples for these companies</w:t>
      </w:r>
    </w:p>
    <w:p>
      <w:pPr>
        <w:pStyle w:val="BodyText"/>
        <w:rPr>
          <w:sz w:val="12"/>
        </w:rPr>
      </w:pPr>
      <w:r>
        <w:rPr/>
        <w:br w:type="column"/>
      </w:r>
      <w:r>
        <w:rPr>
          <w:sz w:val="12"/>
        </w:rPr>
      </w:r>
    </w:p>
    <w:p>
      <w:pPr>
        <w:pStyle w:val="BodyText"/>
        <w:rPr>
          <w:sz w:val="12"/>
        </w:rPr>
      </w:pPr>
    </w:p>
    <w:p>
      <w:pPr>
        <w:pStyle w:val="BodyText"/>
        <w:spacing w:before="11"/>
        <w:rPr>
          <w:sz w:val="14"/>
        </w:rPr>
      </w:pPr>
    </w:p>
    <w:p>
      <w:pPr>
        <w:spacing w:before="0"/>
        <w:ind w:left="4783" w:right="0" w:firstLine="0"/>
        <w:jc w:val="left"/>
        <w:rPr>
          <w:sz w:val="12"/>
        </w:rPr>
      </w:pPr>
      <w:r>
        <w:rPr>
          <w:sz w:val="12"/>
        </w:rPr>
        <w:t>75</w:t>
      </w:r>
    </w:p>
    <w:p>
      <w:pPr>
        <w:pStyle w:val="BodyText"/>
        <w:spacing w:before="7"/>
        <w:rPr>
          <w:sz w:val="15"/>
        </w:rPr>
      </w:pPr>
    </w:p>
    <w:p>
      <w:pPr>
        <w:spacing w:line="180" w:lineRule="auto" w:before="0"/>
        <w:ind w:left="3223" w:right="1481" w:hanging="74"/>
        <w:jc w:val="left"/>
        <w:rPr>
          <w:sz w:val="12"/>
        </w:rPr>
      </w:pPr>
      <w:r>
        <w:rPr>
          <w:sz w:val="12"/>
        </w:rPr>
        <w:t>Communications equipment</w:t>
      </w:r>
    </w:p>
    <w:p>
      <w:pPr>
        <w:pStyle w:val="BodyText"/>
        <w:rPr>
          <w:sz w:val="12"/>
        </w:rPr>
      </w:pPr>
    </w:p>
    <w:p>
      <w:pPr>
        <w:spacing w:line="129" w:lineRule="exact" w:before="92"/>
        <w:ind w:left="4783" w:right="0" w:firstLine="0"/>
        <w:jc w:val="left"/>
        <w:rPr>
          <w:sz w:val="12"/>
        </w:rPr>
      </w:pPr>
      <w:r>
        <w:rPr>
          <w:sz w:val="12"/>
        </w:rPr>
        <w:t>65</w:t>
      </w:r>
    </w:p>
    <w:p>
      <w:pPr>
        <w:tabs>
          <w:tab w:pos="1524" w:val="left" w:leader="none"/>
          <w:tab w:pos="2478" w:val="left" w:leader="none"/>
          <w:tab w:pos="3438" w:val="left" w:leader="none"/>
          <w:tab w:pos="4392" w:val="left" w:leader="none"/>
        </w:tabs>
        <w:spacing w:line="129" w:lineRule="exact" w:before="0"/>
        <w:ind w:left="520" w:right="0" w:firstLine="0"/>
        <w:jc w:val="left"/>
        <w:rPr>
          <w:sz w:val="12"/>
        </w:rPr>
      </w:pPr>
      <w:r>
        <w:rPr>
          <w:sz w:val="12"/>
        </w:rPr>
        <w:t>1991</w:t>
        <w:tab/>
        <w:t>93</w:t>
        <w:tab/>
        <w:t>95</w:t>
        <w:tab/>
        <w:t>97</w:t>
        <w:tab/>
        <w:t>99</w:t>
      </w:r>
    </w:p>
    <w:p>
      <w:pPr>
        <w:spacing w:line="208" w:lineRule="auto" w:before="45"/>
        <w:ind w:left="790" w:right="648" w:hanging="360"/>
        <w:jc w:val="left"/>
        <w:rPr>
          <w:sz w:val="12"/>
        </w:rPr>
      </w:pPr>
      <w:r>
        <w:rPr>
          <w:color w:val="231F20"/>
          <w:sz w:val="12"/>
        </w:rPr>
        <w:t>Note: The price of communications-related equipment is defined relative to the producer price index. The price of telephone services is shown relative to RPIY.</w:t>
      </w:r>
    </w:p>
    <w:p>
      <w:pPr>
        <w:pStyle w:val="BodyText"/>
        <w:rPr>
          <w:sz w:val="12"/>
        </w:rPr>
      </w:pPr>
    </w:p>
    <w:p>
      <w:pPr>
        <w:pStyle w:val="BodyText"/>
        <w:rPr>
          <w:sz w:val="12"/>
        </w:rPr>
      </w:pPr>
    </w:p>
    <w:p>
      <w:pPr>
        <w:pStyle w:val="Heading5"/>
        <w:spacing w:line="249" w:lineRule="auto" w:before="1"/>
        <w:ind w:left="420" w:right="416"/>
      </w:pPr>
      <w:r>
        <w:rPr>
          <w:color w:val="231F20"/>
        </w:rPr>
        <w:t>These price declines have been driven by a number of factors. In particular, advances in technology have enabled significant productivity improvements. Since the beginning of the recovery in 1992, output per head has increased by about 75% in the communications sector, compared with 15% for the whole economy. This productivity improvement was also influenced by the privatisation of British Telecom, increasing competition, and the regulatory pricing formula used by Oftel.</w:t>
      </w:r>
    </w:p>
    <w:p>
      <w:pPr>
        <w:spacing w:after="0" w:line="249" w:lineRule="auto"/>
        <w:sectPr>
          <w:type w:val="continuous"/>
          <w:pgSz w:w="11900" w:h="16840"/>
          <w:pgMar w:top="1220" w:bottom="280" w:left="640" w:right="640"/>
          <w:cols w:num="2" w:equalWidth="0">
            <w:col w:w="5030" w:space="120"/>
            <w:col w:w="5470"/>
          </w:cols>
        </w:sectPr>
      </w:pPr>
    </w:p>
    <w:p>
      <w:pPr>
        <w:pStyle w:val="BodyText"/>
        <w:rPr>
          <w:sz w:val="20"/>
        </w:rPr>
      </w:pPr>
    </w:p>
    <w:p>
      <w:pPr>
        <w:spacing w:after="0"/>
        <w:rPr>
          <w:sz w:val="20"/>
        </w:rPr>
        <w:sectPr>
          <w:headerReference w:type="even" r:id="rId72"/>
          <w:footerReference w:type="even" r:id="rId73"/>
          <w:footerReference w:type="default" r:id="rId74"/>
          <w:pgSz w:w="11900" w:h="16840"/>
          <w:pgMar w:header="586" w:footer="597" w:top="780" w:bottom="780" w:left="640" w:right="640"/>
          <w:pgNumType w:start="22"/>
        </w:sectPr>
      </w:pPr>
    </w:p>
    <w:p>
      <w:pPr>
        <w:pStyle w:val="BodyText"/>
        <w:spacing w:before="3"/>
        <w:rPr>
          <w:sz w:val="22"/>
        </w:rPr>
      </w:pPr>
    </w:p>
    <w:p>
      <w:pPr>
        <w:pStyle w:val="Heading4"/>
        <w:spacing w:before="0"/>
        <w:ind w:left="175"/>
      </w:pPr>
      <w:bookmarkStart w:name="Summary" w:id="46"/>
      <w:bookmarkEnd w:id="46"/>
      <w:r>
        <w:rPr>
          <w:b w:val="0"/>
        </w:rPr>
      </w:r>
      <w:bookmarkStart w:name="_bookmark18" w:id="47"/>
      <w:bookmarkEnd w:id="47"/>
      <w:r>
        <w:rPr>
          <w:b w:val="0"/>
        </w:rPr>
      </w:r>
      <w:r>
        <w:rPr>
          <w:color w:val="0093C1"/>
        </w:rPr>
        <w:t>Chart 2.20</w:t>
      </w:r>
    </w:p>
    <w:p>
      <w:pPr>
        <w:pStyle w:val="Heading4"/>
        <w:ind w:left="175"/>
      </w:pPr>
      <w:r>
        <w:rPr>
          <w:color w:val="0093C1"/>
        </w:rPr>
        <w:t>Service sector output</w:t>
      </w:r>
    </w:p>
    <w:p>
      <w:pPr>
        <w:spacing w:line="120" w:lineRule="exact" w:before="53"/>
        <w:ind w:left="370" w:right="0" w:firstLine="0"/>
        <w:jc w:val="left"/>
        <w:rPr>
          <w:sz w:val="12"/>
        </w:rPr>
      </w:pPr>
      <w:r>
        <w:rPr>
          <w:sz w:val="12"/>
        </w:rPr>
        <w:t>Percentage change</w:t>
      </w:r>
    </w:p>
    <w:p>
      <w:pPr>
        <w:spacing w:line="201" w:lineRule="auto" w:before="0"/>
        <w:ind w:left="185" w:right="0" w:firstLine="0"/>
        <w:jc w:val="left"/>
        <w:rPr>
          <w:sz w:val="12"/>
        </w:rPr>
      </w:pPr>
      <w:r>
        <w:rPr/>
        <w:pict>
          <v:line style="position:absolute;mso-position-horizontal-relative:page;mso-position-vertical-relative:paragraph;z-index:-21201408" from="49.779999pt,7.674031pt" to="53.529999pt,7.674031pt" stroked="true" strokeweight=".5pt" strokecolor="#000000">
            <v:stroke dashstyle="solid"/>
            <w10:wrap type="none"/>
          </v:line>
        </w:pict>
      </w:r>
      <w:r>
        <w:rPr>
          <w:position w:val="-8"/>
          <w:sz w:val="12"/>
        </w:rPr>
        <w:t>2.0 </w:t>
      </w:r>
      <w:r>
        <w:rPr>
          <w:sz w:val="12"/>
        </w:rPr>
        <w:t>on previous</w:t>
      </w:r>
      <w:r>
        <w:rPr>
          <w:spacing w:val="5"/>
          <w:sz w:val="12"/>
        </w:rPr>
        <w:t> </w:t>
      </w:r>
      <w:r>
        <w:rPr>
          <w:sz w:val="12"/>
        </w:rPr>
        <w:t>quarter</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1"/>
        <w:rPr>
          <w:sz w:val="17"/>
        </w:rPr>
      </w:pPr>
    </w:p>
    <w:p>
      <w:pPr>
        <w:spacing w:before="0"/>
        <w:ind w:left="175" w:right="0" w:firstLine="0"/>
        <w:jc w:val="left"/>
        <w:rPr>
          <w:sz w:val="12"/>
        </w:rPr>
      </w:pPr>
      <w:r>
        <w:rPr/>
        <w:pict>
          <v:line style="position:absolute;mso-position-horizontal-relative:page;mso-position-vertical-relative:paragraph;z-index:-21200896" from="208.904999pt,7.096863pt" to="212.029999pt,7.096863pt" stroked="true" strokeweight=".5pt" strokecolor="#000000">
            <v:stroke dashstyle="solid"/>
            <w10:wrap type="none"/>
          </v:line>
        </w:pict>
      </w:r>
      <w:r>
        <w:rPr>
          <w:sz w:val="12"/>
        </w:rPr>
        <w:t>Percentage balances </w:t>
      </w:r>
      <w:r>
        <w:rPr>
          <w:position w:val="-5"/>
          <w:sz w:val="12"/>
        </w:rPr>
        <w:t>75</w:t>
      </w:r>
    </w:p>
    <w:p>
      <w:pPr>
        <w:spacing w:line="242" w:lineRule="auto" w:before="227"/>
        <w:ind w:left="175" w:right="249" w:firstLine="0"/>
        <w:jc w:val="left"/>
        <w:rPr>
          <w:sz w:val="24"/>
        </w:rPr>
      </w:pPr>
      <w:r>
        <w:rPr/>
        <w:br w:type="column"/>
      </w:r>
      <w:r>
        <w:rPr>
          <w:color w:val="231F20"/>
          <w:sz w:val="24"/>
        </w:rPr>
        <w:t>construction activity rose to 57.4 in April, up from 45.5 in Q4.</w:t>
      </w:r>
    </w:p>
    <w:p>
      <w:pPr>
        <w:pStyle w:val="BodyText"/>
        <w:spacing w:before="6"/>
        <w:rPr>
          <w:sz w:val="24"/>
        </w:rPr>
      </w:pPr>
    </w:p>
    <w:p>
      <w:pPr>
        <w:spacing w:line="267" w:lineRule="exact" w:before="1"/>
        <w:ind w:left="175" w:right="0" w:firstLine="0"/>
        <w:jc w:val="left"/>
        <w:rPr>
          <w:sz w:val="24"/>
        </w:rPr>
      </w:pPr>
      <w:r>
        <w:rPr>
          <w:color w:val="231F20"/>
          <w:sz w:val="24"/>
        </w:rPr>
        <w:t>Despite the slowdown in the growth rate of services</w:t>
      </w:r>
    </w:p>
    <w:p>
      <w:pPr>
        <w:spacing w:after="0" w:line="267" w:lineRule="exact"/>
        <w:jc w:val="left"/>
        <w:rPr>
          <w:sz w:val="24"/>
        </w:rPr>
        <w:sectPr>
          <w:type w:val="continuous"/>
          <w:pgSz w:w="11900" w:h="16840"/>
          <w:pgMar w:top="1220" w:bottom="280" w:left="640" w:right="640"/>
          <w:cols w:num="3" w:equalWidth="0">
            <w:col w:w="2016" w:space="439"/>
            <w:col w:w="1366" w:space="963"/>
            <w:col w:w="5836"/>
          </w:cols>
        </w:sectPr>
      </w:pPr>
    </w:p>
    <w:p>
      <w:pPr>
        <w:pStyle w:val="BodyText"/>
        <w:spacing w:before="5"/>
        <w:rPr>
          <w:sz w:val="11"/>
        </w:rPr>
      </w:pPr>
    </w:p>
    <w:p>
      <w:pPr>
        <w:spacing w:before="1"/>
        <w:ind w:left="185" w:right="0" w:firstLine="0"/>
        <w:jc w:val="left"/>
        <w:rPr>
          <w:sz w:val="12"/>
        </w:rPr>
      </w:pPr>
      <w:r>
        <w:rPr>
          <w:sz w:val="12"/>
        </w:rPr>
        <w:t>1.5</w:t>
      </w:r>
    </w:p>
    <w:p>
      <w:pPr>
        <w:pStyle w:val="BodyText"/>
        <w:rPr>
          <w:sz w:val="12"/>
        </w:rPr>
      </w:pPr>
    </w:p>
    <w:p>
      <w:pPr>
        <w:pStyle w:val="BodyText"/>
        <w:rPr>
          <w:sz w:val="12"/>
        </w:rPr>
      </w:pPr>
    </w:p>
    <w:p>
      <w:pPr>
        <w:spacing w:before="81"/>
        <w:ind w:left="185" w:right="0" w:firstLine="0"/>
        <w:jc w:val="left"/>
        <w:rPr>
          <w:sz w:val="12"/>
        </w:rPr>
      </w:pPr>
      <w:r>
        <w:rPr>
          <w:sz w:val="12"/>
        </w:rPr>
        <w:t>1.0</w:t>
      </w:r>
    </w:p>
    <w:p>
      <w:pPr>
        <w:pStyle w:val="BodyText"/>
        <w:rPr>
          <w:sz w:val="12"/>
        </w:rPr>
      </w:pPr>
    </w:p>
    <w:p>
      <w:pPr>
        <w:pStyle w:val="BodyText"/>
        <w:rPr>
          <w:sz w:val="12"/>
        </w:rPr>
      </w:pPr>
    </w:p>
    <w:p>
      <w:pPr>
        <w:spacing w:before="83"/>
        <w:ind w:left="185" w:right="0" w:firstLine="0"/>
        <w:jc w:val="left"/>
        <w:rPr>
          <w:sz w:val="12"/>
        </w:rPr>
      </w:pPr>
      <w:r>
        <w:rPr>
          <w:sz w:val="12"/>
        </w:rPr>
        <w:t>0.5</w:t>
      </w:r>
    </w:p>
    <w:p>
      <w:pPr>
        <w:spacing w:before="30"/>
        <w:ind w:left="0" w:right="0" w:firstLine="0"/>
        <w:jc w:val="right"/>
        <w:rPr>
          <w:sz w:val="16"/>
        </w:rPr>
      </w:pPr>
      <w:r>
        <w:rPr>
          <w:sz w:val="16"/>
        </w:rPr>
        <w:t>+</w:t>
      </w:r>
    </w:p>
    <w:p>
      <w:pPr>
        <w:spacing w:before="143"/>
        <w:ind w:left="185" w:right="0" w:firstLine="0"/>
        <w:jc w:val="left"/>
        <w:rPr>
          <w:sz w:val="12"/>
        </w:rPr>
      </w:pPr>
      <w:r>
        <w:rPr>
          <w:sz w:val="12"/>
        </w:rPr>
        <w:t>0.0</w:t>
      </w:r>
    </w:p>
    <w:p>
      <w:pPr>
        <w:pStyle w:val="BodyText"/>
        <w:rPr>
          <w:sz w:val="12"/>
        </w:rPr>
      </w:pPr>
    </w:p>
    <w:p>
      <w:pPr>
        <w:pStyle w:val="BodyText"/>
        <w:rPr>
          <w:sz w:val="12"/>
        </w:rPr>
      </w:pPr>
    </w:p>
    <w:p>
      <w:pPr>
        <w:spacing w:before="84"/>
        <w:ind w:left="185" w:right="0" w:firstLine="0"/>
        <w:jc w:val="left"/>
        <w:rPr>
          <w:sz w:val="12"/>
        </w:rPr>
      </w:pPr>
      <w:r>
        <w:rPr>
          <w:sz w:val="12"/>
        </w:rPr>
        <w:t>0.5</w:t>
      </w:r>
    </w:p>
    <w:p>
      <w:pPr>
        <w:pStyle w:val="BodyText"/>
        <w:rPr>
          <w:sz w:val="12"/>
        </w:rPr>
      </w:pPr>
    </w:p>
    <w:p>
      <w:pPr>
        <w:pStyle w:val="BodyText"/>
        <w:rPr>
          <w:sz w:val="12"/>
        </w:rPr>
      </w:pPr>
    </w:p>
    <w:p>
      <w:pPr>
        <w:spacing w:before="81"/>
        <w:ind w:left="185" w:right="0" w:firstLine="0"/>
        <w:jc w:val="left"/>
        <w:rPr>
          <w:sz w:val="12"/>
        </w:rPr>
      </w:pPr>
      <w:r>
        <w:rPr>
          <w:sz w:val="12"/>
        </w:rPr>
        <w:t>1.0</w:t>
      </w:r>
    </w:p>
    <w:p>
      <w:pPr>
        <w:spacing w:line="128" w:lineRule="exact" w:before="0"/>
        <w:ind w:left="1080" w:right="0" w:firstLine="0"/>
        <w:jc w:val="left"/>
        <w:rPr>
          <w:sz w:val="12"/>
        </w:rPr>
      </w:pPr>
      <w:r>
        <w:rPr/>
        <w:br w:type="column"/>
      </w:r>
      <w:r>
        <w:rPr>
          <w:sz w:val="12"/>
        </w:rPr>
        <w:t>ONS data (left-hand scale)</w:t>
      </w:r>
    </w:p>
    <w:p>
      <w:pPr>
        <w:spacing w:line="133" w:lineRule="exact" w:before="0"/>
        <w:ind w:left="3214" w:right="0" w:firstLine="0"/>
        <w:jc w:val="left"/>
        <w:rPr>
          <w:sz w:val="12"/>
        </w:rPr>
      </w:pPr>
      <w:r>
        <w:rPr/>
        <w:pict>
          <v:group style="position:absolute;margin-left:49.904999pt;margin-top:-.165527pt;width:155.4pt;height:128.4pt;mso-position-horizontal-relative:page;mso-position-vertical-relative:paragraph;z-index:-21201920" coordorigin="998,-3" coordsize="3108,2568">
            <v:line style="position:absolute" from="4097,1558" to="1114,1555" stroked="true" strokeweight=".5pt" strokecolor="#000000">
              <v:stroke dashstyle="solid"/>
            </v:line>
            <v:shape style="position:absolute;left:1113;top:6;width:2983;height:2118" coordorigin="1113,7" coordsize="2983,2118" path="m1113,222l1193,1677,1276,2124,1356,1677,1438,1794,1518,1232,1598,1114,1696,1794,1778,1794,1858,1347,1941,1114,2021,784,2101,684,2183,684,2263,587,2361,1032,2443,172,2523,89,2606,7,2686,752,2766,752,2848,1364,2928,867,3026,867,3108,469,3188,684,3268,884,3351,504,3431,322,3513,254,3593,454,3691,272,3773,834,3853,1032,3933,752,4016,1032,4096,1114e" filled="false" stroked="true" strokeweight="1pt" strokecolor="#faab54">
              <v:path arrowok="t"/>
              <v:stroke dashstyle="solid"/>
            </v:shape>
            <v:shape style="position:absolute;left:1113;top:121;width:2983;height:2383" coordorigin="1113,122" coordsize="2983,2383" path="m1113,1164l1193,1214,1276,1959,1356,2407,1438,2207,1518,2009,1598,1214,1696,1414,1778,1414,1858,1017,1941,2504,2021,1809,2101,967,2183,767,2263,419,2361,619,2443,569,2523,519,2606,669,2686,719,2766,817,2848,1264,2928,1314,3026,1214,3108,569,3188,569,3268,469,3351,122,3431,419,3513,222,3593,172,3691,322,3773,419,3853,867,3933,1712,4016,1762,4096,1164e" filled="false" stroked="true" strokeweight="1pt" strokecolor="#40ad49">
              <v:path arrowok="t"/>
              <v:stroke dashstyle="solid"/>
            </v:shape>
            <v:shape style="position:absolute;left:998;top:71;width:3098;height:2493" coordorigin="998,72" coordsize="3098,2493" path="m4096,2559l1113,2557m1008,72l1083,72m1003,572l1078,572m1008,1067l1083,1067m998,1557l1073,1557m1003,2062l1078,2062m1003,2554l1078,2554m2849,2499l2849,2554m2930,2499l2930,2554m3011,2499l3011,2554m3191,2499l3191,2554m3268,2499l3268,2554m3346,2499l3346,2554m3509,2499l3509,2554m3590,2499l3590,2554m3671,2499l3671,2554m3855,2499l3855,2554m3933,2499l3933,2554m4011,2499l4011,2554m2525,2499l2525,2554m2603,2499l2603,2554m2681,2499l2681,2554m2183,2499l2183,2554m2262,2499l2262,2554m2341,2499l2341,2554m1857,2499l1857,2554m1936,2499l1936,2554m2016,2499l2016,2554m1520,2499l1520,2554m1600,2499l1600,2554m1681,2499l1681,2554m1187,2499l1187,2554m1266,2499l1266,2554m1346,2499l1346,2554m1108,2474l1108,2564m1439,2474l1439,2564m1778,2474l1778,2564m2104,2474l2104,2564m2447,2474l2447,2564m2768,2474l2768,2564m3113,2474l3113,2564m3428,2474l3428,2564m3777,2474l3777,2564m4096,2474l4096,2564e" filled="false" stroked="true" strokeweight=".5pt" strokecolor="#000000">
              <v:path arrowok="t"/>
              <v:stroke dashstyle="solid"/>
            </v:shape>
            <w10:wrap type="none"/>
          </v:group>
        </w:pict>
      </w:r>
      <w:r>
        <w:rPr/>
        <w:pict>
          <v:line style="position:absolute;mso-position-horizontal-relative:page;mso-position-vertical-relative:paragraph;z-index:15933952" from="209.529999pt,3.584473pt" to="212.654999pt,3.584473pt" stroked="true" strokeweight=".5pt" strokecolor="#000000">
            <v:stroke dashstyle="solid"/>
            <w10:wrap type="none"/>
          </v:line>
        </w:pict>
      </w:r>
      <w:r>
        <w:rPr>
          <w:sz w:val="12"/>
        </w:rPr>
        <w:t>65</w:t>
      </w:r>
    </w:p>
    <w:p>
      <w:pPr>
        <w:pStyle w:val="BodyText"/>
        <w:rPr>
          <w:sz w:val="12"/>
        </w:rPr>
      </w:pPr>
    </w:p>
    <w:p>
      <w:pPr>
        <w:pStyle w:val="BodyText"/>
        <w:rPr>
          <w:sz w:val="12"/>
        </w:rPr>
      </w:pPr>
    </w:p>
    <w:p>
      <w:pPr>
        <w:spacing w:before="81"/>
        <w:ind w:left="0" w:right="38" w:firstLine="0"/>
        <w:jc w:val="right"/>
        <w:rPr>
          <w:sz w:val="12"/>
        </w:rPr>
      </w:pPr>
      <w:r>
        <w:rPr/>
        <w:pict>
          <v:line style="position:absolute;mso-position-horizontal-relative:page;mso-position-vertical-relative:paragraph;z-index:15934464" from="209.279999pt,8.145093pt" to="212.404999pt,8.145093pt" stroked="true" strokeweight=".5pt" strokecolor="#000000">
            <v:stroke dashstyle="solid"/>
            <w10:wrap type="none"/>
          </v:line>
        </w:pict>
      </w:r>
      <w:r>
        <w:rPr>
          <w:sz w:val="12"/>
        </w:rPr>
        <w:t>55</w:t>
      </w:r>
    </w:p>
    <w:p>
      <w:pPr>
        <w:pStyle w:val="BodyText"/>
        <w:rPr>
          <w:sz w:val="12"/>
        </w:rPr>
      </w:pPr>
    </w:p>
    <w:p>
      <w:pPr>
        <w:pStyle w:val="BodyText"/>
        <w:rPr>
          <w:sz w:val="12"/>
        </w:rPr>
      </w:pPr>
    </w:p>
    <w:p>
      <w:pPr>
        <w:spacing w:before="83"/>
        <w:ind w:left="0" w:right="38" w:firstLine="0"/>
        <w:jc w:val="right"/>
        <w:rPr>
          <w:sz w:val="12"/>
        </w:rPr>
      </w:pPr>
      <w:r>
        <w:rPr/>
        <w:pict>
          <v:line style="position:absolute;mso-position-horizontal-relative:page;mso-position-vertical-relative:paragraph;z-index:15934976" from="209.529999pt,8.120275pt" to="212.654999pt,8.120275pt" stroked="true" strokeweight=".5pt" strokecolor="#000000">
            <v:stroke dashstyle="solid"/>
            <w10:wrap type="none"/>
          </v:line>
        </w:pict>
      </w:r>
      <w:r>
        <w:rPr>
          <w:sz w:val="12"/>
        </w:rPr>
        <w:t>45</w:t>
      </w:r>
    </w:p>
    <w:p>
      <w:pPr>
        <w:pStyle w:val="BodyText"/>
        <w:rPr>
          <w:sz w:val="12"/>
        </w:rPr>
      </w:pPr>
    </w:p>
    <w:p>
      <w:pPr>
        <w:pStyle w:val="BodyText"/>
        <w:rPr>
          <w:sz w:val="12"/>
        </w:rPr>
      </w:pPr>
    </w:p>
    <w:p>
      <w:pPr>
        <w:spacing w:before="81"/>
        <w:ind w:left="0" w:right="38" w:firstLine="0"/>
        <w:jc w:val="right"/>
        <w:rPr>
          <w:sz w:val="12"/>
        </w:rPr>
      </w:pPr>
      <w:r>
        <w:rPr/>
        <w:pict>
          <v:line style="position:absolute;mso-position-horizontal-relative:page;mso-position-vertical-relative:paragraph;z-index:15935488" from="209.029999pt,7.770276pt" to="212.154999pt,7.770276pt" stroked="true" strokeweight=".5pt" strokecolor="#000000">
            <v:stroke dashstyle="solid"/>
            <w10:wrap type="none"/>
          </v:line>
        </w:pict>
      </w:r>
      <w:r>
        <w:rPr>
          <w:sz w:val="12"/>
        </w:rPr>
        <w:t>35</w:t>
      </w:r>
    </w:p>
    <w:p>
      <w:pPr>
        <w:tabs>
          <w:tab w:pos="3334" w:val="right" w:leader="none"/>
        </w:tabs>
        <w:spacing w:line="143" w:lineRule="exact" w:before="340"/>
        <w:ind w:left="950" w:right="0" w:firstLine="0"/>
        <w:jc w:val="left"/>
        <w:rPr>
          <w:sz w:val="12"/>
        </w:rPr>
      </w:pPr>
      <w:r>
        <w:rPr/>
        <w:pict>
          <v:line style="position:absolute;mso-position-horizontal-relative:page;mso-position-vertical-relative:paragraph;z-index:-21198336" from="209.279999pt,22.098389pt" to="212.404999pt,22.098389pt" stroked="true" strokeweight=".5pt" strokecolor="#000000">
            <v:stroke dashstyle="solid"/>
            <w10:wrap type="none"/>
          </v:line>
        </w:pict>
      </w:r>
      <w:r>
        <w:rPr>
          <w:sz w:val="12"/>
        </w:rPr>
        <w:t>Confidence about turnover</w:t>
        <w:tab/>
      </w:r>
      <w:r>
        <w:rPr>
          <w:position w:val="-1"/>
          <w:sz w:val="12"/>
        </w:rPr>
        <w:t>25</w:t>
      </w:r>
    </w:p>
    <w:p>
      <w:pPr>
        <w:spacing w:line="123" w:lineRule="exact" w:before="0"/>
        <w:ind w:left="1005" w:right="0" w:firstLine="0"/>
        <w:jc w:val="left"/>
        <w:rPr>
          <w:sz w:val="12"/>
        </w:rPr>
      </w:pPr>
      <w:r>
        <w:rPr>
          <w:sz w:val="12"/>
        </w:rPr>
        <w:t>(right-hand scale)</w:t>
      </w:r>
    </w:p>
    <w:p>
      <w:pPr>
        <w:pStyle w:val="BodyText"/>
        <w:rPr>
          <w:sz w:val="12"/>
        </w:rPr>
      </w:pPr>
    </w:p>
    <w:p>
      <w:pPr>
        <w:pStyle w:val="BodyText"/>
        <w:spacing w:before="8"/>
        <w:rPr>
          <w:sz w:val="9"/>
        </w:rPr>
      </w:pPr>
    </w:p>
    <w:p>
      <w:pPr>
        <w:spacing w:line="120" w:lineRule="exact" w:before="0"/>
        <w:ind w:left="3214" w:right="0" w:firstLine="0"/>
        <w:jc w:val="left"/>
        <w:rPr>
          <w:sz w:val="12"/>
        </w:rPr>
      </w:pPr>
      <w:r>
        <w:rPr/>
        <w:pict>
          <v:line style="position:absolute;mso-position-horizontal-relative:page;mso-position-vertical-relative:paragraph;z-index:15936512" from="209.279999pt,3.970459pt" to="212.404999pt,3.970459pt" stroked="true" strokeweight=".5pt" strokecolor="#000000">
            <v:stroke dashstyle="solid"/>
            <w10:wrap type="none"/>
          </v:line>
        </w:pict>
      </w:r>
      <w:r>
        <w:rPr>
          <w:sz w:val="12"/>
        </w:rPr>
        <w:t>15</w:t>
      </w:r>
    </w:p>
    <w:p>
      <w:pPr>
        <w:tabs>
          <w:tab w:pos="772" w:val="left" w:leader="none"/>
          <w:tab w:pos="1112" w:val="left" w:leader="none"/>
          <w:tab w:pos="1437" w:val="left" w:leader="none"/>
          <w:tab w:pos="1777" w:val="left" w:leader="none"/>
          <w:tab w:pos="2102" w:val="left" w:leader="none"/>
          <w:tab w:pos="2442" w:val="left" w:leader="none"/>
        </w:tabs>
        <w:spacing w:line="66" w:lineRule="exact" w:before="0"/>
        <w:ind w:left="57" w:right="0" w:firstLine="0"/>
        <w:jc w:val="left"/>
        <w:rPr>
          <w:sz w:val="12"/>
        </w:rPr>
      </w:pPr>
      <w:r>
        <w:rPr>
          <w:sz w:val="12"/>
        </w:rPr>
        <w:t>1990     91</w:t>
        <w:tab/>
        <w:t>92</w:t>
        <w:tab/>
        <w:t>93</w:t>
        <w:tab/>
        <w:t>94</w:t>
        <w:tab/>
        <w:t>95</w:t>
        <w:tab/>
        <w:t>96</w:t>
        <w:tab/>
        <w:t>97 98</w:t>
      </w:r>
      <w:r>
        <w:rPr>
          <w:spacing w:val="25"/>
          <w:sz w:val="12"/>
        </w:rPr>
        <w:t> </w:t>
      </w:r>
      <w:r>
        <w:rPr>
          <w:sz w:val="12"/>
        </w:rPr>
        <w:t>99</w:t>
      </w:r>
    </w:p>
    <w:p>
      <w:pPr>
        <w:spacing w:line="242" w:lineRule="auto" w:before="13"/>
        <w:ind w:left="185" w:right="159" w:firstLine="0"/>
        <w:jc w:val="left"/>
        <w:rPr>
          <w:sz w:val="24"/>
        </w:rPr>
      </w:pPr>
      <w:r>
        <w:rPr/>
        <w:br w:type="column"/>
      </w:r>
      <w:r>
        <w:rPr>
          <w:color w:val="231F20"/>
          <w:sz w:val="24"/>
        </w:rPr>
        <w:t>output in Q1, the sentiment of firms in this sector has improved in recent months. BCC measures of sales and orders for domestic and export markets rose in the first quarter, and confidence about turnover has bounced back from last </w:t>
      </w:r>
      <w:r>
        <w:rPr>
          <w:color w:val="231F20"/>
          <w:spacing w:val="-3"/>
          <w:sz w:val="24"/>
        </w:rPr>
        <w:t>year’s </w:t>
      </w:r>
      <w:r>
        <w:rPr>
          <w:color w:val="231F20"/>
          <w:sz w:val="24"/>
        </w:rPr>
        <w:t>lows (see Chart 2.20). Similarly, the C</w:t>
      </w:r>
      <w:r>
        <w:rPr>
          <w:color w:val="231F20"/>
          <w:sz w:val="20"/>
        </w:rPr>
        <w:t>IPS </w:t>
      </w:r>
      <w:r>
        <w:rPr>
          <w:color w:val="231F20"/>
          <w:sz w:val="24"/>
        </w:rPr>
        <w:t>indicator of service sector business expectations </w:t>
      </w:r>
      <w:r>
        <w:rPr>
          <w:color w:val="231F20"/>
          <w:spacing w:val="-5"/>
          <w:sz w:val="24"/>
        </w:rPr>
        <w:t>has </w:t>
      </w:r>
      <w:r>
        <w:rPr>
          <w:color w:val="231F20"/>
          <w:sz w:val="24"/>
        </w:rPr>
        <w:t>improved steadily since September, and their overall index of current activity increased to 56.3 in April, </w:t>
      </w:r>
      <w:r>
        <w:rPr>
          <w:color w:val="231F20"/>
          <w:spacing w:val="-5"/>
          <w:sz w:val="24"/>
        </w:rPr>
        <w:t>above </w:t>
      </w:r>
      <w:r>
        <w:rPr>
          <w:color w:val="231F20"/>
          <w:sz w:val="24"/>
        </w:rPr>
        <w:t>the neutral level of</w:t>
      </w:r>
      <w:r>
        <w:rPr>
          <w:color w:val="231F20"/>
          <w:spacing w:val="-1"/>
          <w:sz w:val="24"/>
        </w:rPr>
        <w:t> </w:t>
      </w:r>
      <w:r>
        <w:rPr>
          <w:color w:val="231F20"/>
          <w:sz w:val="24"/>
        </w:rPr>
        <w:t>50.</w:t>
      </w:r>
    </w:p>
    <w:p>
      <w:pPr>
        <w:spacing w:after="0" w:line="242" w:lineRule="auto"/>
        <w:jc w:val="left"/>
        <w:rPr>
          <w:sz w:val="24"/>
        </w:rPr>
        <w:sectPr>
          <w:type w:val="continuous"/>
          <w:pgSz w:w="11900" w:h="16840"/>
          <w:pgMar w:top="1220" w:bottom="280" w:left="640" w:right="640"/>
          <w:cols w:num="3" w:equalWidth="0">
            <w:col w:w="406" w:space="40"/>
            <w:col w:w="3375" w:space="953"/>
            <w:col w:w="5846"/>
          </w:cols>
        </w:sectPr>
      </w:pPr>
    </w:p>
    <w:p>
      <w:pPr>
        <w:pStyle w:val="BodyText"/>
        <w:spacing w:before="2"/>
        <w:rPr>
          <w:sz w:val="14"/>
        </w:rPr>
      </w:pPr>
    </w:p>
    <w:p>
      <w:pPr>
        <w:spacing w:before="0"/>
        <w:ind w:left="175" w:right="0" w:firstLine="0"/>
        <w:jc w:val="left"/>
        <w:rPr>
          <w:sz w:val="12"/>
        </w:rPr>
      </w:pPr>
      <w:r>
        <w:rPr>
          <w:color w:val="231F20"/>
          <w:sz w:val="12"/>
        </w:rPr>
        <w:t>Sources: BCC and ONS.</w:t>
      </w:r>
    </w:p>
    <w:p>
      <w:pPr>
        <w:tabs>
          <w:tab w:pos="4273" w:val="left" w:leader="none"/>
          <w:tab w:pos="5695" w:val="left" w:leader="none"/>
        </w:tabs>
        <w:spacing w:line="310" w:lineRule="exact" w:before="0"/>
        <w:ind w:left="175" w:right="0" w:firstLine="0"/>
        <w:jc w:val="left"/>
        <w:rPr>
          <w:b/>
          <w:sz w:val="28"/>
        </w:rPr>
      </w:pPr>
      <w:r>
        <w:rPr/>
        <w:br w:type="column"/>
      </w:r>
      <w:r>
        <w:rPr>
          <w:b/>
          <w:color w:val="009483"/>
          <w:sz w:val="28"/>
          <w:u w:val="thick" w:color="0093C1"/>
        </w:rPr>
        <w:t>2.4</w:t>
        <w:tab/>
        <w:t>Summary</w:t>
        <w:tab/>
      </w:r>
    </w:p>
    <w:p>
      <w:pPr>
        <w:pStyle w:val="BodyText"/>
        <w:spacing w:before="10"/>
        <w:rPr>
          <w:b/>
          <w:sz w:val="23"/>
        </w:rPr>
      </w:pPr>
    </w:p>
    <w:p>
      <w:pPr>
        <w:spacing w:line="242" w:lineRule="auto" w:before="1"/>
        <w:ind w:left="175" w:right="0" w:firstLine="0"/>
        <w:jc w:val="left"/>
        <w:rPr>
          <w:sz w:val="24"/>
        </w:rPr>
      </w:pPr>
      <w:r>
        <w:rPr>
          <w:color w:val="231F20"/>
          <w:sz w:val="24"/>
        </w:rPr>
        <w:t>In the Committee’s judgment, the prospects for overall activity have changed relatively little since the February </w:t>
      </w:r>
      <w:r>
        <w:rPr>
          <w:i/>
          <w:color w:val="231F20"/>
          <w:sz w:val="24"/>
        </w:rPr>
        <w:t>Report</w:t>
      </w:r>
      <w:r>
        <w:rPr>
          <w:color w:val="231F20"/>
          <w:sz w:val="24"/>
        </w:rPr>
        <w:t>, but the composition of demand is likely to be different. The central projection for domestic demand growth has been revised upwards, reflecting the</w:t>
      </w:r>
    </w:p>
    <w:p>
      <w:pPr>
        <w:spacing w:line="242" w:lineRule="auto" w:before="6"/>
        <w:ind w:left="175" w:right="464" w:firstLine="0"/>
        <w:jc w:val="left"/>
        <w:rPr>
          <w:sz w:val="24"/>
        </w:rPr>
      </w:pPr>
      <w:r>
        <w:rPr>
          <w:color w:val="231F20"/>
          <w:sz w:val="24"/>
        </w:rPr>
        <w:t>pick-up in consumer and business confidence, stronger-than-expected investment, and the impact of lower interest rates. In addition, the downside risks to output from a significant stock cycle appear to have</w:t>
      </w:r>
    </w:p>
    <w:p>
      <w:pPr>
        <w:spacing w:line="242" w:lineRule="auto" w:before="5"/>
        <w:ind w:left="175" w:right="152" w:firstLine="0"/>
        <w:jc w:val="left"/>
        <w:rPr>
          <w:sz w:val="24"/>
        </w:rPr>
      </w:pPr>
      <w:r>
        <w:rPr>
          <w:color w:val="231F20"/>
          <w:sz w:val="24"/>
        </w:rPr>
        <w:t>diminished relative to the position three months ago. But the stronger stimulus to output is likely to be largely offset by a weaker outlook for net trade. Reflecting </w:t>
      </w:r>
      <w:r>
        <w:rPr>
          <w:color w:val="231F20"/>
          <w:spacing w:val="-4"/>
          <w:sz w:val="24"/>
        </w:rPr>
        <w:t>these </w:t>
      </w:r>
      <w:r>
        <w:rPr>
          <w:color w:val="231F20"/>
          <w:sz w:val="24"/>
        </w:rPr>
        <w:t>considerations, the </w:t>
      </w:r>
      <w:r>
        <w:rPr>
          <w:color w:val="231F20"/>
          <w:spacing w:val="-3"/>
          <w:sz w:val="24"/>
        </w:rPr>
        <w:t>MPC’s </w:t>
      </w:r>
      <w:r>
        <w:rPr>
          <w:color w:val="231F20"/>
          <w:sz w:val="24"/>
        </w:rPr>
        <w:t>central forecast continues to be for a gradual improvement in the growth rate of GDP during the course of 1999.</w:t>
      </w:r>
    </w:p>
    <w:p>
      <w:pPr>
        <w:spacing w:after="0" w:line="242" w:lineRule="auto"/>
        <w:jc w:val="left"/>
        <w:rPr>
          <w:sz w:val="24"/>
        </w:rPr>
        <w:sectPr>
          <w:type w:val="continuous"/>
          <w:pgSz w:w="11900" w:h="16840"/>
          <w:pgMar w:top="1220" w:bottom="280" w:left="640" w:right="640"/>
          <w:cols w:num="2" w:equalWidth="0">
            <w:col w:w="1433" w:space="3352"/>
            <w:col w:w="5835"/>
          </w:cols>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519744;mso-wrap-distance-left:0;mso-wrap-distance-right:0" type="#_x0000_t202" filled="true" fillcolor="#b5dad6" stroked="false">
            <v:textbox inset="0,0,0,0">
              <w:txbxContent>
                <w:p>
                  <w:pPr>
                    <w:tabs>
                      <w:tab w:pos="10099" w:val="right" w:leader="none"/>
                    </w:tabs>
                    <w:spacing w:before="40"/>
                    <w:ind w:left="260" w:right="0" w:firstLine="0"/>
                    <w:jc w:val="left"/>
                    <w:rPr>
                      <w:b/>
                      <w:sz w:val="72"/>
                    </w:rPr>
                  </w:pPr>
                  <w:bookmarkStart w:name="The labour market" w:id="48"/>
                  <w:bookmarkEnd w:id="48"/>
                  <w:r>
                    <w:rPr/>
                  </w:r>
                  <w:bookmarkStart w:name="Earnings" w:id="49"/>
                  <w:bookmarkEnd w:id="49"/>
                  <w:r>
                    <w:rPr/>
                  </w:r>
                  <w:bookmarkStart w:name="_bookmark19" w:id="50"/>
                  <w:bookmarkEnd w:id="50"/>
                  <w:r>
                    <w:rPr/>
                  </w:r>
                  <w:r>
                    <w:rPr>
                      <w:b/>
                      <w:color w:val="009483"/>
                      <w:sz w:val="48"/>
                    </w:rPr>
                    <w:t>The labour market</w:t>
                    <w:tab/>
                  </w:r>
                  <w:r>
                    <w:rPr>
                      <w:b/>
                      <w:color w:val="009483"/>
                      <w:sz w:val="72"/>
                    </w:rPr>
                    <w:t>3</w:t>
                  </w:r>
                </w:p>
              </w:txbxContent>
            </v:textbox>
            <v:fill type="solid"/>
            <w10:wrap type="topAndBottom"/>
          </v:shape>
        </w:pict>
      </w:r>
    </w:p>
    <w:p>
      <w:pPr>
        <w:pStyle w:val="BodyText"/>
        <w:rPr>
          <w:sz w:val="20"/>
        </w:rPr>
      </w:pPr>
    </w:p>
    <w:p>
      <w:pPr>
        <w:pStyle w:val="BodyText"/>
        <w:spacing w:before="1"/>
        <w:rPr>
          <w:sz w:val="29"/>
        </w:rPr>
      </w:pPr>
    </w:p>
    <w:p>
      <w:pPr>
        <w:spacing w:line="242" w:lineRule="auto" w:before="90"/>
        <w:ind w:left="5000" w:right="241" w:firstLine="0"/>
        <w:jc w:val="left"/>
        <w:rPr>
          <w:sz w:val="24"/>
        </w:rPr>
      </w:pPr>
      <w:r>
        <w:rPr>
          <w:sz w:val="24"/>
        </w:rPr>
        <w:t>Wage pressures have eased since last summer, although labour market conditions remain tight. Nominal earnings growth fell during the second half of 1998, according to the reinstated Average Earnings Index (AEI) and other indicators. The AEI headline rate picked up slightly to 4.6% in February, but other measures pointed to a further moderation in nominal earnings growth in the first quarter of this year.</w:t>
      </w:r>
    </w:p>
    <w:p>
      <w:pPr>
        <w:spacing w:line="242" w:lineRule="auto" w:before="11"/>
        <w:ind w:left="5000" w:right="178" w:firstLine="0"/>
        <w:jc w:val="left"/>
        <w:rPr>
          <w:sz w:val="24"/>
        </w:rPr>
      </w:pPr>
      <w:r>
        <w:rPr>
          <w:sz w:val="24"/>
        </w:rPr>
        <w:t>Earnings growth is likely to have been boosted in April by the introduction of the National Minimum </w:t>
      </w:r>
      <w:r>
        <w:rPr>
          <w:spacing w:val="-5"/>
          <w:sz w:val="24"/>
        </w:rPr>
        <w:t>Wage </w:t>
      </w:r>
      <w:r>
        <w:rPr>
          <w:sz w:val="24"/>
        </w:rPr>
        <w:t>and the implementation of the public sector pay review body awards. Unemployment has risen slightly and total hours worked have been flat. But unemployment rates remain close to 20-year lows, and employment has continued to grow quite strongly, matched by a fall in inactivity. The number of job vacancies is still high relative to unemployment. But business surveys </w:t>
      </w:r>
      <w:r>
        <w:rPr>
          <w:spacing w:val="-3"/>
          <w:sz w:val="24"/>
        </w:rPr>
        <w:t>suggest </w:t>
      </w:r>
      <w:r>
        <w:rPr>
          <w:sz w:val="24"/>
        </w:rPr>
        <w:t>that skill shortages have abated somewhat, and most measures of employment intentions have fallen</w:t>
      </w:r>
      <w:r>
        <w:rPr>
          <w:spacing w:val="-10"/>
          <w:sz w:val="24"/>
        </w:rPr>
        <w:t> </w:t>
      </w:r>
      <w:r>
        <w:rPr>
          <w:sz w:val="24"/>
        </w:rPr>
        <w:t>further.</w:t>
      </w:r>
    </w:p>
    <w:p>
      <w:pPr>
        <w:pStyle w:val="BodyText"/>
        <w:spacing w:before="6"/>
        <w:rPr>
          <w:sz w:val="21"/>
        </w:rPr>
      </w:pPr>
    </w:p>
    <w:p>
      <w:pPr>
        <w:spacing w:after="0"/>
        <w:rPr>
          <w:sz w:val="21"/>
        </w:rPr>
        <w:sectPr>
          <w:headerReference w:type="even" r:id="rId75"/>
          <w:pgSz w:w="11900" w:h="16840"/>
          <w:pgMar w:header="0" w:footer="597" w:top="780" w:bottom="800" w:left="640" w:right="640"/>
        </w:sectPr>
      </w:pPr>
    </w:p>
    <w:p>
      <w:pPr>
        <w:pStyle w:val="BodyText"/>
        <w:rPr>
          <w:sz w:val="22"/>
        </w:rPr>
      </w:pPr>
    </w:p>
    <w:p>
      <w:pPr>
        <w:pStyle w:val="BodyText"/>
        <w:rPr>
          <w:sz w:val="22"/>
        </w:rPr>
      </w:pPr>
    </w:p>
    <w:p>
      <w:pPr>
        <w:pStyle w:val="Heading4"/>
        <w:spacing w:before="150"/>
        <w:ind w:left="180"/>
      </w:pPr>
      <w:r>
        <w:rPr>
          <w:color w:val="0093C1"/>
        </w:rPr>
        <w:t>Chart 3.1</w:t>
      </w:r>
    </w:p>
    <w:p>
      <w:pPr>
        <w:pStyle w:val="Heading4"/>
        <w:ind w:left="180"/>
        <w:rPr>
          <w:b w:val="0"/>
          <w:sz w:val="12"/>
        </w:rPr>
      </w:pPr>
      <w:r>
        <w:rPr>
          <w:color w:val="0093C1"/>
        </w:rPr>
        <w:t>Headline average nominal earnings growth</w:t>
      </w:r>
      <w:r>
        <w:rPr>
          <w:b w:val="0"/>
          <w:position w:val="4"/>
          <w:sz w:val="12"/>
        </w:rPr>
        <w:t>(a)(b)</w:t>
      </w:r>
    </w:p>
    <w:p>
      <w:pPr>
        <w:spacing w:before="163"/>
        <w:ind w:left="1825" w:right="0" w:firstLine="0"/>
        <w:jc w:val="left"/>
        <w:rPr>
          <w:sz w:val="12"/>
        </w:rPr>
      </w:pPr>
      <w:r>
        <w:rPr/>
        <w:pict>
          <v:line style="position:absolute;mso-position-horizontal-relative:page;mso-position-vertical-relative:paragraph;z-index:15940608" from="48.25pt,16.505651pt" to="52.5pt,16.505651pt" stroked="true" strokeweight=".5pt" strokecolor="#000000">
            <v:stroke dashstyle="solid"/>
            <w10:wrap type="none"/>
          </v:line>
        </w:pict>
      </w:r>
      <w:r>
        <w:rPr/>
        <w:pict>
          <v:line style="position:absolute;mso-position-horizontal-relative:page;mso-position-vertical-relative:paragraph;z-index:-21193216" from="206.625pt,16.505651pt" to="210.875pt,16.505651pt" stroked="true" strokeweight=".5pt" strokecolor="#000000">
            <v:stroke dashstyle="solid"/>
            <w10:wrap type="none"/>
          </v:line>
        </w:pict>
      </w:r>
      <w:r>
        <w:rPr>
          <w:sz w:val="12"/>
        </w:rPr>
        <w:t>Percentage changes on a year earlier </w:t>
      </w:r>
      <w:r>
        <w:rPr>
          <w:position w:val="-8"/>
          <w:sz w:val="12"/>
        </w:rPr>
        <w:t>7</w:t>
      </w:r>
    </w:p>
    <w:p>
      <w:pPr>
        <w:tabs>
          <w:tab w:pos="4370" w:val="left" w:leader="none"/>
        </w:tabs>
        <w:spacing w:before="89"/>
        <w:ind w:left="180" w:right="0" w:firstLine="0"/>
        <w:jc w:val="left"/>
        <w:rPr>
          <w:b/>
          <w:sz w:val="28"/>
        </w:rPr>
      </w:pPr>
      <w:r>
        <w:rPr/>
        <w:br w:type="column"/>
      </w:r>
      <w:r>
        <w:rPr>
          <w:b/>
          <w:color w:val="009483"/>
          <w:sz w:val="28"/>
          <w:u w:val="thick" w:color="0093C1"/>
        </w:rPr>
        <w:t>3.1</w:t>
        <w:tab/>
        <w:t>Earnings</w:t>
      </w:r>
      <w:r>
        <w:rPr>
          <w:b/>
          <w:color w:val="009483"/>
          <w:spacing w:val="-31"/>
          <w:sz w:val="28"/>
          <w:u w:val="thick" w:color="0093C1"/>
        </w:rPr>
        <w:t> </w:t>
      </w:r>
    </w:p>
    <w:p>
      <w:pPr>
        <w:spacing w:line="242" w:lineRule="auto" w:before="260"/>
        <w:ind w:left="180" w:right="394" w:firstLine="0"/>
        <w:jc w:val="left"/>
        <w:rPr>
          <w:sz w:val="24"/>
        </w:rPr>
      </w:pPr>
      <w:r>
        <w:rPr>
          <w:sz w:val="24"/>
        </w:rPr>
        <w:t>The official Average Earnings Index (AEI) was reinstated by the ONS on 2 March, following an independent review of the series commissioned by the Chancellor</w:t>
      </w:r>
      <w:hyperlink w:history="true" w:anchor="_bookmark20">
        <w:r>
          <w:rPr>
            <w:sz w:val="24"/>
          </w:rPr>
          <w:t>. The box on the next page</w:t>
        </w:r>
      </w:hyperlink>
      <w:r>
        <w:rPr>
          <w:sz w:val="24"/>
        </w:rPr>
        <w:t> summarises the</w:t>
      </w:r>
    </w:p>
    <w:p>
      <w:pPr>
        <w:spacing w:after="0" w:line="242" w:lineRule="auto"/>
        <w:jc w:val="left"/>
        <w:rPr>
          <w:sz w:val="24"/>
        </w:rPr>
        <w:sectPr>
          <w:type w:val="continuous"/>
          <w:pgSz w:w="11900" w:h="16840"/>
          <w:pgMar w:top="1220" w:bottom="280" w:left="640" w:right="640"/>
          <w:cols w:num="2" w:equalWidth="0">
            <w:col w:w="4171" w:space="649"/>
            <w:col w:w="5800"/>
          </w:cols>
        </w:sectPr>
      </w:pPr>
    </w:p>
    <w:p>
      <w:pPr>
        <w:pStyle w:val="BodyText"/>
        <w:spacing w:before="9"/>
        <w:rPr>
          <w:sz w:val="7"/>
        </w:rPr>
      </w:pPr>
    </w:p>
    <w:p>
      <w:pPr>
        <w:pStyle w:val="BodyText"/>
        <w:spacing w:line="20" w:lineRule="exact"/>
        <w:ind w:left="313"/>
        <w:rPr>
          <w:sz w:val="2"/>
        </w:rPr>
      </w:pPr>
      <w:r>
        <w:rPr>
          <w:sz w:val="2"/>
        </w:rPr>
        <w:pict>
          <v:group style="width:4.25pt;height:.5pt;mso-position-horizontal-relative:char;mso-position-vertical-relative:line" coordorigin="0,0" coordsize="85,10">
            <v:line style="position:absolute" from="0,5" to="85,5" stroked="true" strokeweight=".5pt" strokecolor="#000000">
              <v:stroke dashstyle="solid"/>
            </v:line>
          </v:group>
        </w:pict>
      </w:r>
      <w:r>
        <w:rPr>
          <w:sz w:val="2"/>
        </w:rPr>
      </w:r>
    </w:p>
    <w:p>
      <w:pPr>
        <w:pStyle w:val="BodyText"/>
        <w:spacing w:before="4"/>
        <w:rPr>
          <w:sz w:val="14"/>
        </w:rPr>
      </w:pPr>
    </w:p>
    <w:p>
      <w:pPr>
        <w:spacing w:line="230" w:lineRule="auto" w:before="0"/>
        <w:ind w:left="732" w:right="-19" w:hanging="85"/>
        <w:jc w:val="left"/>
        <w:rPr>
          <w:sz w:val="12"/>
        </w:rPr>
      </w:pPr>
      <w:r>
        <w:rPr>
          <w:sz w:val="12"/>
        </w:rPr>
        <w:t>Average Earnings Index (old)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r>
        <w:rPr/>
        <w:pict>
          <v:shape style="position:absolute;margin-left:47.937pt;margin-top:17.041065pt;width:4.25pt;height:.1pt;mso-position-horizontal-relative:page;mso-position-vertical-relative:paragraph;z-index:-15518720;mso-wrap-distance-left:0;mso-wrap-distance-right:0" coordorigin="959,341" coordsize="85,0" path="m959,341l1044,341e" filled="false" stroked="true" strokeweight=".5pt" strokecolor="#000000">
            <v:path arrowok="t"/>
            <v:stroke dashstyle="solid"/>
            <w10:wrap type="topAndBottom"/>
          </v:shape>
        </w:pict>
      </w:r>
    </w:p>
    <w:p>
      <w:pPr>
        <w:pStyle w:val="BodyText"/>
        <w:rPr>
          <w:sz w:val="20"/>
        </w:rPr>
      </w:pPr>
    </w:p>
    <w:p>
      <w:pPr>
        <w:pStyle w:val="BodyText"/>
        <w:spacing w:before="7"/>
        <w:rPr>
          <w:sz w:val="10"/>
        </w:rPr>
      </w:pPr>
      <w:r>
        <w:rPr/>
        <w:pict>
          <v:shape style="position:absolute;margin-left:48.437pt;margin-top:8.300977pt;width:4.25pt;height:.1pt;mso-position-horizontal-relative:page;mso-position-vertical-relative:paragraph;z-index:-15518208;mso-wrap-distance-left:0;mso-wrap-distance-right:0" coordorigin="969,166" coordsize="85,0" path="m969,166l1054,166e" filled="false" stroked="true" strokeweight=".5pt" strokecolor="#000000">
            <v:path arrowok="t"/>
            <v:stroke dashstyle="solid"/>
            <w10:wrap type="topAndBottom"/>
          </v:shape>
        </w:pict>
      </w:r>
    </w:p>
    <w:p>
      <w:pPr>
        <w:spacing w:line="87" w:lineRule="exact" w:before="0"/>
        <w:ind w:left="892" w:right="0" w:firstLine="0"/>
        <w:jc w:val="left"/>
        <w:rPr>
          <w:sz w:val="12"/>
        </w:rPr>
      </w:pPr>
      <w:r>
        <w:rPr/>
        <w:br w:type="column"/>
      </w:r>
      <w:r>
        <w:rPr>
          <w:sz w:val="12"/>
        </w:rPr>
        <w:t>Average Earnings</w:t>
      </w:r>
    </w:p>
    <w:p>
      <w:pPr>
        <w:spacing w:line="129" w:lineRule="exact" w:before="0"/>
        <w:ind w:left="967" w:right="0" w:firstLine="0"/>
        <w:jc w:val="left"/>
        <w:rPr>
          <w:sz w:val="12"/>
        </w:rPr>
      </w:pPr>
      <w:r>
        <w:rPr/>
        <w:pict>
          <v:group style="position:absolute;margin-left:47.687pt;margin-top:6.404892pt;width:163.15pt;height:65.1pt;mso-position-horizontal-relative:page;mso-position-vertical-relative:paragraph;z-index:-21194240" coordorigin="954,128" coordsize="3263,1302">
            <v:shape style="position:absolute;left:1092;top:138;width:2985;height:1282" coordorigin="1093,138" coordsize="2985,1282" path="m1093,1031l1155,1078,1215,1079,1275,988,1338,1031,1398,1163,1460,1333,1518,1418,1580,1419,1640,1376,1703,1291,1763,1292,1945,1292,2008,1206,2068,1248,2130,1121,2190,1078,2250,988,2310,903,2373,904,2495,904,2555,776,2615,818,2678,776,2738,861,2800,818,2860,903,2920,861,2980,776,3043,777,3103,691,3165,648,3225,521,3285,478,3348,436,3408,437,3470,308,3530,181,3590,138,3653,181,3713,308,3833,478,3895,521,3955,648,4018,649,4078,606e" filled="false" stroked="true" strokeweight="1pt" strokecolor="#008256">
              <v:path arrowok="t"/>
              <v:stroke dashstyle="solid"/>
            </v:shape>
            <v:shape style="position:absolute;left:1092;top:308;width:2620;height:1069" coordorigin="1093,308" coordsize="2620,1069" path="m1093,1121l1155,988,1215,861,1275,862,1338,862,1398,1121,1460,1291,1518,1333,1580,1291,1640,1292,1703,1248,1763,1249,1825,1333,1885,1376,1945,1377,2008,1248,2068,1206,2130,1031,2190,903,2310,818,2373,776,2433,733,2495,648,2555,478,2615,393,2678,308,2738,309,2800,393,2920,563,2980,521,3043,606,3103,648,3165,691,3225,692,3285,776,3348,777,3408,903,3470,904,3530,606,3590,436,3653,351,3713,606e" filled="false" stroked="true" strokeweight="1.0pt" strokecolor="#ac6e90">
              <v:path arrowok="t"/>
              <v:stroke dashstyle="solid"/>
            </v:shape>
            <v:shape style="position:absolute;left:1092;top:265;width:2560;height:942" coordorigin="1093,266" coordsize="2560,942" path="m1093,988l1155,1031,1215,1032,1275,1032,1338,903,1398,1031,1460,1121,1518,1206,1580,1207,1640,1163,1703,1121,1763,1122,1825,1163,1885,1164,1945,1078,2008,988,2068,1031,2130,988,2190,1031,2250,903,2310,861,2373,862,2433,818,2495,733,2555,606,2615,607,2678,648,2738,733,2800,734,2860,776,2980,691,3043,733,3103,691,3165,692,3225,606,3285,648,3348,606,3408,436,3470,308,3530,266,3590,351,3653,436e" filled="false" stroked="true" strokeweight="1pt" strokecolor="#522e91">
              <v:path arrowok="t"/>
              <v:stroke dashstyle="solid"/>
            </v:shape>
            <v:shape style="position:absolute;left:953;top:438;width:3263;height:855" coordorigin="954,438" coordsize="3263,855" path="m964,438l1049,438m4131,438l4216,438m954,863l1039,863m4121,863l4206,863m964,1293l1049,1293m4131,1293l4216,1293m3405,1293l3405,1018e" filled="false" stroked="true" strokeweight=".5pt" strokecolor="#000000">
              <v:path arrowok="t"/>
              <v:stroke dashstyle="solid"/>
            </v:shape>
            <v:shape style="position:absolute;left:3379;top:950;width:51;height:85" coordorigin="3380,950" coordsize="51,85" path="m3405,950l3380,1035,3430,1035,3409,970,3406,959,3405,950xe" filled="true" fillcolor="#000000" stroked="false">
              <v:path arrowok="t"/>
              <v:fill type="solid"/>
            </v:shape>
            <v:line style="position:absolute" from="1615,478" to="1615,1058" stroked="true" strokeweight=".5pt" strokecolor="#000000">
              <v:stroke dashstyle="solid"/>
            </v:line>
            <v:shape style="position:absolute;left:1589;top:1041;width:51;height:85" coordorigin="1590,1041" coordsize="51,85" path="m1640,1041l1590,1041,1596,1057,1601,1069,1615,1126,1616,1117,1619,1107,1622,1095,1625,1082,1629,1070,1640,1041xe" filled="true" fillcolor="#000000" stroked="false">
              <v:path arrowok="t"/>
              <v:fill type="solid"/>
            </v:shape>
            <w10:wrap type="none"/>
          </v:group>
        </w:pict>
      </w:r>
      <w:r>
        <w:rPr/>
        <w:pict>
          <v:line style="position:absolute;mso-position-horizontal-relative:page;mso-position-vertical-relative:paragraph;z-index:15941632" from="206.311996pt,.404892pt" to="210.561996pt,.404892pt" stroked="true" strokeweight=".5pt" strokecolor="#000000">
            <v:stroke dashstyle="solid"/>
            <w10:wrap type="none"/>
          </v:line>
        </w:pict>
      </w:r>
      <w:r>
        <w:rPr/>
        <w:pict>
          <v:shape style="position:absolute;margin-left:214pt;margin-top:-3.317488pt;width:3pt;height:6.65pt;mso-position-horizontal-relative:page;mso-position-vertical-relative:paragraph;z-index:15943168" type="#_x0000_t202" filled="false" stroked="false">
            <v:textbox inset="0,0,0,0">
              <w:txbxContent>
                <w:p>
                  <w:pPr>
                    <w:spacing w:line="133" w:lineRule="exact" w:before="0"/>
                    <w:ind w:left="0" w:right="0" w:firstLine="0"/>
                    <w:jc w:val="left"/>
                    <w:rPr>
                      <w:sz w:val="12"/>
                    </w:rPr>
                  </w:pPr>
                  <w:r>
                    <w:rPr>
                      <w:sz w:val="12"/>
                    </w:rPr>
                    <w:t>6</w:t>
                  </w:r>
                </w:p>
              </w:txbxContent>
            </v:textbox>
            <w10:wrap type="none"/>
          </v:shape>
        </w:pict>
      </w:r>
      <w:r>
        <w:rPr>
          <w:sz w:val="12"/>
        </w:rPr>
        <w:t>Index (new)</w:t>
      </w:r>
    </w:p>
    <w:p>
      <w:pPr>
        <w:pStyle w:val="BodyText"/>
        <w:rPr>
          <w:sz w:val="12"/>
        </w:rPr>
      </w:pPr>
    </w:p>
    <w:p>
      <w:pPr>
        <w:spacing w:before="91"/>
        <w:ind w:left="2089" w:right="0" w:firstLine="0"/>
        <w:jc w:val="left"/>
        <w:rPr>
          <w:sz w:val="12"/>
        </w:rPr>
      </w:pPr>
      <w:r>
        <w:rPr>
          <w:sz w:val="12"/>
        </w:rPr>
        <w:t>5</w:t>
      </w:r>
    </w:p>
    <w:p>
      <w:pPr>
        <w:pStyle w:val="BodyText"/>
        <w:rPr>
          <w:sz w:val="12"/>
        </w:rPr>
      </w:pPr>
    </w:p>
    <w:p>
      <w:pPr>
        <w:pStyle w:val="BodyText"/>
        <w:rPr>
          <w:sz w:val="13"/>
        </w:rPr>
      </w:pPr>
    </w:p>
    <w:p>
      <w:pPr>
        <w:spacing w:before="0"/>
        <w:ind w:left="2089" w:right="0" w:firstLine="0"/>
        <w:jc w:val="left"/>
        <w:rPr>
          <w:sz w:val="12"/>
        </w:rPr>
      </w:pPr>
      <w:r>
        <w:rPr>
          <w:sz w:val="12"/>
        </w:rPr>
        <w:t>4</w:t>
      </w:r>
    </w:p>
    <w:p>
      <w:pPr>
        <w:pStyle w:val="BodyText"/>
        <w:rPr>
          <w:sz w:val="12"/>
        </w:rPr>
      </w:pPr>
    </w:p>
    <w:p>
      <w:pPr>
        <w:pStyle w:val="BodyText"/>
        <w:spacing w:before="2"/>
        <w:rPr>
          <w:sz w:val="13"/>
        </w:rPr>
      </w:pPr>
    </w:p>
    <w:p>
      <w:pPr>
        <w:spacing w:line="116" w:lineRule="exact" w:before="0"/>
        <w:ind w:left="2089" w:right="0" w:firstLine="0"/>
        <w:jc w:val="left"/>
        <w:rPr>
          <w:sz w:val="12"/>
        </w:rPr>
      </w:pPr>
      <w:r>
        <w:rPr>
          <w:sz w:val="12"/>
        </w:rPr>
        <w:t>3</w:t>
      </w:r>
    </w:p>
    <w:p>
      <w:pPr>
        <w:spacing w:line="115" w:lineRule="exact" w:before="0"/>
        <w:ind w:left="609" w:right="0" w:firstLine="0"/>
        <w:jc w:val="left"/>
        <w:rPr>
          <w:sz w:val="12"/>
        </w:rPr>
      </w:pPr>
      <w:r>
        <w:rPr>
          <w:sz w:val="12"/>
        </w:rPr>
        <w:t>Average Earnings Index</w:t>
      </w:r>
    </w:p>
    <w:p>
      <w:pPr>
        <w:spacing w:line="136" w:lineRule="exact" w:before="0"/>
        <w:ind w:left="694" w:right="0" w:firstLine="0"/>
        <w:jc w:val="left"/>
        <w:rPr>
          <w:sz w:val="12"/>
        </w:rPr>
      </w:pPr>
      <w:r>
        <w:rPr>
          <w:sz w:val="12"/>
        </w:rPr>
        <w:t>(suspended)</w:t>
      </w:r>
    </w:p>
    <w:p>
      <w:pPr>
        <w:spacing w:before="57"/>
        <w:ind w:left="2089" w:right="0" w:firstLine="0"/>
        <w:jc w:val="left"/>
        <w:rPr>
          <w:sz w:val="12"/>
        </w:rPr>
      </w:pPr>
      <w:r>
        <w:rPr/>
        <w:pict>
          <v:line style="position:absolute;mso-position-horizontal-relative:page;mso-position-vertical-relative:paragraph;z-index:15942144" from="206.311996pt,6.701562pt" to="210.561996pt,6.701562pt" stroked="true" strokeweight=".5pt" strokecolor="#000000">
            <v:stroke dashstyle="solid"/>
            <w10:wrap type="none"/>
          </v:line>
        </w:pict>
      </w:r>
      <w:r>
        <w:rPr>
          <w:sz w:val="12"/>
        </w:rPr>
        <w:t>2</w:t>
      </w:r>
    </w:p>
    <w:p>
      <w:pPr>
        <w:pStyle w:val="BodyText"/>
        <w:rPr>
          <w:sz w:val="12"/>
        </w:rPr>
      </w:pPr>
    </w:p>
    <w:p>
      <w:pPr>
        <w:pStyle w:val="BodyText"/>
        <w:spacing w:before="4"/>
        <w:rPr>
          <w:sz w:val="13"/>
        </w:rPr>
      </w:pPr>
    </w:p>
    <w:p>
      <w:pPr>
        <w:spacing w:before="0"/>
        <w:ind w:left="2089" w:right="0" w:firstLine="0"/>
        <w:jc w:val="left"/>
        <w:rPr>
          <w:sz w:val="12"/>
        </w:rPr>
      </w:pPr>
      <w:r>
        <w:rPr/>
        <w:pict>
          <v:line style="position:absolute;mso-position-horizontal-relative:page;mso-position-vertical-relative:paragraph;z-index:15942656" from="206.811996pt,3.851761pt" to="211.061996pt,3.851761pt" stroked="true" strokeweight=".5pt" strokecolor="#000000">
            <v:stroke dashstyle="solid"/>
            <w10:wrap type="none"/>
          </v:line>
        </w:pict>
      </w:r>
      <w:r>
        <w:rPr>
          <w:sz w:val="12"/>
        </w:rPr>
        <w:t>1</w:t>
      </w:r>
    </w:p>
    <w:p>
      <w:pPr>
        <w:pStyle w:val="BodyText"/>
        <w:rPr>
          <w:sz w:val="12"/>
        </w:rPr>
      </w:pPr>
    </w:p>
    <w:p>
      <w:pPr>
        <w:pStyle w:val="BodyText"/>
        <w:rPr>
          <w:sz w:val="13"/>
        </w:rPr>
      </w:pPr>
    </w:p>
    <w:p>
      <w:pPr>
        <w:spacing w:before="0"/>
        <w:ind w:left="2089" w:right="0" w:firstLine="0"/>
        <w:jc w:val="left"/>
        <w:rPr>
          <w:sz w:val="12"/>
        </w:rPr>
      </w:pPr>
      <w:r>
        <w:rPr/>
        <w:pict>
          <v:shape style="position:absolute;margin-left:48.187pt;margin-top:-.148438pt;width:162.65pt;height:4.5pt;mso-position-horizontal-relative:page;mso-position-vertical-relative:paragraph;z-index:15939584" coordorigin="964,-3" coordsize="3253,90" path="m1093,80l4078,82m964,82l1049,82m4131,82l4216,82m1090,87l1090,2m1820,87l1820,2m2550,82l2550,-3m3285,87l3285,2m4020,82l4020,-3e" filled="false" stroked="true" strokeweight=".5pt" strokecolor="#000000">
            <v:path arrowok="t"/>
            <v:stroke dashstyle="solid"/>
            <w10:wrap type="none"/>
          </v:shape>
        </w:pict>
      </w:r>
      <w:r>
        <w:rPr>
          <w:sz w:val="12"/>
        </w:rPr>
        <w:t>0</w:t>
      </w:r>
    </w:p>
    <w:p>
      <w:pPr>
        <w:spacing w:line="242" w:lineRule="auto" w:before="5"/>
        <w:ind w:left="647" w:right="649" w:firstLine="0"/>
        <w:jc w:val="left"/>
        <w:rPr>
          <w:sz w:val="24"/>
        </w:rPr>
      </w:pPr>
      <w:r>
        <w:rPr/>
        <w:br w:type="column"/>
      </w:r>
      <w:r>
        <w:rPr>
          <w:sz w:val="24"/>
        </w:rPr>
        <w:t>main findings of the review and the methodological changes made. Chart 3.1 compares the new headline measure of average earnings growth—a</w:t>
      </w:r>
    </w:p>
    <w:p>
      <w:pPr>
        <w:spacing w:line="280" w:lineRule="exact" w:before="4"/>
        <w:ind w:left="647" w:right="276" w:firstLine="0"/>
        <w:jc w:val="left"/>
        <w:rPr>
          <w:sz w:val="24"/>
        </w:rPr>
      </w:pPr>
      <w:r>
        <w:rPr>
          <w:sz w:val="24"/>
        </w:rPr>
        <w:t>backward-looking three-month moving average rather than a centred measure as previously—with the version suspended on 2 November last year, and with its predecessor, which was last updated on 6 October. The new measure rises steadily from mid 1995 to a peak of 5.7% in June 1998—above the peaks in the previous two series—before falling back sharply to 4.5% in</w:t>
      </w:r>
    </w:p>
    <w:p>
      <w:pPr>
        <w:spacing w:after="0" w:line="280" w:lineRule="exact"/>
        <w:jc w:val="left"/>
        <w:rPr>
          <w:sz w:val="24"/>
        </w:rPr>
        <w:sectPr>
          <w:type w:val="continuous"/>
          <w:pgSz w:w="11900" w:h="16840"/>
          <w:pgMar w:top="1220" w:bottom="280" w:left="640" w:right="640"/>
          <w:cols w:num="3" w:equalWidth="0">
            <w:col w:w="1511" w:space="40"/>
            <w:col w:w="2190" w:space="611"/>
            <w:col w:w="6268"/>
          </w:cols>
        </w:sectPr>
      </w:pPr>
    </w:p>
    <w:p>
      <w:pPr>
        <w:tabs>
          <w:tab w:pos="1127" w:val="left" w:leader="none"/>
          <w:tab w:pos="1859" w:val="left" w:leader="none"/>
          <w:tab w:pos="2589" w:val="left" w:leader="none"/>
          <w:tab w:pos="3319" w:val="left" w:leader="none"/>
        </w:tabs>
        <w:spacing w:line="47" w:lineRule="exact" w:before="0"/>
        <w:ind w:left="297" w:right="0" w:firstLine="0"/>
        <w:jc w:val="left"/>
        <w:rPr>
          <w:sz w:val="12"/>
        </w:rPr>
      </w:pPr>
      <w:r>
        <w:rPr>
          <w:sz w:val="12"/>
        </w:rPr>
        <w:t>1995</w:t>
        <w:tab/>
        <w:t>96</w:t>
        <w:tab/>
        <w:t>97</w:t>
        <w:tab/>
        <w:t>98</w:t>
        <w:tab/>
        <w:t>99</w:t>
      </w:r>
    </w:p>
    <w:p>
      <w:pPr>
        <w:pStyle w:val="ListParagraph"/>
        <w:numPr>
          <w:ilvl w:val="0"/>
          <w:numId w:val="14"/>
        </w:numPr>
        <w:tabs>
          <w:tab w:pos="420" w:val="left" w:leader="none"/>
        </w:tabs>
        <w:spacing w:line="129" w:lineRule="exact" w:before="67" w:after="0"/>
        <w:ind w:left="419" w:right="0" w:hanging="240"/>
        <w:jc w:val="left"/>
        <w:rPr>
          <w:sz w:val="12"/>
        </w:rPr>
      </w:pPr>
      <w:r>
        <w:rPr>
          <w:sz w:val="12"/>
        </w:rPr>
        <w:t>Seasonally adjusted, whole-economy figures.</w:t>
      </w:r>
    </w:p>
    <w:p>
      <w:pPr>
        <w:pStyle w:val="ListParagraph"/>
        <w:numPr>
          <w:ilvl w:val="0"/>
          <w:numId w:val="14"/>
        </w:numPr>
        <w:tabs>
          <w:tab w:pos="421" w:val="left" w:leader="none"/>
        </w:tabs>
        <w:spacing w:line="208" w:lineRule="auto" w:before="6" w:after="0"/>
        <w:ind w:left="420" w:right="38" w:hanging="240"/>
        <w:jc w:val="left"/>
        <w:rPr>
          <w:sz w:val="12"/>
        </w:rPr>
      </w:pPr>
      <w:r>
        <w:rPr>
          <w:sz w:val="12"/>
        </w:rPr>
        <w:t>Old and suspended series are lagged by one month to ensure </w:t>
      </w:r>
      <w:r>
        <w:rPr>
          <w:spacing w:val="-2"/>
          <w:sz w:val="12"/>
        </w:rPr>
        <w:t>comparability </w:t>
      </w:r>
      <w:r>
        <w:rPr>
          <w:sz w:val="12"/>
        </w:rPr>
        <w:t>with the new measure.</w:t>
      </w:r>
    </w:p>
    <w:p>
      <w:pPr>
        <w:spacing w:line="242" w:lineRule="auto" w:before="0"/>
        <w:ind w:left="180" w:right="154" w:firstLine="0"/>
        <w:jc w:val="left"/>
        <w:rPr>
          <w:sz w:val="24"/>
        </w:rPr>
      </w:pPr>
      <w:r>
        <w:rPr/>
        <w:br w:type="column"/>
      </w:r>
      <w:r>
        <w:rPr>
          <w:sz w:val="24"/>
        </w:rPr>
        <w:t>December 1998 and January 1999. Headline earnings growth rose slightly to 4.6% in February.</w:t>
      </w:r>
    </w:p>
    <w:p>
      <w:pPr>
        <w:pStyle w:val="BodyText"/>
        <w:rPr>
          <w:sz w:val="28"/>
        </w:rPr>
      </w:pPr>
    </w:p>
    <w:p>
      <w:pPr>
        <w:spacing w:line="242" w:lineRule="auto" w:before="0"/>
        <w:ind w:left="180" w:right="154" w:firstLine="0"/>
        <w:jc w:val="left"/>
        <w:rPr>
          <w:sz w:val="24"/>
        </w:rPr>
      </w:pPr>
      <w:r>
        <w:rPr>
          <w:sz w:val="24"/>
        </w:rPr>
        <w:t>As the box discusses, the ONS is carrying out further work to improve the quality of the AEI. Until this work is completed, it is hard to know how much weight to place on the index. In some respects, the new series presents fewer interpretational difficulties than the suspended measure. First, there is no longer a marked</w:t>
      </w:r>
    </w:p>
    <w:p>
      <w:pPr>
        <w:spacing w:after="0" w:line="242" w:lineRule="auto"/>
        <w:jc w:val="left"/>
        <w:rPr>
          <w:sz w:val="24"/>
        </w:rPr>
        <w:sectPr>
          <w:type w:val="continuous"/>
          <w:pgSz w:w="11900" w:h="16840"/>
          <w:pgMar w:top="1220" w:bottom="280" w:left="640" w:right="640"/>
          <w:cols w:num="2" w:equalWidth="0">
            <w:col w:w="4056" w:space="764"/>
            <w:col w:w="5800"/>
          </w:cols>
        </w:sectPr>
      </w:pPr>
    </w:p>
    <w:p>
      <w:pPr>
        <w:pStyle w:val="BodyText"/>
        <w:spacing w:before="4"/>
        <w:rPr>
          <w:sz w:val="22"/>
        </w:rPr>
      </w:pPr>
    </w:p>
    <w:p>
      <w:pPr>
        <w:spacing w:before="89"/>
        <w:ind w:left="1975" w:right="1535" w:firstLine="0"/>
        <w:jc w:val="center"/>
        <w:rPr>
          <w:b/>
          <w:sz w:val="28"/>
        </w:rPr>
      </w:pPr>
      <w:bookmarkStart w:name="The review of the Average Earnings Index" w:id="51"/>
      <w:bookmarkEnd w:id="51"/>
      <w:r>
        <w:rPr/>
      </w:r>
      <w:bookmarkStart w:name="_bookmark20" w:id="52"/>
      <w:bookmarkEnd w:id="52"/>
      <w:r>
        <w:rPr/>
      </w:r>
      <w:r>
        <w:rPr>
          <w:b/>
          <w:color w:val="009483"/>
          <w:sz w:val="28"/>
        </w:rPr>
        <w:t>The review of the Average Earnings Index</w:t>
      </w:r>
    </w:p>
    <w:p>
      <w:pPr>
        <w:pStyle w:val="BodyText"/>
        <w:spacing w:before="8"/>
        <w:rPr>
          <w:b/>
          <w:sz w:val="19"/>
        </w:rPr>
      </w:pPr>
    </w:p>
    <w:p>
      <w:pPr>
        <w:spacing w:after="0"/>
        <w:rPr>
          <w:sz w:val="19"/>
        </w:rPr>
        <w:sectPr>
          <w:headerReference w:type="even" r:id="rId76"/>
          <w:headerReference w:type="default" r:id="rId77"/>
          <w:footerReference w:type="even" r:id="rId78"/>
          <w:footerReference w:type="default" r:id="rId79"/>
          <w:pgSz w:w="11900" w:h="16840"/>
          <w:pgMar w:header="584" w:footer="597" w:top="780" w:bottom="780" w:left="640" w:right="640"/>
          <w:pgNumType w:start="24"/>
        </w:sectPr>
      </w:pPr>
    </w:p>
    <w:p>
      <w:pPr>
        <w:pStyle w:val="Heading4"/>
        <w:spacing w:before="91"/>
        <w:ind w:left="440"/>
      </w:pPr>
      <w:r>
        <w:rPr>
          <w:color w:val="009483"/>
        </w:rPr>
        <w:t>Background</w:t>
      </w:r>
    </w:p>
    <w:p>
      <w:pPr>
        <w:pStyle w:val="Heading5"/>
        <w:spacing w:line="249" w:lineRule="auto" w:before="170"/>
        <w:ind w:left="440" w:right="22"/>
      </w:pPr>
      <w:r>
        <w:rPr/>
        <w:t>The Average Earnings Index (AEI) is a measure of the growth in whole-economy average weekly earnings per head. It is constructed from monthly survey data on the pay bills and employment of a sample of employers, grouped by size and industrial sector. To make the sample representative of the economy as a whole, returns from each employer in the sample are first scaled up by a ‘grossing factor’. The less comprehensive the sample’s coverage of that type of employer, the larger the grossing factor. Average earnings in each sector are calculated</w:t>
      </w:r>
    </w:p>
    <w:p>
      <w:pPr>
        <w:pStyle w:val="Heading5"/>
        <w:spacing w:before="9"/>
        <w:ind w:left="440"/>
      </w:pPr>
      <w:r>
        <w:rPr/>
        <w:t>by dividing total pay by total employment. And</w:t>
      </w:r>
    </w:p>
    <w:p>
      <w:pPr>
        <w:pStyle w:val="Heading5"/>
        <w:spacing w:line="249" w:lineRule="auto"/>
        <w:ind w:left="440" w:right="80"/>
        <w:jc w:val="both"/>
      </w:pPr>
      <w:r>
        <w:rPr/>
        <w:t>whole-economy average earnings are derived from these industry measures, combined using sectoral employment weights.</w:t>
      </w:r>
    </w:p>
    <w:p>
      <w:pPr>
        <w:pStyle w:val="BodyText"/>
        <w:spacing w:before="3"/>
        <w:rPr>
          <w:sz w:val="19"/>
        </w:rPr>
      </w:pPr>
    </w:p>
    <w:p>
      <w:pPr>
        <w:pStyle w:val="Heading5"/>
        <w:spacing w:line="249" w:lineRule="auto" w:before="1"/>
        <w:ind w:left="440" w:right="-9"/>
      </w:pPr>
      <w:r>
        <w:rPr/>
        <w:t>The AEI was first published in its present form in 1989. The sample of employers was partly updated in 1994 and early 1998, but the grossing factors and sectoral employment weights remained fixed at their initial values until 14 October last year, when (among other things) the employment weights used in the published series were updated and the new Interdepartmental Business Register was used to reclassify firms and update the grossing factors. These revisions had a significant impact on the index, and on 23 October the Chancellor commissioned an independent review of the new series. On</w:t>
      </w:r>
    </w:p>
    <w:p>
      <w:pPr>
        <w:pStyle w:val="Heading5"/>
        <w:spacing w:line="249" w:lineRule="auto" w:before="9"/>
        <w:ind w:left="440" w:right="74"/>
      </w:pPr>
      <w:r>
        <w:rPr/>
        <w:t>2 November, the ONS decided to suspend the AEI while the review took place. The review was published on</w:t>
      </w:r>
    </w:p>
    <w:p>
      <w:pPr>
        <w:pStyle w:val="Heading5"/>
        <w:spacing w:before="1"/>
        <w:ind w:left="440"/>
        <w:rPr>
          <w:sz w:val="12"/>
        </w:rPr>
      </w:pPr>
      <w:r>
        <w:rPr/>
        <w:t>2 March 1999.</w:t>
      </w:r>
      <w:r>
        <w:rPr>
          <w:position w:val="4"/>
          <w:sz w:val="12"/>
        </w:rPr>
        <w:t>(1)</w:t>
      </w:r>
    </w:p>
    <w:p>
      <w:pPr>
        <w:pStyle w:val="BodyText"/>
        <w:spacing w:before="9"/>
        <w:rPr>
          <w:sz w:val="21"/>
        </w:rPr>
      </w:pPr>
    </w:p>
    <w:p>
      <w:pPr>
        <w:pStyle w:val="Heading4"/>
        <w:spacing w:before="0"/>
        <w:ind w:left="440"/>
      </w:pPr>
      <w:r>
        <w:rPr>
          <w:color w:val="009483"/>
        </w:rPr>
        <w:t>Main findings of the review</w:t>
      </w:r>
    </w:p>
    <w:p>
      <w:pPr>
        <w:pStyle w:val="Heading5"/>
        <w:numPr>
          <w:ilvl w:val="1"/>
          <w:numId w:val="14"/>
        </w:numPr>
        <w:tabs>
          <w:tab w:pos="800" w:val="left" w:leader="none"/>
        </w:tabs>
        <w:spacing w:line="249" w:lineRule="auto" w:before="170" w:after="0"/>
        <w:ind w:left="800" w:right="0" w:hanging="360"/>
        <w:jc w:val="left"/>
      </w:pPr>
      <w:r>
        <w:rPr>
          <w:color w:val="231F20"/>
        </w:rPr>
        <w:t>The review found, first, that </w:t>
      </w:r>
      <w:r>
        <w:rPr>
          <w:b/>
          <w:color w:val="231F20"/>
        </w:rPr>
        <w:t>responses from some individual firms in the sample were having an excessive influence on the AEI</w:t>
      </w:r>
      <w:r>
        <w:rPr>
          <w:color w:val="231F20"/>
        </w:rPr>
        <w:t>. The AEI sample was known to under-represent some important parts of the economy, particularly those with a high concentration of smaller firms (mainly in the service sectors). To compensate for this, grossing factors applied to smaller firms in the sample were </w:t>
      </w:r>
      <w:r>
        <w:rPr>
          <w:color w:val="231F20"/>
          <w:spacing w:val="-3"/>
        </w:rPr>
        <w:t>increased </w:t>
      </w:r>
      <w:r>
        <w:rPr>
          <w:color w:val="231F20"/>
        </w:rPr>
        <w:t>sharply in the October 1998 revisions. But this </w:t>
      </w:r>
      <w:r>
        <w:rPr>
          <w:color w:val="231F20"/>
          <w:spacing w:val="-5"/>
        </w:rPr>
        <w:t>made </w:t>
      </w:r>
      <w:r>
        <w:rPr>
          <w:color w:val="231F20"/>
        </w:rPr>
        <w:t>the aggregate index much more sensitive to the returns of a relatively small number of employers, some of whom reported volatile wages from month to month. For example, the smallest size band in the financial intermediation sector consisted of only two firms. Between April and May 1998, large increases in these firms’ reported wages contributed nearly</w:t>
      </w:r>
    </w:p>
    <w:p>
      <w:pPr>
        <w:pStyle w:val="Heading5"/>
        <w:spacing w:line="249" w:lineRule="auto" w:before="13"/>
        <w:ind w:left="800" w:right="65"/>
      </w:pPr>
      <w:r>
        <w:rPr>
          <w:color w:val="231F20"/>
        </w:rPr>
        <w:t>1 percentage point to the rise in the recorded growth rate of the suspended AEI.</w:t>
      </w:r>
    </w:p>
    <w:p>
      <w:pPr>
        <w:pStyle w:val="BodyText"/>
        <w:spacing w:before="3"/>
        <w:rPr>
          <w:sz w:val="19"/>
        </w:rPr>
      </w:pPr>
    </w:p>
    <w:p>
      <w:pPr>
        <w:pStyle w:val="Heading5"/>
        <w:spacing w:line="249" w:lineRule="auto" w:before="0"/>
        <w:ind w:left="800" w:right="220"/>
      </w:pPr>
      <w:r>
        <w:rPr>
          <w:color w:val="231F20"/>
        </w:rPr>
        <w:t>To bring the AEI up to best practice, the review emphasised that the sample must be expanded and</w:t>
      </w:r>
    </w:p>
    <w:p>
      <w:pPr>
        <w:pStyle w:val="Heading5"/>
        <w:spacing w:line="249" w:lineRule="auto" w:before="91"/>
        <w:ind w:left="800" w:right="436"/>
      </w:pPr>
      <w:r>
        <w:rPr/>
        <w:br w:type="column"/>
      </w:r>
      <w:r>
        <w:rPr>
          <w:color w:val="231F20"/>
        </w:rPr>
        <w:t>made more representative. In the shorter term, it proposed that small financial intermediation firms be given a lower weight in the index, that the private health and social work sector be excluded from the index before June 1998, and that the ‘other business services’ sector be consolidated with the rest of the business services sector. The review also recommended that erratic individual returns or ‘outliers’ should be more formally analysed and— where particularly volatile—given a reduced</w:t>
      </w:r>
    </w:p>
    <w:p>
      <w:pPr>
        <w:pStyle w:val="Heading5"/>
        <w:spacing w:before="9"/>
        <w:ind w:left="800"/>
      </w:pPr>
      <w:r>
        <w:rPr>
          <w:color w:val="231F20"/>
        </w:rPr>
        <w:t>weight.</w:t>
      </w:r>
    </w:p>
    <w:p>
      <w:pPr>
        <w:pStyle w:val="BodyText"/>
        <w:spacing w:before="5"/>
        <w:rPr>
          <w:sz w:val="23"/>
        </w:rPr>
      </w:pPr>
    </w:p>
    <w:p>
      <w:pPr>
        <w:pStyle w:val="ListParagraph"/>
        <w:numPr>
          <w:ilvl w:val="1"/>
          <w:numId w:val="14"/>
        </w:numPr>
        <w:tabs>
          <w:tab w:pos="800" w:val="left" w:leader="none"/>
        </w:tabs>
        <w:spacing w:line="249" w:lineRule="auto" w:before="0" w:after="0"/>
        <w:ind w:left="800" w:right="430" w:hanging="360"/>
        <w:jc w:val="left"/>
        <w:rPr>
          <w:sz w:val="20"/>
        </w:rPr>
      </w:pPr>
      <w:r>
        <w:rPr>
          <w:color w:val="231F20"/>
          <w:sz w:val="20"/>
        </w:rPr>
        <w:t>Second, </w:t>
      </w:r>
      <w:r>
        <w:rPr>
          <w:b/>
          <w:color w:val="231F20"/>
          <w:sz w:val="20"/>
        </w:rPr>
        <w:t>historical AEI growth rates were being influenced on a monthly basis not only by </w:t>
      </w:r>
      <w:r>
        <w:rPr>
          <w:b/>
          <w:color w:val="231F20"/>
          <w:spacing w:val="-3"/>
          <w:sz w:val="20"/>
        </w:rPr>
        <w:t>changes </w:t>
      </w:r>
      <w:r>
        <w:rPr>
          <w:b/>
          <w:color w:val="231F20"/>
          <w:sz w:val="20"/>
        </w:rPr>
        <w:t>in respondents’ average earnings, but also by changes in sample composition and changes in </w:t>
      </w:r>
      <w:r>
        <w:rPr>
          <w:b/>
          <w:color w:val="231F20"/>
          <w:spacing w:val="-4"/>
          <w:sz w:val="20"/>
        </w:rPr>
        <w:t>the </w:t>
      </w:r>
      <w:r>
        <w:rPr>
          <w:b/>
          <w:color w:val="231F20"/>
          <w:sz w:val="20"/>
        </w:rPr>
        <w:t>grossing factors applied to firms</w:t>
      </w:r>
      <w:r>
        <w:rPr>
          <w:color w:val="231F20"/>
          <w:sz w:val="20"/>
        </w:rPr>
        <w:t>. If a firm paying relatively high wages fell out of the sample (because it had ceased to trade or had forgotten to report) measured growth in the old index would fall, even if the average earnings growth of all reporting firms remained the same. AEI growth rates were also being affected by monthly reassessments of firm size, which sometimes caused sharp changes in the grossing factors applied to individual firms.</w:t>
      </w:r>
    </w:p>
    <w:p>
      <w:pPr>
        <w:pStyle w:val="BodyText"/>
        <w:spacing w:before="6"/>
        <w:rPr>
          <w:sz w:val="23"/>
        </w:rPr>
      </w:pPr>
    </w:p>
    <w:p>
      <w:pPr>
        <w:pStyle w:val="Heading5"/>
        <w:spacing w:line="249" w:lineRule="auto" w:before="0"/>
        <w:ind w:left="800" w:right="425"/>
      </w:pPr>
      <w:r>
        <w:rPr>
          <w:color w:val="231F20"/>
        </w:rPr>
        <w:t>To address these problems, the review recommended that monthly AEI growth rates be calculated using only those returns from a ‘matched sample’ of employers reporting in both months. And the grossing factors applied to firms should be changed less frequently, at the same time as the sectoral employment weights, and in a way that did not affect monthly growth rates.</w:t>
      </w:r>
    </w:p>
    <w:p>
      <w:pPr>
        <w:pStyle w:val="BodyText"/>
        <w:spacing w:before="2"/>
        <w:rPr>
          <w:sz w:val="23"/>
        </w:rPr>
      </w:pPr>
    </w:p>
    <w:p>
      <w:pPr>
        <w:pStyle w:val="ListParagraph"/>
        <w:numPr>
          <w:ilvl w:val="1"/>
          <w:numId w:val="14"/>
        </w:numPr>
        <w:tabs>
          <w:tab w:pos="800" w:val="left" w:leader="none"/>
        </w:tabs>
        <w:spacing w:line="249" w:lineRule="auto" w:before="0" w:after="0"/>
        <w:ind w:left="800" w:right="443" w:hanging="360"/>
        <w:jc w:val="left"/>
        <w:rPr>
          <w:sz w:val="20"/>
        </w:rPr>
      </w:pPr>
      <w:r>
        <w:rPr>
          <w:color w:val="231F20"/>
          <w:sz w:val="20"/>
        </w:rPr>
        <w:t>Third, </w:t>
      </w:r>
      <w:r>
        <w:rPr>
          <w:b/>
          <w:color w:val="231F20"/>
          <w:sz w:val="20"/>
        </w:rPr>
        <w:t>the ONS had faced difficulties allocating some employers to sub-categories </w:t>
      </w:r>
      <w:r>
        <w:rPr>
          <w:color w:val="231F20"/>
          <w:sz w:val="20"/>
        </w:rPr>
        <w:t>within the </w:t>
      </w:r>
      <w:r>
        <w:rPr>
          <w:color w:val="231F20"/>
          <w:spacing w:val="-3"/>
          <w:sz w:val="20"/>
        </w:rPr>
        <w:t>public </w:t>
      </w:r>
      <w:r>
        <w:rPr>
          <w:color w:val="231F20"/>
          <w:sz w:val="20"/>
        </w:rPr>
        <w:t>sector and, separately, within the agriculture, fisheries and foods sector. The review therefore recommended that each sector should be consolidated into a single unit.</w:t>
      </w:r>
    </w:p>
    <w:p>
      <w:pPr>
        <w:pStyle w:val="BodyText"/>
        <w:spacing w:before="6"/>
        <w:rPr>
          <w:sz w:val="26"/>
        </w:rPr>
      </w:pPr>
    </w:p>
    <w:p>
      <w:pPr>
        <w:pStyle w:val="Heading4"/>
        <w:spacing w:before="0"/>
        <w:ind w:left="440"/>
      </w:pPr>
      <w:r>
        <w:rPr>
          <w:color w:val="009483"/>
        </w:rPr>
        <w:t>Next steps</w:t>
      </w:r>
    </w:p>
    <w:p>
      <w:pPr>
        <w:pStyle w:val="Heading5"/>
        <w:spacing w:line="249" w:lineRule="auto" w:before="170"/>
        <w:ind w:left="440" w:right="969"/>
      </w:pPr>
      <w:r>
        <w:rPr/>
        <w:t>All of the short-term changes recommended by the review were adopted in the new AEI published on</w:t>
      </w:r>
    </w:p>
    <w:p>
      <w:pPr>
        <w:pStyle w:val="Heading5"/>
        <w:spacing w:line="249" w:lineRule="auto" w:before="2"/>
        <w:ind w:left="440" w:right="442"/>
      </w:pPr>
      <w:r>
        <w:rPr/>
        <w:t>2 March. Data based on the improved sample—which is crucial to help bring the AEI up towards best statistical practice—together with statistical measures of volatility in the AEI should begin to be available from September. The ONS is to report to the Economic Secretary to the Treasury by the end of 1999 on the progress made towards implementation of these and the other recommendations of the review.</w:t>
      </w:r>
    </w:p>
    <w:p>
      <w:pPr>
        <w:spacing w:after="0" w:line="249" w:lineRule="auto"/>
        <w:sectPr>
          <w:type w:val="continuous"/>
          <w:pgSz w:w="11900" w:h="16840"/>
          <w:pgMar w:top="1220" w:bottom="280" w:left="640" w:right="640"/>
          <w:cols w:num="2" w:equalWidth="0">
            <w:col w:w="5067" w:space="53"/>
            <w:col w:w="5500"/>
          </w:cols>
        </w:sectPr>
      </w:pPr>
    </w:p>
    <w:p>
      <w:pPr>
        <w:pStyle w:val="BodyText"/>
        <w:spacing w:before="6"/>
        <w:rPr>
          <w:sz w:val="14"/>
        </w:rPr>
      </w:pPr>
      <w:r>
        <w:rPr/>
        <w:pict>
          <v:group style="position:absolute;margin-left:39pt;margin-top:40pt;width:517pt;height:742pt;mso-position-horizontal-relative:page;mso-position-vertical-relative:page;z-index:-21190656" coordorigin="780,800" coordsize="10340,14840">
            <v:shape style="position:absolute;left:800;top:820;width:10300;height:14800" coordorigin="800,820" coordsize="10300,14800" path="m11100,820l5964,820,5936,820,800,820,800,8191,800,8249,800,15620,5936,15620,5964,15620,11100,15620,11100,820xe" filled="true" fillcolor="#c3e0dc" stroked="false">
              <v:path arrowok="t"/>
              <v:fill type="solid"/>
            </v:shape>
            <v:shape style="position:absolute;left:879;top:942;width:10141;height:14555" coordorigin="879,943" coordsize="10141,14555" path="m5950,943l879,8220,5950,15497,11020,8220,5950,943xe" filled="true" fillcolor="#c4e1dd" stroked="false">
              <v:path arrowok="t"/>
              <v:fill type="solid"/>
            </v:shape>
            <v:shape style="position:absolute;left:978;top:1085;width:9943;height:14270" coordorigin="979,1086" coordsize="9943,14270" path="m5950,1086l979,8220,5950,15355,10921,8220,5950,1086xe" filled="true" fillcolor="#c5e1dd" stroked="false">
              <v:path arrowok="t"/>
              <v:fill type="solid"/>
            </v:shape>
            <v:shape style="position:absolute;left:1078;top:1228;width:9744;height:13984" coordorigin="1078,1228" coordsize="9744,13984" path="m5950,1228l1078,8220,5950,15212,10822,8220,5950,1228xe" filled="true" fillcolor="#c6e2de" stroked="false">
              <v:path arrowok="t"/>
              <v:fill type="solid"/>
            </v:shape>
            <v:shape style="position:absolute;left:1177;top:1370;width:9545;height:13699" coordorigin="1178,1371" coordsize="9545,13699" path="m5950,1371l1178,8220,5950,15069,10722,8220,5950,1371xe" filled="true" fillcolor="#c7e2df" stroked="false">
              <v:path arrowok="t"/>
              <v:fill type="solid"/>
            </v:shape>
            <v:shape style="position:absolute;left:1277;top:1513;width:9346;height:13413" coordorigin="1277,1514" coordsize="9346,13413" path="m5950,1514l1277,8220,5950,14927,10623,8220,5950,1514xe" filled="true" fillcolor="#c8e3df" stroked="false">
              <v:path arrowok="t"/>
              <v:fill type="solid"/>
            </v:shape>
            <v:shape style="position:absolute;left:1376;top:1656;width:9147;height:13128" coordorigin="1377,1656" coordsize="9147,13128" path="m5950,1656l1377,8220,5950,14784,10523,8220,5950,1656xe" filled="true" fillcolor="#c9e3e0" stroked="false">
              <v:path arrowok="t"/>
              <v:fill type="solid"/>
            </v:shape>
            <v:shape style="position:absolute;left:1475;top:1799;width:8948;height:12843" coordorigin="1476,1799" coordsize="8948,12843" path="m5950,1799l1476,8220,5950,14641,10424,8220,5950,1799xe" filled="true" fillcolor="#cae4e0" stroked="false">
              <v:path arrowok="t"/>
              <v:fill type="solid"/>
            </v:shape>
            <v:shape style="position:absolute;left:1575;top:1941;width:8750;height:12557" coordorigin="1575,1942" coordsize="8750,12557" path="m5950,1942l1575,8220,5950,14498,10324,8220,5950,1942xe" filled="true" fillcolor="#cbe4e1" stroked="false">
              <v:path arrowok="t"/>
              <v:fill type="solid"/>
            </v:shape>
            <v:shape style="position:absolute;left:1674;top:2084;width:8551;height:12272" coordorigin="1675,2084" coordsize="8551,12272" path="m5950,2084l1675,8220,5950,14356,10225,8220,5950,2084xe" filled="true" fillcolor="#cce5e1" stroked="false">
              <v:path arrowok="t"/>
              <v:fill type="solid"/>
            </v:shape>
            <v:shape style="position:absolute;left:1774;top:2227;width:8352;height:11986" coordorigin="1774,2227" coordsize="8352,11986" path="m5950,2227l1774,8220,5950,14213,10126,8220,5950,2227xe" filled="true" fillcolor="#cde5e2" stroked="false">
              <v:path arrowok="t"/>
              <v:fill type="solid"/>
            </v:shape>
            <v:shape style="position:absolute;left:1873;top:2369;width:8153;height:11701" coordorigin="1874,2370" coordsize="8153,11701" path="m5950,2370l1874,8220,5950,14070,10026,8220,5950,2370xe" filled="true" fillcolor="#cee6e3" stroked="false">
              <v:path arrowok="t"/>
              <v:fill type="solid"/>
            </v:shape>
            <v:shape style="position:absolute;left:1973;top:2512;width:7954;height:11416" coordorigin="1973,2512" coordsize="7954,11416" path="m5950,2512l1973,8220,5950,13928,9927,8220,5950,2512xe" filled="true" fillcolor="#cfe6e3" stroked="false">
              <v:path arrowok="t"/>
              <v:fill type="solid"/>
            </v:shape>
            <v:shape style="position:absolute;left:2072;top:2655;width:7755;height:11130" coordorigin="2072,2655" coordsize="7755,11130" path="m5950,2655l2072,8220,5950,13785,9827,8220,5950,2655xe" filled="true" fillcolor="#d0e7e4" stroked="false">
              <v:path arrowok="t"/>
              <v:fill type="solid"/>
            </v:shape>
            <v:shape style="position:absolute;left:2171;top:2797;width:7557;height:10845" coordorigin="2172,2798" coordsize="7557,10845" path="m5950,2798l2172,8220,5950,13642,9728,8220,5950,2798xe" filled="true" fillcolor="#d1e7e4" stroked="false">
              <v:path arrowok="t"/>
              <v:fill type="solid"/>
            </v:shape>
            <v:shape style="position:absolute;left:2271;top:2940;width:7358;height:10560" coordorigin="2271,2941" coordsize="7358,10560" path="m5950,2941l2271,8220,5950,13500,9629,8220,5950,2941xe" filled="true" fillcolor="#d3e8e5" stroked="false">
              <v:path arrowok="t"/>
              <v:fill type="solid"/>
            </v:shape>
            <v:shape style="position:absolute;left:2370;top:3083;width:7159;height:10274" coordorigin="2371,3083" coordsize="7159,10274" path="m5950,3083l2371,8220,5950,13357,9529,8220,5950,3083xe" filled="true" fillcolor="#d4e8e5" stroked="false">
              <v:path arrowok="t"/>
              <v:fill type="solid"/>
            </v:shape>
            <v:shape style="position:absolute;left:2470;top:3225;width:6960;height:9989" coordorigin="2470,3226" coordsize="6960,9989" path="m5950,3226l2470,8220,5950,13214,9430,8220,5950,3226xe" filled="true" fillcolor="#d5e9e6" stroked="false">
              <v:path arrowok="t"/>
              <v:fill type="solid"/>
            </v:shape>
            <v:shape style="position:absolute;left:2569;top:3368;width:6761;height:9703" coordorigin="2570,3369" coordsize="6761,9703" path="m5950,3369l2570,8220,5950,13072,9330,8220,5950,3369xe" filled="true" fillcolor="#d6eae7" stroked="false">
              <v:path arrowok="t"/>
              <v:fill type="solid"/>
            </v:shape>
            <v:shape style="position:absolute;left:2669;top:3511;width:6562;height:9418" coordorigin="2669,3511" coordsize="6562,9418" path="m5950,3511l2669,8220,5950,12929,9231,8220,5950,3511xe" filled="true" fillcolor="#d7eae7" stroked="false">
              <v:path arrowok="t"/>
              <v:fill type="solid"/>
            </v:shape>
            <v:shape style="position:absolute;left:2768;top:3654;width:6363;height:9133" coordorigin="2768,3654" coordsize="6363,9133" path="m5950,3654l2768,8220,5950,12786,9131,8220,5950,3654xe" filled="true" fillcolor="#d8ebe8" stroked="false">
              <v:path arrowok="t"/>
              <v:fill type="solid"/>
            </v:shape>
            <v:shape style="position:absolute;left:2867;top:3796;width:6165;height:8847" coordorigin="2868,3797" coordsize="6165,8847" path="m5950,3797l2868,8220,5950,12644,9032,8220,5950,3797xe" filled="true" fillcolor="#d9ebe8" stroked="false">
              <v:path arrowok="t"/>
              <v:fill type="solid"/>
            </v:shape>
            <v:shape style="position:absolute;left:2967;top:3939;width:5966;height:8562" coordorigin="2967,3939" coordsize="5966,8562" path="m5950,3939l2967,8220,5950,12501,8933,8220,5950,3939xe" filled="true" fillcolor="#daece9" stroked="false">
              <v:path arrowok="t"/>
              <v:fill type="solid"/>
            </v:shape>
            <v:shape style="position:absolute;left:3066;top:4082;width:5767;height:8277" coordorigin="3067,4082" coordsize="5767,8277" path="m5950,4082l3067,8220,5950,12358,8833,8220,5950,4082xe" filled="true" fillcolor="#dbece9" stroked="false">
              <v:path arrowok="t"/>
              <v:fill type="solid"/>
            </v:shape>
            <v:shape style="position:absolute;left:3166;top:4224;width:5568;height:7991" coordorigin="3166,4225" coordsize="5568,7991" path="m5950,4225l3166,8220,5950,12215,8734,8220,5950,4225xe" filled="true" fillcolor="#dcedea" stroked="false">
              <v:path arrowok="t"/>
              <v:fill type="solid"/>
            </v:shape>
            <v:shape style="position:absolute;left:3265;top:4367;width:5369;height:7706" coordorigin="3266,4367" coordsize="5369,7706" path="m5950,4367l3266,8220,5950,12073,8634,8220,5950,4367xe" filled="true" fillcolor="#ddedeb" stroked="false">
              <v:path arrowok="t"/>
              <v:fill type="solid"/>
            </v:shape>
            <v:shape style="position:absolute;left:3364;top:4510;width:5170;height:7420" coordorigin="3365,4510" coordsize="5170,7420" path="m5950,4510l3365,8220,5950,11930,8535,8220,5950,4510xe" filled="true" fillcolor="#deeeeb" stroked="false">
              <v:path arrowok="t"/>
              <v:fill type="solid"/>
            </v:shape>
            <v:shape style="position:absolute;left:3464;top:4652;width:4972;height:7135" coordorigin="3464,4653" coordsize="4972,7135" path="m5950,4653l3464,8220,5950,11787,8435,8220,5950,4653xe" filled="true" fillcolor="#e0efec" stroked="false">
              <v:path arrowok="t"/>
              <v:fill type="solid"/>
            </v:shape>
            <v:shape style="position:absolute;left:3563;top:4795;width:4773;height:6850" coordorigin="3564,4796" coordsize="4773,6850" path="m5950,4796l3564,8220,5950,11645,8336,8220,5950,4796xe" filled="true" fillcolor="#e1efec" stroked="false">
              <v:path arrowok="t"/>
              <v:fill type="solid"/>
            </v:shape>
            <v:shape style="position:absolute;left:3663;top:4938;width:4574;height:6564" coordorigin="3663,4938" coordsize="4574,6564" path="m5950,4938l3663,8220,5950,11502,8237,8220,5950,4938xe" filled="true" fillcolor="#e2f0ed" stroked="false">
              <v:path arrowok="t"/>
              <v:fill type="solid"/>
            </v:shape>
            <v:shape style="position:absolute;left:3762;top:5080;width:4375;height:6279" coordorigin="3763,5081" coordsize="4375,6279" path="m5950,5081l3763,8220,5950,11359,8137,8220,5950,5081xe" filled="true" fillcolor="#e3f0ee" stroked="false">
              <v:path arrowok="t"/>
              <v:fill type="solid"/>
            </v:shape>
            <v:shape style="position:absolute;left:3862;top:5223;width:4176;height:5993" coordorigin="3862,5224" coordsize="4176,5993" path="m5950,5224l3862,8220,5950,11217,8038,8220,5950,5224xe" filled="true" fillcolor="#e4f1ee" stroked="false">
              <v:path arrowok="t"/>
              <v:fill type="solid"/>
            </v:shape>
            <v:shape style="position:absolute;left:3961;top:5366;width:3977;height:5708" coordorigin="3961,5366" coordsize="3977,5708" path="m5950,5366l3961,8220,5950,11074,7938,8220,5950,5366xe" filled="true" fillcolor="#e5f1ef" stroked="false">
              <v:path arrowok="t"/>
              <v:fill type="solid"/>
            </v:shape>
            <v:shape style="position:absolute;left:4060;top:5508;width:3778;height:5423" coordorigin="4061,5509" coordsize="3778,5423" path="m5950,5509l4061,8220,5950,10931,7839,8220,5950,5509xe" filled="true" fillcolor="#e6f2ef" stroked="false">
              <v:path arrowok="t"/>
              <v:fill type="solid"/>
            </v:shape>
            <v:shape style="position:absolute;left:4160;top:5651;width:3580;height:5137" coordorigin="4160,5652" coordsize="3580,5137" path="m5950,5652l4160,8220,5950,10789,7739,8220,5950,5652xe" filled="true" fillcolor="#e7f3f0" stroked="false">
              <v:path arrowok="t"/>
              <v:fill type="solid"/>
            </v:shape>
            <v:shape style="position:absolute;left:4259;top:5794;width:3381;height:4852" coordorigin="4260,5794" coordsize="3381,4852" path="m5950,5794l4260,8220,5950,10646,7640,8220,5950,5794xe" filled="true" fillcolor="#e9f3f1" stroked="false">
              <v:path arrowok="t"/>
              <v:fill type="solid"/>
            </v:shape>
            <v:shape style="position:absolute;left:4359;top:5937;width:3182;height:4567" coordorigin="4359,5937" coordsize="3182,4567" path="m5950,5937l4359,8220,5950,10503,7541,8220,5950,5937xe" filled="true" fillcolor="#eaf4f2" stroked="false">
              <v:path arrowok="t"/>
              <v:fill type="solid"/>
            </v:shape>
            <v:shape style="position:absolute;left:4458;top:6079;width:2983;height:4281" coordorigin="4459,6080" coordsize="2983,4281" path="m5950,6080l4459,8220,5950,10360,7441,8220,5950,6080xe" filled="true" fillcolor="#ebf4f2" stroked="false">
              <v:path arrowok="t"/>
              <v:fill type="solid"/>
            </v:shape>
            <v:shape style="position:absolute;left:4558;top:6222;width:2784;height:3996" coordorigin="4558,6222" coordsize="2784,3996" path="m5950,6222l4558,8220,5950,10218,7342,8220,5950,6222xe" filled="true" fillcolor="#ecf5f3" stroked="false">
              <v:path arrowok="t"/>
              <v:fill type="solid"/>
            </v:shape>
            <v:shape style="position:absolute;left:4657;top:6365;width:2585;height:3710" coordorigin="4657,6365" coordsize="2585,3710" path="m5950,6365l4657,8220,5950,10075,7242,8220,5950,6365xe" filled="true" fillcolor="#edf6f4" stroked="false">
              <v:path arrowok="t"/>
              <v:fill type="solid"/>
            </v:shape>
            <v:shape style="position:absolute;left:4756;top:6507;width:2387;height:3425" coordorigin="4757,6508" coordsize="2387,3425" path="m5950,6508l4757,8220,5950,9932,7143,8220,5950,6508xe" filled="true" fillcolor="#eff7f5" stroked="false">
              <v:path arrowok="t"/>
              <v:fill type="solid"/>
            </v:shape>
            <v:shape style="position:absolute;left:4856;top:6650;width:2188;height:3140" coordorigin="4856,6650" coordsize="2188,3140" path="m5950,6650l4856,8220,5950,9790,7044,8220,5950,6650xe" filled="true" fillcolor="#f0f7f5" stroked="false">
              <v:path arrowok="t"/>
              <v:fill type="solid"/>
            </v:shape>
            <v:shape style="position:absolute;left:4955;top:6793;width:1989;height:2854" coordorigin="4956,6793" coordsize="1989,2854" path="m5950,6793l4956,8220,5950,9647,6944,8220,5950,6793xe" filled="true" fillcolor="#f1f8f6" stroked="false">
              <v:path arrowok="t"/>
              <v:fill type="solid"/>
            </v:shape>
            <v:shape style="position:absolute;left:5055;top:6935;width:1790;height:2569" coordorigin="5055,6936" coordsize="1790,2569" path="m5950,6936l5055,8220,5950,9504,6845,8220,5950,6936xe" filled="true" fillcolor="#f2f8f7" stroked="false">
              <v:path arrowok="t"/>
              <v:fill type="solid"/>
            </v:shape>
            <v:shape style="position:absolute;left:5154;top:7078;width:1591;height:2284" coordorigin="5155,7079" coordsize="1591,2284" path="m5950,7079l5155,8220,5950,9362,6745,8220,5950,7079xe" filled="true" fillcolor="#f3f9f8" stroked="false">
              <v:path arrowok="t"/>
              <v:fill type="solid"/>
            </v:shape>
            <v:shape style="position:absolute;left:5253;top:7221;width:1392;height:1998" coordorigin="5254,7221" coordsize="1392,1998" path="m5950,7221l5254,8220,5950,9219,6646,8220,5950,7221xe" filled="true" fillcolor="#f5f9f8" stroked="false">
              <v:path arrowok="t"/>
              <v:fill type="solid"/>
            </v:shape>
            <v:shape style="position:absolute;left:5353;top:7363;width:1194;height:1713" coordorigin="5353,7364" coordsize="1194,1713" path="m5950,7364l5353,8220,5950,9076,6546,8220,5950,7364xe" filled="true" fillcolor="#f6faf9" stroked="false">
              <v:path arrowok="t"/>
              <v:fill type="solid"/>
            </v:shape>
            <v:shape style="position:absolute;left:5452;top:7506;width:995;height:1427" coordorigin="5453,7507" coordsize="995,1427" path="m5950,7507l5453,8220,5950,8934,6447,8220,5950,7507xe" filled="true" fillcolor="#f8fbfa" stroked="false">
              <v:path arrowok="t"/>
              <v:fill type="solid"/>
            </v:shape>
            <v:shape style="position:absolute;left:5552;top:7649;width:796;height:1142" coordorigin="5552,7649" coordsize="796,1142" path="m5950,7649l5552,8220,5950,8791,6348,8220,5950,7649xe" filled="true" fillcolor="#f9fcfc" stroked="false">
              <v:path arrowok="t"/>
              <v:fill type="solid"/>
            </v:shape>
            <v:shape style="position:absolute;left:5651;top:7792;width:597;height:857" coordorigin="5652,7792" coordsize="597,857" path="m5950,7792l5652,8220,5950,8648,6248,8220,5950,7792xe" filled="true" fillcolor="#fbfdfd" stroked="false">
              <v:path arrowok="t"/>
              <v:fill type="solid"/>
            </v:shape>
            <v:shape style="position:absolute;left:5751;top:7934;width:398;height:571" coordorigin="5751,7935" coordsize="398,571" path="m5950,7935l5751,8220,5950,8505,6149,8220,5950,7935xe" filled="true" fillcolor="#fdfefe" stroked="false">
              <v:path arrowok="t"/>
              <v:fill type="solid"/>
            </v:shape>
            <v:shape style="position:absolute;left:5850;top:8077;width:199;height:286" coordorigin="5850,8077" coordsize="199,286" path="m5950,8077l5850,8220,5950,8363,6049,8220,5950,8077xe" filled="true" fillcolor="#ffffff" stroked="false">
              <v:path arrowok="t"/>
              <v:fill type="solid"/>
            </v:shape>
            <v:rect style="position:absolute;left:790;top:810;width:10320;height:14820" filled="false" stroked="true" strokeweight="1pt" strokecolor="#009483">
              <v:stroke dashstyle="solid"/>
            </v:rect>
            <v:line style="position:absolute" from="1020,15000" to="10840,15000" stroked="true" strokeweight=".125pt" strokecolor="#231f20">
              <v:stroke dashstyle="solid"/>
            </v:line>
            <w10:wrap type="none"/>
          </v:group>
        </w:pict>
      </w:r>
    </w:p>
    <w:p>
      <w:pPr>
        <w:pStyle w:val="BodyText"/>
        <w:spacing w:before="5"/>
        <w:rPr>
          <w:sz w:val="9"/>
        </w:rPr>
      </w:pPr>
    </w:p>
    <w:p>
      <w:pPr>
        <w:spacing w:line="208" w:lineRule="auto" w:before="1"/>
        <w:ind w:left="650" w:right="874" w:hanging="240"/>
        <w:jc w:val="left"/>
        <w:rPr>
          <w:sz w:val="12"/>
        </w:rPr>
      </w:pPr>
      <w:r>
        <w:rPr>
          <w:sz w:val="12"/>
        </w:rPr>
        <w:t>(1) </w:t>
      </w:r>
      <w:r>
        <w:rPr>
          <w:i/>
          <w:color w:val="231F20"/>
          <w:sz w:val="12"/>
        </w:rPr>
        <w:t>Review of the revisions to the Average Earnings Index</w:t>
      </w:r>
      <w:r>
        <w:rPr>
          <w:color w:val="231F20"/>
          <w:sz w:val="12"/>
        </w:rPr>
        <w:t>: Report submitted by Sir Andrew Turnbull and Mervyn King to the Chancellor of the Exchequer, prepared by Peter Sedgwick and Martin Weale, The Stationery Office Limited, March 1999.</w:t>
      </w:r>
    </w:p>
    <w:p>
      <w:pPr>
        <w:spacing w:after="0" w:line="208" w:lineRule="auto"/>
        <w:jc w:val="left"/>
        <w:rPr>
          <w:sz w:val="12"/>
        </w:rPr>
        <w:sectPr>
          <w:type w:val="continuous"/>
          <w:pgSz w:w="11900" w:h="16840"/>
          <w:pgMar w:top="1220" w:bottom="280" w:left="640" w:right="640"/>
        </w:sectPr>
      </w:pPr>
    </w:p>
    <w:p>
      <w:pPr>
        <w:pStyle w:val="BodyText"/>
        <w:rPr>
          <w:sz w:val="20"/>
        </w:rPr>
      </w:pPr>
    </w:p>
    <w:p>
      <w:pPr>
        <w:spacing w:after="0"/>
        <w:rPr>
          <w:sz w:val="20"/>
        </w:rPr>
        <w:sectPr>
          <w:pgSz w:w="11900" w:h="16840"/>
          <w:pgMar w:header="584" w:footer="617" w:top="780" w:bottom="800" w:left="640" w:right="640"/>
        </w:sectPr>
      </w:pPr>
    </w:p>
    <w:p>
      <w:pPr>
        <w:pStyle w:val="BodyText"/>
        <w:spacing w:before="6"/>
        <w:rPr>
          <w:sz w:val="20"/>
        </w:rPr>
      </w:pPr>
    </w:p>
    <w:p>
      <w:pPr>
        <w:pStyle w:val="Heading4"/>
        <w:spacing w:before="0"/>
        <w:ind w:left="155"/>
      </w:pPr>
      <w:r>
        <w:rPr>
          <w:color w:val="0093C1"/>
        </w:rPr>
        <w:t>Chart 3.2</w:t>
      </w:r>
    </w:p>
    <w:p>
      <w:pPr>
        <w:pStyle w:val="Heading4"/>
        <w:spacing w:line="249" w:lineRule="auto"/>
        <w:ind w:left="155" w:right="120"/>
      </w:pPr>
      <w:r>
        <w:rPr>
          <w:color w:val="0093C1"/>
        </w:rPr>
        <w:t>Alternative measures of average nominal earnings growth</w:t>
      </w:r>
    </w:p>
    <w:p>
      <w:pPr>
        <w:spacing w:before="80"/>
        <w:ind w:left="1792" w:right="0" w:firstLine="0"/>
        <w:jc w:val="left"/>
        <w:rPr>
          <w:sz w:val="12"/>
        </w:rPr>
      </w:pPr>
      <w:r>
        <w:rPr/>
        <w:pict>
          <v:line style="position:absolute;mso-position-horizontal-relative:page;mso-position-vertical-relative:paragraph;z-index:15952384" from="44.779999pt,11.808289pt" to="49.112999pt,11.808289pt" stroked="true" strokeweight=".5pt" strokecolor="#000000">
            <v:stroke dashstyle="solid"/>
            <w10:wrap type="none"/>
          </v:line>
        </w:pict>
      </w:r>
      <w:r>
        <w:rPr>
          <w:sz w:val="12"/>
        </w:rPr>
        <w:t>Percentage changes on a year earli</w:t>
      </w:r>
      <w:r>
        <w:rPr>
          <w:sz w:val="12"/>
          <w:u w:val="single"/>
        </w:rPr>
        <w:t>er</w:t>
      </w:r>
      <w:r>
        <w:rPr>
          <w:sz w:val="12"/>
        </w:rPr>
        <w:t> </w:t>
      </w:r>
      <w:r>
        <w:rPr>
          <w:position w:val="-5"/>
          <w:sz w:val="12"/>
        </w:rPr>
        <w:t>6.5</w:t>
      </w:r>
    </w:p>
    <w:p>
      <w:pPr>
        <w:pStyle w:val="BodyText"/>
        <w:spacing w:before="4"/>
        <w:rPr>
          <w:sz w:val="21"/>
        </w:rPr>
      </w:pPr>
      <w:r>
        <w:rPr/>
        <w:br w:type="column"/>
      </w:r>
      <w:r>
        <w:rPr>
          <w:sz w:val="21"/>
        </w:rPr>
      </w:r>
    </w:p>
    <w:p>
      <w:pPr>
        <w:spacing w:line="242" w:lineRule="auto" w:before="0"/>
        <w:ind w:left="155" w:right="189" w:firstLine="0"/>
        <w:jc w:val="left"/>
        <w:rPr>
          <w:sz w:val="24"/>
        </w:rPr>
      </w:pPr>
      <w:r>
        <w:rPr>
          <w:sz w:val="24"/>
        </w:rPr>
        <w:t>slowdown in earnings growth during 1997, a period when unemployment fell steeply and firms were reporting increasing difficulties in attracting suitably skilled staff. Second, the new series is, broadly</w:t>
      </w:r>
    </w:p>
    <w:p>
      <w:pPr>
        <w:spacing w:after="0" w:line="242" w:lineRule="auto"/>
        <w:jc w:val="left"/>
        <w:rPr>
          <w:sz w:val="24"/>
        </w:rPr>
        <w:sectPr>
          <w:type w:val="continuous"/>
          <w:pgSz w:w="11900" w:h="16840"/>
          <w:pgMar w:top="1220" w:bottom="280" w:left="640" w:right="640"/>
          <w:cols w:num="2" w:equalWidth="0">
            <w:col w:w="3795" w:space="1015"/>
            <w:col w:w="5810"/>
          </w:cols>
        </w:sectPr>
      </w:pPr>
    </w:p>
    <w:p>
      <w:pPr>
        <w:spacing w:line="208" w:lineRule="auto" w:before="94"/>
        <w:ind w:left="2466" w:right="97" w:hanging="60"/>
        <w:jc w:val="left"/>
        <w:rPr>
          <w:sz w:val="12"/>
        </w:rPr>
      </w:pPr>
      <w:r>
        <w:rPr/>
        <w:pict>
          <v:group style="position:absolute;margin-left:44.779999pt;margin-top:16.550169pt;width:165.3pt;height:99.75pt;mso-position-horizontal-relative:page;mso-position-vertical-relative:paragraph;z-index:15950336" coordorigin="896,331" coordsize="3306,1995">
            <v:shape style="position:absolute;left:1148;top:718;width:2733;height:1560" coordorigin="1148,719" coordsize="2733,1560" path="m1148,2101l1196,2131m1196,2131l1243,2159m1243,2159l1293,2191m1293,2191l1388,2061m1388,2061l1436,1994m1436,1994l1483,1904m1483,1904l1578,1729m1578,1729l1673,1604m1673,1604l1723,1541m1723,1541l1818,1736m1818,1736l1866,1836m1866,1836l1913,1886m1913,1886l1963,1939m1963,1939l2011,1991m2011,1991l2058,2089m2058,2089l2106,2181m2106,2181l2153,2279m2153,2279l2203,2264m2203,2264l2251,2246m2251,2246l2298,2231m2298,2231l2346,2121m2346,2121l2393,2016m2393,2016l2443,1911m2443,1911l2491,1956m2491,1956l2538,2006m2538,2006l2586,2054m2586,2054l2633,1929m2633,1929l2683,1804m2683,1804l2731,1676m2731,1676l2778,1599m2778,1599l2826,1524m2826,1524l2873,1446m2873,1446l2923,1411m2923,1411l2971,1376m2971,1376l3018,1339m3018,1339l3066,1134m3066,1134l3161,719m3161,719l3208,814m3208,814l3256,911m3256,911l3306,1009m3306,1009l3401,914m3496,876l3543,889m3401,914l3448,864m3448,864l3496,876m3543,889l3593,899m3593,899l3641,996m3641,996l3688,1089m3688,1089l3736,1186m3736,1186l3783,1071m3783,1071l3833,959m3833,959l3881,846e" filled="false" stroked="true" strokeweight="1pt" strokecolor="#0099d8">
              <v:path arrowok="t"/>
              <v:stroke dashstyle="solid"/>
            </v:shape>
            <v:shape style="position:absolute;left:1053;top:1653;width:190;height:463" coordorigin="1053,1654" coordsize="190,463" path="m1053,2116l1101,1981m1101,1981l1148,1654m1148,1654l1196,1719m1196,1719l1243,1786e" filled="false" stroked="true" strokeweight="1pt" strokecolor="#008256">
              <v:path arrowok="t"/>
              <v:stroke dashstyle="solid"/>
            </v:shape>
            <v:line style="position:absolute" from="1233,1787" to="1303,1787" stroked="true" strokeweight="1.125pt" strokecolor="#008256">
              <v:stroke dashstyle="solid"/>
            </v:line>
            <v:shape style="position:absolute;left:1293;top:1588;width:238;height:198" coordorigin="1293,1589" coordsize="238,198" path="m1293,1786l1341,1719m1341,1719l1388,1589m1388,1589l1436,1654m1436,1654l1483,1589m1483,1589l1531,1719e" filled="false" stroked="true" strokeweight="1pt" strokecolor="#008256">
              <v:path arrowok="t"/>
              <v:stroke dashstyle="solid"/>
            </v:shape>
            <v:shape style="position:absolute;left:1520;top:1719;width:115;height:2" coordorigin="1521,1720" coordsize="115,0" path="m1521,1720l1588,1720m1568,1720l1636,1720e" filled="false" stroked="true" strokeweight="1.125pt" strokecolor="#008256">
              <v:path arrowok="t"/>
              <v:stroke dashstyle="solid"/>
            </v:shape>
            <v:line style="position:absolute" from="1626,1719" to="1673,1786" stroked="true" strokeweight="1pt" strokecolor="#008256">
              <v:stroke dashstyle="solid"/>
            </v:line>
            <v:line style="position:absolute" from="1663,1787" to="1733,1787" stroked="true" strokeweight="1.125pt" strokecolor="#008256">
              <v:stroke dashstyle="solid"/>
            </v:line>
            <v:shape style="position:absolute;left:1723;top:1653;width:240;height:660" coordorigin="1723,1654" coordsize="240,660" path="m1723,1786l1771,1654m1771,1654l1818,1719m1818,1719l1866,1916m1866,1916l1913,2181m1913,2181l1963,2314e" filled="false" stroked="true" strokeweight="1pt" strokecolor="#008256">
              <v:path arrowok="t"/>
              <v:stroke dashstyle="solid"/>
            </v:shape>
            <v:line style="position:absolute" from="1953,2315" to="2021,2315" stroked="true" strokeweight="1.125pt" strokecolor="#008256">
              <v:stroke dashstyle="solid"/>
            </v:line>
            <v:shape style="position:absolute;left:2010;top:1653;width:528;height:660" coordorigin="2011,1654" coordsize="528,660" path="m2011,2314l2058,2246m2058,2246l2106,2116m2298,2116l2346,1981m2346,1981l2393,2051m2393,2051l2443,1851m2443,1851l2491,1786m2491,1786l2538,1654e" filled="false" stroked="true" strokeweight="1pt" strokecolor="#008256">
              <v:path arrowok="t"/>
              <v:stroke dashstyle="solid"/>
            </v:shape>
            <v:shape style="position:absolute;left:2623;top:1524;width:118;height:2" coordorigin="2623,1525" coordsize="118,0" path="m2623,1525l2693,1525m2673,1525l2741,1525e" filled="false" stroked="true" strokeweight="1.125pt" strokecolor="#008256">
              <v:path arrowok="t"/>
              <v:stroke dashstyle="solid"/>
            </v:shape>
            <v:line style="position:absolute" from="2538,1654" to="2586,1524" stroked="true" strokeweight="1pt" strokecolor="#008256">
              <v:stroke dashstyle="solid"/>
            </v:line>
            <v:line style="position:absolute" from="2576,1525" to="2643,1525" stroked="true" strokeweight="1.125pt" strokecolor="#008256">
              <v:stroke dashstyle="solid"/>
            </v:line>
            <v:shape style="position:absolute;left:2730;top:1326;width:383;height:198" coordorigin="2731,1326" coordsize="383,198" path="m2731,1524l2778,1326m2778,1326l2826,1391m2826,1391l2873,1326m2873,1326l2923,1459m2923,1459l2971,1391m2971,1391l3018,1524m3018,1524l3066,1459m3066,1459l3113,1326e" filled="false" stroked="true" strokeweight="1pt" strokecolor="#008256">
              <v:path arrowok="t"/>
              <v:stroke dashstyle="solid"/>
            </v:shape>
            <v:line style="position:absolute" from="3103,1327" to="3171,1327" stroked="true" strokeweight="1.125pt" strokecolor="#008256">
              <v:stroke dashstyle="solid"/>
            </v:line>
            <v:shape style="position:absolute;left:3160;top:801;width:240;height:525" coordorigin="3161,801" coordsize="240,525" path="m3161,1326l3208,1196m3208,1196l3256,1129m3256,1129l3306,934m3306,934l3353,869m3353,869l3401,801e" filled="false" stroked="true" strokeweight="1pt" strokecolor="#008256">
              <v:path arrowok="t"/>
              <v:stroke dashstyle="solid"/>
            </v:shape>
            <v:line style="position:absolute" from="3391,802" to="3458,802" stroked="true" strokeweight="1.125pt" strokecolor="#008256">
              <v:stroke dashstyle="solid"/>
            </v:line>
            <v:shape style="position:absolute;left:3448;top:341;width:433;height:788" coordorigin="3448,341" coordsize="433,788" path="m3688,606l3736,736m3448,801l3496,606m3496,606l3543,406m3543,406l3593,341m3593,341l3641,406m3641,406l3688,606m3736,736l3783,869m3783,869l3833,934m3833,934l3881,1129e" filled="false" stroked="true" strokeweight="1pt" strokecolor="#008256">
              <v:path arrowok="t"/>
              <v:stroke dashstyle="solid"/>
            </v:shape>
            <v:line style="position:absolute" from="3871,1130" to="3938,1130" stroked="true" strokeweight="1.125pt" strokecolor="#008256">
              <v:stroke dashstyle="solid"/>
            </v:line>
            <v:line style="position:absolute" from="3928,1129" to="3976,1064" stroked="true" strokeweight="1pt" strokecolor="#008256">
              <v:stroke dashstyle="solid"/>
            </v:line>
            <v:shape style="position:absolute;left:1053;top:1523;width:430;height:790" coordorigin="1053,1524" coordsize="430,790" path="m1053,2051l1101,2246m1101,2246l1148,2314m1148,2314l1196,2246m1196,2246l1243,1981m1243,1981l1293,1719m1293,1719l1341,1589m1341,1589l1388,1524m1388,1524l1483,1654e" filled="false" stroked="true" strokeweight="1pt" strokecolor="#522e91">
              <v:path arrowok="t"/>
              <v:stroke dashstyle="solid"/>
            </v:shape>
            <v:shape style="position:absolute;left:1473;top:1654;width:115;height:2" coordorigin="1473,1655" coordsize="115,0" path="m1473,1655l1541,1655m1521,1655l1588,1655e" filled="false" stroked="true" strokeweight="1.125pt" strokecolor="#522e91">
              <v:path arrowok="t"/>
              <v:stroke dashstyle="solid"/>
            </v:shape>
            <v:shape style="position:absolute;left:1578;top:1653;width:95;height:198" coordorigin="1578,1654" coordsize="95,198" path="m1578,1654l1626,1719m1626,1719l1673,1851e" filled="false" stroked="true" strokeweight="1pt" strokecolor="#522e91">
              <v:path arrowok="t"/>
              <v:stroke dashstyle="solid"/>
            </v:shape>
            <v:shape style="position:absolute;left:1663;top:1852;width:118;height:2" coordorigin="1663,1852" coordsize="118,0" path="m1663,1852l1733,1852m1713,1852l1781,1852e" filled="false" stroked="true" strokeweight="1.125pt" strokecolor="#522e91">
              <v:path arrowok="t"/>
              <v:stroke dashstyle="solid"/>
            </v:shape>
            <v:shape style="position:absolute;left:1770;top:1588;width:335;height:328" coordorigin="1771,1589" coordsize="335,328" path="m1771,1851l1818,1719m1818,1719l1866,1654m1866,1654l1913,1719m1913,1719l1963,1851m1963,1851l2011,1916m2011,1916l2058,1719m2058,1719l2106,1589e" filled="false" stroked="true" strokeweight="1pt" strokecolor="#522e91">
              <v:path arrowok="t"/>
              <v:stroke dashstyle="solid"/>
            </v:shape>
            <v:line style="position:absolute" from="2096,1590" to="2163,1590" stroked="true" strokeweight="1.125pt" strokecolor="#522e91">
              <v:stroke dashstyle="solid"/>
            </v:line>
            <v:shape style="position:absolute;left:2153;top:1261;width:145;height:328" coordorigin="2153,1261" coordsize="145,328" path="m2153,1589l2203,1524m2203,1524l2251,1326m2251,1326l2298,1261e" filled="false" stroked="true" strokeweight="1pt" strokecolor="#522e91">
              <v:path arrowok="t"/>
              <v:stroke dashstyle="solid"/>
            </v:shape>
            <v:line style="position:absolute" from="2288,1262" to="2356,1262" stroked="true" strokeweight="1.125pt" strokecolor="#522e91">
              <v:stroke dashstyle="solid"/>
            </v:line>
            <v:shape style="position:absolute;left:2345;top:606;width:1150;height:1113" coordorigin="2346,606" coordsize="1150,1113" path="m2346,1261l2393,1524m2393,1524l2443,1589m2443,1589l2491,1719m2491,1719l2538,1589m2538,1589l2586,1391m2586,1391l2633,1459m2633,1459l2683,1524m2683,1524l2731,1654m2731,1654l2826,1524m2826,1524l2873,1391m2873,1391l2923,1326m2923,1326l2971,1196m2971,1196l3066,801m3066,801l3113,606m3113,606l3161,736m3161,736l3208,821m3208,821l3256,899m3256,899l3306,749m3306,749l3353,721m3353,721l3401,619m3401,619l3448,731m3448,731l3496,649e" filled="false" stroked="true" strokeweight="1pt" strokecolor="#522e91">
              <v:path arrowok="t"/>
              <v:stroke dashstyle="solid"/>
            </v:shape>
            <v:line style="position:absolute" from="3486,650" to="3553,650" stroked="true" strokeweight="1.125pt" strokecolor="#522e91">
              <v:stroke dashstyle="solid"/>
            </v:line>
            <v:shape style="position:absolute;left:3543;top:531;width:480;height:795" coordorigin="3543,531" coordsize="480,795" path="m3543,649l3593,531m3593,531l3641,564m3641,564l3688,619m3688,619l3736,709m3736,709l3783,796m3783,796l3833,894m3833,894l3881,964m3881,964l3928,1046m3928,1046l3976,1116m3976,1116l4023,1326e" filled="false" stroked="true" strokeweight="1pt" strokecolor="#522e91">
              <v:path arrowok="t"/>
              <v:stroke dashstyle="solid"/>
            </v:shape>
            <v:shape style="position:absolute;left:895;top:483;width:3286;height:1634" coordorigin="896,484" coordsize="3286,1634" path="m4095,484l4181,484m4095,811l4181,811m4095,1137l4181,1137m4095,1464l4181,1464m4095,1791l4181,1791m896,484l982,484m896,811l982,811m896,1137l982,1137m896,1464l982,1464m896,1791l982,1791m896,2117l982,2117e" filled="false" stroked="true" strokeweight=".5pt" strokecolor="#000000">
              <v:path arrowok="t"/>
              <v:stroke dashstyle="solid"/>
            </v:shape>
            <v:shape style="position:absolute;left:1287;top:1039;width:990;height:254" type="#_x0000_t202" filled="false" stroked="false">
              <v:textbox inset="0,0,0,0">
                <w:txbxContent>
                  <w:p>
                    <w:pPr>
                      <w:spacing w:line="208" w:lineRule="auto" w:before="9"/>
                      <w:ind w:left="60" w:right="0" w:hanging="60"/>
                      <w:jc w:val="left"/>
                      <w:rPr>
                        <w:sz w:val="12"/>
                      </w:rPr>
                    </w:pPr>
                    <w:r>
                      <w:rPr>
                        <w:sz w:val="12"/>
                      </w:rPr>
                      <w:t>Reward Index of growth in total pay</w:t>
                    </w:r>
                  </w:p>
                </w:txbxContent>
              </v:textbox>
              <w10:wrap type="none"/>
            </v:shape>
            <v:shape style="position:absolute;left:2095;top:2025;width:2106;height:254" type="#_x0000_t202" filled="false" stroked="false">
              <v:textbox inset="0,0,0,0">
                <w:txbxContent>
                  <w:p>
                    <w:pPr>
                      <w:tabs>
                        <w:tab w:pos="516" w:val="left" w:leader="none"/>
                      </w:tabs>
                      <w:spacing w:line="208" w:lineRule="auto" w:before="9"/>
                      <w:ind w:left="576" w:right="18" w:hanging="577"/>
                      <w:jc w:val="left"/>
                      <w:rPr>
                        <w:sz w:val="12"/>
                      </w:rPr>
                    </w:pPr>
                    <w:r>
                      <w:rPr>
                        <w:sz w:val="12"/>
                        <w:u w:val="thick" w:color="008256"/>
                      </w:rPr>
                      <w:t>      </w:t>
                    </w:r>
                    <w:r>
                      <w:rPr>
                        <w:spacing w:val="2"/>
                        <w:sz w:val="12"/>
                        <w:u w:val="thick" w:color="008256"/>
                      </w:rPr>
                      <w:t> </w:t>
                    </w:r>
                    <w:r>
                      <w:rPr>
                        <w:sz w:val="12"/>
                      </w:rPr>
                      <w:tab/>
                      <w:t>Wages and salaries per head (National Accounts)</w:t>
                    </w:r>
                  </w:p>
                </w:txbxContent>
              </v:textbox>
              <w10:wrap type="none"/>
            </v:shape>
            <w10:wrap type="none"/>
          </v:group>
        </w:pict>
      </w:r>
      <w:r>
        <w:rPr/>
        <w:pict>
          <v:line style="position:absolute;mso-position-horizontal-relative:page;mso-position-vertical-relative:paragraph;z-index:15952896" from="44.779999pt,7.86217pt" to="49.112999pt,7.86217pt" stroked="true" strokeweight=".5pt" strokecolor="#000000">
            <v:stroke dashstyle="solid"/>
            <w10:wrap type="none"/>
          </v:line>
        </w:pict>
      </w:r>
      <w:r>
        <w:rPr>
          <w:sz w:val="12"/>
        </w:rPr>
        <w:t>Average Earnings Index (new)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r>
        <w:rPr/>
        <w:pict>
          <v:shape style="position:absolute;margin-left:44.779999pt;margin-top:13.4991pt;width:4.350pt;height:.1pt;mso-position-horizontal-relative:page;mso-position-vertical-relative:paragraph;z-index:-15513088;mso-wrap-distance-left:0;mso-wrap-distance-right:0" coordorigin="896,270" coordsize="87,0" path="m896,270l982,270e" filled="false" stroked="true" strokeweight=".5pt" strokecolor="#000000">
            <v:path arrowok="t"/>
            <v:stroke dashstyle="solid"/>
            <w10:wrap type="topAndBottom"/>
          </v:shape>
        </w:pict>
      </w:r>
    </w:p>
    <w:p>
      <w:pPr>
        <w:pStyle w:val="BodyText"/>
        <w:rPr>
          <w:sz w:val="12"/>
        </w:rPr>
      </w:pPr>
    </w:p>
    <w:p>
      <w:pPr>
        <w:pStyle w:val="BodyText"/>
        <w:rPr>
          <w:sz w:val="12"/>
        </w:rPr>
      </w:pPr>
    </w:p>
    <w:p>
      <w:pPr>
        <w:pStyle w:val="BodyText"/>
        <w:spacing w:before="9"/>
        <w:rPr>
          <w:sz w:val="13"/>
        </w:rPr>
      </w:pPr>
    </w:p>
    <w:p>
      <w:pPr>
        <w:tabs>
          <w:tab w:pos="1181" w:val="left" w:leader="none"/>
          <w:tab w:pos="1758" w:val="left" w:leader="none"/>
          <w:tab w:pos="2333" w:val="left" w:leader="none"/>
          <w:tab w:pos="2908" w:val="left" w:leader="none"/>
          <w:tab w:pos="3265" w:val="left" w:leader="none"/>
        </w:tabs>
        <w:spacing w:before="0"/>
        <w:ind w:left="545" w:right="0" w:firstLine="0"/>
        <w:jc w:val="left"/>
        <w:rPr>
          <w:sz w:val="12"/>
        </w:rPr>
      </w:pPr>
      <w:r>
        <w:rPr/>
        <w:pict>
          <v:shape style="position:absolute;margin-left:44.529999pt;margin-top:-7.102539pt;width:165.25pt;height:6.45pt;mso-position-horizontal-relative:page;mso-position-vertical-relative:paragraph;z-index:15951872" coordorigin="891,-142" coordsize="3305,129" path="m4095,-142l4181,-142m4176,-142l4176,-115,4156,-99,4196,-85,4156,-65,4196,-48,4172,-38,4172,-15m896,-142l982,-142m1026,-95l1026,-15m978,-141l978,-114,958,-98,998,-84,958,-64,998,-47,975,-37,974,-14m1602,-95l1602,-15m2178,-95l2178,-15m2754,-95l2754,-15m3330,-95l3330,-15m3906,-95l3906,-15m891,-14l4172,-14e" filled="false" stroked="true" strokeweight=".5pt" strokecolor="#000000">
            <v:path arrowok="t"/>
            <v:stroke dashstyle="solid"/>
            <w10:wrap type="none"/>
          </v:shape>
        </w:pict>
      </w:r>
      <w:r>
        <w:rPr>
          <w:sz w:val="12"/>
        </w:rPr>
        <w:t>1994</w:t>
        <w:tab/>
        <w:t>95</w:t>
        <w:tab/>
        <w:t>96</w:t>
        <w:tab/>
        <w:t>97</w:t>
        <w:tab/>
        <w:t>98</w:t>
        <w:tab/>
      </w:r>
      <w:r>
        <w:rPr>
          <w:spacing w:val="-10"/>
          <w:sz w:val="12"/>
        </w:rPr>
        <w:t>99</w:t>
      </w:r>
    </w:p>
    <w:p>
      <w:pPr>
        <w:pStyle w:val="BodyText"/>
        <w:spacing w:before="2"/>
        <w:rPr>
          <w:sz w:val="13"/>
        </w:rPr>
      </w:pPr>
    </w:p>
    <w:p>
      <w:pPr>
        <w:spacing w:before="1"/>
        <w:ind w:left="155" w:right="0" w:firstLine="0"/>
        <w:jc w:val="left"/>
        <w:rPr>
          <w:sz w:val="12"/>
        </w:rPr>
      </w:pPr>
      <w:r>
        <w:rPr>
          <w:sz w:val="12"/>
        </w:rPr>
        <w:t>Sources: ONS and The Reward Group.</w:t>
      </w:r>
    </w:p>
    <w:p>
      <w:pPr>
        <w:pStyle w:val="BodyText"/>
        <w:rPr>
          <w:sz w:val="12"/>
        </w:rPr>
      </w:pPr>
    </w:p>
    <w:p>
      <w:pPr>
        <w:pStyle w:val="BodyText"/>
        <w:rPr>
          <w:sz w:val="12"/>
        </w:rPr>
      </w:pPr>
    </w:p>
    <w:p>
      <w:pPr>
        <w:pStyle w:val="BodyText"/>
        <w:rPr>
          <w:sz w:val="12"/>
        </w:rPr>
      </w:pPr>
    </w:p>
    <w:p>
      <w:pPr>
        <w:pStyle w:val="BodyText"/>
        <w:spacing w:before="11"/>
        <w:rPr>
          <w:sz w:val="13"/>
        </w:rPr>
      </w:pPr>
    </w:p>
    <w:p>
      <w:pPr>
        <w:pStyle w:val="Heading4"/>
        <w:spacing w:before="0"/>
        <w:ind w:left="155"/>
      </w:pPr>
      <w:r>
        <w:rPr>
          <w:color w:val="0093C1"/>
        </w:rPr>
        <w:t>Table 3.A</w:t>
      </w:r>
    </w:p>
    <w:p>
      <w:pPr>
        <w:spacing w:before="62"/>
        <w:ind w:left="155" w:right="0" w:firstLine="0"/>
        <w:jc w:val="left"/>
        <w:rPr>
          <w:sz w:val="12"/>
        </w:rPr>
      </w:pPr>
      <w:r>
        <w:rPr/>
        <w:br w:type="column"/>
      </w:r>
      <w:r>
        <w:rPr>
          <w:sz w:val="12"/>
        </w:rPr>
        <w:t>6.0</w:t>
      </w:r>
    </w:p>
    <w:p>
      <w:pPr>
        <w:pStyle w:val="BodyText"/>
        <w:spacing w:before="6"/>
        <w:rPr>
          <w:sz w:val="16"/>
        </w:rPr>
      </w:pPr>
    </w:p>
    <w:p>
      <w:pPr>
        <w:spacing w:before="0"/>
        <w:ind w:left="155" w:right="0" w:firstLine="0"/>
        <w:jc w:val="left"/>
        <w:rPr>
          <w:sz w:val="12"/>
        </w:rPr>
      </w:pPr>
      <w:r>
        <w:rPr/>
        <w:pict>
          <v:line style="position:absolute;mso-position-horizontal-relative:page;mso-position-vertical-relative:paragraph;z-index:15950848" from="204.738007pt,-11.670235pt" to="209.072007pt,-11.670235pt" stroked="true" strokeweight=".5pt" strokecolor="#000000">
            <v:stroke dashstyle="solid"/>
            <w10:wrap type="none"/>
          </v:line>
        </w:pict>
      </w:r>
      <w:r>
        <w:rPr>
          <w:sz w:val="12"/>
        </w:rPr>
        <w:t>5.5</w:t>
      </w:r>
    </w:p>
    <w:p>
      <w:pPr>
        <w:pStyle w:val="BodyText"/>
        <w:spacing w:before="7"/>
        <w:rPr>
          <w:sz w:val="16"/>
        </w:rPr>
      </w:pPr>
    </w:p>
    <w:p>
      <w:pPr>
        <w:spacing w:before="0"/>
        <w:ind w:left="155" w:right="0" w:firstLine="0"/>
        <w:jc w:val="left"/>
        <w:rPr>
          <w:sz w:val="12"/>
        </w:rPr>
      </w:pPr>
      <w:r>
        <w:rPr>
          <w:sz w:val="12"/>
        </w:rPr>
        <w:t>5.0</w:t>
      </w:r>
    </w:p>
    <w:p>
      <w:pPr>
        <w:pStyle w:val="BodyText"/>
        <w:spacing w:before="6"/>
        <w:rPr>
          <w:sz w:val="16"/>
        </w:rPr>
      </w:pPr>
    </w:p>
    <w:p>
      <w:pPr>
        <w:spacing w:before="0"/>
        <w:ind w:left="155" w:right="0" w:firstLine="0"/>
        <w:jc w:val="left"/>
        <w:rPr>
          <w:sz w:val="12"/>
        </w:rPr>
      </w:pPr>
      <w:r>
        <w:rPr>
          <w:sz w:val="12"/>
        </w:rPr>
        <w:t>4.5</w:t>
      </w:r>
    </w:p>
    <w:p>
      <w:pPr>
        <w:pStyle w:val="BodyText"/>
        <w:spacing w:before="6"/>
        <w:rPr>
          <w:sz w:val="16"/>
        </w:rPr>
      </w:pPr>
    </w:p>
    <w:p>
      <w:pPr>
        <w:spacing w:before="0"/>
        <w:ind w:left="155" w:right="0" w:firstLine="0"/>
        <w:jc w:val="left"/>
        <w:rPr>
          <w:sz w:val="12"/>
        </w:rPr>
      </w:pPr>
      <w:r>
        <w:rPr>
          <w:sz w:val="12"/>
        </w:rPr>
        <w:t>4.0</w:t>
      </w:r>
    </w:p>
    <w:p>
      <w:pPr>
        <w:pStyle w:val="BodyText"/>
        <w:spacing w:before="7"/>
        <w:rPr>
          <w:sz w:val="16"/>
        </w:rPr>
      </w:pPr>
    </w:p>
    <w:p>
      <w:pPr>
        <w:spacing w:before="0"/>
        <w:ind w:left="155" w:right="0" w:firstLine="0"/>
        <w:jc w:val="left"/>
        <w:rPr>
          <w:sz w:val="12"/>
        </w:rPr>
      </w:pPr>
      <w:r>
        <w:rPr>
          <w:sz w:val="12"/>
        </w:rPr>
        <w:t>3.5</w:t>
      </w:r>
    </w:p>
    <w:p>
      <w:pPr>
        <w:pStyle w:val="BodyText"/>
        <w:spacing w:before="6"/>
        <w:rPr>
          <w:sz w:val="16"/>
        </w:rPr>
      </w:pPr>
    </w:p>
    <w:p>
      <w:pPr>
        <w:spacing w:before="0"/>
        <w:ind w:left="155" w:right="0" w:firstLine="0"/>
        <w:jc w:val="left"/>
        <w:rPr>
          <w:sz w:val="12"/>
        </w:rPr>
      </w:pPr>
      <w:r>
        <w:rPr>
          <w:sz w:val="12"/>
        </w:rPr>
        <w:t>3.0</w:t>
      </w:r>
    </w:p>
    <w:p>
      <w:pPr>
        <w:pStyle w:val="BodyText"/>
        <w:spacing w:before="6"/>
        <w:rPr>
          <w:sz w:val="16"/>
        </w:rPr>
      </w:pPr>
    </w:p>
    <w:p>
      <w:pPr>
        <w:spacing w:before="1"/>
        <w:ind w:left="155" w:right="0" w:firstLine="0"/>
        <w:jc w:val="left"/>
        <w:rPr>
          <w:sz w:val="12"/>
        </w:rPr>
      </w:pPr>
      <w:r>
        <w:rPr/>
        <w:pict>
          <v:line style="position:absolute;mso-position-horizontal-relative:page;mso-position-vertical-relative:paragraph;z-index:15951360" from="204.738007pt,4.214192pt" to="209.072007pt,4.214192pt" stroked="true" strokeweight=".5pt" strokecolor="#000000">
            <v:stroke dashstyle="solid"/>
            <w10:wrap type="none"/>
          </v:line>
        </w:pict>
      </w:r>
      <w:r>
        <w:rPr>
          <w:sz w:val="12"/>
        </w:rPr>
        <w:t>2.5</w:t>
      </w:r>
    </w:p>
    <w:p>
      <w:pPr>
        <w:pStyle w:val="BodyText"/>
        <w:spacing w:before="6"/>
        <w:rPr>
          <w:sz w:val="16"/>
        </w:rPr>
      </w:pPr>
    </w:p>
    <w:p>
      <w:pPr>
        <w:spacing w:line="137" w:lineRule="exact" w:before="0"/>
        <w:ind w:left="155" w:right="0" w:firstLine="0"/>
        <w:jc w:val="left"/>
        <w:rPr>
          <w:sz w:val="12"/>
        </w:rPr>
      </w:pPr>
      <w:r>
        <w:rPr>
          <w:sz w:val="12"/>
        </w:rPr>
        <w:t>2.0</w:t>
      </w:r>
    </w:p>
    <w:p>
      <w:pPr>
        <w:spacing w:line="137" w:lineRule="exact" w:before="0"/>
        <w:ind w:left="155" w:right="0" w:firstLine="0"/>
        <w:jc w:val="left"/>
        <w:rPr>
          <w:sz w:val="12"/>
        </w:rPr>
      </w:pPr>
      <w:r>
        <w:rPr>
          <w:color w:val="231F20"/>
          <w:sz w:val="12"/>
        </w:rPr>
        <w:t>0.0</w:t>
      </w:r>
    </w:p>
    <w:p>
      <w:pPr>
        <w:spacing w:line="242" w:lineRule="auto" w:before="5"/>
        <w:ind w:left="155" w:right="347" w:firstLine="0"/>
        <w:jc w:val="left"/>
        <w:rPr>
          <w:sz w:val="24"/>
        </w:rPr>
      </w:pPr>
      <w:r>
        <w:rPr/>
        <w:br w:type="column"/>
      </w:r>
      <w:r>
        <w:rPr>
          <w:sz w:val="24"/>
        </w:rPr>
        <w:t>speaking, more consistent with other earnings measures over the past few years (see Chart 3.2).</w:t>
      </w:r>
      <w:r>
        <w:rPr>
          <w:position w:val="5"/>
          <w:sz w:val="16"/>
        </w:rPr>
        <w:t>(1) </w:t>
      </w:r>
      <w:r>
        <w:rPr>
          <w:sz w:val="24"/>
        </w:rPr>
        <w:t>And third, measured earnings growth is less volatile than it was on the suspended measure (see </w:t>
      </w:r>
      <w:r>
        <w:rPr>
          <w:spacing w:val="-4"/>
          <w:sz w:val="24"/>
        </w:rPr>
        <w:t>Table </w:t>
      </w:r>
      <w:r>
        <w:rPr>
          <w:sz w:val="24"/>
        </w:rPr>
        <w:t>3.A). Nevertheless, the new AEI can still move sharply over short periods: for example, the pick-up in the headline measure in February partly reflected a rise in the twelve-month growth rate of earnings, from 4.2% in December 1998 to 5.0% in February. This makes it harder to draw inferences about the underlying trend </w:t>
      </w:r>
      <w:r>
        <w:rPr>
          <w:spacing w:val="-9"/>
          <w:sz w:val="24"/>
        </w:rPr>
        <w:t>of </w:t>
      </w:r>
      <w:r>
        <w:rPr>
          <w:sz w:val="24"/>
        </w:rPr>
        <w:t>earnings growth. Other indicators—including the Reward Index and surveys from the Federation of Recruitment and Employment Services (F</w:t>
      </w:r>
      <w:r>
        <w:rPr>
          <w:sz w:val="20"/>
        </w:rPr>
        <w:t>RES</w:t>
      </w:r>
      <w:r>
        <w:rPr>
          <w:sz w:val="24"/>
        </w:rPr>
        <w:t>) on the pay of permanent and temporary staff—suggest that annual earnings growth continued to fall in the first</w:t>
      </w:r>
    </w:p>
    <w:p>
      <w:pPr>
        <w:spacing w:after="0" w:line="242" w:lineRule="auto"/>
        <w:jc w:val="left"/>
        <w:rPr>
          <w:sz w:val="24"/>
        </w:rPr>
        <w:sectPr>
          <w:type w:val="continuous"/>
          <w:pgSz w:w="11900" w:h="16840"/>
          <w:pgMar w:top="1220" w:bottom="280" w:left="640" w:right="640"/>
          <w:cols w:num="3" w:equalWidth="0">
            <w:col w:w="3386" w:space="63"/>
            <w:col w:w="346" w:space="1015"/>
            <w:col w:w="5810"/>
          </w:cols>
        </w:sectPr>
      </w:pPr>
    </w:p>
    <w:p>
      <w:pPr>
        <w:pStyle w:val="Heading4"/>
        <w:spacing w:line="200" w:lineRule="exact" w:before="0"/>
        <w:ind w:left="155"/>
        <w:rPr>
          <w:b w:val="0"/>
          <w:sz w:val="12"/>
        </w:rPr>
      </w:pPr>
      <w:r>
        <w:rPr>
          <w:color w:val="0093C1"/>
        </w:rPr>
        <w:t>Variability of official nominal earnings growth</w:t>
      </w:r>
      <w:r>
        <w:rPr>
          <w:b w:val="0"/>
          <w:position w:val="4"/>
          <w:sz w:val="12"/>
        </w:rPr>
        <w:t>(a)</w:t>
      </w:r>
    </w:p>
    <w:p>
      <w:pPr>
        <w:spacing w:before="106"/>
        <w:ind w:left="1195" w:right="0" w:firstLine="0"/>
        <w:jc w:val="left"/>
        <w:rPr>
          <w:sz w:val="14"/>
        </w:rPr>
      </w:pPr>
      <w:r>
        <w:rPr>
          <w:sz w:val="14"/>
        </w:rPr>
        <w:t>Whole</w:t>
      </w: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513"/>
        <w:gridCol w:w="137"/>
        <w:gridCol w:w="832"/>
        <w:gridCol w:w="178"/>
        <w:gridCol w:w="509"/>
        <w:gridCol w:w="115"/>
        <w:gridCol w:w="410"/>
        <w:gridCol w:w="146"/>
        <w:gridCol w:w="358"/>
      </w:tblGrid>
      <w:tr>
        <w:trPr>
          <w:trHeight w:val="170" w:hRule="atLeast"/>
        </w:trPr>
        <w:tc>
          <w:tcPr>
            <w:tcW w:w="1090" w:type="dxa"/>
          </w:tcPr>
          <w:p>
            <w:pPr>
              <w:pStyle w:val="TableParagraph"/>
              <w:rPr>
                <w:sz w:val="10"/>
              </w:rPr>
            </w:pPr>
          </w:p>
        </w:tc>
        <w:tc>
          <w:tcPr>
            <w:tcW w:w="513" w:type="dxa"/>
            <w:tcBorders>
              <w:bottom w:val="single" w:sz="2" w:space="0" w:color="000000"/>
            </w:tcBorders>
          </w:tcPr>
          <w:p>
            <w:pPr>
              <w:pStyle w:val="TableParagraph"/>
              <w:spacing w:line="140" w:lineRule="exact"/>
              <w:ind w:right="-15"/>
              <w:jc w:val="center"/>
              <w:rPr>
                <w:sz w:val="14"/>
              </w:rPr>
            </w:pPr>
            <w:r>
              <w:rPr>
                <w:sz w:val="14"/>
              </w:rPr>
              <w:t>economy</w:t>
            </w:r>
          </w:p>
        </w:tc>
        <w:tc>
          <w:tcPr>
            <w:tcW w:w="137" w:type="dxa"/>
          </w:tcPr>
          <w:p>
            <w:pPr>
              <w:pStyle w:val="TableParagraph"/>
              <w:rPr>
                <w:sz w:val="10"/>
              </w:rPr>
            </w:pPr>
          </w:p>
        </w:tc>
        <w:tc>
          <w:tcPr>
            <w:tcW w:w="832" w:type="dxa"/>
            <w:tcBorders>
              <w:bottom w:val="single" w:sz="2" w:space="0" w:color="000000"/>
            </w:tcBorders>
          </w:tcPr>
          <w:p>
            <w:pPr>
              <w:pStyle w:val="TableParagraph"/>
              <w:spacing w:line="140" w:lineRule="exact"/>
              <w:ind w:left="-1"/>
              <w:jc w:val="center"/>
              <w:rPr>
                <w:sz w:val="14"/>
              </w:rPr>
            </w:pPr>
            <w:r>
              <w:rPr>
                <w:sz w:val="14"/>
              </w:rPr>
              <w:t>Manufacturing</w:t>
            </w:r>
          </w:p>
        </w:tc>
        <w:tc>
          <w:tcPr>
            <w:tcW w:w="178" w:type="dxa"/>
          </w:tcPr>
          <w:p>
            <w:pPr>
              <w:pStyle w:val="TableParagraph"/>
              <w:rPr>
                <w:sz w:val="10"/>
              </w:rPr>
            </w:pPr>
          </w:p>
        </w:tc>
        <w:tc>
          <w:tcPr>
            <w:tcW w:w="509" w:type="dxa"/>
            <w:tcBorders>
              <w:bottom w:val="single" w:sz="2" w:space="0" w:color="000000"/>
            </w:tcBorders>
          </w:tcPr>
          <w:p>
            <w:pPr>
              <w:pStyle w:val="TableParagraph"/>
              <w:spacing w:line="140" w:lineRule="exact"/>
              <w:ind w:right="32"/>
              <w:jc w:val="center"/>
              <w:rPr>
                <w:sz w:val="14"/>
              </w:rPr>
            </w:pPr>
            <w:r>
              <w:rPr>
                <w:sz w:val="14"/>
              </w:rPr>
              <w:t>Services</w:t>
            </w:r>
          </w:p>
        </w:tc>
        <w:tc>
          <w:tcPr>
            <w:tcW w:w="115" w:type="dxa"/>
          </w:tcPr>
          <w:p>
            <w:pPr>
              <w:pStyle w:val="TableParagraph"/>
              <w:rPr>
                <w:sz w:val="10"/>
              </w:rPr>
            </w:pPr>
          </w:p>
        </w:tc>
        <w:tc>
          <w:tcPr>
            <w:tcW w:w="410" w:type="dxa"/>
            <w:tcBorders>
              <w:bottom w:val="single" w:sz="2" w:space="0" w:color="000000"/>
            </w:tcBorders>
          </w:tcPr>
          <w:p>
            <w:pPr>
              <w:pStyle w:val="TableParagraph"/>
              <w:spacing w:line="140" w:lineRule="exact"/>
              <w:ind w:right="1"/>
              <w:jc w:val="center"/>
              <w:rPr>
                <w:sz w:val="14"/>
              </w:rPr>
            </w:pPr>
            <w:r>
              <w:rPr>
                <w:sz w:val="14"/>
              </w:rPr>
              <w:t>Private</w:t>
            </w:r>
          </w:p>
        </w:tc>
        <w:tc>
          <w:tcPr>
            <w:tcW w:w="146" w:type="dxa"/>
          </w:tcPr>
          <w:p>
            <w:pPr>
              <w:pStyle w:val="TableParagraph"/>
              <w:rPr>
                <w:sz w:val="10"/>
              </w:rPr>
            </w:pPr>
          </w:p>
        </w:tc>
        <w:tc>
          <w:tcPr>
            <w:tcW w:w="358" w:type="dxa"/>
            <w:tcBorders>
              <w:bottom w:val="single" w:sz="2" w:space="0" w:color="000000"/>
            </w:tcBorders>
          </w:tcPr>
          <w:p>
            <w:pPr>
              <w:pStyle w:val="TableParagraph"/>
              <w:spacing w:line="140" w:lineRule="exact"/>
              <w:ind w:right="-15"/>
              <w:jc w:val="right"/>
              <w:rPr>
                <w:sz w:val="14"/>
              </w:rPr>
            </w:pPr>
            <w:r>
              <w:rPr>
                <w:sz w:val="14"/>
              </w:rPr>
              <w:t>Public</w:t>
            </w:r>
          </w:p>
        </w:tc>
      </w:tr>
      <w:tr>
        <w:trPr>
          <w:trHeight w:val="252" w:hRule="atLeast"/>
        </w:trPr>
        <w:tc>
          <w:tcPr>
            <w:tcW w:w="1090" w:type="dxa"/>
          </w:tcPr>
          <w:p>
            <w:pPr>
              <w:pStyle w:val="TableParagraph"/>
              <w:spacing w:line="148" w:lineRule="exact" w:before="83"/>
              <w:ind w:left="50"/>
              <w:rPr>
                <w:sz w:val="14"/>
              </w:rPr>
            </w:pPr>
            <w:r>
              <w:rPr>
                <w:sz w:val="14"/>
              </w:rPr>
              <w:t>New AEI</w:t>
            </w:r>
          </w:p>
        </w:tc>
        <w:tc>
          <w:tcPr>
            <w:tcW w:w="513" w:type="dxa"/>
            <w:tcBorders>
              <w:top w:val="single" w:sz="2" w:space="0" w:color="000000"/>
            </w:tcBorders>
          </w:tcPr>
          <w:p>
            <w:pPr>
              <w:pStyle w:val="TableParagraph"/>
              <w:spacing w:line="148" w:lineRule="exact" w:before="88"/>
              <w:ind w:left="115" w:right="113"/>
              <w:jc w:val="center"/>
              <w:rPr>
                <w:sz w:val="14"/>
              </w:rPr>
            </w:pPr>
            <w:r>
              <w:rPr>
                <w:sz w:val="14"/>
              </w:rPr>
              <w:t>0.28</w:t>
            </w:r>
          </w:p>
        </w:tc>
        <w:tc>
          <w:tcPr>
            <w:tcW w:w="137" w:type="dxa"/>
          </w:tcPr>
          <w:p>
            <w:pPr>
              <w:pStyle w:val="TableParagraph"/>
              <w:rPr>
                <w:sz w:val="18"/>
              </w:rPr>
            </w:pPr>
          </w:p>
        </w:tc>
        <w:tc>
          <w:tcPr>
            <w:tcW w:w="832" w:type="dxa"/>
            <w:tcBorders>
              <w:top w:val="single" w:sz="2" w:space="0" w:color="000000"/>
            </w:tcBorders>
          </w:tcPr>
          <w:p>
            <w:pPr>
              <w:pStyle w:val="TableParagraph"/>
              <w:spacing w:line="148" w:lineRule="exact" w:before="83"/>
              <w:ind w:left="215" w:right="329"/>
              <w:jc w:val="center"/>
              <w:rPr>
                <w:sz w:val="14"/>
              </w:rPr>
            </w:pPr>
            <w:r>
              <w:rPr>
                <w:sz w:val="14"/>
              </w:rPr>
              <w:t>0.35</w:t>
            </w:r>
          </w:p>
        </w:tc>
        <w:tc>
          <w:tcPr>
            <w:tcW w:w="178" w:type="dxa"/>
          </w:tcPr>
          <w:p>
            <w:pPr>
              <w:pStyle w:val="TableParagraph"/>
              <w:rPr>
                <w:sz w:val="18"/>
              </w:rPr>
            </w:pPr>
          </w:p>
        </w:tc>
        <w:tc>
          <w:tcPr>
            <w:tcW w:w="509" w:type="dxa"/>
            <w:tcBorders>
              <w:top w:val="single" w:sz="2" w:space="0" w:color="000000"/>
            </w:tcBorders>
          </w:tcPr>
          <w:p>
            <w:pPr>
              <w:pStyle w:val="TableParagraph"/>
              <w:spacing w:line="148" w:lineRule="exact" w:before="83"/>
              <w:ind w:right="31"/>
              <w:jc w:val="center"/>
              <w:rPr>
                <w:sz w:val="14"/>
              </w:rPr>
            </w:pPr>
            <w:r>
              <w:rPr>
                <w:sz w:val="14"/>
              </w:rPr>
              <w:t>0.37</w:t>
            </w:r>
          </w:p>
        </w:tc>
        <w:tc>
          <w:tcPr>
            <w:tcW w:w="115" w:type="dxa"/>
          </w:tcPr>
          <w:p>
            <w:pPr>
              <w:pStyle w:val="TableParagraph"/>
              <w:rPr>
                <w:sz w:val="18"/>
              </w:rPr>
            </w:pPr>
          </w:p>
        </w:tc>
        <w:tc>
          <w:tcPr>
            <w:tcW w:w="410" w:type="dxa"/>
            <w:tcBorders>
              <w:top w:val="single" w:sz="2" w:space="0" w:color="000000"/>
            </w:tcBorders>
          </w:tcPr>
          <w:p>
            <w:pPr>
              <w:pStyle w:val="TableParagraph"/>
              <w:spacing w:line="148" w:lineRule="exact" w:before="83"/>
              <w:ind w:right="60"/>
              <w:jc w:val="center"/>
              <w:rPr>
                <w:sz w:val="14"/>
              </w:rPr>
            </w:pPr>
            <w:r>
              <w:rPr>
                <w:sz w:val="14"/>
              </w:rPr>
              <w:t>0.35</w:t>
            </w:r>
          </w:p>
        </w:tc>
        <w:tc>
          <w:tcPr>
            <w:tcW w:w="146" w:type="dxa"/>
          </w:tcPr>
          <w:p>
            <w:pPr>
              <w:pStyle w:val="TableParagraph"/>
              <w:rPr>
                <w:sz w:val="18"/>
              </w:rPr>
            </w:pPr>
          </w:p>
        </w:tc>
        <w:tc>
          <w:tcPr>
            <w:tcW w:w="358" w:type="dxa"/>
            <w:tcBorders>
              <w:top w:val="single" w:sz="2" w:space="0" w:color="000000"/>
            </w:tcBorders>
          </w:tcPr>
          <w:p>
            <w:pPr>
              <w:pStyle w:val="TableParagraph"/>
              <w:spacing w:line="148" w:lineRule="exact" w:before="83"/>
              <w:ind w:right="65"/>
              <w:jc w:val="right"/>
              <w:rPr>
                <w:sz w:val="14"/>
              </w:rPr>
            </w:pPr>
            <w:r>
              <w:rPr>
                <w:sz w:val="14"/>
              </w:rPr>
              <w:t>0.37</w:t>
            </w:r>
          </w:p>
        </w:tc>
      </w:tr>
      <w:tr>
        <w:trPr>
          <w:trHeight w:val="140" w:hRule="atLeast"/>
        </w:trPr>
        <w:tc>
          <w:tcPr>
            <w:tcW w:w="1090" w:type="dxa"/>
          </w:tcPr>
          <w:p>
            <w:pPr>
              <w:pStyle w:val="TableParagraph"/>
              <w:spacing w:line="120" w:lineRule="exact"/>
              <w:ind w:left="50"/>
              <w:rPr>
                <w:sz w:val="14"/>
              </w:rPr>
            </w:pPr>
            <w:r>
              <w:rPr>
                <w:sz w:val="14"/>
              </w:rPr>
              <w:t>Suspended AEI</w:t>
            </w:r>
          </w:p>
        </w:tc>
        <w:tc>
          <w:tcPr>
            <w:tcW w:w="513" w:type="dxa"/>
          </w:tcPr>
          <w:p>
            <w:pPr>
              <w:pStyle w:val="TableParagraph"/>
              <w:spacing w:line="120" w:lineRule="exact"/>
              <w:ind w:left="115" w:right="113"/>
              <w:jc w:val="center"/>
              <w:rPr>
                <w:sz w:val="14"/>
              </w:rPr>
            </w:pPr>
            <w:r>
              <w:rPr>
                <w:sz w:val="14"/>
              </w:rPr>
              <w:t>0.41</w:t>
            </w:r>
          </w:p>
        </w:tc>
        <w:tc>
          <w:tcPr>
            <w:tcW w:w="137" w:type="dxa"/>
          </w:tcPr>
          <w:p>
            <w:pPr>
              <w:pStyle w:val="TableParagraph"/>
              <w:rPr>
                <w:sz w:val="8"/>
              </w:rPr>
            </w:pPr>
          </w:p>
        </w:tc>
        <w:tc>
          <w:tcPr>
            <w:tcW w:w="832" w:type="dxa"/>
          </w:tcPr>
          <w:p>
            <w:pPr>
              <w:pStyle w:val="TableParagraph"/>
              <w:spacing w:line="120" w:lineRule="exact"/>
              <w:ind w:left="214" w:right="330"/>
              <w:jc w:val="center"/>
              <w:rPr>
                <w:sz w:val="14"/>
              </w:rPr>
            </w:pPr>
            <w:r>
              <w:rPr>
                <w:sz w:val="14"/>
              </w:rPr>
              <w:t>0.35</w:t>
            </w:r>
          </w:p>
        </w:tc>
        <w:tc>
          <w:tcPr>
            <w:tcW w:w="178" w:type="dxa"/>
          </w:tcPr>
          <w:p>
            <w:pPr>
              <w:pStyle w:val="TableParagraph"/>
              <w:rPr>
                <w:sz w:val="8"/>
              </w:rPr>
            </w:pPr>
          </w:p>
        </w:tc>
        <w:tc>
          <w:tcPr>
            <w:tcW w:w="509" w:type="dxa"/>
          </w:tcPr>
          <w:p>
            <w:pPr>
              <w:pStyle w:val="TableParagraph"/>
              <w:spacing w:line="120" w:lineRule="exact"/>
              <w:ind w:right="32"/>
              <w:jc w:val="center"/>
              <w:rPr>
                <w:sz w:val="14"/>
              </w:rPr>
            </w:pPr>
            <w:r>
              <w:rPr>
                <w:sz w:val="14"/>
              </w:rPr>
              <w:t>0.57</w:t>
            </w:r>
          </w:p>
        </w:tc>
        <w:tc>
          <w:tcPr>
            <w:tcW w:w="115" w:type="dxa"/>
          </w:tcPr>
          <w:p>
            <w:pPr>
              <w:pStyle w:val="TableParagraph"/>
              <w:rPr>
                <w:sz w:val="8"/>
              </w:rPr>
            </w:pPr>
          </w:p>
        </w:tc>
        <w:tc>
          <w:tcPr>
            <w:tcW w:w="410" w:type="dxa"/>
          </w:tcPr>
          <w:p>
            <w:pPr>
              <w:pStyle w:val="TableParagraph"/>
              <w:spacing w:line="120" w:lineRule="exact"/>
              <w:ind w:right="61"/>
              <w:jc w:val="center"/>
              <w:rPr>
                <w:sz w:val="14"/>
              </w:rPr>
            </w:pPr>
            <w:r>
              <w:rPr>
                <w:sz w:val="14"/>
              </w:rPr>
              <w:t>0.53</w:t>
            </w:r>
          </w:p>
        </w:tc>
        <w:tc>
          <w:tcPr>
            <w:tcW w:w="146" w:type="dxa"/>
          </w:tcPr>
          <w:p>
            <w:pPr>
              <w:pStyle w:val="TableParagraph"/>
              <w:rPr>
                <w:sz w:val="8"/>
              </w:rPr>
            </w:pPr>
          </w:p>
        </w:tc>
        <w:tc>
          <w:tcPr>
            <w:tcW w:w="358" w:type="dxa"/>
          </w:tcPr>
          <w:p>
            <w:pPr>
              <w:pStyle w:val="TableParagraph"/>
              <w:spacing w:line="120" w:lineRule="exact"/>
              <w:ind w:right="65"/>
              <w:jc w:val="right"/>
              <w:rPr>
                <w:sz w:val="14"/>
              </w:rPr>
            </w:pPr>
            <w:r>
              <w:rPr>
                <w:sz w:val="14"/>
              </w:rPr>
              <w:t>0.46</w:t>
            </w:r>
          </w:p>
        </w:tc>
      </w:tr>
      <w:tr>
        <w:trPr>
          <w:trHeight w:val="147" w:hRule="atLeast"/>
        </w:trPr>
        <w:tc>
          <w:tcPr>
            <w:tcW w:w="1090" w:type="dxa"/>
          </w:tcPr>
          <w:p>
            <w:pPr>
              <w:pStyle w:val="TableParagraph"/>
              <w:spacing w:line="128" w:lineRule="exact"/>
              <w:ind w:left="50"/>
              <w:rPr>
                <w:sz w:val="14"/>
              </w:rPr>
            </w:pPr>
            <w:r>
              <w:rPr>
                <w:sz w:val="14"/>
              </w:rPr>
              <w:t>Old AEI</w:t>
            </w:r>
          </w:p>
        </w:tc>
        <w:tc>
          <w:tcPr>
            <w:tcW w:w="513" w:type="dxa"/>
          </w:tcPr>
          <w:p>
            <w:pPr>
              <w:pStyle w:val="TableParagraph"/>
              <w:spacing w:line="128" w:lineRule="exact"/>
              <w:ind w:left="115" w:right="113"/>
              <w:jc w:val="center"/>
              <w:rPr>
                <w:sz w:val="14"/>
              </w:rPr>
            </w:pPr>
            <w:r>
              <w:rPr>
                <w:sz w:val="14"/>
              </w:rPr>
              <w:t>0.29</w:t>
            </w:r>
          </w:p>
        </w:tc>
        <w:tc>
          <w:tcPr>
            <w:tcW w:w="137" w:type="dxa"/>
          </w:tcPr>
          <w:p>
            <w:pPr>
              <w:pStyle w:val="TableParagraph"/>
              <w:rPr>
                <w:sz w:val="8"/>
              </w:rPr>
            </w:pPr>
          </w:p>
        </w:tc>
        <w:tc>
          <w:tcPr>
            <w:tcW w:w="832" w:type="dxa"/>
          </w:tcPr>
          <w:p>
            <w:pPr>
              <w:pStyle w:val="TableParagraph"/>
              <w:spacing w:line="128" w:lineRule="exact"/>
              <w:ind w:left="214" w:right="330"/>
              <w:jc w:val="center"/>
              <w:rPr>
                <w:sz w:val="14"/>
              </w:rPr>
            </w:pPr>
            <w:r>
              <w:rPr>
                <w:sz w:val="14"/>
              </w:rPr>
              <w:t>0.30</w:t>
            </w:r>
          </w:p>
        </w:tc>
        <w:tc>
          <w:tcPr>
            <w:tcW w:w="178" w:type="dxa"/>
          </w:tcPr>
          <w:p>
            <w:pPr>
              <w:pStyle w:val="TableParagraph"/>
              <w:rPr>
                <w:sz w:val="8"/>
              </w:rPr>
            </w:pPr>
          </w:p>
        </w:tc>
        <w:tc>
          <w:tcPr>
            <w:tcW w:w="509" w:type="dxa"/>
          </w:tcPr>
          <w:p>
            <w:pPr>
              <w:pStyle w:val="TableParagraph"/>
              <w:spacing w:line="128" w:lineRule="exact"/>
              <w:ind w:right="32"/>
              <w:jc w:val="center"/>
              <w:rPr>
                <w:sz w:val="14"/>
              </w:rPr>
            </w:pPr>
            <w:r>
              <w:rPr>
                <w:sz w:val="14"/>
              </w:rPr>
              <w:t>0.42</w:t>
            </w:r>
          </w:p>
        </w:tc>
        <w:tc>
          <w:tcPr>
            <w:tcW w:w="115" w:type="dxa"/>
          </w:tcPr>
          <w:p>
            <w:pPr>
              <w:pStyle w:val="TableParagraph"/>
              <w:rPr>
                <w:sz w:val="8"/>
              </w:rPr>
            </w:pPr>
          </w:p>
        </w:tc>
        <w:tc>
          <w:tcPr>
            <w:tcW w:w="410" w:type="dxa"/>
          </w:tcPr>
          <w:p>
            <w:pPr>
              <w:pStyle w:val="TableParagraph"/>
              <w:spacing w:line="128" w:lineRule="exact"/>
              <w:ind w:right="61"/>
              <w:jc w:val="center"/>
              <w:rPr>
                <w:sz w:val="14"/>
              </w:rPr>
            </w:pPr>
            <w:r>
              <w:rPr>
                <w:sz w:val="14"/>
              </w:rPr>
              <w:t>0.38</w:t>
            </w:r>
          </w:p>
        </w:tc>
        <w:tc>
          <w:tcPr>
            <w:tcW w:w="146" w:type="dxa"/>
          </w:tcPr>
          <w:p>
            <w:pPr>
              <w:pStyle w:val="TableParagraph"/>
              <w:rPr>
                <w:sz w:val="8"/>
              </w:rPr>
            </w:pPr>
          </w:p>
        </w:tc>
        <w:tc>
          <w:tcPr>
            <w:tcW w:w="358" w:type="dxa"/>
          </w:tcPr>
          <w:p>
            <w:pPr>
              <w:pStyle w:val="TableParagraph"/>
              <w:spacing w:line="128" w:lineRule="exact"/>
              <w:ind w:right="65"/>
              <w:jc w:val="right"/>
              <w:rPr>
                <w:sz w:val="14"/>
              </w:rPr>
            </w:pPr>
            <w:r>
              <w:rPr>
                <w:sz w:val="14"/>
              </w:rPr>
              <w:t>0.44</w:t>
            </w:r>
          </w:p>
        </w:tc>
      </w:tr>
    </w:tbl>
    <w:p>
      <w:pPr>
        <w:spacing w:line="208" w:lineRule="auto" w:before="117"/>
        <w:ind w:left="395" w:right="161" w:hanging="240"/>
        <w:jc w:val="left"/>
        <w:rPr>
          <w:sz w:val="12"/>
        </w:rPr>
      </w:pPr>
      <w:r>
        <w:rPr>
          <w:sz w:val="12"/>
        </w:rPr>
        <w:t>(a) Figures are the standard deviations of twelve-month earnings growth around a six-month centred moving average over a four-year period ending in</w:t>
      </w:r>
    </w:p>
    <w:p>
      <w:pPr>
        <w:spacing w:line="123" w:lineRule="exact" w:before="0"/>
        <w:ind w:left="395" w:right="0" w:firstLine="0"/>
        <w:jc w:val="left"/>
        <w:rPr>
          <w:sz w:val="12"/>
        </w:rPr>
      </w:pPr>
      <w:r>
        <w:rPr>
          <w:sz w:val="12"/>
        </w:rPr>
        <w:t>April 1998.</w:t>
      </w:r>
    </w:p>
    <w:p>
      <w:pPr>
        <w:pStyle w:val="BodyText"/>
        <w:rPr>
          <w:sz w:val="12"/>
        </w:rPr>
      </w:pPr>
    </w:p>
    <w:p>
      <w:pPr>
        <w:pStyle w:val="BodyText"/>
        <w:rPr>
          <w:sz w:val="12"/>
        </w:rPr>
      </w:pPr>
    </w:p>
    <w:p>
      <w:pPr>
        <w:pStyle w:val="BodyText"/>
        <w:spacing w:before="6"/>
        <w:rPr>
          <w:sz w:val="17"/>
        </w:rPr>
      </w:pPr>
    </w:p>
    <w:p>
      <w:pPr>
        <w:pStyle w:val="Heading4"/>
        <w:spacing w:before="0"/>
        <w:ind w:left="175"/>
      </w:pPr>
      <w:r>
        <w:rPr>
          <w:color w:val="0093C1"/>
        </w:rPr>
        <w:t>Chart 3.3</w:t>
      </w:r>
    </w:p>
    <w:p>
      <w:pPr>
        <w:pStyle w:val="Heading4"/>
        <w:spacing w:line="249" w:lineRule="auto"/>
        <w:ind w:left="175" w:right="156"/>
      </w:pPr>
      <w:r>
        <w:rPr>
          <w:color w:val="0093C1"/>
        </w:rPr>
        <w:t>Average nominal earnings growth, settlements and wage drift</w:t>
      </w:r>
    </w:p>
    <w:p>
      <w:pPr>
        <w:tabs>
          <w:tab w:pos="3684" w:val="right" w:leader="none"/>
        </w:tabs>
        <w:spacing w:line="648" w:lineRule="auto" w:before="181"/>
        <w:ind w:left="2292" w:right="624" w:hanging="521"/>
        <w:jc w:val="left"/>
        <w:rPr>
          <w:sz w:val="12"/>
        </w:rPr>
      </w:pPr>
      <w:r>
        <w:rPr/>
        <w:pict>
          <v:group style="position:absolute;margin-left:46.904999pt;margin-top:40.340313pt;width:162.550pt;height:113.25pt;mso-position-horizontal-relative:page;mso-position-vertical-relative:paragraph;z-index:-21187584" coordorigin="938,807" coordsize="3251,2265">
            <v:line style="position:absolute" from="1093,2947" to="4068,2947" stroked="true" strokeweight=".5pt" strokecolor="#231f20">
              <v:stroke dashstyle="solid"/>
            </v:line>
            <v:line style="position:absolute" from="1613,1601" to="1681,1601" stroked="true" strokeweight="1.125pt" strokecolor="#008256">
              <v:stroke dashstyle="solid"/>
            </v:line>
            <v:shape style="position:absolute;left:1085;top:1559;width:195;height:265" coordorigin="1086,1559" coordsize="195,265" path="m1086,1824l1136,1747m1136,1747l1183,1559m1183,1559l1233,1599m1233,1599l1281,1637e" filled="false" stroked="true" strokeweight="1pt" strokecolor="#008256">
              <v:path arrowok="t"/>
              <v:stroke dashstyle="solid"/>
            </v:shape>
            <v:line style="position:absolute" from="1271,1638" to="1338,1638" stroked="true" strokeweight="1.125pt" strokecolor="#008256">
              <v:stroke dashstyle="solid"/>
            </v:line>
            <v:shape style="position:absolute;left:1328;top:1524;width:245;height:113" coordorigin="1328,1524" coordsize="245,113" path="m1328,1637l1378,1599m1378,1599l1428,1524m1428,1524l1476,1559m1476,1559l1526,1524m1526,1524l1573,1599e" filled="false" stroked="true" strokeweight="1pt" strokecolor="#008256">
              <v:path arrowok="t"/>
              <v:stroke dashstyle="solid"/>
            </v:shape>
            <v:line style="position:absolute" from="1563,1601" to="1633,1601" stroked="true" strokeweight="1.125pt" strokecolor="#008256">
              <v:stroke dashstyle="solid"/>
            </v:line>
            <v:line style="position:absolute" from="1671,1599" to="1718,1637" stroked="true" strokeweight="1pt" strokecolor="#008256">
              <v:stroke dashstyle="solid"/>
            </v:line>
            <v:line style="position:absolute" from="1708,1638" to="1778,1638" stroked="true" strokeweight="1.125pt" strokecolor="#008256">
              <v:stroke dashstyle="solid"/>
            </v:line>
            <v:shape style="position:absolute;left:1768;top:1559;width:245;height:373" coordorigin="1768,1559" coordsize="245,373" path="m1768,1637l1818,1559m1818,1559l1866,1599m1866,1599l1916,1712m1916,1712l1963,1859m1963,1859l2013,1932e" filled="false" stroked="true" strokeweight="1pt" strokecolor="#008256">
              <v:path arrowok="t"/>
              <v:stroke dashstyle="solid"/>
            </v:shape>
            <v:line style="position:absolute" from="2003,1933" to="2071,1933" stroked="true" strokeweight="1.125pt" strokecolor="#008256">
              <v:stroke dashstyle="solid"/>
            </v:line>
            <v:shape style="position:absolute;left:2060;top:1824;width:98;height:108" coordorigin="2061,1824" coordsize="98,108" path="m2061,1932l2111,1897m2111,1897l2158,1824e" filled="false" stroked="true" strokeweight="1pt" strokecolor="#008256">
              <v:path arrowok="t"/>
              <v:stroke dashstyle="solid"/>
            </v:shape>
            <v:rect style="position:absolute;left:2148;top:1814;width:70;height:23" filled="true" fillcolor="#008256" stroked="false">
              <v:fill type="solid"/>
            </v:rect>
            <v:shape style="position:absolute;left:2198;top:1825;width:168;height:2" coordorigin="2198,1826" coordsize="168,0" path="m2198,1826l2266,1826m2246,1826l2316,1826m2296,1826l2366,1826e" filled="false" stroked="true" strokeweight="1.125pt" strokecolor="#008256">
              <v:path arrowok="t"/>
              <v:stroke dashstyle="solid"/>
            </v:shape>
            <v:shape style="position:absolute;left:2355;top:1486;width:290;height:338" coordorigin="2356,1487" coordsize="290,338" path="m2356,1824l2401,1747m2401,1747l2451,1784m2451,1784l2501,1672m2501,1672l2548,1637m2548,1637l2598,1559m2598,1559l2646,1487e" filled="false" stroked="true" strokeweight="1pt" strokecolor="#008256">
              <v:path arrowok="t"/>
              <v:stroke dashstyle="solid"/>
            </v:shape>
            <v:shape style="position:absolute;left:2635;top:1488;width:165;height:2" coordorigin="2636,1488" coordsize="165,0" path="m2636,1488l2706,1488m2686,1488l2756,1488m2736,1488l2801,1488e" filled="false" stroked="true" strokeweight="1.125pt" strokecolor="#008256">
              <v:path arrowok="t"/>
              <v:stroke dashstyle="solid"/>
            </v:shape>
            <v:shape style="position:absolute;left:2790;top:1374;width:393;height:113" coordorigin="2791,1374" coordsize="393,113" path="m2791,1487l2841,1374m2841,1374l2891,1412m2891,1412l2938,1374m2938,1374l2988,1452m2988,1452l3036,1412m3036,1412l3086,1487m3086,1487l3133,1452m3133,1452l3183,1374e" filled="false" stroked="true" strokeweight="1pt" strokecolor="#008256">
              <v:path arrowok="t"/>
              <v:stroke dashstyle="solid"/>
            </v:shape>
            <v:line style="position:absolute" from="3173,1376" to="3241,1376" stroked="true" strokeweight="1.125pt" strokecolor="#008256">
              <v:stroke dashstyle="solid"/>
            </v:line>
            <v:shape style="position:absolute;left:3230;top:1079;width:245;height:295" coordorigin="3231,1079" coordsize="245,295" path="m3231,1374l3281,1299m3281,1299l3328,1262m3328,1262l3378,1152m3378,1152l3428,1114m3428,1114l3476,1079e" filled="false" stroked="true" strokeweight="1pt" strokecolor="#008256">
              <v:path arrowok="t"/>
              <v:stroke dashstyle="solid"/>
            </v:shape>
            <v:line style="position:absolute" from="3466,1081" to="3533,1081" stroked="true" strokeweight="1.125pt" strokecolor="#008256">
              <v:stroke dashstyle="solid"/>
            </v:line>
            <v:shape style="position:absolute;left:3523;top:816;width:440;height:445" coordorigin="3523,817" coordsize="440,445" path="m3523,1079l3573,967m3573,967l3621,854m3621,854l3671,817m3671,817l3718,854m3718,854l3768,967m3768,967l3818,1039m3818,1039l3866,1114m3866,1114l3913,1152m3913,1152l3963,1262e" filled="false" stroked="true" strokeweight="1pt" strokecolor="#008256">
              <v:path arrowok="t"/>
              <v:stroke dashstyle="solid"/>
            </v:shape>
            <v:line style="position:absolute" from="3953,1263" to="4021,1263" stroked="true" strokeweight="1.125pt" strokecolor="#008256">
              <v:stroke dashstyle="solid"/>
            </v:line>
            <v:line style="position:absolute" from="4011,1262" to="4061,1227" stroked="true" strokeweight="1pt" strokecolor="#008256">
              <v:stroke dashstyle="solid"/>
            </v:line>
            <v:line style="position:absolute" from="1076,2222" to="1146,2222" stroked="true" strokeweight="1.25pt" strokecolor="#ed1b2d">
              <v:stroke dashstyle="solid"/>
            </v:line>
            <v:shape style="position:absolute;left:1135;top:1971;width:390;height:258" coordorigin="1136,1972" coordsize="390,258" path="m1136,2219l1183,2229m1183,2229l1233,2122m1233,2122l1281,2112m1281,2112l1328,2087m1328,2087l1378,2052m1378,2052l1428,2044m1428,2044l1476,1987m1476,1987l1526,1972e" filled="false" stroked="true" strokeweight="1pt" strokecolor="#ed1b2d">
              <v:path arrowok="t"/>
              <v:stroke dashstyle="solid"/>
            </v:shape>
            <v:shape style="position:absolute;left:1515;top:1968;width:118;height:3" coordorigin="1516,1968" coordsize="118,3" path="m1516,1971l1583,1971m1563,1968l1633,1968e" filled="false" stroked="true" strokeweight="1.125pt" strokecolor="#ed1b2d">
              <v:path arrowok="t"/>
              <v:stroke dashstyle="solid"/>
            </v:shape>
            <v:line style="position:absolute" from="1623,1967" to="1671,1942" stroked="true" strokeweight="1pt" strokecolor="#ed1b2d">
              <v:stroke dashstyle="solid"/>
            </v:line>
            <v:shape style="position:absolute;left:1660;top:1934;width:118;height:5" coordorigin="1661,1934" coordsize="118,5" path="m1661,1939l1728,1939m1708,1934l1778,1934e" filled="false" stroked="true" strokeweight="1.25pt" strokecolor="#ed1b2d">
              <v:path arrowok="t"/>
              <v:stroke dashstyle="solid"/>
            </v:shape>
            <v:line style="position:absolute" from="1768,1932" to="1818,1887" stroked="true" strokeweight="1pt" strokecolor="#ed1b2d">
              <v:stroke dashstyle="solid"/>
            </v:line>
            <v:line style="position:absolute" from="1808,1886" to="1876,1886" stroked="true" strokeweight="1.125pt" strokecolor="#ed1b2d">
              <v:stroke dashstyle="solid"/>
            </v:line>
            <v:shape style="position:absolute;left:1865;top:1784;width:390;height:100" coordorigin="1866,1784" coordsize="390,100" path="m1866,1884l1916,1864m1916,1864l1963,1839m2208,1797l2256,1784m1963,1839l2013,1829m2013,1829l2061,1814m2061,1814l2111,1807m2111,1807l2158,1797e" filled="false" stroked="true" strokeweight="1pt" strokecolor="#ed1b2d">
              <v:path arrowok="t"/>
              <v:stroke dashstyle="solid"/>
            </v:shape>
            <v:rect style="position:absolute;left:2148;top:1786;width:70;height:23" filled="true" fillcolor="#ed1b2d" stroked="false">
              <v:fill type="solid"/>
            </v:rect>
            <v:shape style="position:absolute;left:2245;top:1783;width:120;height:2" coordorigin="2246,1783" coordsize="120,0" path="m2246,1783l2316,1783m2296,1783l2366,1783e" filled="false" stroked="true" strokeweight="1.125pt" strokecolor="#ed1b2d">
              <v:path arrowok="t"/>
              <v:stroke dashstyle="solid"/>
            </v:shape>
            <v:shape style="position:absolute;left:2355;top:1761;width:145;height:30" coordorigin="2356,1762" coordsize="145,30" path="m2356,1782l2401,1792m2401,1792l2451,1784m2451,1784l2501,1762e" filled="false" stroked="true" strokeweight="1pt" strokecolor="#ed1b2d">
              <v:path arrowok="t"/>
              <v:stroke dashstyle="solid"/>
            </v:shape>
            <v:line style="position:absolute" from="2736,1756" to="2801,1756" stroked="true" strokeweight="1.125pt" strokecolor="#ed1b2d">
              <v:stroke dashstyle="solid"/>
            </v:line>
            <v:line style="position:absolute" from="2491,1759" to="2558,1759" stroked="true" strokeweight="1.25pt" strokecolor="#ed1b2d">
              <v:stroke dashstyle="solid"/>
            </v:line>
            <v:line style="position:absolute" from="2538,1758" to="2608,1758" stroked="true" strokeweight="1.125pt" strokecolor="#ed1b2d">
              <v:stroke dashstyle="solid"/>
            </v:line>
            <v:shape style="position:absolute;left:2588;top:1754;width:168;height:2" coordorigin="2588,1754" coordsize="168,0" path="m2588,1754l2656,1754m2636,1754l2756,1754e" filled="false" stroked="true" strokeweight="1.25pt" strokecolor="#ed1b2d">
              <v:path arrowok="t"/>
              <v:stroke dashstyle="solid"/>
            </v:shape>
            <v:line style="position:absolute" from="2791,1754" to="2841,1764" stroked="true" strokeweight="1pt" strokecolor="#ed1b2d">
              <v:stroke dashstyle="solid"/>
            </v:line>
            <v:shape style="position:absolute;left:2830;top:1765;width:118;height:2" coordorigin="2831,1766" coordsize="118,0" path="m2831,1766l2901,1766m2881,1766l2948,1766e" filled="false" stroked="true" strokeweight="1.125pt" strokecolor="#ed1b2d">
              <v:path arrowok="t"/>
              <v:stroke dashstyle="solid"/>
            </v:shape>
            <v:shape style="position:absolute;left:2938;top:1556;width:830;height:210" coordorigin="2938,1557" coordsize="830,210" path="m2938,1767l2988,1724m2988,1724l3036,1732m3036,1732l3086,1682m3718,1564l3768,1557m3378,1674l3428,1647e" filled="false" stroked="true" strokeweight="1pt" strokecolor="#ed1b2d">
              <v:path arrowok="t"/>
              <v:stroke dashstyle="solid"/>
            </v:shape>
            <v:line style="position:absolute" from="3418,1644" to="3486,1644" stroked="true" strokeweight="1.25pt" strokecolor="#ed1b2d">
              <v:stroke dashstyle="solid"/>
            </v:line>
            <v:shape style="position:absolute;left:3475;top:1556;width:585;height:85" coordorigin="3476,1557" coordsize="585,85" path="m3476,1642l3523,1632m3523,1632l3573,1599m3573,1599l3621,1582m3621,1582l3671,1574m3671,1574l3718,1564m3963,1557l4011,1574m4011,1574l4061,1582e" filled="false" stroked="true" strokeweight="1pt" strokecolor="#ed1b2d">
              <v:path arrowok="t"/>
              <v:stroke dashstyle="solid"/>
            </v:shape>
            <v:shape style="position:absolute;left:1085;top:2269;width:243;height:270" coordorigin="1086,2269" coordsize="243,270" path="m1086,2539l1136,2467m1136,2467l1183,2269m1183,2269l1233,2417m1233,2417l1281,2467m1281,2467l1328,2489e" filled="false" stroked="true" strokeweight="1pt" strokecolor="#0093c0">
              <v:path arrowok="t"/>
              <v:stroke dashstyle="solid"/>
            </v:shape>
            <v:line style="position:absolute" from="1318,2488" to="1388,2488" stroked="true" strokeweight="1.125pt" strokecolor="#0093c0">
              <v:stroke dashstyle="solid"/>
            </v:line>
            <v:shape style="position:absolute;left:1378;top:2421;width:195;height:148" coordorigin="1378,2422" coordsize="195,148" path="m1378,2487l1428,2422m1428,2422l1476,2514m1476,2514l1526,2489m1526,2489l1573,2569e" filled="false" stroked="true" strokeweight="1pt" strokecolor="#0093c0">
              <v:path arrowok="t"/>
              <v:stroke dashstyle="solid"/>
            </v:shape>
            <v:line style="position:absolute" from="1563,2571" to="1633,2571" stroked="true" strokeweight="1.125pt" strokecolor="#0093c0">
              <v:stroke dashstyle="solid"/>
            </v:line>
            <v:shape style="position:absolute;left:1623;top:2571;width:95;height:68" coordorigin="1623,2572" coordsize="95,68" path="m1623,2572l1671,2597m1671,2597l1718,2639e" filled="false" stroked="true" strokeweight="1pt" strokecolor="#0093c0">
              <v:path arrowok="t"/>
              <v:stroke dashstyle="solid"/>
            </v:shape>
            <v:line style="position:absolute" from="1708,2641" to="1778,2641" stroked="true" strokeweight="1.125pt" strokecolor="#0093c0">
              <v:stroke dashstyle="solid"/>
            </v:line>
            <v:shape style="position:absolute;left:1768;top:2611;width:390;height:450" coordorigin="1768,2612" coordsize="390,450" path="m1768,2642l1818,2612m1818,2612l1866,2654m1866,2654l1916,2787m1916,2787l1963,2959m1963,2959l2013,3044m2013,3044l2061,3062m2061,3062l2111,3029m2111,3029l2158,2967e" filled="false" stroked="true" strokeweight="1pt" strokecolor="#0093c0">
              <v:path arrowok="t"/>
              <v:stroke dashstyle="solid"/>
            </v:shape>
            <v:line style="position:absolute" from="2148,2968" to="2218,2968" stroked="true" strokeweight="1.125pt" strokecolor="#0093c0">
              <v:stroke dashstyle="solid"/>
            </v:line>
            <v:line style="position:absolute" from="2208,2967" to="2256,2979" stroked="true" strokeweight="1pt" strokecolor="#0093c0">
              <v:stroke dashstyle="solid"/>
            </v:line>
            <v:shape style="position:absolute;left:2245;top:2980;width:120;height:2" coordorigin="2246,2981" coordsize="120,0" path="m2246,2981l2316,2981m2296,2981l2366,2981e" filled="false" stroked="true" strokeweight="1.125pt" strokecolor="#0093c0">
              <v:path arrowok="t"/>
              <v:stroke dashstyle="solid"/>
            </v:shape>
            <v:shape style="position:absolute;left:2355;top:2854;width:145;height:128" coordorigin="2356,2854" coordsize="145,128" path="m2356,2982l2401,2897m2401,2897l2451,2939m2451,2939l2501,2854e" filled="false" stroked="true" strokeweight="1pt" strokecolor="#0093c0">
              <v:path arrowok="t"/>
              <v:stroke dashstyle="solid"/>
            </v:shape>
            <v:line style="position:absolute" from="2736,2673" to="2801,2673" stroked="true" strokeweight="1.125pt" strokecolor="#0093c0">
              <v:stroke dashstyle="solid"/>
            </v:line>
            <v:shape style="position:absolute;left:2500;top:2674;width:145;height:180" coordorigin="2501,2674" coordsize="145,180" path="m2501,2854l2548,2817m2548,2817l2598,2744m2598,2744l2646,2674e" filled="false" stroked="true" strokeweight="1pt" strokecolor="#0093c0">
              <v:path arrowok="t"/>
              <v:stroke dashstyle="solid"/>
            </v:shape>
            <v:shape style="position:absolute;left:2635;top:2673;width:120;height:2" coordorigin="2636,2673" coordsize="120,0" path="m2636,2673l2706,2673m2686,2673l2756,2673e" filled="false" stroked="true" strokeweight="1.125pt" strokecolor="#0093c0">
              <v:path arrowok="t"/>
              <v:stroke dashstyle="solid"/>
            </v:shape>
            <v:shape style="position:absolute;left:2790;top:2546;width:393;height:200" coordorigin="2791,2547" coordsize="393,200" path="m2791,2672l2841,2549m2841,2549l2891,2587m2891,2587l2938,2547m2938,2547l2988,2662m2988,2662l3036,2619m3036,2619l3086,2747m3086,2747l3133,2712m3133,2712l3183,2637e" filled="false" stroked="true" strokeweight="1pt" strokecolor="#0093c0">
              <v:path arrowok="t"/>
              <v:stroke dashstyle="solid"/>
            </v:shape>
            <v:line style="position:absolute" from="3173,2634" to="3241,2634" stroked="true" strokeweight="1.25pt" strokecolor="#0093c0">
              <v:stroke dashstyle="solid"/>
            </v:line>
            <v:shape style="position:absolute;left:3230;top:2184;width:830;height:463" coordorigin="3231,2184" coordsize="830,463" path="m3231,2632l3281,2564m3281,2564l3328,2529m3328,2529l3378,2417m3428,2407l3476,2374m3378,2417l3428,2407m3476,2374l3523,2384m3523,2384l3573,2307m3573,2307l3621,2214m3621,2214l3671,2184m3671,2184l3718,2229m3718,2229l3768,2349m3768,2349l3818,2424m3818,2424l3866,2497m3866,2497l3913,2537m3913,2537l3963,2647m3963,2647l4011,2629m4011,2629l4061,2582e" filled="false" stroked="true" strokeweight="1pt" strokecolor="#0093c0">
              <v:path arrowok="t"/>
              <v:stroke dashstyle="solid"/>
            </v:shape>
            <v:shape style="position:absolute;left:938;top:1078;width:3251;height:1867" coordorigin="938,1079" coordsize="3251,1867" path="m938,1081l1025,1081m938,1454l1025,1454m938,1827l1025,1827m938,2200l1025,2200m938,2572l1025,2572m938,2945l1025,2945m4102,1079l4189,1079m4102,1451l4189,1451m4102,1824l4189,1824m4102,2197l4189,2197m4102,2570l4189,2570m4102,2943l4189,2943m2533,1198l2746,1672e" filled="false" stroked="true" strokeweight=".5pt" strokecolor="#000000">
              <v:path arrowok="t"/>
              <v:stroke dashstyle="solid"/>
            </v:shape>
            <v:shape style="position:absolute;left:2716;top:1645;width:58;height:88" coordorigin="2716,1646" coordsize="58,88" path="m2762,1646l2716,1667,2728,1679,2737,1688,2774,1734,2772,1725,2769,1714,2767,1702,2765,1689,2764,1677,2762,1646xe" filled="true" fillcolor="#000000" stroked="false">
              <v:path arrowok="t"/>
              <v:fill type="solid"/>
            </v:shape>
            <v:shape style="position:absolute;left:1753;top:970;width:1103;height:254" type="#_x0000_t202" filled="false" stroked="false">
              <v:textbox inset="0,0,0,0">
                <w:txbxContent>
                  <w:p>
                    <w:pPr>
                      <w:spacing w:line="208" w:lineRule="auto" w:before="9"/>
                      <w:ind w:left="60" w:right="0" w:hanging="60"/>
                      <w:jc w:val="left"/>
                      <w:rPr>
                        <w:sz w:val="12"/>
                      </w:rPr>
                    </w:pPr>
                    <w:r>
                      <w:rPr>
                        <w:sz w:val="12"/>
                      </w:rPr>
                      <w:t>Whole-economy wage settlements (a)</w:t>
                    </w:r>
                  </w:p>
                </w:txbxContent>
              </v:textbox>
              <w10:wrap type="none"/>
            </v:shape>
            <v:shape style="position:absolute;left:3075;top:1387;width:918;height:133" type="#_x0000_t202" filled="false" stroked="false">
              <v:textbox inset="0,0,0,0">
                <w:txbxContent>
                  <w:p>
                    <w:pPr>
                      <w:tabs>
                        <w:tab w:pos="312" w:val="left" w:leader="none"/>
                        <w:tab w:pos="682" w:val="left" w:leader="none"/>
                      </w:tabs>
                      <w:spacing w:line="133" w:lineRule="exact" w:before="0"/>
                      <w:ind w:left="0" w:right="0" w:firstLine="0"/>
                      <w:jc w:val="left"/>
                      <w:rPr>
                        <w:sz w:val="12"/>
                      </w:rPr>
                    </w:pPr>
                    <w:r>
                      <w:rPr>
                        <w:sz w:val="12"/>
                        <w:u w:val="thick" w:color="ED1B2D"/>
                      </w:rPr>
                      <w:t> </w:t>
                      <w:tab/>
                    </w:r>
                    <w:r>
                      <w:rPr>
                        <w:sz w:val="12"/>
                      </w:rPr>
                      <w:tab/>
                    </w:r>
                    <w:r>
                      <w:rPr>
                        <w:sz w:val="12"/>
                        <w:u w:val="thick" w:color="ED1B2D"/>
                      </w:rPr>
                      <w:t> </w:t>
                    </w:r>
                    <w:r>
                      <w:rPr>
                        <w:spacing w:val="5"/>
                        <w:sz w:val="12"/>
                        <w:u w:val="thick" w:color="ED1B2D"/>
                      </w:rPr>
                      <w:t> </w:t>
                    </w:r>
                  </w:p>
                </w:txbxContent>
              </v:textbox>
              <w10:wrap type="none"/>
            </v:shape>
            <v:shape style="position:absolute;left:3064;top:2101;width:537;height:133" type="#_x0000_t202" filled="false" stroked="false">
              <v:textbox inset="0,0,0,0">
                <w:txbxContent>
                  <w:p>
                    <w:pPr>
                      <w:spacing w:line="133" w:lineRule="exact" w:before="0"/>
                      <w:ind w:left="0" w:right="0" w:firstLine="0"/>
                      <w:jc w:val="left"/>
                      <w:rPr>
                        <w:sz w:val="12"/>
                      </w:rPr>
                    </w:pPr>
                    <w:r>
                      <w:rPr>
                        <w:sz w:val="12"/>
                      </w:rPr>
                      <w:t>Wage drift</w:t>
                    </w:r>
                  </w:p>
                </w:txbxContent>
              </v:textbox>
              <w10:wrap type="none"/>
            </v:shape>
            <w10:wrap type="none"/>
          </v:group>
        </w:pict>
      </w:r>
      <w:r>
        <w:rPr/>
        <w:pict>
          <v:line style="position:absolute;mso-position-horizontal-relative:page;mso-position-vertical-relative:paragraph;z-index:15947264" from="46.904999pt,16.778315pt" to="51.237999pt,16.778315pt" stroked="true" strokeweight=".5pt" strokecolor="#000000">
            <v:stroke dashstyle="solid"/>
            <w10:wrap type="none"/>
          </v:line>
        </w:pict>
      </w:r>
      <w:r>
        <w:rPr/>
        <w:pict>
          <v:line style="position:absolute;mso-position-horizontal-relative:page;mso-position-vertical-relative:paragraph;z-index:15947776" from="46.904999pt,35.418312pt" to="51.237999pt,35.418312pt" stroked="true" strokeweight=".5pt" strokecolor="#000000">
            <v:stroke dashstyle="solid"/>
            <w10:wrap type="none"/>
          </v:line>
        </w:pict>
      </w:r>
      <w:r>
        <w:rPr/>
        <w:pict>
          <v:line style="position:absolute;mso-position-horizontal-relative:page;mso-position-vertical-relative:paragraph;z-index:-21185536" from="205.113007pt,35.293312pt" to="209.447007pt,35.293312pt" stroked="true" strokeweight=".5pt" strokecolor="#000000">
            <v:stroke dashstyle="solid"/>
            <w10:wrap type="none"/>
          </v:line>
        </w:pict>
      </w:r>
      <w:r>
        <w:rPr>
          <w:sz w:val="12"/>
        </w:rPr>
        <w:t>Percentage changes on a year earli</w:t>
      </w:r>
      <w:r>
        <w:rPr>
          <w:sz w:val="12"/>
          <w:u w:val="single"/>
        </w:rPr>
        <w:t>er</w:t>
      </w:r>
      <w:r>
        <w:rPr>
          <w:sz w:val="12"/>
        </w:rPr>
        <w:t> </w:t>
      </w:r>
      <w:r>
        <w:rPr>
          <w:spacing w:val="-17"/>
          <w:position w:val="-7"/>
          <w:sz w:val="12"/>
        </w:rPr>
        <w:t>7 </w:t>
      </w:r>
      <w:r>
        <w:rPr>
          <w:sz w:val="12"/>
        </w:rPr>
        <w:t>Average earnings</w:t>
        <w:tab/>
      </w:r>
      <w:r>
        <w:rPr>
          <w:position w:val="3"/>
          <w:sz w:val="12"/>
        </w:rPr>
        <w:t>6</w:t>
      </w:r>
    </w:p>
    <w:p>
      <w:pPr>
        <w:spacing w:line="112" w:lineRule="exact" w:before="0"/>
        <w:ind w:left="3624" w:right="0" w:firstLine="0"/>
        <w:jc w:val="left"/>
        <w:rPr>
          <w:sz w:val="12"/>
        </w:rPr>
      </w:pPr>
      <w:r>
        <w:rPr>
          <w:sz w:val="12"/>
        </w:rPr>
        <w:t>5</w:t>
      </w:r>
    </w:p>
    <w:p>
      <w:pPr>
        <w:pStyle w:val="BodyText"/>
        <w:rPr>
          <w:sz w:val="12"/>
        </w:rPr>
      </w:pPr>
    </w:p>
    <w:p>
      <w:pPr>
        <w:spacing w:before="96"/>
        <w:ind w:left="0" w:right="624" w:firstLine="0"/>
        <w:jc w:val="right"/>
        <w:rPr>
          <w:sz w:val="12"/>
        </w:rPr>
      </w:pPr>
      <w:r>
        <w:rPr>
          <w:sz w:val="12"/>
        </w:rPr>
        <w:t>4</w:t>
      </w:r>
    </w:p>
    <w:p>
      <w:pPr>
        <w:pStyle w:val="BodyText"/>
        <w:rPr>
          <w:sz w:val="12"/>
        </w:rPr>
      </w:pPr>
    </w:p>
    <w:p>
      <w:pPr>
        <w:spacing w:before="97"/>
        <w:ind w:left="0" w:right="624" w:firstLine="0"/>
        <w:jc w:val="right"/>
        <w:rPr>
          <w:sz w:val="12"/>
        </w:rPr>
      </w:pPr>
      <w:r>
        <w:rPr>
          <w:sz w:val="12"/>
        </w:rPr>
        <w:t>3</w:t>
      </w:r>
    </w:p>
    <w:p>
      <w:pPr>
        <w:pStyle w:val="BodyText"/>
        <w:rPr>
          <w:sz w:val="12"/>
        </w:rPr>
      </w:pPr>
    </w:p>
    <w:p>
      <w:pPr>
        <w:spacing w:before="94"/>
        <w:ind w:left="0" w:right="624" w:firstLine="0"/>
        <w:jc w:val="right"/>
        <w:rPr>
          <w:sz w:val="12"/>
        </w:rPr>
      </w:pPr>
      <w:r>
        <w:rPr>
          <w:sz w:val="12"/>
        </w:rPr>
        <w:t>2</w:t>
      </w:r>
    </w:p>
    <w:p>
      <w:pPr>
        <w:pStyle w:val="BodyText"/>
        <w:rPr>
          <w:sz w:val="12"/>
        </w:rPr>
      </w:pPr>
    </w:p>
    <w:p>
      <w:pPr>
        <w:spacing w:before="96"/>
        <w:ind w:left="0" w:right="624" w:firstLine="0"/>
        <w:jc w:val="right"/>
        <w:rPr>
          <w:sz w:val="12"/>
        </w:rPr>
      </w:pPr>
      <w:r>
        <w:rPr>
          <w:sz w:val="12"/>
        </w:rPr>
        <w:t>1</w:t>
      </w:r>
    </w:p>
    <w:p>
      <w:pPr>
        <w:spacing w:before="28"/>
        <w:ind w:left="3537" w:right="0" w:firstLine="0"/>
        <w:jc w:val="left"/>
        <w:rPr>
          <w:sz w:val="16"/>
        </w:rPr>
      </w:pPr>
      <w:r>
        <w:rPr>
          <w:sz w:val="16"/>
        </w:rPr>
        <w:t>+</w:t>
      </w:r>
    </w:p>
    <w:p>
      <w:pPr>
        <w:spacing w:line="107" w:lineRule="exact" w:before="23"/>
        <w:ind w:left="3624" w:right="0" w:firstLine="0"/>
        <w:jc w:val="left"/>
        <w:rPr>
          <w:sz w:val="12"/>
        </w:rPr>
      </w:pPr>
      <w:r>
        <w:rPr>
          <w:sz w:val="12"/>
        </w:rPr>
        <w:t>0</w:t>
      </w:r>
    </w:p>
    <w:p>
      <w:pPr>
        <w:spacing w:line="153" w:lineRule="exact" w:before="0"/>
        <w:ind w:left="3537" w:right="0" w:firstLine="0"/>
        <w:jc w:val="left"/>
        <w:rPr>
          <w:sz w:val="16"/>
        </w:rPr>
      </w:pPr>
      <w:r>
        <w:rPr>
          <w:sz w:val="16"/>
        </w:rPr>
        <w:t>_</w:t>
      </w:r>
    </w:p>
    <w:p>
      <w:pPr>
        <w:spacing w:line="130" w:lineRule="exact" w:before="111"/>
        <w:ind w:left="3624" w:right="0" w:firstLine="0"/>
        <w:jc w:val="left"/>
        <w:rPr>
          <w:sz w:val="12"/>
        </w:rPr>
      </w:pPr>
      <w:r>
        <w:rPr/>
        <w:pict>
          <v:group style="position:absolute;margin-left:46.904999pt;margin-top:5.172566pt;width:162.550pt;height:4.4pt;mso-position-horizontal-relative:page;mso-position-vertical-relative:paragraph;z-index:15948288" coordorigin="938,103" coordsize="3251,88">
            <v:shape style="position:absolute;left:938;top:183;width:3251;height:3" coordorigin="938,184" coordsize="3251,3" path="m938,186l1025,186m4102,184l4189,184e" filled="false" stroked="true" strokeweight=".5pt" strokecolor="#000000">
              <v:path arrowok="t"/>
              <v:stroke dashstyle="solid"/>
            </v:shape>
            <v:shape style="position:absolute;left:1085;top:103;width:2975;height:80" coordorigin="1086,103" coordsize="2975,80" path="m1086,183l4061,183m1086,103l1086,178m4011,103l4011,178m3426,103l3426,178m2841,103l2841,178m2256,103l2256,178m1671,103l1671,178e" filled="false" stroked="true" strokeweight=".5pt" strokecolor="#231f20">
              <v:path arrowok="t"/>
              <v:stroke dashstyle="solid"/>
            </v:shape>
            <w10:wrap type="none"/>
          </v:group>
        </w:pict>
      </w:r>
      <w:r>
        <w:rPr>
          <w:sz w:val="12"/>
        </w:rPr>
        <w:t>1</w:t>
      </w:r>
    </w:p>
    <w:p>
      <w:pPr>
        <w:tabs>
          <w:tab w:pos="1257" w:val="left" w:leader="none"/>
          <w:tab w:pos="1844" w:val="left" w:leader="none"/>
          <w:tab w:pos="2427" w:val="left" w:leader="none"/>
          <w:tab w:pos="3014" w:val="left" w:leader="none"/>
          <w:tab w:pos="3352" w:val="left" w:leader="none"/>
        </w:tabs>
        <w:spacing w:line="130" w:lineRule="exact" w:before="0"/>
        <w:ind w:left="589" w:right="0" w:firstLine="0"/>
        <w:jc w:val="left"/>
        <w:rPr>
          <w:sz w:val="12"/>
        </w:rPr>
      </w:pPr>
      <w:r>
        <w:rPr>
          <w:sz w:val="12"/>
        </w:rPr>
        <w:t>1994</w:t>
        <w:tab/>
        <w:t>95</w:t>
        <w:tab/>
        <w:t>96</w:t>
        <w:tab/>
        <w:t>97</w:t>
        <w:tab/>
        <w:t>98</w:t>
        <w:tab/>
        <w:t>99</w:t>
      </w:r>
    </w:p>
    <w:p>
      <w:pPr>
        <w:spacing w:before="90"/>
        <w:ind w:left="165" w:right="0" w:firstLine="0"/>
        <w:jc w:val="left"/>
        <w:rPr>
          <w:sz w:val="12"/>
        </w:rPr>
      </w:pPr>
      <w:r>
        <w:rPr>
          <w:sz w:val="12"/>
        </w:rPr>
        <w:t>Sources: ONS and Bank of England.</w:t>
      </w:r>
    </w:p>
    <w:p>
      <w:pPr>
        <w:spacing w:before="102"/>
        <w:ind w:left="165" w:right="0" w:firstLine="0"/>
        <w:jc w:val="left"/>
        <w:rPr>
          <w:sz w:val="12"/>
        </w:rPr>
      </w:pPr>
      <w:r>
        <w:rPr>
          <w:sz w:val="12"/>
        </w:rPr>
        <w:t>(a) Twelve-month employment-weighted mean from the Bank’s database.</w:t>
      </w:r>
    </w:p>
    <w:p>
      <w:pPr>
        <w:spacing w:line="242" w:lineRule="auto" w:before="19"/>
        <w:ind w:left="175" w:right="357" w:firstLine="0"/>
        <w:jc w:val="left"/>
        <w:rPr>
          <w:sz w:val="24"/>
        </w:rPr>
      </w:pPr>
      <w:r>
        <w:rPr/>
        <w:br w:type="column"/>
      </w:r>
      <w:r>
        <w:rPr>
          <w:sz w:val="24"/>
        </w:rPr>
        <w:t>quarter of 1999. The F</w:t>
      </w:r>
      <w:r>
        <w:rPr>
          <w:sz w:val="20"/>
        </w:rPr>
        <w:t>RES </w:t>
      </w:r>
      <w:r>
        <w:rPr>
          <w:sz w:val="24"/>
        </w:rPr>
        <w:t>measures picked up slightly in April.</w:t>
      </w:r>
    </w:p>
    <w:p>
      <w:pPr>
        <w:pStyle w:val="BodyText"/>
        <w:spacing w:before="1"/>
        <w:rPr>
          <w:sz w:val="28"/>
        </w:rPr>
      </w:pPr>
    </w:p>
    <w:p>
      <w:pPr>
        <w:spacing w:line="242" w:lineRule="auto" w:before="0"/>
        <w:ind w:left="175" w:right="683" w:firstLine="0"/>
        <w:jc w:val="left"/>
        <w:rPr>
          <w:sz w:val="24"/>
        </w:rPr>
      </w:pPr>
      <w:r>
        <w:rPr>
          <w:sz w:val="24"/>
        </w:rPr>
        <w:t>Earnings growth can be expressed as the sum of wage settlements and a term known as ‘wage drift’.</w:t>
      </w:r>
    </w:p>
    <w:p>
      <w:pPr>
        <w:spacing w:before="2"/>
        <w:ind w:left="175" w:right="0" w:firstLine="0"/>
        <w:jc w:val="left"/>
        <w:rPr>
          <w:sz w:val="24"/>
        </w:rPr>
      </w:pPr>
      <w:r>
        <w:rPr>
          <w:sz w:val="24"/>
        </w:rPr>
        <w:t>The Bank’s estimate of the twelve-month</w:t>
      </w:r>
    </w:p>
    <w:p>
      <w:pPr>
        <w:spacing w:line="242" w:lineRule="auto" w:before="5"/>
        <w:ind w:left="175" w:right="276" w:firstLine="0"/>
        <w:jc w:val="left"/>
        <w:rPr>
          <w:sz w:val="24"/>
        </w:rPr>
      </w:pPr>
      <w:r>
        <w:rPr>
          <w:sz w:val="24"/>
        </w:rPr>
        <w:t>employment-weighted mean settlement has been stable between 3.6% and 3.7% since April 1998. So arithmetically, most of the sharp slowdown—and subsequent slight pick-up—in the annual growth of the official average earnings measure since June last year can be accounted for by changes in wage drift (see Chart 3.3). </w:t>
      </w:r>
      <w:r>
        <w:rPr>
          <w:spacing w:val="-5"/>
          <w:sz w:val="24"/>
        </w:rPr>
        <w:t>Wage </w:t>
      </w:r>
      <w:r>
        <w:rPr>
          <w:sz w:val="24"/>
        </w:rPr>
        <w:t>drift includes factors such as </w:t>
      </w:r>
      <w:r>
        <w:rPr>
          <w:spacing w:val="-3"/>
          <w:sz w:val="24"/>
        </w:rPr>
        <w:t>bonuses, </w:t>
      </w:r>
      <w:r>
        <w:rPr>
          <w:sz w:val="24"/>
        </w:rPr>
        <w:t>overtime payments, shift premia, merit </w:t>
      </w:r>
      <w:r>
        <w:rPr>
          <w:spacing w:val="-4"/>
          <w:sz w:val="24"/>
        </w:rPr>
        <w:t>pay,</w:t>
      </w:r>
    </w:p>
    <w:p>
      <w:pPr>
        <w:spacing w:line="242" w:lineRule="auto" w:before="10"/>
        <w:ind w:left="175" w:right="550" w:firstLine="0"/>
        <w:jc w:val="left"/>
        <w:rPr>
          <w:sz w:val="24"/>
        </w:rPr>
      </w:pPr>
      <w:r>
        <w:rPr>
          <w:sz w:val="24"/>
        </w:rPr>
        <w:t>profit-related pay, and compositional shifts in the workforce. So movements in earnings growth since June primarily reflect changes in some or all of these components.</w:t>
      </w:r>
    </w:p>
    <w:p>
      <w:pPr>
        <w:pStyle w:val="BodyText"/>
        <w:spacing w:before="3"/>
        <w:rPr>
          <w:sz w:val="28"/>
        </w:rPr>
      </w:pPr>
    </w:p>
    <w:p>
      <w:pPr>
        <w:spacing w:line="242" w:lineRule="auto" w:before="0"/>
        <w:ind w:left="175" w:right="216" w:firstLine="0"/>
        <w:jc w:val="left"/>
        <w:rPr>
          <w:sz w:val="24"/>
        </w:rPr>
      </w:pPr>
      <w:r>
        <w:rPr>
          <w:sz w:val="24"/>
        </w:rPr>
        <w:t>Some of the fall in wage drift probably reflects slower growth in bonuses. Until January this year, firms in the AEI sample were asked to record the amount of bonuses or commissions paid, but only if there had been a significant change. One difficulty with using these data to measure bonus growth is that bonuses not thought to have changed significantly would not have been</w:t>
      </w:r>
    </w:p>
    <w:p>
      <w:pPr>
        <w:pStyle w:val="BodyText"/>
        <w:spacing w:before="5"/>
        <w:rPr>
          <w:sz w:val="25"/>
        </w:rPr>
      </w:pPr>
      <w:r>
        <w:rPr/>
        <w:pict>
          <v:shape style="position:absolute;margin-left:277pt;margin-top:16.684151pt;width:275pt;height:.1pt;mso-position-horizontal-relative:page;mso-position-vertical-relative:paragraph;z-index:-15512576;mso-wrap-distance-left:0;mso-wrap-distance-right:0" coordorigin="5540,334" coordsize="5500,0" path="m5540,334l11040,334e" filled="false" stroked="true" strokeweight=".125pt" strokecolor="#000000">
            <v:path arrowok="t"/>
            <v:stroke dashstyle="solid"/>
            <w10:wrap type="topAndBottom"/>
          </v:shape>
        </w:pict>
      </w:r>
    </w:p>
    <w:p>
      <w:pPr>
        <w:pStyle w:val="ListParagraph"/>
        <w:numPr>
          <w:ilvl w:val="0"/>
          <w:numId w:val="15"/>
        </w:numPr>
        <w:tabs>
          <w:tab w:pos="396" w:val="left" w:leader="none"/>
        </w:tabs>
        <w:spacing w:line="208" w:lineRule="auto" w:before="43" w:after="0"/>
        <w:ind w:left="395" w:right="705" w:hanging="240"/>
        <w:jc w:val="left"/>
        <w:rPr>
          <w:sz w:val="16"/>
        </w:rPr>
      </w:pPr>
      <w:r>
        <w:rPr>
          <w:sz w:val="16"/>
        </w:rPr>
        <w:t>The National Accounts wages and salaries measure is benchmarked on </w:t>
      </w:r>
      <w:r>
        <w:rPr>
          <w:spacing w:val="-9"/>
          <w:sz w:val="16"/>
        </w:rPr>
        <w:t>an </w:t>
      </w:r>
      <w:r>
        <w:rPr>
          <w:sz w:val="16"/>
        </w:rPr>
        <w:t>annual basis to estimates of pay data compiled from employers’ tax returns. These annual data are independent of the AEI, but are only available with a lag. The quarterly profile is based on data from the AEI, the Workforce jobs series and other sources, subject to a number of technical adjustments. Some of these adjustments had a significant effect on the growth profile during 1998, and are currently under review by the ONS.</w:t>
      </w:r>
    </w:p>
    <w:p>
      <w:pPr>
        <w:spacing w:after="0" w:line="208" w:lineRule="auto"/>
        <w:jc w:val="left"/>
        <w:rPr>
          <w:sz w:val="16"/>
        </w:rPr>
        <w:sectPr>
          <w:type w:val="continuous"/>
          <w:pgSz w:w="11900" w:h="16840"/>
          <w:pgMar w:top="1220" w:bottom="280" w:left="640" w:right="640"/>
          <w:cols w:num="2" w:equalWidth="0">
            <w:col w:w="4312" w:space="478"/>
            <w:col w:w="5830"/>
          </w:cols>
        </w:sectPr>
      </w:pPr>
    </w:p>
    <w:p>
      <w:pPr>
        <w:pStyle w:val="BodyText"/>
        <w:rPr>
          <w:sz w:val="20"/>
        </w:rPr>
      </w:pPr>
    </w:p>
    <w:p>
      <w:pPr>
        <w:spacing w:after="0"/>
        <w:rPr>
          <w:sz w:val="20"/>
        </w:rPr>
        <w:sectPr>
          <w:headerReference w:type="even" r:id="rId80"/>
          <w:headerReference w:type="default" r:id="rId81"/>
          <w:footerReference w:type="even" r:id="rId82"/>
          <w:footerReference w:type="default" r:id="rId83"/>
          <w:pgSz w:w="11900" w:h="16840"/>
          <w:pgMar w:header="584" w:footer="597" w:top="780" w:bottom="780" w:left="640" w:right="640"/>
          <w:pgNumType w:start="26"/>
        </w:sectPr>
      </w:pPr>
    </w:p>
    <w:p>
      <w:pPr>
        <w:pStyle w:val="BodyText"/>
        <w:spacing w:before="9"/>
        <w:rPr>
          <w:sz w:val="21"/>
        </w:rPr>
      </w:pPr>
    </w:p>
    <w:p>
      <w:pPr>
        <w:pStyle w:val="Heading4"/>
        <w:spacing w:before="0"/>
        <w:ind w:left="164"/>
      </w:pPr>
      <w:r>
        <w:rPr>
          <w:color w:val="0093C1"/>
        </w:rPr>
        <w:t>Table 3.B</w:t>
      </w:r>
    </w:p>
    <w:p>
      <w:pPr>
        <w:pStyle w:val="Heading4"/>
        <w:ind w:left="164"/>
        <w:rPr>
          <w:b w:val="0"/>
          <w:sz w:val="12"/>
        </w:rPr>
      </w:pPr>
      <w:r>
        <w:rPr>
          <w:color w:val="0093C1"/>
        </w:rPr>
        <w:t>Annual growth in average nominal earnings</w:t>
      </w:r>
      <w:r>
        <w:rPr>
          <w:b w:val="0"/>
          <w:position w:val="4"/>
          <w:sz w:val="12"/>
        </w:rPr>
        <w:t>(a)</w:t>
      </w:r>
    </w:p>
    <w:p>
      <w:pPr>
        <w:spacing w:line="208" w:lineRule="auto" w:before="123"/>
        <w:ind w:left="3044" w:right="317" w:firstLine="0"/>
        <w:jc w:val="left"/>
        <w:rPr>
          <w:sz w:val="14"/>
        </w:rPr>
      </w:pPr>
      <w:r>
        <w:rPr>
          <w:sz w:val="14"/>
        </w:rPr>
        <w:t>Contribution to earnings growth</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613"/>
        <w:gridCol w:w="1404"/>
        <w:gridCol w:w="1190"/>
      </w:tblGrid>
      <w:tr>
        <w:trPr>
          <w:trHeight w:val="357" w:hRule="atLeast"/>
        </w:trPr>
        <w:tc>
          <w:tcPr>
            <w:tcW w:w="768" w:type="dxa"/>
            <w:vMerge w:val="restart"/>
          </w:tcPr>
          <w:p>
            <w:pPr>
              <w:pStyle w:val="TableParagraph"/>
              <w:rPr>
                <w:sz w:val="20"/>
              </w:rPr>
            </w:pPr>
          </w:p>
        </w:tc>
        <w:tc>
          <w:tcPr>
            <w:tcW w:w="613" w:type="dxa"/>
          </w:tcPr>
          <w:p>
            <w:pPr>
              <w:pStyle w:val="TableParagraph"/>
              <w:spacing w:before="123"/>
              <w:ind w:left="182"/>
              <w:rPr>
                <w:sz w:val="14"/>
              </w:rPr>
            </w:pPr>
            <w:r>
              <w:rPr>
                <w:sz w:val="14"/>
                <w:u w:val="single"/>
              </w:rPr>
              <w:t>AEI</w:t>
            </w:r>
          </w:p>
        </w:tc>
        <w:tc>
          <w:tcPr>
            <w:tcW w:w="1404" w:type="dxa"/>
          </w:tcPr>
          <w:p>
            <w:pPr>
              <w:pStyle w:val="TableParagraph"/>
              <w:spacing w:line="208" w:lineRule="auto"/>
              <w:ind w:left="199" w:right="123"/>
              <w:rPr>
                <w:sz w:val="14"/>
              </w:rPr>
            </w:pPr>
            <w:r>
              <w:rPr>
                <w:sz w:val="14"/>
              </w:rPr>
              <w:t>Excluding bonuses </w:t>
            </w:r>
            <w:r>
              <w:rPr>
                <w:sz w:val="14"/>
                <w:u w:val="single"/>
              </w:rPr>
              <w:t>and commissions </w:t>
            </w:r>
          </w:p>
        </w:tc>
        <w:tc>
          <w:tcPr>
            <w:tcW w:w="1190" w:type="dxa"/>
          </w:tcPr>
          <w:p>
            <w:pPr>
              <w:pStyle w:val="TableParagraph"/>
              <w:tabs>
                <w:tab w:pos="1140" w:val="left" w:leader="none"/>
              </w:tabs>
              <w:spacing w:line="208" w:lineRule="auto"/>
              <w:ind w:left="145" w:right="47"/>
              <w:rPr>
                <w:sz w:val="14"/>
              </w:rPr>
            </w:pPr>
            <w:r>
              <w:rPr>
                <w:sz w:val="14"/>
              </w:rPr>
              <w:t>from bonuses </w:t>
            </w:r>
            <w:r>
              <w:rPr>
                <w:spacing w:val="-6"/>
                <w:sz w:val="14"/>
              </w:rPr>
              <w:t>and </w:t>
            </w:r>
            <w:r>
              <w:rPr>
                <w:sz w:val="14"/>
                <w:u w:val="single"/>
              </w:rPr>
              <w:t>commissions</w:t>
              <w:tab/>
            </w:r>
          </w:p>
        </w:tc>
      </w:tr>
      <w:tr>
        <w:trPr>
          <w:trHeight w:val="280" w:hRule="atLeast"/>
        </w:trPr>
        <w:tc>
          <w:tcPr>
            <w:tcW w:w="768" w:type="dxa"/>
            <w:vMerge/>
            <w:tcBorders>
              <w:top w:val="nil"/>
            </w:tcBorders>
          </w:tcPr>
          <w:p>
            <w:pPr>
              <w:rPr>
                <w:sz w:val="2"/>
                <w:szCs w:val="2"/>
              </w:rPr>
            </w:pPr>
          </w:p>
        </w:tc>
        <w:tc>
          <w:tcPr>
            <w:tcW w:w="613" w:type="dxa"/>
          </w:tcPr>
          <w:p>
            <w:pPr>
              <w:pStyle w:val="TableParagraph"/>
              <w:spacing w:before="46"/>
              <w:ind w:left="212"/>
              <w:rPr>
                <w:sz w:val="14"/>
              </w:rPr>
            </w:pPr>
            <w:r>
              <w:rPr>
                <w:sz w:val="14"/>
              </w:rPr>
              <w:t>(1)</w:t>
            </w:r>
          </w:p>
        </w:tc>
        <w:tc>
          <w:tcPr>
            <w:tcW w:w="1404" w:type="dxa"/>
          </w:tcPr>
          <w:p>
            <w:pPr>
              <w:pStyle w:val="TableParagraph"/>
              <w:spacing w:before="46"/>
              <w:ind w:left="599"/>
              <w:rPr>
                <w:sz w:val="14"/>
              </w:rPr>
            </w:pPr>
            <w:r>
              <w:rPr>
                <w:sz w:val="14"/>
              </w:rPr>
              <w:t>(2)</w:t>
            </w:r>
          </w:p>
        </w:tc>
        <w:tc>
          <w:tcPr>
            <w:tcW w:w="1190" w:type="dxa"/>
          </w:tcPr>
          <w:p>
            <w:pPr>
              <w:pStyle w:val="TableParagraph"/>
              <w:spacing w:before="46"/>
              <w:ind w:left="315"/>
              <w:rPr>
                <w:sz w:val="14"/>
              </w:rPr>
            </w:pPr>
            <w:r>
              <w:rPr>
                <w:sz w:val="14"/>
              </w:rPr>
              <w:t>= (1)–(2)</w:t>
            </w:r>
          </w:p>
        </w:tc>
      </w:tr>
      <w:tr>
        <w:trPr>
          <w:trHeight w:val="210" w:hRule="atLeast"/>
        </w:trPr>
        <w:tc>
          <w:tcPr>
            <w:tcW w:w="768" w:type="dxa"/>
          </w:tcPr>
          <w:p>
            <w:pPr>
              <w:pStyle w:val="TableParagraph"/>
              <w:spacing w:line="144" w:lineRule="exact" w:before="46"/>
              <w:ind w:right="214"/>
              <w:jc w:val="right"/>
              <w:rPr>
                <w:sz w:val="14"/>
              </w:rPr>
            </w:pPr>
            <w:r>
              <w:rPr>
                <w:sz w:val="14"/>
              </w:rPr>
              <w:t>1997 Q3</w:t>
            </w:r>
          </w:p>
        </w:tc>
        <w:tc>
          <w:tcPr>
            <w:tcW w:w="613" w:type="dxa"/>
          </w:tcPr>
          <w:p>
            <w:pPr>
              <w:pStyle w:val="TableParagraph"/>
              <w:spacing w:line="144" w:lineRule="exact" w:before="46"/>
              <w:ind w:left="212"/>
              <w:rPr>
                <w:sz w:val="14"/>
              </w:rPr>
            </w:pPr>
            <w:r>
              <w:rPr>
                <w:sz w:val="14"/>
              </w:rPr>
              <w:t>4.2</w:t>
            </w:r>
          </w:p>
        </w:tc>
        <w:tc>
          <w:tcPr>
            <w:tcW w:w="1404" w:type="dxa"/>
          </w:tcPr>
          <w:p>
            <w:pPr>
              <w:pStyle w:val="TableParagraph"/>
              <w:spacing w:line="144" w:lineRule="exact" w:before="46"/>
              <w:ind w:left="574"/>
              <w:rPr>
                <w:sz w:val="14"/>
              </w:rPr>
            </w:pPr>
            <w:r>
              <w:rPr>
                <w:sz w:val="14"/>
              </w:rPr>
              <w:t>3.9</w:t>
            </w:r>
          </w:p>
        </w:tc>
        <w:tc>
          <w:tcPr>
            <w:tcW w:w="1190" w:type="dxa"/>
          </w:tcPr>
          <w:p>
            <w:pPr>
              <w:pStyle w:val="TableParagraph"/>
              <w:spacing w:line="144" w:lineRule="exact" w:before="46"/>
              <w:ind w:left="473" w:right="408"/>
              <w:jc w:val="center"/>
              <w:rPr>
                <w:sz w:val="14"/>
              </w:rPr>
            </w:pPr>
            <w:r>
              <w:rPr>
                <w:sz w:val="14"/>
              </w:rPr>
              <w:t>0.3</w:t>
            </w:r>
          </w:p>
        </w:tc>
      </w:tr>
      <w:tr>
        <w:trPr>
          <w:trHeight w:val="140" w:hRule="atLeast"/>
        </w:trPr>
        <w:tc>
          <w:tcPr>
            <w:tcW w:w="768" w:type="dxa"/>
          </w:tcPr>
          <w:p>
            <w:pPr>
              <w:pStyle w:val="TableParagraph"/>
              <w:spacing w:line="120" w:lineRule="exact"/>
              <w:ind w:right="214"/>
              <w:jc w:val="right"/>
              <w:rPr>
                <w:sz w:val="14"/>
              </w:rPr>
            </w:pPr>
            <w:r>
              <w:rPr>
                <w:sz w:val="14"/>
              </w:rPr>
              <w:t>Q4</w:t>
            </w:r>
          </w:p>
        </w:tc>
        <w:tc>
          <w:tcPr>
            <w:tcW w:w="613" w:type="dxa"/>
          </w:tcPr>
          <w:p>
            <w:pPr>
              <w:pStyle w:val="TableParagraph"/>
              <w:spacing w:line="120" w:lineRule="exact"/>
              <w:ind w:left="212"/>
              <w:rPr>
                <w:sz w:val="14"/>
              </w:rPr>
            </w:pPr>
            <w:r>
              <w:rPr>
                <w:sz w:val="14"/>
              </w:rPr>
              <w:t>4.7</w:t>
            </w:r>
          </w:p>
        </w:tc>
        <w:tc>
          <w:tcPr>
            <w:tcW w:w="1404" w:type="dxa"/>
          </w:tcPr>
          <w:p>
            <w:pPr>
              <w:pStyle w:val="TableParagraph"/>
              <w:spacing w:line="120" w:lineRule="exact"/>
              <w:ind w:left="574"/>
              <w:rPr>
                <w:sz w:val="14"/>
              </w:rPr>
            </w:pPr>
            <w:r>
              <w:rPr>
                <w:sz w:val="14"/>
              </w:rPr>
              <w:t>4.3</w:t>
            </w:r>
          </w:p>
        </w:tc>
        <w:tc>
          <w:tcPr>
            <w:tcW w:w="1190" w:type="dxa"/>
          </w:tcPr>
          <w:p>
            <w:pPr>
              <w:pStyle w:val="TableParagraph"/>
              <w:spacing w:line="120" w:lineRule="exact"/>
              <w:ind w:left="473" w:right="408"/>
              <w:jc w:val="center"/>
              <w:rPr>
                <w:sz w:val="14"/>
              </w:rPr>
            </w:pPr>
            <w:r>
              <w:rPr>
                <w:sz w:val="14"/>
              </w:rPr>
              <w:t>0.4</w:t>
            </w:r>
          </w:p>
        </w:tc>
      </w:tr>
      <w:tr>
        <w:trPr>
          <w:trHeight w:val="140" w:hRule="atLeast"/>
        </w:trPr>
        <w:tc>
          <w:tcPr>
            <w:tcW w:w="768" w:type="dxa"/>
          </w:tcPr>
          <w:p>
            <w:pPr>
              <w:pStyle w:val="TableParagraph"/>
              <w:spacing w:line="120" w:lineRule="exact"/>
              <w:ind w:right="214"/>
              <w:jc w:val="right"/>
              <w:rPr>
                <w:sz w:val="14"/>
              </w:rPr>
            </w:pPr>
            <w:r>
              <w:rPr>
                <w:sz w:val="14"/>
              </w:rPr>
              <w:t>1998 Q1</w:t>
            </w:r>
          </w:p>
        </w:tc>
        <w:tc>
          <w:tcPr>
            <w:tcW w:w="613" w:type="dxa"/>
          </w:tcPr>
          <w:p>
            <w:pPr>
              <w:pStyle w:val="TableParagraph"/>
              <w:spacing w:line="120" w:lineRule="exact"/>
              <w:ind w:left="212"/>
              <w:rPr>
                <w:sz w:val="14"/>
              </w:rPr>
            </w:pPr>
            <w:r>
              <w:rPr>
                <w:sz w:val="14"/>
              </w:rPr>
              <w:t>5.2</w:t>
            </w:r>
          </w:p>
        </w:tc>
        <w:tc>
          <w:tcPr>
            <w:tcW w:w="1404" w:type="dxa"/>
          </w:tcPr>
          <w:p>
            <w:pPr>
              <w:pStyle w:val="TableParagraph"/>
              <w:spacing w:line="120" w:lineRule="exact"/>
              <w:ind w:left="574"/>
              <w:rPr>
                <w:sz w:val="14"/>
              </w:rPr>
            </w:pPr>
            <w:r>
              <w:rPr>
                <w:sz w:val="14"/>
              </w:rPr>
              <w:t>4.4</w:t>
            </w:r>
          </w:p>
        </w:tc>
        <w:tc>
          <w:tcPr>
            <w:tcW w:w="1190" w:type="dxa"/>
          </w:tcPr>
          <w:p>
            <w:pPr>
              <w:pStyle w:val="TableParagraph"/>
              <w:spacing w:line="120" w:lineRule="exact"/>
              <w:ind w:left="473" w:right="408"/>
              <w:jc w:val="center"/>
              <w:rPr>
                <w:sz w:val="14"/>
              </w:rPr>
            </w:pPr>
            <w:r>
              <w:rPr>
                <w:sz w:val="14"/>
              </w:rPr>
              <w:t>0.8</w:t>
            </w:r>
          </w:p>
        </w:tc>
      </w:tr>
      <w:tr>
        <w:trPr>
          <w:trHeight w:val="140" w:hRule="atLeast"/>
        </w:trPr>
        <w:tc>
          <w:tcPr>
            <w:tcW w:w="768" w:type="dxa"/>
          </w:tcPr>
          <w:p>
            <w:pPr>
              <w:pStyle w:val="TableParagraph"/>
              <w:spacing w:line="120" w:lineRule="exact"/>
              <w:ind w:right="214"/>
              <w:jc w:val="right"/>
              <w:rPr>
                <w:sz w:val="14"/>
              </w:rPr>
            </w:pPr>
            <w:r>
              <w:rPr>
                <w:sz w:val="14"/>
              </w:rPr>
              <w:t>Q2</w:t>
            </w:r>
          </w:p>
        </w:tc>
        <w:tc>
          <w:tcPr>
            <w:tcW w:w="613" w:type="dxa"/>
          </w:tcPr>
          <w:p>
            <w:pPr>
              <w:pStyle w:val="TableParagraph"/>
              <w:spacing w:line="120" w:lineRule="exact"/>
              <w:ind w:left="212"/>
              <w:rPr>
                <w:sz w:val="14"/>
              </w:rPr>
            </w:pPr>
            <w:r>
              <w:rPr>
                <w:sz w:val="14"/>
              </w:rPr>
              <w:t>5.7</w:t>
            </w:r>
          </w:p>
        </w:tc>
        <w:tc>
          <w:tcPr>
            <w:tcW w:w="1404" w:type="dxa"/>
          </w:tcPr>
          <w:p>
            <w:pPr>
              <w:pStyle w:val="TableParagraph"/>
              <w:spacing w:line="120" w:lineRule="exact"/>
              <w:ind w:left="574"/>
              <w:rPr>
                <w:sz w:val="14"/>
              </w:rPr>
            </w:pPr>
            <w:r>
              <w:rPr>
                <w:sz w:val="14"/>
              </w:rPr>
              <w:t>5.0</w:t>
            </w:r>
          </w:p>
        </w:tc>
        <w:tc>
          <w:tcPr>
            <w:tcW w:w="1190" w:type="dxa"/>
          </w:tcPr>
          <w:p>
            <w:pPr>
              <w:pStyle w:val="TableParagraph"/>
              <w:spacing w:line="120" w:lineRule="exact"/>
              <w:ind w:left="473" w:right="408"/>
              <w:jc w:val="center"/>
              <w:rPr>
                <w:sz w:val="14"/>
              </w:rPr>
            </w:pPr>
            <w:r>
              <w:rPr>
                <w:sz w:val="14"/>
              </w:rPr>
              <w:t>0.7</w:t>
            </w:r>
          </w:p>
        </w:tc>
      </w:tr>
      <w:tr>
        <w:trPr>
          <w:trHeight w:val="140" w:hRule="atLeast"/>
        </w:trPr>
        <w:tc>
          <w:tcPr>
            <w:tcW w:w="768" w:type="dxa"/>
          </w:tcPr>
          <w:p>
            <w:pPr>
              <w:pStyle w:val="TableParagraph"/>
              <w:spacing w:line="120" w:lineRule="exact"/>
              <w:ind w:right="214"/>
              <w:jc w:val="right"/>
              <w:rPr>
                <w:sz w:val="14"/>
              </w:rPr>
            </w:pPr>
            <w:r>
              <w:rPr>
                <w:sz w:val="14"/>
              </w:rPr>
              <w:t>Q3</w:t>
            </w:r>
          </w:p>
        </w:tc>
        <w:tc>
          <w:tcPr>
            <w:tcW w:w="613" w:type="dxa"/>
          </w:tcPr>
          <w:p>
            <w:pPr>
              <w:pStyle w:val="TableParagraph"/>
              <w:spacing w:line="120" w:lineRule="exact"/>
              <w:ind w:left="212"/>
              <w:rPr>
                <w:sz w:val="14"/>
              </w:rPr>
            </w:pPr>
            <w:r>
              <w:rPr>
                <w:sz w:val="14"/>
              </w:rPr>
              <w:t>5.0</w:t>
            </w:r>
          </w:p>
        </w:tc>
        <w:tc>
          <w:tcPr>
            <w:tcW w:w="1404" w:type="dxa"/>
          </w:tcPr>
          <w:p>
            <w:pPr>
              <w:pStyle w:val="TableParagraph"/>
              <w:spacing w:line="120" w:lineRule="exact"/>
              <w:ind w:left="574"/>
              <w:rPr>
                <w:sz w:val="14"/>
              </w:rPr>
            </w:pPr>
            <w:r>
              <w:rPr>
                <w:sz w:val="14"/>
              </w:rPr>
              <w:t>4.6</w:t>
            </w:r>
          </w:p>
        </w:tc>
        <w:tc>
          <w:tcPr>
            <w:tcW w:w="1190" w:type="dxa"/>
          </w:tcPr>
          <w:p>
            <w:pPr>
              <w:pStyle w:val="TableParagraph"/>
              <w:spacing w:line="120" w:lineRule="exact"/>
              <w:ind w:left="473" w:right="408"/>
              <w:jc w:val="center"/>
              <w:rPr>
                <w:sz w:val="14"/>
              </w:rPr>
            </w:pPr>
            <w:r>
              <w:rPr>
                <w:sz w:val="14"/>
              </w:rPr>
              <w:t>0.4</w:t>
            </w:r>
          </w:p>
        </w:tc>
      </w:tr>
      <w:tr>
        <w:trPr>
          <w:trHeight w:val="140" w:hRule="atLeast"/>
        </w:trPr>
        <w:tc>
          <w:tcPr>
            <w:tcW w:w="768" w:type="dxa"/>
          </w:tcPr>
          <w:p>
            <w:pPr>
              <w:pStyle w:val="TableParagraph"/>
              <w:spacing w:line="120" w:lineRule="exact"/>
              <w:ind w:right="214"/>
              <w:jc w:val="right"/>
              <w:rPr>
                <w:sz w:val="14"/>
              </w:rPr>
            </w:pPr>
            <w:r>
              <w:rPr>
                <w:sz w:val="14"/>
              </w:rPr>
              <w:t>Q4</w:t>
            </w:r>
          </w:p>
        </w:tc>
        <w:tc>
          <w:tcPr>
            <w:tcW w:w="613" w:type="dxa"/>
          </w:tcPr>
          <w:p>
            <w:pPr>
              <w:pStyle w:val="TableParagraph"/>
              <w:spacing w:line="120" w:lineRule="exact"/>
              <w:ind w:left="212"/>
              <w:rPr>
                <w:sz w:val="14"/>
              </w:rPr>
            </w:pPr>
            <w:r>
              <w:rPr>
                <w:sz w:val="14"/>
              </w:rPr>
              <w:t>4.5</w:t>
            </w:r>
          </w:p>
        </w:tc>
        <w:tc>
          <w:tcPr>
            <w:tcW w:w="1404" w:type="dxa"/>
          </w:tcPr>
          <w:p>
            <w:pPr>
              <w:pStyle w:val="TableParagraph"/>
              <w:spacing w:line="120" w:lineRule="exact"/>
              <w:ind w:left="574"/>
              <w:rPr>
                <w:sz w:val="14"/>
              </w:rPr>
            </w:pPr>
            <w:r>
              <w:rPr>
                <w:sz w:val="14"/>
              </w:rPr>
              <w:t>4.5</w:t>
            </w:r>
          </w:p>
        </w:tc>
        <w:tc>
          <w:tcPr>
            <w:tcW w:w="1190" w:type="dxa"/>
          </w:tcPr>
          <w:p>
            <w:pPr>
              <w:pStyle w:val="TableParagraph"/>
              <w:spacing w:line="120" w:lineRule="exact"/>
              <w:ind w:left="473" w:right="408"/>
              <w:jc w:val="center"/>
              <w:rPr>
                <w:sz w:val="14"/>
              </w:rPr>
            </w:pPr>
            <w:r>
              <w:rPr>
                <w:sz w:val="14"/>
              </w:rPr>
              <w:t>0.0</w:t>
            </w:r>
          </w:p>
        </w:tc>
      </w:tr>
      <w:tr>
        <w:trPr>
          <w:trHeight w:val="147" w:hRule="atLeast"/>
        </w:trPr>
        <w:tc>
          <w:tcPr>
            <w:tcW w:w="768" w:type="dxa"/>
          </w:tcPr>
          <w:p>
            <w:pPr>
              <w:pStyle w:val="TableParagraph"/>
              <w:spacing w:line="128" w:lineRule="exact"/>
              <w:ind w:right="179"/>
              <w:jc w:val="right"/>
              <w:rPr>
                <w:sz w:val="14"/>
              </w:rPr>
            </w:pPr>
            <w:r>
              <w:rPr>
                <w:sz w:val="14"/>
              </w:rPr>
              <w:t>1999 Jan.</w:t>
            </w:r>
          </w:p>
        </w:tc>
        <w:tc>
          <w:tcPr>
            <w:tcW w:w="613" w:type="dxa"/>
          </w:tcPr>
          <w:p>
            <w:pPr>
              <w:pStyle w:val="TableParagraph"/>
              <w:spacing w:line="128" w:lineRule="exact"/>
              <w:ind w:left="212"/>
              <w:rPr>
                <w:sz w:val="14"/>
              </w:rPr>
            </w:pPr>
            <w:r>
              <w:rPr>
                <w:sz w:val="14"/>
              </w:rPr>
              <w:t>4.4</w:t>
            </w:r>
          </w:p>
        </w:tc>
        <w:tc>
          <w:tcPr>
            <w:tcW w:w="1404" w:type="dxa"/>
          </w:tcPr>
          <w:p>
            <w:pPr>
              <w:pStyle w:val="TableParagraph"/>
              <w:spacing w:line="128" w:lineRule="exact"/>
              <w:ind w:left="573"/>
              <w:rPr>
                <w:sz w:val="14"/>
              </w:rPr>
            </w:pPr>
            <w:r>
              <w:rPr>
                <w:sz w:val="14"/>
              </w:rPr>
              <w:t>4.5</w:t>
            </w:r>
          </w:p>
        </w:tc>
        <w:tc>
          <w:tcPr>
            <w:tcW w:w="1190" w:type="dxa"/>
          </w:tcPr>
          <w:p>
            <w:pPr>
              <w:pStyle w:val="TableParagraph"/>
              <w:spacing w:line="128" w:lineRule="exact"/>
              <w:ind w:left="473" w:right="455"/>
              <w:jc w:val="center"/>
              <w:rPr>
                <w:sz w:val="14"/>
              </w:rPr>
            </w:pPr>
            <w:r>
              <w:rPr>
                <w:sz w:val="14"/>
              </w:rPr>
              <w:t>-0.1</w:t>
            </w:r>
          </w:p>
        </w:tc>
      </w:tr>
    </w:tbl>
    <w:p>
      <w:pPr>
        <w:pStyle w:val="ListParagraph"/>
        <w:numPr>
          <w:ilvl w:val="1"/>
          <w:numId w:val="15"/>
        </w:numPr>
        <w:tabs>
          <w:tab w:pos="405" w:val="left" w:leader="none"/>
        </w:tabs>
        <w:spacing w:line="208" w:lineRule="auto" w:before="121" w:after="0"/>
        <w:ind w:left="404" w:right="201" w:hanging="240"/>
        <w:jc w:val="left"/>
        <w:rPr>
          <w:sz w:val="12"/>
        </w:rPr>
      </w:pPr>
      <w:r>
        <w:rPr>
          <w:sz w:val="12"/>
        </w:rPr>
        <w:t>Three-month moving averages of twelve-month growth rates (not seasonally adjusted).</w:t>
      </w: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84"/>
        <w:ind w:left="174"/>
      </w:pPr>
      <w:r>
        <w:rPr>
          <w:color w:val="0093C1"/>
        </w:rPr>
        <w:t>Chart 3.4</w:t>
      </w:r>
    </w:p>
    <w:p>
      <w:pPr>
        <w:pStyle w:val="Heading4"/>
        <w:spacing w:line="249" w:lineRule="auto"/>
        <w:ind w:left="174" w:right="21"/>
      </w:pPr>
      <w:r>
        <w:rPr>
          <w:color w:val="0093C1"/>
        </w:rPr>
        <w:t>Average nominal earnings growth and expected unemployment</w:t>
      </w:r>
    </w:p>
    <w:p>
      <w:pPr>
        <w:spacing w:line="242" w:lineRule="auto" w:before="206"/>
        <w:ind w:left="164" w:right="216" w:firstLine="0"/>
        <w:jc w:val="left"/>
        <w:rPr>
          <w:sz w:val="24"/>
        </w:rPr>
      </w:pPr>
      <w:r>
        <w:rPr/>
        <w:br w:type="column"/>
      </w:r>
      <w:r>
        <w:rPr>
          <w:sz w:val="24"/>
        </w:rPr>
        <w:t>captured. If some reporting firms thought that payments in a particular month had changed significantly in one year, but not in the same month in the previous year (or </w:t>
      </w:r>
      <w:r>
        <w:rPr>
          <w:i/>
          <w:sz w:val="24"/>
        </w:rPr>
        <w:t>vice versa</w:t>
      </w:r>
      <w:r>
        <w:rPr>
          <w:sz w:val="24"/>
        </w:rPr>
        <w:t>), measured twelve-month growth rates of bonuses would be biased. Subject to this caveat,</w:t>
      </w:r>
    </w:p>
    <w:p>
      <w:pPr>
        <w:spacing w:line="242" w:lineRule="auto" w:before="6"/>
        <w:ind w:left="164" w:right="128" w:firstLine="0"/>
        <w:jc w:val="left"/>
        <w:rPr>
          <w:sz w:val="24"/>
        </w:rPr>
      </w:pPr>
      <w:r>
        <w:rPr>
          <w:sz w:val="24"/>
        </w:rPr>
        <w:t>Table 3.B shows that bonuses and commissions recorded in this way boosted earnings growth in the first half of 1998, but were having little or no effect on earnings growth by the three-month period ending in January this year.</w:t>
      </w:r>
    </w:p>
    <w:p>
      <w:pPr>
        <w:pStyle w:val="BodyText"/>
        <w:rPr>
          <w:sz w:val="28"/>
        </w:rPr>
      </w:pPr>
    </w:p>
    <w:p>
      <w:pPr>
        <w:spacing w:line="280" w:lineRule="atLeast" w:before="1"/>
        <w:ind w:left="164" w:right="207" w:firstLine="0"/>
        <w:jc w:val="left"/>
        <w:rPr>
          <w:sz w:val="24"/>
        </w:rPr>
      </w:pPr>
      <w:r>
        <w:rPr>
          <w:sz w:val="24"/>
        </w:rPr>
        <w:t>One reason for paying bonuses is to reward staff for past productivity and profitability gains. So some of the fall in bonus growth in the second half of 1998 may reflect the slowdown in corporate profit and productivity growth. But bonuses are also paid to maintain and</w:t>
      </w:r>
    </w:p>
    <w:p>
      <w:pPr>
        <w:spacing w:after="0" w:line="280" w:lineRule="atLeast"/>
        <w:jc w:val="left"/>
        <w:rPr>
          <w:sz w:val="24"/>
        </w:rPr>
        <w:sectPr>
          <w:type w:val="continuous"/>
          <w:pgSz w:w="11900" w:h="16840"/>
          <w:pgMar w:top="1220" w:bottom="280" w:left="640" w:right="640"/>
          <w:cols w:num="2" w:equalWidth="0">
            <w:col w:w="4287" w:space="503"/>
            <w:col w:w="5830"/>
          </w:cols>
        </w:sectPr>
      </w:pPr>
    </w:p>
    <w:p>
      <w:pPr>
        <w:spacing w:line="120" w:lineRule="exact" w:before="49"/>
        <w:ind w:left="381" w:right="0" w:firstLine="0"/>
        <w:jc w:val="left"/>
        <w:rPr>
          <w:sz w:val="12"/>
        </w:rPr>
      </w:pPr>
      <w:r>
        <w:rPr>
          <w:sz w:val="12"/>
        </w:rPr>
        <w:t>Percentage balance</w:t>
      </w:r>
    </w:p>
    <w:p>
      <w:pPr>
        <w:spacing w:line="120" w:lineRule="exact" w:before="0"/>
        <w:ind w:left="206" w:right="0" w:firstLine="0"/>
        <w:jc w:val="left"/>
        <w:rPr>
          <w:sz w:val="12"/>
        </w:rPr>
      </w:pPr>
      <w:r>
        <w:rPr/>
        <w:pict>
          <v:line style="position:absolute;mso-position-horizontal-relative:page;mso-position-vertical-relative:paragraph;z-index:15955456" from="51.762001pt,2.310150pt" to="56.887001pt,2.310150pt" stroked="true" strokeweight=".5pt" strokecolor="#000000">
            <v:stroke dashstyle="solid"/>
            <w10:wrap type="none"/>
          </v:line>
        </w:pict>
      </w:r>
      <w:r>
        <w:rPr>
          <w:sz w:val="12"/>
        </w:rPr>
        <w:t>20</w:t>
      </w:r>
    </w:p>
    <w:p>
      <w:pPr>
        <w:pStyle w:val="BodyText"/>
        <w:rPr>
          <w:sz w:val="12"/>
        </w:rPr>
      </w:pPr>
    </w:p>
    <w:p>
      <w:pPr>
        <w:pStyle w:val="BodyText"/>
        <w:rPr>
          <w:sz w:val="12"/>
        </w:rPr>
      </w:pPr>
    </w:p>
    <w:p>
      <w:pPr>
        <w:spacing w:before="91"/>
        <w:ind w:left="206" w:right="0" w:firstLine="0"/>
        <w:jc w:val="left"/>
        <w:rPr>
          <w:sz w:val="12"/>
        </w:rPr>
      </w:pPr>
      <w:r>
        <w:rPr>
          <w:sz w:val="12"/>
        </w:rPr>
        <w:t>10</w:t>
      </w:r>
    </w:p>
    <w:p>
      <w:pPr>
        <w:pStyle w:val="BodyText"/>
        <w:rPr>
          <w:sz w:val="12"/>
        </w:rPr>
      </w:pPr>
    </w:p>
    <w:p>
      <w:pPr>
        <w:pStyle w:val="BodyText"/>
        <w:spacing w:before="6"/>
        <w:rPr>
          <w:sz w:val="17"/>
        </w:rPr>
      </w:pPr>
    </w:p>
    <w:p>
      <w:pPr>
        <w:spacing w:before="0"/>
        <w:ind w:left="266" w:right="0" w:firstLine="0"/>
        <w:jc w:val="left"/>
        <w:rPr>
          <w:sz w:val="12"/>
        </w:rPr>
      </w:pPr>
      <w:r>
        <w:rPr>
          <w:sz w:val="12"/>
        </w:rPr>
        <w:t>0</w:t>
      </w:r>
    </w:p>
    <w:p>
      <w:pPr>
        <w:pStyle w:val="BodyText"/>
        <w:rPr>
          <w:sz w:val="12"/>
        </w:rPr>
      </w:pPr>
    </w:p>
    <w:p>
      <w:pPr>
        <w:pStyle w:val="BodyText"/>
        <w:spacing w:before="4"/>
        <w:rPr>
          <w:sz w:val="17"/>
        </w:rPr>
      </w:pPr>
    </w:p>
    <w:p>
      <w:pPr>
        <w:spacing w:before="0"/>
        <w:ind w:left="206" w:right="0" w:firstLine="0"/>
        <w:jc w:val="left"/>
        <w:rPr>
          <w:sz w:val="12"/>
        </w:rPr>
      </w:pPr>
      <w:r>
        <w:rPr>
          <w:sz w:val="12"/>
        </w:rPr>
        <w:t>10</w:t>
      </w:r>
    </w:p>
    <w:p>
      <w:pPr>
        <w:pStyle w:val="BodyText"/>
        <w:rPr>
          <w:sz w:val="12"/>
        </w:rPr>
      </w:pPr>
    </w:p>
    <w:p>
      <w:pPr>
        <w:pStyle w:val="BodyText"/>
        <w:rPr>
          <w:sz w:val="12"/>
        </w:rPr>
      </w:pPr>
    </w:p>
    <w:p>
      <w:pPr>
        <w:spacing w:before="91"/>
        <w:ind w:left="206" w:right="0" w:firstLine="0"/>
        <w:jc w:val="left"/>
        <w:rPr>
          <w:sz w:val="12"/>
        </w:rPr>
      </w:pPr>
      <w:r>
        <w:rPr>
          <w:sz w:val="12"/>
        </w:rPr>
        <w:t>20</w:t>
      </w:r>
    </w:p>
    <w:p>
      <w:pPr>
        <w:pStyle w:val="BodyText"/>
        <w:rPr>
          <w:sz w:val="12"/>
        </w:rPr>
      </w:pPr>
    </w:p>
    <w:p>
      <w:pPr>
        <w:pStyle w:val="BodyText"/>
        <w:spacing w:before="3"/>
        <w:rPr>
          <w:sz w:val="17"/>
        </w:rPr>
      </w:pPr>
    </w:p>
    <w:p>
      <w:pPr>
        <w:spacing w:before="0"/>
        <w:ind w:left="206" w:right="0" w:firstLine="0"/>
        <w:jc w:val="left"/>
        <w:rPr>
          <w:sz w:val="12"/>
        </w:rPr>
      </w:pPr>
      <w:r>
        <w:rPr>
          <w:sz w:val="12"/>
        </w:rPr>
        <w:t>30</w:t>
      </w:r>
    </w:p>
    <w:p>
      <w:pPr>
        <w:spacing w:line="55" w:lineRule="exact" w:before="0"/>
        <w:ind w:left="206" w:right="0" w:firstLine="0"/>
        <w:jc w:val="left"/>
        <w:rPr>
          <w:sz w:val="12"/>
        </w:rPr>
      </w:pPr>
      <w:r>
        <w:rPr/>
        <w:br w:type="column"/>
      </w:r>
      <w:r>
        <w:rPr>
          <w:sz w:val="12"/>
        </w:rPr>
        <w:t>Percentage changes on a</w:t>
      </w:r>
    </w:p>
    <w:p>
      <w:pPr>
        <w:spacing w:line="114" w:lineRule="exact" w:before="0"/>
        <w:ind w:left="839" w:right="0" w:firstLine="0"/>
        <w:jc w:val="left"/>
        <w:rPr>
          <w:sz w:val="12"/>
        </w:rPr>
      </w:pPr>
      <w:r>
        <w:rPr>
          <w:sz w:val="12"/>
        </w:rPr>
        <w:t>year earlier</w:t>
      </w:r>
    </w:p>
    <w:p>
      <w:pPr>
        <w:spacing w:line="119" w:lineRule="exact" w:before="0"/>
        <w:ind w:left="1432" w:right="0" w:firstLine="0"/>
        <w:jc w:val="left"/>
        <w:rPr>
          <w:sz w:val="12"/>
        </w:rPr>
      </w:pPr>
      <w:r>
        <w:rPr/>
        <w:pict>
          <v:group style="position:absolute;margin-left:50.331219pt;margin-top:13.742493pt;width:169.9pt;height:135.7pt;mso-position-horizontal-relative:page;mso-position-vertical-relative:paragraph;z-index:-21179392" coordorigin="1007,275" coordsize="3398,2714">
            <v:shape style="position:absolute;left:1206;top:699;width:2868;height:1310" coordorigin="1207,700" coordsize="2868,1310" path="m1207,2010l1362,2010,1449,1920,1517,1950,1604,1802,1674,1772,1759,1682,1829,1562,2054,1562,2139,1415,2209,1475,2294,1415,2364,1532,2449,1475,2519,1562,2607,1532,2674,1415,2762,1415,2832,1325,2917,1265,2987,1117,3054,1087,3142,1027,3212,1027,3297,877,3367,730,3452,700,3522,730,3607,877,3677,967,3764,1087,3832,1117,3919,1265,3987,1265,4074,1235e" filled="false" stroked="true" strokeweight="1pt" strokecolor="#008256">
              <v:path arrowok="t"/>
              <v:stroke dashstyle="solid"/>
            </v:shape>
            <v:shape style="position:absolute;left:1206;top:284;width:3008;height:2558" coordorigin="1207,285" coordsize="3008,2558" path="m1207,1475l1294,1772,1362,1802,1449,1802,1517,1860,1604,1742,1674,1475,1759,1562,1829,1475,1914,1415,1984,1295,2054,1475,2139,1237,2209,1295,2297,1385,2364,1385,2452,642,2519,642,2607,285,2677,672,2762,760,2832,582,2917,702,2987,970,3057,642,3142,760,3212,850,3299,702,3367,997,3454,1207,3522,1592,3609,2247,3679,2187,3764,2842,3834,2515,3919,2782,3989,2515,4077,2307,4144,1920,4214,2010e" filled="false" stroked="true" strokeweight="1pt" strokecolor="#0066a5">
              <v:path arrowok="t"/>
              <v:stroke dashstyle="solid"/>
            </v:shape>
            <v:shape style="position:absolute;left:1024;top:548;width:3381;height:2440" coordorigin="1024,549" coordsize="3381,2440" path="m1044,549l1147,549m1031,1029l1133,1029m4289,1030l4391,1030m1044,1529l1147,1529m4302,1530l4405,1530m1035,2002l1138,2002m4293,2003l4396,2003m1024,2509l1127,2509m4282,2510l4385,2510m1038,2982l1140,2982m1209,2982l4198,2982m1209,2986l1209,2897m2131,2982l2131,2892m3058,2982l3058,2892m3991,2988l3991,2899e" filled="false" stroked="true" strokeweight=".5pt" strokecolor="#000000">
              <v:path arrowok="t"/>
              <v:stroke dashstyle="solid"/>
            </v:shape>
            <v:shape style="position:absolute;left:1006;top:676;width:111;height:671" type="#_x0000_t202" filled="false" stroked="false">
              <v:textbox inset="0,0,0,0">
                <w:txbxContent>
                  <w:p>
                    <w:pPr>
                      <w:spacing w:line="177" w:lineRule="exact" w:before="0"/>
                      <w:ind w:left="10" w:right="0" w:firstLine="0"/>
                      <w:jc w:val="left"/>
                      <w:rPr>
                        <w:sz w:val="16"/>
                      </w:rPr>
                    </w:pPr>
                    <w:r>
                      <w:rPr>
                        <w:sz w:val="16"/>
                      </w:rPr>
                      <w:t>_</w:t>
                    </w:r>
                  </w:p>
                  <w:p>
                    <w:pPr>
                      <w:spacing w:line="240" w:lineRule="auto" w:before="10"/>
                      <w:rPr>
                        <w:sz w:val="26"/>
                      </w:rPr>
                    </w:pPr>
                  </w:p>
                  <w:p>
                    <w:pPr>
                      <w:spacing w:before="0"/>
                      <w:ind w:left="0" w:right="0" w:firstLine="0"/>
                      <w:jc w:val="left"/>
                      <w:rPr>
                        <w:sz w:val="16"/>
                      </w:rPr>
                    </w:pPr>
                    <w:r>
                      <w:rPr>
                        <w:sz w:val="16"/>
                      </w:rPr>
                      <w:t>+</w:t>
                    </w:r>
                  </w:p>
                </w:txbxContent>
              </v:textbox>
              <w10:wrap type="none"/>
            </v:shape>
            <v:shape style="position:absolute;left:1819;top:1623;width:1821;height:1163" type="#_x0000_t202" filled="false" stroked="false">
              <v:textbox inset="0,0,0,0">
                <w:txbxContent>
                  <w:p>
                    <w:pPr>
                      <w:spacing w:line="242" w:lineRule="auto" w:before="0"/>
                      <w:ind w:left="30" w:right="938" w:hanging="30"/>
                      <w:jc w:val="left"/>
                      <w:rPr>
                        <w:sz w:val="12"/>
                      </w:rPr>
                    </w:pPr>
                    <w:r>
                      <w:rPr>
                        <w:color w:val="231F20"/>
                        <w:sz w:val="12"/>
                      </w:rPr>
                      <w:t>Headline average earnings growth (right-hand scale)</w:t>
                    </w:r>
                  </w:p>
                  <w:p>
                    <w:pPr>
                      <w:spacing w:line="240" w:lineRule="auto" w:before="0"/>
                      <w:rPr>
                        <w:sz w:val="12"/>
                      </w:rPr>
                    </w:pPr>
                  </w:p>
                  <w:p>
                    <w:pPr>
                      <w:spacing w:line="240" w:lineRule="auto" w:before="4"/>
                      <w:rPr>
                        <w:sz w:val="16"/>
                      </w:rPr>
                    </w:pPr>
                  </w:p>
                  <w:p>
                    <w:pPr>
                      <w:spacing w:line="242" w:lineRule="auto" w:before="1"/>
                      <w:ind w:left="410" w:right="1" w:hanging="30"/>
                      <w:jc w:val="left"/>
                      <w:rPr>
                        <w:sz w:val="12"/>
                      </w:rPr>
                    </w:pPr>
                    <w:r>
                      <w:rPr>
                        <w:sz w:val="12"/>
                      </w:rPr>
                      <w:t>GfK expected unemployment balance (a), inverted</w:t>
                    </w:r>
                  </w:p>
                  <w:p>
                    <w:pPr>
                      <w:spacing w:before="1"/>
                      <w:ind w:left="410" w:right="0" w:firstLine="0"/>
                      <w:jc w:val="left"/>
                      <w:rPr>
                        <w:sz w:val="12"/>
                      </w:rPr>
                    </w:pPr>
                    <w:r>
                      <w:rPr>
                        <w:sz w:val="12"/>
                      </w:rPr>
                      <w:t>(left-hand scale)</w:t>
                    </w:r>
                  </w:p>
                </w:txbxContent>
              </v:textbox>
              <w10:wrap type="none"/>
            </v:shape>
            <w10:wrap type="none"/>
          </v:group>
        </w:pict>
      </w:r>
      <w:r>
        <w:rPr/>
        <w:pict>
          <v:line style="position:absolute;mso-position-horizontal-relative:page;mso-position-vertical-relative:paragraph;z-index:15955968" from="214.656998pt,2.429493pt" to="219.782998pt,2.429493pt" stroked="true" strokeweight=".5pt" strokecolor="#000000">
            <v:stroke dashstyle="solid"/>
            <w10:wrap type="none"/>
          </v:line>
        </w:pict>
      </w:r>
      <w:r>
        <w:rPr>
          <w:sz w:val="12"/>
        </w:rPr>
        <w:t>7</w:t>
      </w:r>
    </w:p>
    <w:p>
      <w:pPr>
        <w:pStyle w:val="BodyText"/>
        <w:rPr>
          <w:sz w:val="12"/>
        </w:rPr>
      </w:pPr>
    </w:p>
    <w:p>
      <w:pPr>
        <w:pStyle w:val="BodyText"/>
        <w:rPr>
          <w:sz w:val="12"/>
        </w:rPr>
      </w:pPr>
    </w:p>
    <w:p>
      <w:pPr>
        <w:spacing w:before="91"/>
        <w:ind w:left="0" w:right="38" w:firstLine="0"/>
        <w:jc w:val="right"/>
        <w:rPr>
          <w:sz w:val="12"/>
        </w:rPr>
      </w:pPr>
      <w:r>
        <w:rPr/>
        <w:pict>
          <v:line style="position:absolute;mso-position-horizontal-relative:page;mso-position-vertical-relative:paragraph;z-index:15956480" from="215.104996pt,7.744387pt" to="220.229996pt,7.744387pt" stroked="true" strokeweight=".5pt" strokecolor="#000000">
            <v:stroke dashstyle="solid"/>
            <w10:wrap type="none"/>
          </v:line>
        </w:pict>
      </w:r>
      <w:r>
        <w:rPr>
          <w:sz w:val="12"/>
        </w:rPr>
        <w:t>6</w:t>
      </w:r>
    </w:p>
    <w:p>
      <w:pPr>
        <w:pStyle w:val="BodyText"/>
        <w:rPr>
          <w:sz w:val="12"/>
        </w:rPr>
      </w:pPr>
    </w:p>
    <w:p>
      <w:pPr>
        <w:pStyle w:val="BodyText"/>
        <w:spacing w:before="6"/>
        <w:rPr>
          <w:sz w:val="17"/>
        </w:rPr>
      </w:pPr>
    </w:p>
    <w:p>
      <w:pPr>
        <w:spacing w:before="0"/>
        <w:ind w:left="0" w:right="38" w:firstLine="0"/>
        <w:jc w:val="right"/>
        <w:rPr>
          <w:sz w:val="12"/>
        </w:rPr>
      </w:pPr>
      <w:r>
        <w:rPr>
          <w:sz w:val="12"/>
        </w:rPr>
        <w:t>5</w:t>
      </w:r>
    </w:p>
    <w:p>
      <w:pPr>
        <w:pStyle w:val="BodyText"/>
        <w:rPr>
          <w:sz w:val="12"/>
        </w:rPr>
      </w:pPr>
    </w:p>
    <w:p>
      <w:pPr>
        <w:pStyle w:val="BodyText"/>
        <w:spacing w:before="3"/>
        <w:rPr>
          <w:sz w:val="17"/>
        </w:rPr>
      </w:pPr>
    </w:p>
    <w:p>
      <w:pPr>
        <w:spacing w:before="0"/>
        <w:ind w:left="0" w:right="38" w:firstLine="0"/>
        <w:jc w:val="right"/>
        <w:rPr>
          <w:sz w:val="12"/>
        </w:rPr>
      </w:pPr>
      <w:r>
        <w:rPr>
          <w:sz w:val="12"/>
        </w:rPr>
        <w:t>4</w:t>
      </w:r>
    </w:p>
    <w:p>
      <w:pPr>
        <w:pStyle w:val="BodyText"/>
        <w:rPr>
          <w:sz w:val="12"/>
        </w:rPr>
      </w:pPr>
    </w:p>
    <w:p>
      <w:pPr>
        <w:pStyle w:val="BodyText"/>
        <w:rPr>
          <w:sz w:val="12"/>
        </w:rPr>
      </w:pPr>
    </w:p>
    <w:p>
      <w:pPr>
        <w:spacing w:before="91"/>
        <w:ind w:left="0" w:right="38" w:firstLine="0"/>
        <w:jc w:val="right"/>
        <w:rPr>
          <w:sz w:val="12"/>
        </w:rPr>
      </w:pPr>
      <w:r>
        <w:rPr>
          <w:sz w:val="12"/>
        </w:rPr>
        <w:t>3</w:t>
      </w:r>
    </w:p>
    <w:p>
      <w:pPr>
        <w:pStyle w:val="BodyText"/>
        <w:rPr>
          <w:sz w:val="12"/>
        </w:rPr>
      </w:pPr>
    </w:p>
    <w:p>
      <w:pPr>
        <w:pStyle w:val="BodyText"/>
        <w:spacing w:before="4"/>
        <w:rPr>
          <w:sz w:val="17"/>
        </w:rPr>
      </w:pPr>
    </w:p>
    <w:p>
      <w:pPr>
        <w:spacing w:before="0"/>
        <w:ind w:left="0" w:right="38" w:firstLine="0"/>
        <w:jc w:val="right"/>
        <w:rPr>
          <w:sz w:val="12"/>
        </w:rPr>
      </w:pPr>
      <w:r>
        <w:rPr>
          <w:sz w:val="12"/>
        </w:rPr>
        <w:t>2</w:t>
      </w:r>
    </w:p>
    <w:p>
      <w:pPr>
        <w:spacing w:line="242" w:lineRule="auto" w:before="4"/>
        <w:ind w:left="206" w:right="240" w:firstLine="0"/>
        <w:jc w:val="left"/>
        <w:rPr>
          <w:sz w:val="24"/>
        </w:rPr>
      </w:pPr>
      <w:r>
        <w:rPr/>
        <w:br w:type="column"/>
      </w:r>
      <w:r>
        <w:rPr>
          <w:sz w:val="24"/>
        </w:rPr>
        <w:t>improve staff retention, so a decline in bonus growth may also signal looser labour market conditions.</w:t>
      </w:r>
    </w:p>
    <w:p>
      <w:pPr>
        <w:spacing w:before="2"/>
        <w:ind w:left="206" w:right="0" w:firstLine="0"/>
        <w:jc w:val="left"/>
        <w:rPr>
          <w:sz w:val="24"/>
        </w:rPr>
      </w:pPr>
      <w:r>
        <w:rPr>
          <w:sz w:val="24"/>
        </w:rPr>
        <w:t>Although current unemployment has been close to</w:t>
      </w:r>
    </w:p>
    <w:p>
      <w:pPr>
        <w:spacing w:line="242" w:lineRule="auto" w:before="4"/>
        <w:ind w:left="206" w:right="240" w:firstLine="0"/>
        <w:jc w:val="left"/>
        <w:rPr>
          <w:sz w:val="24"/>
        </w:rPr>
      </w:pPr>
      <w:r>
        <w:rPr>
          <w:sz w:val="24"/>
        </w:rPr>
        <w:t>20-year lows, concerns about future unemployment rose sharply in the second half of last year, according</w:t>
      </w:r>
    </w:p>
    <w:p>
      <w:pPr>
        <w:spacing w:line="242" w:lineRule="auto" w:before="3"/>
        <w:ind w:left="206" w:right="248" w:firstLine="0"/>
        <w:jc w:val="left"/>
        <w:rPr>
          <w:sz w:val="24"/>
        </w:rPr>
      </w:pPr>
      <w:r>
        <w:rPr>
          <w:sz w:val="24"/>
        </w:rPr>
        <w:t>to the GfK survey (see Chart 3.4). This may have reduced the need for firms to make special payments during that period to retain staff. Respondents to the GfK survey have become less concerned about future unemployment in recent months, consistent with the more general improvement in consumer confidence (see</w:t>
      </w:r>
    </w:p>
    <w:p>
      <w:pPr>
        <w:spacing w:after="0" w:line="242" w:lineRule="auto"/>
        <w:jc w:val="left"/>
        <w:rPr>
          <w:sz w:val="24"/>
        </w:rPr>
        <w:sectPr>
          <w:type w:val="continuous"/>
          <w:pgSz w:w="11900" w:h="16840"/>
          <w:pgMar w:top="1220" w:bottom="280" w:left="640" w:right="640"/>
          <w:cols w:num="3" w:equalWidth="0">
            <w:col w:w="1345" w:space="1024"/>
            <w:col w:w="1533" w:space="846"/>
            <w:col w:w="5872"/>
          </w:cols>
        </w:sectPr>
      </w:pPr>
    </w:p>
    <w:p>
      <w:pPr>
        <w:tabs>
          <w:tab w:pos="1431" w:val="left" w:leader="none"/>
          <w:tab w:pos="2364" w:val="left" w:leader="none"/>
          <w:tab w:pos="3279" w:val="left" w:leader="none"/>
          <w:tab w:pos="3801" w:val="left" w:leader="none"/>
        </w:tabs>
        <w:spacing w:before="14"/>
        <w:ind w:left="206" w:right="0" w:firstLine="0"/>
        <w:jc w:val="left"/>
        <w:rPr>
          <w:sz w:val="12"/>
        </w:rPr>
      </w:pPr>
      <w:r>
        <w:rPr/>
        <w:pict>
          <v:line style="position:absolute;mso-position-horizontal-relative:page;mso-position-vertical-relative:paragraph;z-index:-21177344" from="214.772003pt,3.775163pt" to="219.897003pt,3.775163pt" stroked="true" strokeweight=".5pt" strokecolor="#000000">
            <v:stroke dashstyle="solid"/>
            <w10:wrap type="none"/>
          </v:line>
        </w:pict>
      </w:r>
      <w:r>
        <w:rPr>
          <w:position w:val="8"/>
          <w:sz w:val="12"/>
        </w:rPr>
        <w:t>40   </w:t>
      </w:r>
      <w:r>
        <w:rPr>
          <w:sz w:val="12"/>
        </w:rPr>
        <w:t>1996</w:t>
        <w:tab/>
        <w:t>97</w:t>
        <w:tab/>
        <w:t>98</w:t>
        <w:tab/>
        <w:t>99</w:t>
        <w:tab/>
      </w:r>
      <w:r>
        <w:rPr>
          <w:position w:val="9"/>
          <w:sz w:val="12"/>
        </w:rPr>
        <w:t>1</w:t>
      </w:r>
    </w:p>
    <w:p>
      <w:pPr>
        <w:spacing w:before="45"/>
        <w:ind w:left="164" w:right="0" w:firstLine="0"/>
        <w:jc w:val="left"/>
        <w:rPr>
          <w:sz w:val="12"/>
        </w:rPr>
      </w:pPr>
      <w:r>
        <w:rPr>
          <w:sz w:val="12"/>
        </w:rPr>
        <w:t>Sources: ONS and GfK.</w:t>
      </w:r>
    </w:p>
    <w:p>
      <w:pPr>
        <w:pStyle w:val="BodyText"/>
        <w:spacing w:before="1"/>
        <w:rPr>
          <w:sz w:val="10"/>
        </w:rPr>
      </w:pPr>
    </w:p>
    <w:p>
      <w:pPr>
        <w:pStyle w:val="ListParagraph"/>
        <w:numPr>
          <w:ilvl w:val="0"/>
          <w:numId w:val="16"/>
        </w:numPr>
        <w:tabs>
          <w:tab w:pos="405" w:val="left" w:leader="none"/>
        </w:tabs>
        <w:spacing w:line="208" w:lineRule="auto" w:before="1" w:after="0"/>
        <w:ind w:left="404" w:right="38" w:hanging="240"/>
        <w:jc w:val="left"/>
        <w:rPr>
          <w:sz w:val="12"/>
        </w:rPr>
      </w:pPr>
      <w:r>
        <w:rPr>
          <w:sz w:val="12"/>
        </w:rPr>
        <w:t>Weighted balance of responses to the question ‘How do you think the level </w:t>
      </w:r>
      <w:r>
        <w:rPr>
          <w:spacing w:val="-9"/>
          <w:sz w:val="12"/>
        </w:rPr>
        <w:t>of </w:t>
      </w:r>
      <w:r>
        <w:rPr>
          <w:sz w:val="12"/>
        </w:rPr>
        <w:t>unemployment in this country will change over the next twelve months?’</w:t>
      </w:r>
    </w:p>
    <w:p>
      <w:pPr>
        <w:spacing w:before="7"/>
        <w:ind w:left="164" w:right="0" w:firstLine="0"/>
        <w:jc w:val="left"/>
        <w:rPr>
          <w:sz w:val="24"/>
        </w:rPr>
      </w:pPr>
      <w:r>
        <w:rPr/>
        <w:br w:type="column"/>
      </w:r>
      <w:hyperlink w:history="true" w:anchor="_bookmark6">
        <w:r>
          <w:rPr>
            <w:sz w:val="24"/>
          </w:rPr>
          <w:t>Section 2).</w:t>
        </w:r>
      </w:hyperlink>
    </w:p>
    <w:p>
      <w:pPr>
        <w:pStyle w:val="BodyText"/>
        <w:spacing w:before="2"/>
        <w:rPr>
          <w:sz w:val="28"/>
        </w:rPr>
      </w:pPr>
    </w:p>
    <w:p>
      <w:pPr>
        <w:spacing w:line="242" w:lineRule="auto" w:before="0"/>
        <w:ind w:left="164" w:right="333" w:firstLine="0"/>
        <w:jc w:val="left"/>
        <w:rPr>
          <w:sz w:val="24"/>
        </w:rPr>
      </w:pPr>
      <w:r>
        <w:rPr>
          <w:sz w:val="24"/>
        </w:rPr>
        <w:t>It is not possible to identify the contribution of bonuses to the rise in annual earnings growth in February.</w:t>
      </w:r>
    </w:p>
    <w:p>
      <w:pPr>
        <w:spacing w:line="242" w:lineRule="auto" w:before="3"/>
        <w:ind w:left="164" w:right="193" w:firstLine="0"/>
        <w:jc w:val="left"/>
        <w:rPr>
          <w:sz w:val="16"/>
        </w:rPr>
      </w:pPr>
      <w:r>
        <w:rPr>
          <w:sz w:val="24"/>
        </w:rPr>
        <w:t>Starting from February, firms in the AEI sample have been asked to record all bonuses paid, and not just those they consider to be significant. In the longer run, this should remove the problems with the previous approach. But the substantially higher number of firms now reporting bonuses means that measured annual growth rates are likely to overstate the true rate of bonus growth until February 2000. In principle, this change should affect only the split of total recorded pay between bonus and non-bonus components: firms have always been asked to report their total gross pay. It is possible, however, that some firms have begun reporting bonuses as part of total pay, when previously they had not.</w:t>
      </w:r>
      <w:r>
        <w:rPr>
          <w:position w:val="5"/>
          <w:sz w:val="16"/>
        </w:rPr>
        <w:t>(1)</w:t>
      </w:r>
    </w:p>
    <w:p>
      <w:pPr>
        <w:spacing w:line="242" w:lineRule="auto" w:before="16"/>
        <w:ind w:left="164" w:right="128" w:firstLine="0"/>
        <w:jc w:val="left"/>
        <w:rPr>
          <w:sz w:val="24"/>
        </w:rPr>
      </w:pPr>
      <w:r>
        <w:rPr>
          <w:sz w:val="24"/>
        </w:rPr>
        <w:t>That would have raised the recorded annual growth rate of overall earnings in February. But the ONS says that it has found no evidence of this occurring.</w:t>
      </w:r>
    </w:p>
    <w:p>
      <w:pPr>
        <w:pStyle w:val="BodyText"/>
        <w:rPr>
          <w:sz w:val="20"/>
        </w:rPr>
      </w:pPr>
    </w:p>
    <w:p>
      <w:pPr>
        <w:pStyle w:val="BodyText"/>
        <w:spacing w:before="7"/>
        <w:rPr>
          <w:sz w:val="27"/>
        </w:rPr>
      </w:pPr>
      <w:r>
        <w:rPr/>
        <w:pict>
          <v:shape style="position:absolute;margin-left:278.5pt;margin-top:17.957539pt;width:275pt;height:.1pt;mso-position-horizontal-relative:page;mso-position-vertical-relative:paragraph;z-index:-15503872;mso-wrap-distance-left:0;mso-wrap-distance-right:0" coordorigin="5570,359" coordsize="5500,0" path="m5570,359l11070,359e" filled="false" stroked="true" strokeweight=".125pt" strokecolor="#000000">
            <v:path arrowok="t"/>
            <v:stroke dashstyle="solid"/>
            <w10:wrap type="topAndBottom"/>
          </v:shape>
        </w:pict>
      </w:r>
    </w:p>
    <w:p>
      <w:pPr>
        <w:pStyle w:val="ListParagraph"/>
        <w:numPr>
          <w:ilvl w:val="1"/>
          <w:numId w:val="16"/>
        </w:numPr>
        <w:tabs>
          <w:tab w:pos="415" w:val="left" w:leader="none"/>
        </w:tabs>
        <w:spacing w:line="208" w:lineRule="auto" w:before="33" w:after="0"/>
        <w:ind w:left="414" w:right="641" w:hanging="240"/>
        <w:jc w:val="left"/>
        <w:rPr>
          <w:sz w:val="16"/>
        </w:rPr>
      </w:pPr>
      <w:r>
        <w:rPr>
          <w:sz w:val="16"/>
        </w:rPr>
        <w:t>The AEI review noted that the reporting arrangements left a degree of ambiguity over whether or not to include bonuses in total pay. Firms </w:t>
      </w:r>
      <w:r>
        <w:rPr>
          <w:spacing w:val="-5"/>
          <w:sz w:val="16"/>
        </w:rPr>
        <w:t>have </w:t>
      </w:r>
      <w:r>
        <w:rPr>
          <w:sz w:val="16"/>
        </w:rPr>
        <w:t>been reminded by the ONS of the need to include all bonuses.</w:t>
      </w:r>
    </w:p>
    <w:p>
      <w:pPr>
        <w:spacing w:after="0" w:line="208" w:lineRule="auto"/>
        <w:jc w:val="left"/>
        <w:rPr>
          <w:sz w:val="16"/>
        </w:rPr>
        <w:sectPr>
          <w:type w:val="continuous"/>
          <w:pgSz w:w="11900" w:h="16840"/>
          <w:pgMar w:top="1220" w:bottom="280" w:left="640" w:right="640"/>
          <w:cols w:num="2" w:equalWidth="0">
            <w:col w:w="4181" w:space="609"/>
            <w:col w:w="5830"/>
          </w:cols>
        </w:sectPr>
      </w:pPr>
    </w:p>
    <w:p>
      <w:pPr>
        <w:pStyle w:val="BodyText"/>
        <w:rPr>
          <w:sz w:val="20"/>
        </w:rPr>
      </w:pPr>
    </w:p>
    <w:p>
      <w:pPr>
        <w:spacing w:after="0"/>
        <w:rPr>
          <w:sz w:val="20"/>
        </w:rPr>
        <w:sectPr>
          <w:pgSz w:w="11900" w:h="16840"/>
          <w:pgMar w:header="584" w:footer="617" w:top="780" w:bottom="800" w:left="640" w:right="640"/>
        </w:sectPr>
      </w:pPr>
    </w:p>
    <w:p>
      <w:pPr>
        <w:pStyle w:val="BodyText"/>
        <w:spacing w:before="6"/>
        <w:rPr>
          <w:sz w:val="20"/>
        </w:rPr>
      </w:pPr>
    </w:p>
    <w:p>
      <w:pPr>
        <w:pStyle w:val="Heading4"/>
        <w:spacing w:before="0"/>
        <w:ind w:left="195"/>
      </w:pPr>
      <w:r>
        <w:rPr>
          <w:color w:val="0093C1"/>
        </w:rPr>
        <w:t>Chart 3.5</w:t>
      </w:r>
    </w:p>
    <w:p>
      <w:pPr>
        <w:pStyle w:val="Heading4"/>
        <w:ind w:left="195"/>
      </w:pPr>
      <w:r>
        <w:rPr>
          <w:color w:val="0093C1"/>
        </w:rPr>
        <w:t>Growth in overtime payments and GDP</w:t>
      </w:r>
    </w:p>
    <w:p>
      <w:pPr>
        <w:spacing w:line="242" w:lineRule="auto" w:before="206"/>
        <w:ind w:left="195" w:right="623" w:firstLine="0"/>
        <w:jc w:val="left"/>
        <w:rPr>
          <w:sz w:val="24"/>
        </w:rPr>
      </w:pPr>
      <w:r>
        <w:rPr/>
        <w:br w:type="column"/>
      </w:r>
      <w:r>
        <w:rPr>
          <w:sz w:val="24"/>
        </w:rPr>
        <w:t>Earnings growth has also been depressed by a fall in overtime payments in recent months. Overtime is</w:t>
      </w:r>
    </w:p>
    <w:p>
      <w:pPr>
        <w:spacing w:after="0" w:line="242" w:lineRule="auto"/>
        <w:jc w:val="left"/>
        <w:rPr>
          <w:sz w:val="24"/>
        </w:rPr>
        <w:sectPr>
          <w:type w:val="continuous"/>
          <w:pgSz w:w="11900" w:h="16840"/>
          <w:pgMar w:top="1220" w:bottom="280" w:left="640" w:right="640"/>
          <w:cols w:num="2" w:equalWidth="0">
            <w:col w:w="3641" w:space="1109"/>
            <w:col w:w="5870"/>
          </w:cols>
        </w:sectPr>
      </w:pPr>
    </w:p>
    <w:p>
      <w:pPr>
        <w:pStyle w:val="BodyText"/>
        <w:rPr>
          <w:sz w:val="13"/>
        </w:rPr>
      </w:pPr>
    </w:p>
    <w:p>
      <w:pPr>
        <w:spacing w:line="208" w:lineRule="auto" w:before="0"/>
        <w:ind w:left="368" w:right="752" w:firstLine="0"/>
        <w:jc w:val="left"/>
        <w:rPr>
          <w:sz w:val="12"/>
        </w:rPr>
      </w:pPr>
      <w:r>
        <w:rPr>
          <w:sz w:val="12"/>
        </w:rPr>
        <w:t>Percentage changes on a year earlier</w:t>
      </w:r>
    </w:p>
    <w:p>
      <w:pPr>
        <w:spacing w:line="111" w:lineRule="exact" w:before="0"/>
        <w:ind w:left="210" w:right="0" w:firstLine="0"/>
        <w:jc w:val="left"/>
        <w:rPr>
          <w:sz w:val="12"/>
        </w:rPr>
      </w:pPr>
      <w:r>
        <w:rPr/>
        <w:pict>
          <v:line style="position:absolute;mso-position-horizontal-relative:page;mso-position-vertical-relative:paragraph;z-index:15958528" from="50.446999pt,2.174783pt" to="54.779999pt,2.174783pt" stroked="true" strokeweight=".5pt" strokecolor="#000000">
            <v:stroke dashstyle="solid"/>
            <w10:wrap type="none"/>
          </v:line>
        </w:pict>
      </w:r>
      <w:r>
        <w:rPr>
          <w:sz w:val="12"/>
        </w:rPr>
        <w:t>20</w:t>
      </w:r>
    </w:p>
    <w:p>
      <w:pPr>
        <w:spacing w:before="60"/>
        <w:ind w:left="210" w:right="0" w:firstLine="0"/>
        <w:jc w:val="left"/>
        <w:rPr>
          <w:sz w:val="12"/>
        </w:rPr>
      </w:pPr>
      <w:r>
        <w:rPr/>
        <w:pict>
          <v:line style="position:absolute;mso-position-horizontal-relative:page;mso-position-vertical-relative:paragraph;z-index:15959040" from="50.446999pt,6.54921pt" to="54.779999pt,6.54921pt" stroked="true" strokeweight=".5pt" strokecolor="#000000">
            <v:stroke dashstyle="solid"/>
            <w10:wrap type="none"/>
          </v:line>
        </w:pict>
      </w:r>
      <w:r>
        <w:rPr>
          <w:sz w:val="12"/>
        </w:rPr>
        <w:t>18</w:t>
      </w:r>
    </w:p>
    <w:p>
      <w:pPr>
        <w:tabs>
          <w:tab w:pos="1132" w:val="left" w:leader="none"/>
        </w:tabs>
        <w:spacing w:line="179" w:lineRule="exact" w:before="61"/>
        <w:ind w:left="210" w:right="0" w:firstLine="0"/>
        <w:jc w:val="left"/>
        <w:rPr>
          <w:sz w:val="12"/>
        </w:rPr>
      </w:pPr>
      <w:r>
        <w:rPr>
          <w:position w:val="5"/>
          <w:sz w:val="12"/>
        </w:rPr>
        <w:t>16</w:t>
        <w:tab/>
      </w:r>
      <w:r>
        <w:rPr>
          <w:sz w:val="12"/>
        </w:rPr>
        <w:t>Nominal GDP</w:t>
      </w:r>
    </w:p>
    <w:p>
      <w:pPr>
        <w:tabs>
          <w:tab w:pos="1192" w:val="left" w:leader="none"/>
        </w:tabs>
        <w:spacing w:line="218" w:lineRule="auto" w:before="0"/>
        <w:ind w:left="210" w:right="0" w:firstLine="0"/>
        <w:jc w:val="left"/>
        <w:rPr>
          <w:sz w:val="12"/>
        </w:rPr>
      </w:pPr>
      <w:r>
        <w:rPr/>
        <w:pict>
          <v:group style="position:absolute;margin-left:50.446999pt;margin-top:1.911865pt;width:165.35pt;height:112.3pt;mso-position-horizontal-relative:page;mso-position-vertical-relative:paragraph;z-index:-21176320" coordorigin="1009,38" coordsize="3307,2246">
            <v:shape style="position:absolute;left:1148;top:673;width:298;height:498" type="#_x0000_t75" stroked="false">
              <v:imagedata r:id="rId84" o:title=""/>
            </v:shape>
            <v:shape style="position:absolute;left:1435;top:48;width:2745;height:1823" coordorigin="1436,48" coordsize="2745,1823" path="m1436,683l1496,286m1496,286l1536,321m1536,321l1553,336m1553,336l1576,306m1576,306l1596,276m1596,276l1616,243m1616,243l1633,236m1633,236l1656,228m1656,228l1676,221m1676,221l1696,223m1696,221l1713,223m1713,221l1733,218m1733,218l1756,161m1756,161l1773,106m1773,106l1793,48m1793,48l1813,116m1813,116l1833,181m1833,181l1853,248m1853,248l1873,301m1873,301l1913,411m1913,411l1933,486m1933,486l1953,558m1953,558l1973,633m1973,633l2013,773m2013,773l2033,846m2033,846l2071,808m2071,808l2093,791m2093,791l2113,696m2113,696l2131,603m2131,603l2151,508m2151,508l2171,586m2171,586l2193,666m2193,666l2211,743m2211,743l2231,903m2231,903l2251,1061m2251,1061l2273,1218m2273,1218l2291,1233m2291,1233l2311,1251m2311,1251l2331,1266m2331,1266l2351,1378m2351,1378l2391,1608m2391,1608l2411,1618m2411,1618l2451,1633m2451,1633l2471,1521m2471,1521l2488,1406m2488,1406l2508,1291m2508,1291l2531,1366m2531,1366l2551,1438m2551,1438l2568,1513m2568,1513l2588,1531m2588,1531l2611,1551m2611,1551l2631,1571m2631,1571l2648,1611m2648,1611l2688,1691m2688,1691l2708,1753m2708,1753l2728,1813m2728,1813l2748,1871m2748,1871l2808,1668m2808,1668l2828,1656m2828,1656l2868,1626m2868,1626l2888,1523m2888,1523l2908,1423m2908,1423l2926,1318m2926,1318l2948,1273m2948,1273l2968,1228m2968,1228l2988,1181m2988,1181l3006,1213m3006,1213l3026,1241m3026,1241l3048,1271m3048,1271l3066,1261m3066,1261l3086,1256m3086,1256l3106,1248m3106,1248l3128,1293m3128,1293l3146,1336m3146,1336l3166,1383m3166,1383l3186,1328m3186,1328l3206,1276m3206,1276l3226,1221m3226,1221l3246,1248m3246,1248l3266,1273m3266,1273l3286,1296m3286,1296l3306,1306m3306,1306l3346,1321m3346,1321l3363,1351m3363,1351l3386,1378m3386,1378l3406,1408m3406,1408l3426,1456m3426,1456l3443,1506m3443,1506l3466,1553m3466,1553l3486,1468m3486,1468l3503,1383m3503,1383l3523,1296m3523,1296l3543,1306m3543,1306l3566,1313m3566,1313l3583,1321m3583,1321l3603,1293m3603,1293l3623,1261m3623,1261l3643,1233m3643,1233l3663,1271m3663,1271l3703,1341m3703,1341l3743,1366m3743,1366l3763,1376m3763,1376l3783,1341m3783,1341l3803,1311m3803,1311l3823,1278m3823,1278l3843,1238m3843,1238l3861,1198m3861,1198l3881,1158m3881,1158l3903,1171m3903,1171l3923,1181m3923,1181l3941,1196m3941,1196l3961,1251m3961,1251l4001,1366m4001,1366l4021,1398m4021,1398l4041,1436m4041,1436l4061,1471m4061,1471l4081,1536m4081,1536l4101,1603m4101,1603l4121,1666m4121,1666l4181,1726e" filled="false" stroked="true" strokeweight="1pt" strokecolor="#008256">
              <v:path arrowok="t"/>
              <v:stroke dashstyle="solid"/>
            </v:shape>
            <v:shape style="position:absolute;left:1158;top:165;width:2863;height:2088" coordorigin="1158,166" coordsize="2863,2088" path="m1158,908l1178,911m1178,911l1196,916m1196,916l1216,918m1216,918l1238,921m1238,921l1258,923m1258,923l1276,926m1276,923l1296,926m1296,926l1318,928m1318,928l1338,931m1338,931l1356,936m1356,936l1376,938m1376,938l1396,941m1396,941l1456,746m1456,746l1476,683m1476,683l1516,553m1516,553l1536,491m1536,491l1553,423m1553,423l1576,361m1576,361l1596,296m1596,296l1616,233m1616,233l1633,166m1633,166l1656,186m1656,186l1696,221m1696,221l1713,241m1713,241l1733,258m1733,258l1756,276m1756,276l1773,296m1773,296l1813,331m1813,331l1833,351m1833,351l1853,366m1853,366l1873,383m1873,383l2053,901m2053,901l2071,958m2071,958l2093,1016m2093,1016l2113,1073m2113,1073l2131,1171m2131,1171l2151,1271m2151,1271l2171,1368m2171,1368l2193,1466m2193,1466l2211,1566m2211,1566l2251,1761m2251,1761l2273,1861m2273,1861l2291,1958m2291,1958l2311,2058m2311,2058l2351,2253m2351,2253l2371,2146m2371,2146l2391,2036m2391,2036l2411,1923m2411,1923l2431,1816m2431,1816l2451,1703m2451,1703l2471,1593m2471,1593l2488,1486m2488,1486l2508,1373m2508,1373l2531,1266m2531,1266l2551,1153m2551,1153l2568,1043m2568,1043l2588,936m2588,936l2611,988m2611,988l2631,1043m2631,1043l2648,1098m2648,1098l2688,1208m2688,1208l2708,1261m2708,1261l2748,1371m2748,1371l2768,1428m2768,1428l2788,1483m2788,1483l2808,1536m2808,1536l2828,1591m2828,1591l2908,1321m2908,1321l2926,1253m2926,1253l2948,1188m2948,1188l2968,1118m2968,1118l2988,1053m2988,1053l3006,983m3006,983l3026,918m3026,918l3048,848m3048,848l3066,783m3066,783l3106,818m3106,818l3128,833m3128,833l3146,851m3146,851l3286,973m3286,973l3306,988m3306,988l3326,1028m3326,1028l3346,1073m3346,1073l3363,1113m3363,1113l3386,1153m3386,1153l3426,1233m3426,1233l3443,1273m3443,1273l3466,1313m3466,1313l3486,1356m3486,1356l3503,1396m3503,1396l3543,1476m3543,1476l3566,1433m3566,1433l3583,1391m3583,1391l3623,1306m3623,1306l3643,1261m3643,1261l3723,1091m3723,1091l3743,1046m3743,1046l3783,961m3783,961l3843,1028m3843,1028l3861,1053m3861,1053l3881,1076m3881,1076l3903,1096m3903,1096l3923,1118m3923,1118l3941,1141m3941,1141l3961,1163m3961,1163l3981,1188m3981,1188l4021,1233e" filled="false" stroked="true" strokeweight="1pt" strokecolor="#f7941d">
              <v:path arrowok="t"/>
              <v:stroke dashstyle="solid"/>
            </v:shape>
            <v:shape style="position:absolute;left:1008;top:92;width:3307;height:2186" coordorigin="1009,92" coordsize="3307,2186" path="m1009,92l1096,92m1009,490l1096,490m1009,887l1096,887m1009,291l1096,291m1009,688l1096,688m1009,1085l1096,1085m1009,1284l1096,1284m1009,1483l1096,1483m1009,1681l1096,1681m1009,1880l1096,1880m1009,2079l1096,2079m1009,2277l1096,2277m4229,94l4316,94m4229,491l4316,491m4229,888l4316,888m4229,292l4316,292m4229,689l4316,689m4229,1087l4316,1087m4229,1285l4316,1285m4229,1484l4316,1484m4229,1683l4316,1683m4229,1881l4316,1881m4229,2080l4316,2080m4229,2278l4316,2278e" filled="false" stroked="true" strokeweight=".5pt" strokecolor="#000000">
              <v:path arrowok="t"/>
              <v:stroke dashstyle="solid"/>
            </v:shape>
            <w10:wrap type="none"/>
          </v:group>
        </w:pict>
      </w:r>
      <w:r>
        <w:rPr>
          <w:position w:val="-2"/>
          <w:sz w:val="12"/>
        </w:rPr>
        <w:t>14</w:t>
        <w:tab/>
      </w:r>
      <w:r>
        <w:rPr>
          <w:sz w:val="12"/>
        </w:rPr>
        <w:t>(right-hand scale)</w:t>
      </w:r>
    </w:p>
    <w:p>
      <w:pPr>
        <w:spacing w:before="58"/>
        <w:ind w:left="210" w:right="0" w:firstLine="0"/>
        <w:jc w:val="left"/>
        <w:rPr>
          <w:sz w:val="12"/>
        </w:rPr>
      </w:pPr>
      <w:r>
        <w:rPr>
          <w:sz w:val="12"/>
        </w:rPr>
        <w:t>12</w:t>
      </w:r>
    </w:p>
    <w:p>
      <w:pPr>
        <w:spacing w:before="60"/>
        <w:ind w:left="210" w:right="0" w:firstLine="0"/>
        <w:jc w:val="left"/>
        <w:rPr>
          <w:sz w:val="12"/>
        </w:rPr>
      </w:pPr>
      <w:r>
        <w:rPr>
          <w:sz w:val="12"/>
        </w:rPr>
        <w:t>10</w:t>
      </w:r>
    </w:p>
    <w:p>
      <w:pPr>
        <w:spacing w:before="60"/>
        <w:ind w:left="270" w:right="0" w:firstLine="0"/>
        <w:jc w:val="left"/>
        <w:rPr>
          <w:sz w:val="12"/>
        </w:rPr>
      </w:pPr>
      <w:r>
        <w:rPr>
          <w:sz w:val="12"/>
        </w:rPr>
        <w:t>8</w:t>
      </w:r>
    </w:p>
    <w:p>
      <w:pPr>
        <w:spacing w:before="60"/>
        <w:ind w:left="270" w:right="0" w:firstLine="0"/>
        <w:jc w:val="left"/>
        <w:rPr>
          <w:sz w:val="12"/>
        </w:rPr>
      </w:pPr>
      <w:r>
        <w:rPr>
          <w:sz w:val="12"/>
        </w:rPr>
        <w:t>6</w:t>
      </w:r>
    </w:p>
    <w:p>
      <w:pPr>
        <w:spacing w:before="60"/>
        <w:ind w:left="270" w:right="0" w:firstLine="0"/>
        <w:jc w:val="left"/>
        <w:rPr>
          <w:sz w:val="12"/>
        </w:rPr>
      </w:pPr>
      <w:r>
        <w:rPr>
          <w:sz w:val="12"/>
        </w:rPr>
        <w:t>4</w:t>
      </w:r>
    </w:p>
    <w:p>
      <w:pPr>
        <w:spacing w:line="86" w:lineRule="exact" w:before="60"/>
        <w:ind w:left="270" w:right="0" w:firstLine="0"/>
        <w:jc w:val="left"/>
        <w:rPr>
          <w:sz w:val="12"/>
        </w:rPr>
      </w:pPr>
      <w:r>
        <w:rPr>
          <w:sz w:val="12"/>
        </w:rPr>
        <w:t>2</w:t>
      </w:r>
    </w:p>
    <w:p>
      <w:pPr>
        <w:pStyle w:val="BodyText"/>
        <w:rPr>
          <w:sz w:val="13"/>
        </w:rPr>
      </w:pPr>
      <w:r>
        <w:rPr/>
        <w:br w:type="column"/>
      </w:r>
      <w:r>
        <w:rPr>
          <w:sz w:val="13"/>
        </w:rPr>
      </w:r>
    </w:p>
    <w:p>
      <w:pPr>
        <w:spacing w:line="208" w:lineRule="auto" w:before="0"/>
        <w:ind w:left="377" w:right="183" w:hanging="167"/>
        <w:jc w:val="left"/>
        <w:rPr>
          <w:sz w:val="12"/>
        </w:rPr>
      </w:pPr>
      <w:r>
        <w:rPr>
          <w:sz w:val="12"/>
        </w:rPr>
        <w:t>Percentage changes on a year earlier</w:t>
      </w:r>
    </w:p>
    <w:p>
      <w:pPr>
        <w:spacing w:line="108" w:lineRule="exact" w:before="0"/>
        <w:ind w:left="0" w:right="38" w:firstLine="0"/>
        <w:jc w:val="right"/>
        <w:rPr>
          <w:sz w:val="12"/>
        </w:rPr>
      </w:pPr>
      <w:r>
        <w:rPr/>
        <w:pict>
          <v:line style="position:absolute;mso-position-horizontal-relative:page;mso-position-vertical-relative:paragraph;z-index:15960064" from="211.447006pt,2.23367pt" to="215.780006pt,2.23367pt" stroked="true" strokeweight=".5pt" strokecolor="#000000">
            <v:stroke dashstyle="solid"/>
            <w10:wrap type="none"/>
          </v:line>
        </w:pict>
      </w:r>
      <w:r>
        <w:rPr>
          <w:sz w:val="12"/>
        </w:rPr>
        <w:t>15</w:t>
      </w:r>
    </w:p>
    <w:p>
      <w:pPr>
        <w:spacing w:before="60"/>
        <w:ind w:left="0" w:right="38" w:firstLine="0"/>
        <w:jc w:val="right"/>
        <w:rPr>
          <w:sz w:val="12"/>
        </w:rPr>
      </w:pPr>
      <w:r>
        <w:rPr>
          <w:sz w:val="12"/>
        </w:rPr>
        <w:t>14</w:t>
      </w:r>
    </w:p>
    <w:p>
      <w:pPr>
        <w:spacing w:before="59"/>
        <w:ind w:left="0" w:right="38" w:firstLine="0"/>
        <w:jc w:val="right"/>
        <w:rPr>
          <w:sz w:val="12"/>
        </w:rPr>
      </w:pPr>
      <w:r>
        <w:rPr>
          <w:sz w:val="12"/>
        </w:rPr>
        <w:t>13</w:t>
      </w:r>
    </w:p>
    <w:p>
      <w:pPr>
        <w:spacing w:before="60"/>
        <w:ind w:left="0" w:right="38" w:firstLine="0"/>
        <w:jc w:val="right"/>
        <w:rPr>
          <w:sz w:val="12"/>
        </w:rPr>
      </w:pPr>
      <w:r>
        <w:rPr>
          <w:sz w:val="12"/>
        </w:rPr>
        <w:t>12</w:t>
      </w:r>
    </w:p>
    <w:p>
      <w:pPr>
        <w:spacing w:before="62"/>
        <w:ind w:left="0" w:right="38" w:firstLine="0"/>
        <w:jc w:val="right"/>
        <w:rPr>
          <w:sz w:val="12"/>
        </w:rPr>
      </w:pPr>
      <w:r>
        <w:rPr>
          <w:sz w:val="12"/>
        </w:rPr>
        <w:t>11</w:t>
      </w:r>
    </w:p>
    <w:p>
      <w:pPr>
        <w:spacing w:before="59"/>
        <w:ind w:left="0" w:right="38" w:firstLine="0"/>
        <w:jc w:val="right"/>
        <w:rPr>
          <w:sz w:val="12"/>
        </w:rPr>
      </w:pPr>
      <w:r>
        <w:rPr>
          <w:sz w:val="12"/>
        </w:rPr>
        <w:t>10</w:t>
      </w:r>
    </w:p>
    <w:p>
      <w:pPr>
        <w:spacing w:before="60"/>
        <w:ind w:left="0" w:right="38" w:firstLine="0"/>
        <w:jc w:val="right"/>
        <w:rPr>
          <w:sz w:val="12"/>
        </w:rPr>
      </w:pPr>
      <w:r>
        <w:rPr>
          <w:sz w:val="12"/>
        </w:rPr>
        <w:t>9</w:t>
      </w:r>
    </w:p>
    <w:p>
      <w:pPr>
        <w:spacing w:before="59"/>
        <w:ind w:left="0" w:right="38" w:firstLine="0"/>
        <w:jc w:val="right"/>
        <w:rPr>
          <w:sz w:val="12"/>
        </w:rPr>
      </w:pPr>
      <w:r>
        <w:rPr>
          <w:sz w:val="12"/>
        </w:rPr>
        <w:t>8</w:t>
      </w:r>
    </w:p>
    <w:p>
      <w:pPr>
        <w:spacing w:before="60"/>
        <w:ind w:left="0" w:right="38" w:firstLine="0"/>
        <w:jc w:val="right"/>
        <w:rPr>
          <w:sz w:val="12"/>
        </w:rPr>
      </w:pPr>
      <w:r>
        <w:rPr>
          <w:sz w:val="12"/>
        </w:rPr>
        <w:t>7</w:t>
      </w:r>
    </w:p>
    <w:p>
      <w:pPr>
        <w:spacing w:line="90" w:lineRule="exact" w:before="59"/>
        <w:ind w:left="0" w:right="38" w:firstLine="0"/>
        <w:jc w:val="right"/>
        <w:rPr>
          <w:sz w:val="12"/>
        </w:rPr>
      </w:pPr>
      <w:r>
        <w:rPr>
          <w:sz w:val="12"/>
        </w:rPr>
        <w:t>6</w:t>
      </w:r>
    </w:p>
    <w:p>
      <w:pPr>
        <w:spacing w:line="242" w:lineRule="auto" w:before="2"/>
        <w:ind w:left="210" w:right="184" w:firstLine="0"/>
        <w:jc w:val="left"/>
        <w:rPr>
          <w:sz w:val="24"/>
        </w:rPr>
      </w:pPr>
      <w:r>
        <w:rPr/>
        <w:br w:type="column"/>
      </w:r>
      <w:r>
        <w:rPr>
          <w:sz w:val="24"/>
        </w:rPr>
        <w:t>sensitive to demand conditions: in the past, there has been a close relationship between the annual growth in overtime payments as measured by the New Earnings Survey and the annual growth of nominal GDP (see Chart 3.5). Consistent with the slowdown in output growth, the average number of paid overtime hours per worker in the six months to February was about 8% lower than in the same period a year earlier, according to</w:t>
      </w:r>
    </w:p>
    <w:p>
      <w:pPr>
        <w:spacing w:after="0" w:line="242" w:lineRule="auto"/>
        <w:jc w:val="left"/>
        <w:rPr>
          <w:sz w:val="24"/>
        </w:rPr>
        <w:sectPr>
          <w:type w:val="continuous"/>
          <w:pgSz w:w="11900" w:h="16840"/>
          <w:pgMar w:top="1220" w:bottom="280" w:left="640" w:right="640"/>
          <w:cols w:num="3" w:equalWidth="0">
            <w:col w:w="2083" w:space="439"/>
            <w:col w:w="1357" w:space="856"/>
            <w:col w:w="5885"/>
          </w:cols>
        </w:sectPr>
      </w:pPr>
    </w:p>
    <w:p>
      <w:pPr>
        <w:tabs>
          <w:tab w:pos="3523" w:val="left" w:leader="none"/>
          <w:tab w:pos="4945" w:val="left" w:leader="none"/>
        </w:tabs>
        <w:spacing w:before="11"/>
        <w:ind w:left="298" w:right="0" w:firstLine="0"/>
        <w:jc w:val="left"/>
        <w:rPr>
          <w:sz w:val="24"/>
        </w:rPr>
      </w:pPr>
      <w:r>
        <w:rPr/>
        <w:pict>
          <v:shape style="position:absolute;margin-left:220.947006pt;margin-top:5.650956pt;width:3pt;height:6.65pt;mso-position-horizontal-relative:page;mso-position-vertical-relative:paragraph;z-index:-21171200" type="#_x0000_t202" filled="false" stroked="false">
            <v:textbox inset="0,0,0,0">
              <w:txbxContent>
                <w:p>
                  <w:pPr>
                    <w:spacing w:line="133" w:lineRule="exact" w:before="0"/>
                    <w:ind w:left="0" w:right="0" w:firstLine="0"/>
                    <w:jc w:val="left"/>
                    <w:rPr>
                      <w:sz w:val="12"/>
                    </w:rPr>
                  </w:pPr>
                  <w:r>
                    <w:rPr>
                      <w:sz w:val="12"/>
                    </w:rPr>
                    <w:t>5</w:t>
                  </w:r>
                </w:p>
              </w:txbxContent>
            </v:textbox>
            <w10:wrap type="none"/>
          </v:shape>
        </w:pict>
      </w:r>
      <w:r>
        <w:rPr/>
        <w:pict>
          <v:shape style="position:absolute;margin-left:45.5298pt;margin-top:5.743371pt;width:5.95pt;height:11.4pt;mso-position-horizontal-relative:page;mso-position-vertical-relative:paragraph;z-index:-21170688" type="#_x0000_t202" filled="false" stroked="false">
            <v:textbox inset="0,0,0,0">
              <w:txbxContent>
                <w:p>
                  <w:pPr>
                    <w:spacing w:line="170" w:lineRule="auto" w:before="11"/>
                    <w:ind w:left="0" w:right="0" w:firstLine="0"/>
                    <w:jc w:val="left"/>
                    <w:rPr>
                      <w:sz w:val="16"/>
                    </w:rPr>
                  </w:pPr>
                  <w:r>
                    <w:rPr>
                      <w:spacing w:val="-11"/>
                      <w:sz w:val="12"/>
                    </w:rPr>
                    <w:t>0</w:t>
                  </w:r>
                  <w:r>
                    <w:rPr>
                      <w:color w:val="231F20"/>
                      <w:spacing w:val="-11"/>
                      <w:position w:val="-8"/>
                      <w:sz w:val="16"/>
                    </w:rPr>
                    <w:t>–</w:t>
                  </w:r>
                </w:p>
              </w:txbxContent>
            </v:textbox>
            <w10:wrap type="none"/>
          </v:shape>
        </w:pict>
      </w:r>
      <w:r>
        <w:rPr>
          <w:color w:val="231F20"/>
          <w:sz w:val="24"/>
          <w:vertAlign w:val="superscript"/>
        </w:rPr>
        <w:t>+</w:t>
      </w:r>
      <w:r>
        <w:rPr>
          <w:color w:val="231F20"/>
          <w:sz w:val="24"/>
          <w:u w:val="single" w:color="000000"/>
          <w:vertAlign w:val="superscript"/>
        </w:rPr>
        <w:t> </w:t>
      </w:r>
      <w:r>
        <w:rPr>
          <w:color w:val="231F20"/>
          <w:sz w:val="24"/>
          <w:u w:val="single" w:color="000000"/>
          <w:vertAlign w:val="baseline"/>
        </w:rPr>
        <w:tab/>
      </w:r>
      <w:r>
        <w:rPr>
          <w:color w:val="231F20"/>
          <w:sz w:val="24"/>
          <w:vertAlign w:val="baseline"/>
        </w:rPr>
        <w:tab/>
      </w:r>
      <w:r>
        <w:rPr>
          <w:sz w:val="24"/>
          <w:vertAlign w:val="baseline"/>
        </w:rPr>
        <w:t>more recent data from the Labour Force</w:t>
      </w:r>
      <w:r>
        <w:rPr>
          <w:spacing w:val="1"/>
          <w:sz w:val="24"/>
          <w:vertAlign w:val="baseline"/>
        </w:rPr>
        <w:t> </w:t>
      </w:r>
      <w:r>
        <w:rPr>
          <w:spacing w:val="-3"/>
          <w:sz w:val="24"/>
          <w:vertAlign w:val="baseline"/>
        </w:rPr>
        <w:t>Survey.</w:t>
      </w:r>
    </w:p>
    <w:p>
      <w:pPr>
        <w:tabs>
          <w:tab w:pos="3778" w:val="left" w:leader="none"/>
        </w:tabs>
        <w:spacing w:before="20"/>
        <w:ind w:left="270" w:right="0" w:firstLine="0"/>
        <w:jc w:val="left"/>
        <w:rPr>
          <w:sz w:val="12"/>
        </w:rPr>
      </w:pPr>
      <w:r>
        <w:rPr>
          <w:sz w:val="12"/>
        </w:rPr>
        <w:t>2</w:t>
        <w:tab/>
        <w:t>4</w:t>
      </w:r>
    </w:p>
    <w:p>
      <w:pPr>
        <w:tabs>
          <w:tab w:pos="3778" w:val="left" w:leader="none"/>
        </w:tabs>
        <w:spacing w:line="76" w:lineRule="exact" w:before="60"/>
        <w:ind w:left="270" w:right="0" w:firstLine="0"/>
        <w:jc w:val="left"/>
        <w:rPr>
          <w:sz w:val="12"/>
        </w:rPr>
      </w:pPr>
      <w:r>
        <w:rPr>
          <w:sz w:val="12"/>
        </w:rPr>
        <w:t>4</w:t>
        <w:tab/>
        <w:t>3</w:t>
      </w:r>
    </w:p>
    <w:p>
      <w:pPr>
        <w:spacing w:after="0" w:line="76" w:lineRule="exact"/>
        <w:jc w:val="left"/>
        <w:rPr>
          <w:sz w:val="12"/>
        </w:rPr>
        <w:sectPr>
          <w:type w:val="continuous"/>
          <w:pgSz w:w="11900" w:h="16840"/>
          <w:pgMar w:top="1220" w:bottom="280" w:left="640" w:right="640"/>
        </w:sectPr>
      </w:pPr>
    </w:p>
    <w:p>
      <w:pPr>
        <w:tabs>
          <w:tab w:pos="1771" w:val="left" w:leader="none"/>
          <w:tab w:pos="3838" w:val="right" w:leader="none"/>
        </w:tabs>
        <w:spacing w:line="169" w:lineRule="exact" w:before="120"/>
        <w:ind w:left="270" w:right="0" w:firstLine="0"/>
        <w:jc w:val="left"/>
        <w:rPr>
          <w:sz w:val="12"/>
        </w:rPr>
      </w:pPr>
      <w:r>
        <w:rPr>
          <w:position w:val="4"/>
          <w:sz w:val="12"/>
        </w:rPr>
        <w:t>6</w:t>
        <w:tab/>
      </w:r>
      <w:r>
        <w:rPr>
          <w:sz w:val="12"/>
        </w:rPr>
        <w:t>Overtime payments</w:t>
        <w:tab/>
      </w:r>
      <w:r>
        <w:rPr>
          <w:position w:val="4"/>
          <w:sz w:val="12"/>
        </w:rPr>
        <w:t>2</w:t>
      </w:r>
    </w:p>
    <w:p>
      <w:pPr>
        <w:tabs>
          <w:tab w:pos="1831" w:val="left" w:leader="none"/>
          <w:tab w:pos="3838" w:val="right" w:leader="none"/>
        </w:tabs>
        <w:spacing w:line="218" w:lineRule="auto" w:before="0"/>
        <w:ind w:left="270" w:right="0" w:firstLine="0"/>
        <w:jc w:val="left"/>
        <w:rPr>
          <w:sz w:val="12"/>
        </w:rPr>
      </w:pPr>
      <w:r>
        <w:rPr>
          <w:position w:val="-3"/>
          <w:sz w:val="12"/>
        </w:rPr>
        <w:t>8</w:t>
        <w:tab/>
      </w:r>
      <w:r>
        <w:rPr>
          <w:sz w:val="12"/>
        </w:rPr>
        <w:t>(left-hand scale)</w:t>
        <w:tab/>
      </w:r>
      <w:r>
        <w:rPr>
          <w:position w:val="-3"/>
          <w:sz w:val="12"/>
        </w:rPr>
        <w:t>1</w:t>
      </w:r>
    </w:p>
    <w:p>
      <w:pPr>
        <w:tabs>
          <w:tab w:pos="3778" w:val="left" w:leader="none"/>
        </w:tabs>
        <w:spacing w:line="122" w:lineRule="exact" w:before="62"/>
        <w:ind w:left="210" w:right="0" w:firstLine="0"/>
        <w:jc w:val="left"/>
        <w:rPr>
          <w:sz w:val="12"/>
        </w:rPr>
      </w:pPr>
      <w:r>
        <w:rPr/>
        <w:pict>
          <v:shape style="position:absolute;margin-left:50.446999pt;margin-top:3.566797pt;width:165.35pt;height:3.7pt;mso-position-horizontal-relative:page;mso-position-vertical-relative:paragraph;z-index:-21174784" coordorigin="1009,71" coordsize="3307,74" path="m1009,144l1096,144m4229,145l4316,145m1166,145l4172,145m1166,71l1166,141m3549,71l3549,141m4026,71l4026,141m3072,71l3072,141m2596,71l2596,141m2119,71l2119,141m1642,71l1642,141e" filled="false" stroked="true" strokeweight=".5pt" strokecolor="#000000">
            <v:path arrowok="t"/>
            <v:stroke dashstyle="solid"/>
            <w10:wrap type="none"/>
          </v:shape>
        </w:pict>
      </w:r>
      <w:r>
        <w:rPr>
          <w:sz w:val="12"/>
        </w:rPr>
        <w:t>10</w:t>
        <w:tab/>
        <w:t>0</w:t>
      </w:r>
    </w:p>
    <w:p>
      <w:pPr>
        <w:tabs>
          <w:tab w:pos="930" w:val="left" w:leader="none"/>
          <w:tab w:pos="1410" w:val="left" w:leader="none"/>
          <w:tab w:pos="1885" w:val="left" w:leader="none"/>
          <w:tab w:pos="2362" w:val="left" w:leader="none"/>
          <w:tab w:pos="2840" w:val="left" w:leader="none"/>
          <w:tab w:pos="3317" w:val="left" w:leader="none"/>
        </w:tabs>
        <w:spacing w:line="122" w:lineRule="exact" w:before="0"/>
        <w:ind w:left="395" w:right="0" w:firstLine="0"/>
        <w:jc w:val="left"/>
        <w:rPr>
          <w:sz w:val="12"/>
        </w:rPr>
      </w:pPr>
      <w:r>
        <w:rPr>
          <w:sz w:val="12"/>
        </w:rPr>
        <w:t>1986</w:t>
        <w:tab/>
        <w:t>88</w:t>
        <w:tab/>
        <w:t>90</w:t>
        <w:tab/>
        <w:t>92</w:t>
        <w:tab/>
        <w:t>94</w:t>
        <w:tab/>
        <w:t>96</w:t>
        <w:tab/>
        <w:t>98</w:t>
      </w: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79"/>
        <w:ind w:left="160"/>
      </w:pPr>
      <w:r>
        <w:rPr>
          <w:color w:val="0093C1"/>
        </w:rPr>
        <w:t>Table 3.C</w:t>
      </w:r>
    </w:p>
    <w:p>
      <w:pPr>
        <w:pStyle w:val="Heading4"/>
        <w:ind w:left="160"/>
        <w:rPr>
          <w:b w:val="0"/>
          <w:sz w:val="12"/>
        </w:rPr>
      </w:pPr>
      <w:r>
        <w:rPr>
          <w:color w:val="0093C1"/>
        </w:rPr>
        <w:t>Survey-based inflation expectations</w:t>
      </w:r>
      <w:r>
        <w:rPr>
          <w:b w:val="0"/>
          <w:position w:val="4"/>
          <w:sz w:val="12"/>
        </w:rPr>
        <w:t>(a)</w:t>
      </w:r>
    </w:p>
    <w:p>
      <w:pPr>
        <w:spacing w:before="106"/>
        <w:ind w:left="160" w:right="0" w:firstLine="0"/>
        <w:jc w:val="left"/>
        <w:rPr>
          <w:sz w:val="14"/>
        </w:rPr>
      </w:pPr>
      <w:r>
        <w:rPr>
          <w:sz w:val="14"/>
        </w:rPr>
        <w:t>Percentage increases in prices</w:t>
      </w:r>
    </w:p>
    <w:p>
      <w:pPr>
        <w:spacing w:before="119"/>
        <w:ind w:left="160" w:right="0" w:firstLine="0"/>
        <w:jc w:val="left"/>
        <w:rPr>
          <w:b/>
          <w:sz w:val="14"/>
        </w:rPr>
      </w:pPr>
      <w:r>
        <w:rPr>
          <w:b/>
          <w:sz w:val="14"/>
        </w:rPr>
        <w:t>RPI inflation rate one year ahead</w:t>
      </w:r>
    </w:p>
    <w:p>
      <w:pPr>
        <w:tabs>
          <w:tab w:pos="3569" w:val="left" w:leader="none"/>
          <w:tab w:pos="3970" w:val="left" w:leader="none"/>
        </w:tabs>
        <w:spacing w:before="119"/>
        <w:ind w:left="1600" w:right="0" w:firstLine="0"/>
        <w:jc w:val="left"/>
        <w:rPr>
          <w:sz w:val="14"/>
        </w:rPr>
      </w:pPr>
      <w:r>
        <w:rPr>
          <w:sz w:val="14"/>
          <w:u w:val="single"/>
        </w:rPr>
        <w:t>1998</w:t>
        <w:tab/>
      </w:r>
      <w:r>
        <w:rPr>
          <w:sz w:val="14"/>
        </w:rPr>
        <w:tab/>
      </w:r>
      <w:r>
        <w:rPr>
          <w:sz w:val="14"/>
          <w:u w:val="single"/>
        </w:rPr>
        <w:t>1999</w:t>
      </w:r>
      <w:r>
        <w:rPr>
          <w:spacing w:val="4"/>
          <w:sz w:val="14"/>
          <w:u w:val="single"/>
        </w:rPr>
        <w:t> </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6"/>
        <w:gridCol w:w="506"/>
        <w:gridCol w:w="565"/>
        <w:gridCol w:w="580"/>
        <w:gridCol w:w="605"/>
        <w:gridCol w:w="572"/>
      </w:tblGrid>
      <w:tr>
        <w:trPr>
          <w:trHeight w:val="217" w:hRule="atLeast"/>
        </w:trPr>
        <w:tc>
          <w:tcPr>
            <w:tcW w:w="1386" w:type="dxa"/>
          </w:tcPr>
          <w:p>
            <w:pPr>
              <w:pStyle w:val="TableParagraph"/>
              <w:rPr>
                <w:sz w:val="14"/>
              </w:rPr>
            </w:pPr>
          </w:p>
        </w:tc>
        <w:tc>
          <w:tcPr>
            <w:tcW w:w="506" w:type="dxa"/>
          </w:tcPr>
          <w:p>
            <w:pPr>
              <w:pStyle w:val="TableParagraph"/>
              <w:spacing w:line="155" w:lineRule="exact"/>
              <w:ind w:left="103"/>
              <w:rPr>
                <w:sz w:val="14"/>
              </w:rPr>
            </w:pPr>
            <w:r>
              <w:rPr>
                <w:sz w:val="14"/>
                <w:u w:val="single"/>
              </w:rPr>
              <w:t>Q1 </w:t>
            </w:r>
          </w:p>
        </w:tc>
        <w:tc>
          <w:tcPr>
            <w:tcW w:w="565" w:type="dxa"/>
          </w:tcPr>
          <w:p>
            <w:pPr>
              <w:pStyle w:val="TableParagraph"/>
              <w:spacing w:line="155" w:lineRule="exact"/>
              <w:ind w:right="194"/>
              <w:jc w:val="right"/>
              <w:rPr>
                <w:sz w:val="14"/>
              </w:rPr>
            </w:pPr>
            <w:r>
              <w:rPr>
                <w:sz w:val="14"/>
                <w:u w:val="single"/>
              </w:rPr>
              <w:t>Q2</w:t>
            </w:r>
          </w:p>
        </w:tc>
        <w:tc>
          <w:tcPr>
            <w:tcW w:w="580" w:type="dxa"/>
          </w:tcPr>
          <w:p>
            <w:pPr>
              <w:pStyle w:val="TableParagraph"/>
              <w:spacing w:line="155" w:lineRule="exact"/>
              <w:ind w:right="214"/>
              <w:jc w:val="right"/>
              <w:rPr>
                <w:sz w:val="14"/>
              </w:rPr>
            </w:pPr>
            <w:r>
              <w:rPr>
                <w:sz w:val="14"/>
                <w:u w:val="single"/>
              </w:rPr>
              <w:t>Q3</w:t>
            </w:r>
          </w:p>
        </w:tc>
        <w:tc>
          <w:tcPr>
            <w:tcW w:w="605" w:type="dxa"/>
          </w:tcPr>
          <w:p>
            <w:pPr>
              <w:pStyle w:val="TableParagraph"/>
              <w:spacing w:line="155" w:lineRule="exact"/>
              <w:ind w:left="189" w:right="195"/>
              <w:jc w:val="center"/>
              <w:rPr>
                <w:sz w:val="14"/>
              </w:rPr>
            </w:pPr>
            <w:r>
              <w:rPr>
                <w:sz w:val="14"/>
                <w:u w:val="single"/>
              </w:rPr>
              <w:t>Q4</w:t>
            </w:r>
          </w:p>
        </w:tc>
        <w:tc>
          <w:tcPr>
            <w:tcW w:w="572" w:type="dxa"/>
          </w:tcPr>
          <w:p>
            <w:pPr>
              <w:pStyle w:val="TableParagraph"/>
              <w:spacing w:line="155" w:lineRule="exact"/>
              <w:ind w:left="217"/>
              <w:rPr>
                <w:sz w:val="14"/>
              </w:rPr>
            </w:pPr>
            <w:r>
              <w:rPr>
                <w:sz w:val="14"/>
                <w:u w:val="single"/>
              </w:rPr>
              <w:t>Q1 </w:t>
            </w:r>
          </w:p>
        </w:tc>
      </w:tr>
      <w:tr>
        <w:trPr>
          <w:trHeight w:val="210" w:hRule="atLeast"/>
        </w:trPr>
        <w:tc>
          <w:tcPr>
            <w:tcW w:w="1386" w:type="dxa"/>
          </w:tcPr>
          <w:p>
            <w:pPr>
              <w:pStyle w:val="TableParagraph"/>
              <w:spacing w:line="133" w:lineRule="exact" w:before="56"/>
              <w:ind w:left="50"/>
              <w:rPr>
                <w:sz w:val="14"/>
              </w:rPr>
            </w:pPr>
            <w:r>
              <w:rPr>
                <w:sz w:val="14"/>
              </w:rPr>
              <w:t>General public</w:t>
            </w:r>
          </w:p>
        </w:tc>
        <w:tc>
          <w:tcPr>
            <w:tcW w:w="506" w:type="dxa"/>
          </w:tcPr>
          <w:p>
            <w:pPr>
              <w:pStyle w:val="TableParagraph"/>
              <w:spacing w:line="133" w:lineRule="exact" w:before="56"/>
              <w:ind w:left="103"/>
              <w:rPr>
                <w:sz w:val="14"/>
              </w:rPr>
            </w:pPr>
            <w:r>
              <w:rPr>
                <w:sz w:val="14"/>
              </w:rPr>
              <w:t>4.3</w:t>
            </w:r>
          </w:p>
        </w:tc>
        <w:tc>
          <w:tcPr>
            <w:tcW w:w="565" w:type="dxa"/>
          </w:tcPr>
          <w:p>
            <w:pPr>
              <w:pStyle w:val="TableParagraph"/>
              <w:spacing w:line="133" w:lineRule="exact" w:before="56"/>
              <w:ind w:right="190"/>
              <w:jc w:val="right"/>
              <w:rPr>
                <w:sz w:val="14"/>
              </w:rPr>
            </w:pPr>
            <w:r>
              <w:rPr>
                <w:sz w:val="14"/>
              </w:rPr>
              <w:t>4.4</w:t>
            </w:r>
          </w:p>
        </w:tc>
        <w:tc>
          <w:tcPr>
            <w:tcW w:w="580" w:type="dxa"/>
          </w:tcPr>
          <w:p>
            <w:pPr>
              <w:pStyle w:val="TableParagraph"/>
              <w:spacing w:line="133" w:lineRule="exact" w:before="56"/>
              <w:ind w:right="210"/>
              <w:jc w:val="right"/>
              <w:rPr>
                <w:sz w:val="14"/>
              </w:rPr>
            </w:pPr>
            <w:r>
              <w:rPr>
                <w:sz w:val="14"/>
              </w:rPr>
              <w:t>4.5</w:t>
            </w:r>
          </w:p>
        </w:tc>
        <w:tc>
          <w:tcPr>
            <w:tcW w:w="605" w:type="dxa"/>
          </w:tcPr>
          <w:p>
            <w:pPr>
              <w:pStyle w:val="TableParagraph"/>
              <w:spacing w:line="133" w:lineRule="exact" w:before="56"/>
              <w:ind w:left="193" w:right="195"/>
              <w:jc w:val="center"/>
              <w:rPr>
                <w:sz w:val="14"/>
              </w:rPr>
            </w:pPr>
            <w:r>
              <w:rPr>
                <w:sz w:val="14"/>
              </w:rPr>
              <w:t>4.2</w:t>
            </w:r>
          </w:p>
        </w:tc>
        <w:tc>
          <w:tcPr>
            <w:tcW w:w="572" w:type="dxa"/>
          </w:tcPr>
          <w:p>
            <w:pPr>
              <w:pStyle w:val="TableParagraph"/>
              <w:spacing w:line="133" w:lineRule="exact" w:before="56"/>
              <w:ind w:left="217"/>
              <w:rPr>
                <w:sz w:val="14"/>
              </w:rPr>
            </w:pPr>
            <w:r>
              <w:rPr>
                <w:sz w:val="14"/>
              </w:rPr>
              <w:t>4.1</w:t>
            </w:r>
          </w:p>
        </w:tc>
      </w:tr>
      <w:tr>
        <w:trPr>
          <w:trHeight w:val="140" w:hRule="atLeast"/>
        </w:trPr>
        <w:tc>
          <w:tcPr>
            <w:tcW w:w="1386" w:type="dxa"/>
          </w:tcPr>
          <w:p>
            <w:pPr>
              <w:pStyle w:val="TableParagraph"/>
              <w:spacing w:line="120" w:lineRule="exact"/>
              <w:ind w:left="50"/>
              <w:rPr>
                <w:sz w:val="14"/>
              </w:rPr>
            </w:pPr>
            <w:r>
              <w:rPr>
                <w:sz w:val="14"/>
              </w:rPr>
              <w:t>Trade unions</w:t>
            </w:r>
          </w:p>
        </w:tc>
        <w:tc>
          <w:tcPr>
            <w:tcW w:w="506" w:type="dxa"/>
          </w:tcPr>
          <w:p>
            <w:pPr>
              <w:pStyle w:val="TableParagraph"/>
              <w:spacing w:line="120" w:lineRule="exact"/>
              <w:ind w:left="103"/>
              <w:rPr>
                <w:sz w:val="14"/>
              </w:rPr>
            </w:pPr>
            <w:r>
              <w:rPr>
                <w:sz w:val="14"/>
              </w:rPr>
              <w:t>3.5</w:t>
            </w:r>
          </w:p>
        </w:tc>
        <w:tc>
          <w:tcPr>
            <w:tcW w:w="565" w:type="dxa"/>
          </w:tcPr>
          <w:p>
            <w:pPr>
              <w:pStyle w:val="TableParagraph"/>
              <w:spacing w:line="120" w:lineRule="exact"/>
              <w:ind w:right="189"/>
              <w:jc w:val="right"/>
              <w:rPr>
                <w:sz w:val="14"/>
              </w:rPr>
            </w:pPr>
            <w:r>
              <w:rPr>
                <w:sz w:val="14"/>
              </w:rPr>
              <w:t>3.3</w:t>
            </w:r>
          </w:p>
        </w:tc>
        <w:tc>
          <w:tcPr>
            <w:tcW w:w="580" w:type="dxa"/>
          </w:tcPr>
          <w:p>
            <w:pPr>
              <w:pStyle w:val="TableParagraph"/>
              <w:spacing w:line="120" w:lineRule="exact"/>
              <w:ind w:right="209"/>
              <w:jc w:val="right"/>
              <w:rPr>
                <w:sz w:val="14"/>
              </w:rPr>
            </w:pPr>
            <w:r>
              <w:rPr>
                <w:sz w:val="14"/>
              </w:rPr>
              <w:t>3.2</w:t>
            </w:r>
          </w:p>
        </w:tc>
        <w:tc>
          <w:tcPr>
            <w:tcW w:w="605" w:type="dxa"/>
          </w:tcPr>
          <w:p>
            <w:pPr>
              <w:pStyle w:val="TableParagraph"/>
              <w:spacing w:line="120" w:lineRule="exact"/>
              <w:ind w:left="193" w:right="194"/>
              <w:jc w:val="center"/>
              <w:rPr>
                <w:sz w:val="14"/>
              </w:rPr>
            </w:pPr>
            <w:r>
              <w:rPr>
                <w:sz w:val="14"/>
              </w:rPr>
              <w:t>3.0</w:t>
            </w:r>
          </w:p>
        </w:tc>
        <w:tc>
          <w:tcPr>
            <w:tcW w:w="572" w:type="dxa"/>
          </w:tcPr>
          <w:p>
            <w:pPr>
              <w:pStyle w:val="TableParagraph"/>
              <w:spacing w:line="120" w:lineRule="exact"/>
              <w:ind w:left="218"/>
              <w:rPr>
                <w:sz w:val="14"/>
              </w:rPr>
            </w:pPr>
            <w:r>
              <w:rPr>
                <w:sz w:val="14"/>
              </w:rPr>
              <w:t>2.7</w:t>
            </w:r>
          </w:p>
        </w:tc>
      </w:tr>
      <w:tr>
        <w:trPr>
          <w:trHeight w:val="140" w:hRule="atLeast"/>
        </w:trPr>
        <w:tc>
          <w:tcPr>
            <w:tcW w:w="1386" w:type="dxa"/>
          </w:tcPr>
          <w:p>
            <w:pPr>
              <w:pStyle w:val="TableParagraph"/>
              <w:spacing w:line="120" w:lineRule="exact"/>
              <w:ind w:left="50"/>
              <w:rPr>
                <w:sz w:val="14"/>
              </w:rPr>
            </w:pPr>
            <w:r>
              <w:rPr>
                <w:sz w:val="14"/>
              </w:rPr>
              <w:t>Finance directors</w:t>
            </w:r>
          </w:p>
        </w:tc>
        <w:tc>
          <w:tcPr>
            <w:tcW w:w="506" w:type="dxa"/>
          </w:tcPr>
          <w:p>
            <w:pPr>
              <w:pStyle w:val="TableParagraph"/>
              <w:spacing w:line="120" w:lineRule="exact"/>
              <w:ind w:left="104"/>
              <w:rPr>
                <w:sz w:val="14"/>
              </w:rPr>
            </w:pPr>
            <w:r>
              <w:rPr>
                <w:sz w:val="14"/>
              </w:rPr>
              <w:t>3.3</w:t>
            </w:r>
          </w:p>
        </w:tc>
        <w:tc>
          <w:tcPr>
            <w:tcW w:w="565" w:type="dxa"/>
          </w:tcPr>
          <w:p>
            <w:pPr>
              <w:pStyle w:val="TableParagraph"/>
              <w:spacing w:line="120" w:lineRule="exact"/>
              <w:ind w:right="189"/>
              <w:jc w:val="right"/>
              <w:rPr>
                <w:sz w:val="14"/>
              </w:rPr>
            </w:pPr>
            <w:r>
              <w:rPr>
                <w:sz w:val="14"/>
              </w:rPr>
              <w:t>3.4</w:t>
            </w:r>
          </w:p>
        </w:tc>
        <w:tc>
          <w:tcPr>
            <w:tcW w:w="580" w:type="dxa"/>
          </w:tcPr>
          <w:p>
            <w:pPr>
              <w:pStyle w:val="TableParagraph"/>
              <w:spacing w:line="120" w:lineRule="exact"/>
              <w:ind w:right="209"/>
              <w:jc w:val="right"/>
              <w:rPr>
                <w:sz w:val="14"/>
              </w:rPr>
            </w:pPr>
            <w:r>
              <w:rPr>
                <w:sz w:val="14"/>
              </w:rPr>
              <w:t>3.1</w:t>
            </w:r>
          </w:p>
        </w:tc>
        <w:tc>
          <w:tcPr>
            <w:tcW w:w="605" w:type="dxa"/>
          </w:tcPr>
          <w:p>
            <w:pPr>
              <w:pStyle w:val="TableParagraph"/>
              <w:spacing w:line="120" w:lineRule="exact"/>
              <w:ind w:left="193" w:right="194"/>
              <w:jc w:val="center"/>
              <w:rPr>
                <w:sz w:val="14"/>
              </w:rPr>
            </w:pPr>
            <w:r>
              <w:rPr>
                <w:sz w:val="14"/>
              </w:rPr>
              <w:t>2.6</w:t>
            </w:r>
          </w:p>
        </w:tc>
        <w:tc>
          <w:tcPr>
            <w:tcW w:w="572" w:type="dxa"/>
          </w:tcPr>
          <w:p>
            <w:pPr>
              <w:pStyle w:val="TableParagraph"/>
              <w:spacing w:line="120" w:lineRule="exact"/>
              <w:ind w:left="218"/>
              <w:rPr>
                <w:sz w:val="14"/>
              </w:rPr>
            </w:pPr>
            <w:r>
              <w:rPr>
                <w:sz w:val="14"/>
              </w:rPr>
              <w:t>2.3</w:t>
            </w:r>
          </w:p>
        </w:tc>
      </w:tr>
      <w:tr>
        <w:trPr>
          <w:trHeight w:val="140" w:hRule="atLeast"/>
        </w:trPr>
        <w:tc>
          <w:tcPr>
            <w:tcW w:w="1386" w:type="dxa"/>
          </w:tcPr>
          <w:p>
            <w:pPr>
              <w:pStyle w:val="TableParagraph"/>
              <w:spacing w:line="120" w:lineRule="exact"/>
              <w:ind w:left="50"/>
              <w:rPr>
                <w:sz w:val="14"/>
              </w:rPr>
            </w:pPr>
            <w:r>
              <w:rPr>
                <w:sz w:val="14"/>
              </w:rPr>
              <w:t>Business economists</w:t>
            </w:r>
          </w:p>
        </w:tc>
        <w:tc>
          <w:tcPr>
            <w:tcW w:w="506" w:type="dxa"/>
          </w:tcPr>
          <w:p>
            <w:pPr>
              <w:pStyle w:val="TableParagraph"/>
              <w:spacing w:line="120" w:lineRule="exact"/>
              <w:ind w:left="104"/>
              <w:rPr>
                <w:sz w:val="14"/>
              </w:rPr>
            </w:pPr>
            <w:r>
              <w:rPr>
                <w:sz w:val="14"/>
              </w:rPr>
              <w:t>3.0</w:t>
            </w:r>
          </w:p>
        </w:tc>
        <w:tc>
          <w:tcPr>
            <w:tcW w:w="565" w:type="dxa"/>
          </w:tcPr>
          <w:p>
            <w:pPr>
              <w:pStyle w:val="TableParagraph"/>
              <w:spacing w:line="120" w:lineRule="exact"/>
              <w:ind w:right="189"/>
              <w:jc w:val="right"/>
              <w:rPr>
                <w:sz w:val="14"/>
              </w:rPr>
            </w:pPr>
            <w:r>
              <w:rPr>
                <w:sz w:val="14"/>
              </w:rPr>
              <w:t>3.1</w:t>
            </w:r>
          </w:p>
        </w:tc>
        <w:tc>
          <w:tcPr>
            <w:tcW w:w="580" w:type="dxa"/>
          </w:tcPr>
          <w:p>
            <w:pPr>
              <w:pStyle w:val="TableParagraph"/>
              <w:spacing w:line="120" w:lineRule="exact"/>
              <w:ind w:right="209"/>
              <w:jc w:val="right"/>
              <w:rPr>
                <w:sz w:val="14"/>
              </w:rPr>
            </w:pPr>
            <w:r>
              <w:rPr>
                <w:sz w:val="14"/>
              </w:rPr>
              <w:t>2.6</w:t>
            </w:r>
          </w:p>
        </w:tc>
        <w:tc>
          <w:tcPr>
            <w:tcW w:w="605" w:type="dxa"/>
          </w:tcPr>
          <w:p>
            <w:pPr>
              <w:pStyle w:val="TableParagraph"/>
              <w:spacing w:line="120" w:lineRule="exact"/>
              <w:ind w:left="193" w:right="194"/>
              <w:jc w:val="center"/>
              <w:rPr>
                <w:sz w:val="14"/>
              </w:rPr>
            </w:pPr>
            <w:r>
              <w:rPr>
                <w:sz w:val="14"/>
              </w:rPr>
              <w:t>2.1</w:t>
            </w:r>
          </w:p>
        </w:tc>
        <w:tc>
          <w:tcPr>
            <w:tcW w:w="572" w:type="dxa"/>
          </w:tcPr>
          <w:p>
            <w:pPr>
              <w:pStyle w:val="TableParagraph"/>
              <w:spacing w:line="120" w:lineRule="exact"/>
              <w:ind w:left="218"/>
              <w:rPr>
                <w:sz w:val="14"/>
              </w:rPr>
            </w:pPr>
            <w:r>
              <w:rPr>
                <w:sz w:val="14"/>
              </w:rPr>
              <w:t>2.1</w:t>
            </w:r>
          </w:p>
        </w:tc>
      </w:tr>
      <w:tr>
        <w:trPr>
          <w:trHeight w:val="140" w:hRule="atLeast"/>
        </w:trPr>
        <w:tc>
          <w:tcPr>
            <w:tcW w:w="1386" w:type="dxa"/>
          </w:tcPr>
          <w:p>
            <w:pPr>
              <w:pStyle w:val="TableParagraph"/>
              <w:spacing w:line="120" w:lineRule="exact"/>
              <w:ind w:left="50"/>
              <w:rPr>
                <w:sz w:val="14"/>
              </w:rPr>
            </w:pPr>
            <w:r>
              <w:rPr>
                <w:sz w:val="14"/>
              </w:rPr>
              <w:t>Investment analysts</w:t>
            </w:r>
          </w:p>
        </w:tc>
        <w:tc>
          <w:tcPr>
            <w:tcW w:w="506" w:type="dxa"/>
          </w:tcPr>
          <w:p>
            <w:pPr>
              <w:pStyle w:val="TableParagraph"/>
              <w:spacing w:line="120" w:lineRule="exact"/>
              <w:ind w:left="104"/>
              <w:rPr>
                <w:sz w:val="14"/>
              </w:rPr>
            </w:pPr>
            <w:r>
              <w:rPr>
                <w:sz w:val="14"/>
              </w:rPr>
              <w:t>3.1</w:t>
            </w:r>
          </w:p>
        </w:tc>
        <w:tc>
          <w:tcPr>
            <w:tcW w:w="565" w:type="dxa"/>
          </w:tcPr>
          <w:p>
            <w:pPr>
              <w:pStyle w:val="TableParagraph"/>
              <w:spacing w:line="120" w:lineRule="exact"/>
              <w:ind w:right="189"/>
              <w:jc w:val="right"/>
              <w:rPr>
                <w:sz w:val="14"/>
              </w:rPr>
            </w:pPr>
            <w:r>
              <w:rPr>
                <w:sz w:val="14"/>
              </w:rPr>
              <w:t>3.3</w:t>
            </w:r>
          </w:p>
        </w:tc>
        <w:tc>
          <w:tcPr>
            <w:tcW w:w="580" w:type="dxa"/>
          </w:tcPr>
          <w:p>
            <w:pPr>
              <w:pStyle w:val="TableParagraph"/>
              <w:spacing w:line="120" w:lineRule="exact"/>
              <w:ind w:right="209"/>
              <w:jc w:val="right"/>
              <w:rPr>
                <w:sz w:val="14"/>
              </w:rPr>
            </w:pPr>
            <w:r>
              <w:rPr>
                <w:sz w:val="14"/>
              </w:rPr>
              <w:t>3.3</w:t>
            </w:r>
          </w:p>
        </w:tc>
        <w:tc>
          <w:tcPr>
            <w:tcW w:w="605" w:type="dxa"/>
          </w:tcPr>
          <w:p>
            <w:pPr>
              <w:pStyle w:val="TableParagraph"/>
              <w:spacing w:line="120" w:lineRule="exact"/>
              <w:ind w:left="193" w:right="194"/>
              <w:jc w:val="center"/>
              <w:rPr>
                <w:sz w:val="14"/>
              </w:rPr>
            </w:pPr>
            <w:r>
              <w:rPr>
                <w:sz w:val="14"/>
              </w:rPr>
              <w:t>2.4</w:t>
            </w:r>
          </w:p>
        </w:tc>
        <w:tc>
          <w:tcPr>
            <w:tcW w:w="572" w:type="dxa"/>
          </w:tcPr>
          <w:p>
            <w:pPr>
              <w:pStyle w:val="TableParagraph"/>
              <w:spacing w:line="120" w:lineRule="exact"/>
              <w:ind w:left="218"/>
              <w:rPr>
                <w:sz w:val="14"/>
              </w:rPr>
            </w:pPr>
            <w:r>
              <w:rPr>
                <w:sz w:val="14"/>
              </w:rPr>
              <w:t>2.4</w:t>
            </w:r>
          </w:p>
        </w:tc>
      </w:tr>
      <w:tr>
        <w:trPr>
          <w:trHeight w:val="147" w:hRule="atLeast"/>
        </w:trPr>
        <w:tc>
          <w:tcPr>
            <w:tcW w:w="1386" w:type="dxa"/>
          </w:tcPr>
          <w:p>
            <w:pPr>
              <w:pStyle w:val="TableParagraph"/>
              <w:spacing w:line="128" w:lineRule="exact"/>
              <w:ind w:left="50"/>
              <w:rPr>
                <w:sz w:val="14"/>
              </w:rPr>
            </w:pPr>
            <w:r>
              <w:rPr>
                <w:sz w:val="14"/>
              </w:rPr>
              <w:t>Academic economists</w:t>
            </w:r>
          </w:p>
        </w:tc>
        <w:tc>
          <w:tcPr>
            <w:tcW w:w="506" w:type="dxa"/>
          </w:tcPr>
          <w:p>
            <w:pPr>
              <w:pStyle w:val="TableParagraph"/>
              <w:spacing w:line="128" w:lineRule="exact"/>
              <w:ind w:left="104"/>
              <w:rPr>
                <w:sz w:val="14"/>
              </w:rPr>
            </w:pPr>
            <w:r>
              <w:rPr>
                <w:sz w:val="14"/>
              </w:rPr>
              <w:t>3.0</w:t>
            </w:r>
          </w:p>
        </w:tc>
        <w:tc>
          <w:tcPr>
            <w:tcW w:w="565" w:type="dxa"/>
          </w:tcPr>
          <w:p>
            <w:pPr>
              <w:pStyle w:val="TableParagraph"/>
              <w:spacing w:line="128" w:lineRule="exact"/>
              <w:ind w:right="189"/>
              <w:jc w:val="right"/>
              <w:rPr>
                <w:sz w:val="14"/>
              </w:rPr>
            </w:pPr>
            <w:r>
              <w:rPr>
                <w:sz w:val="14"/>
              </w:rPr>
              <w:t>3.2</w:t>
            </w:r>
          </w:p>
        </w:tc>
        <w:tc>
          <w:tcPr>
            <w:tcW w:w="580" w:type="dxa"/>
          </w:tcPr>
          <w:p>
            <w:pPr>
              <w:pStyle w:val="TableParagraph"/>
              <w:spacing w:line="128" w:lineRule="exact"/>
              <w:ind w:right="209"/>
              <w:jc w:val="right"/>
              <w:rPr>
                <w:sz w:val="14"/>
              </w:rPr>
            </w:pPr>
            <w:r>
              <w:rPr>
                <w:sz w:val="14"/>
              </w:rPr>
              <w:t>2.9</w:t>
            </w:r>
          </w:p>
        </w:tc>
        <w:tc>
          <w:tcPr>
            <w:tcW w:w="605" w:type="dxa"/>
          </w:tcPr>
          <w:p>
            <w:pPr>
              <w:pStyle w:val="TableParagraph"/>
              <w:spacing w:line="128" w:lineRule="exact"/>
              <w:ind w:left="193" w:right="194"/>
              <w:jc w:val="center"/>
              <w:rPr>
                <w:sz w:val="14"/>
              </w:rPr>
            </w:pPr>
            <w:r>
              <w:rPr>
                <w:sz w:val="14"/>
              </w:rPr>
              <w:t>2.5</w:t>
            </w:r>
          </w:p>
        </w:tc>
        <w:tc>
          <w:tcPr>
            <w:tcW w:w="572" w:type="dxa"/>
          </w:tcPr>
          <w:p>
            <w:pPr>
              <w:pStyle w:val="TableParagraph"/>
              <w:spacing w:line="128" w:lineRule="exact"/>
              <w:ind w:left="218"/>
              <w:rPr>
                <w:sz w:val="14"/>
              </w:rPr>
            </w:pPr>
            <w:r>
              <w:rPr>
                <w:sz w:val="14"/>
              </w:rPr>
              <w:t>2.3</w:t>
            </w:r>
          </w:p>
        </w:tc>
      </w:tr>
    </w:tbl>
    <w:p>
      <w:pPr>
        <w:spacing w:before="122"/>
        <w:ind w:left="160" w:right="0" w:firstLine="0"/>
        <w:jc w:val="left"/>
        <w:rPr>
          <w:sz w:val="12"/>
        </w:rPr>
      </w:pPr>
      <w:r>
        <w:rPr>
          <w:sz w:val="12"/>
        </w:rPr>
        <w:t>Source: Barclays Basix Survey.</w:t>
      </w:r>
    </w:p>
    <w:p>
      <w:pPr>
        <w:pStyle w:val="BodyText"/>
        <w:spacing w:before="2"/>
        <w:rPr>
          <w:sz w:val="10"/>
        </w:rPr>
      </w:pPr>
    </w:p>
    <w:p>
      <w:pPr>
        <w:spacing w:line="208" w:lineRule="auto" w:before="0"/>
        <w:ind w:left="400" w:right="0" w:hanging="240"/>
        <w:jc w:val="left"/>
        <w:rPr>
          <w:sz w:val="12"/>
        </w:rPr>
      </w:pPr>
      <w:r>
        <w:rPr>
          <w:sz w:val="12"/>
        </w:rPr>
        <w:t>(a) Expectations of RPI inflation, except for General public, for which the measure of inflation is not specified.</w:t>
      </w:r>
    </w:p>
    <w:p>
      <w:pPr>
        <w:pStyle w:val="BodyText"/>
        <w:rPr>
          <w:sz w:val="12"/>
        </w:rPr>
      </w:pPr>
    </w:p>
    <w:p>
      <w:pPr>
        <w:pStyle w:val="BodyText"/>
        <w:rPr>
          <w:sz w:val="12"/>
        </w:rPr>
      </w:pPr>
    </w:p>
    <w:p>
      <w:pPr>
        <w:pStyle w:val="BodyText"/>
        <w:rPr>
          <w:sz w:val="12"/>
        </w:rPr>
      </w:pPr>
    </w:p>
    <w:p>
      <w:pPr>
        <w:pStyle w:val="BodyText"/>
        <w:spacing w:before="2"/>
        <w:rPr>
          <w:sz w:val="15"/>
        </w:rPr>
      </w:pPr>
    </w:p>
    <w:p>
      <w:pPr>
        <w:pStyle w:val="Heading4"/>
        <w:spacing w:before="0"/>
        <w:ind w:left="155"/>
      </w:pPr>
      <w:r>
        <w:rPr>
          <w:color w:val="0093C1"/>
        </w:rPr>
        <w:t>Chart 3.6</w:t>
      </w:r>
    </w:p>
    <w:p>
      <w:pPr>
        <w:pStyle w:val="Heading4"/>
        <w:spacing w:line="249" w:lineRule="auto"/>
        <w:ind w:left="155" w:right="771"/>
      </w:pPr>
      <w:r>
        <w:rPr>
          <w:color w:val="0093C1"/>
        </w:rPr>
        <w:t>Annual changes in wage settlements and inflation expectations</w:t>
      </w:r>
    </w:p>
    <w:p>
      <w:pPr>
        <w:spacing w:line="208" w:lineRule="auto" w:before="165"/>
        <w:ind w:left="558" w:right="2268" w:hanging="30"/>
        <w:jc w:val="left"/>
        <w:rPr>
          <w:sz w:val="12"/>
        </w:rPr>
      </w:pPr>
      <w:r>
        <w:rPr/>
        <w:drawing>
          <wp:anchor distT="0" distB="0" distL="0" distR="0" allowOverlap="1" layoutInCell="1" locked="0" behindDoc="0" simplePos="0" relativeHeight="15962112">
            <wp:simplePos x="0" y="0"/>
            <wp:positionH relativeFrom="page">
              <wp:posOffset>563676</wp:posOffset>
            </wp:positionH>
            <wp:positionV relativeFrom="paragraph">
              <wp:posOffset>109203</wp:posOffset>
            </wp:positionV>
            <wp:extent cx="158750" cy="309029"/>
            <wp:effectExtent l="0" t="0" r="0" b="0"/>
            <wp:wrapNone/>
            <wp:docPr id="147" name="image30.png"/>
            <wp:cNvGraphicFramePr>
              <a:graphicFrameLocks noChangeAspect="1"/>
            </wp:cNvGraphicFramePr>
            <a:graphic>
              <a:graphicData uri="http://schemas.openxmlformats.org/drawingml/2006/picture">
                <pic:pic>
                  <pic:nvPicPr>
                    <pic:cNvPr id="148" name="image30.png"/>
                    <pic:cNvPicPr/>
                  </pic:nvPicPr>
                  <pic:blipFill>
                    <a:blip r:embed="rId85" cstate="print"/>
                    <a:stretch>
                      <a:fillRect/>
                    </a:stretch>
                  </pic:blipFill>
                  <pic:spPr>
                    <a:xfrm>
                      <a:off x="0" y="0"/>
                      <a:ext cx="158750" cy="309029"/>
                    </a:xfrm>
                    <a:prstGeom prst="rect">
                      <a:avLst/>
                    </a:prstGeom>
                  </pic:spPr>
                </pic:pic>
              </a:graphicData>
            </a:graphic>
          </wp:anchor>
        </w:drawing>
      </w:r>
      <w:r>
        <w:rPr>
          <w:color w:val="231F20"/>
          <w:sz w:val="12"/>
        </w:rPr>
        <w:t>Quarterly employment-weighted mean settlements (a)</w:t>
      </w:r>
    </w:p>
    <w:p>
      <w:pPr>
        <w:spacing w:line="131" w:lineRule="exact" w:before="24"/>
        <w:ind w:left="528" w:right="0" w:firstLine="0"/>
        <w:jc w:val="left"/>
        <w:rPr>
          <w:sz w:val="12"/>
        </w:rPr>
      </w:pPr>
      <w:r>
        <w:rPr>
          <w:color w:val="231F20"/>
          <w:sz w:val="12"/>
        </w:rPr>
        <w:t>Average of Basix inflation</w:t>
      </w:r>
    </w:p>
    <w:p>
      <w:pPr>
        <w:tabs>
          <w:tab w:pos="2753" w:val="left" w:leader="none"/>
        </w:tabs>
        <w:spacing w:line="131" w:lineRule="exact" w:before="0"/>
        <w:ind w:left="588" w:right="0" w:firstLine="0"/>
        <w:jc w:val="left"/>
        <w:rPr>
          <w:sz w:val="12"/>
        </w:rPr>
      </w:pPr>
      <w:r>
        <w:rPr>
          <w:color w:val="231F20"/>
          <w:position w:val="6"/>
          <w:sz w:val="12"/>
        </w:rPr>
        <w:t>expectations</w:t>
        <w:tab/>
      </w:r>
      <w:r>
        <w:rPr>
          <w:color w:val="231F20"/>
          <w:sz w:val="12"/>
        </w:rPr>
        <w:t>Percentage points</w:t>
      </w:r>
    </w:p>
    <w:p>
      <w:pPr>
        <w:spacing w:line="242" w:lineRule="auto" w:before="0"/>
        <w:ind w:left="155" w:right="383" w:firstLine="0"/>
        <w:jc w:val="left"/>
        <w:rPr>
          <w:sz w:val="24"/>
        </w:rPr>
      </w:pPr>
      <w:r>
        <w:rPr/>
        <w:br w:type="column"/>
      </w:r>
      <w:r>
        <w:rPr>
          <w:sz w:val="24"/>
        </w:rPr>
        <w:t>A third factor likely to have put downward pressure on nominal earnings growth is the fall in inflation expectations over the past twelve months.</w:t>
      </w:r>
    </w:p>
    <w:p>
      <w:pPr>
        <w:spacing w:line="242" w:lineRule="auto" w:before="0"/>
        <w:ind w:left="155" w:right="174" w:firstLine="0"/>
        <w:jc w:val="left"/>
        <w:rPr>
          <w:sz w:val="24"/>
        </w:rPr>
      </w:pPr>
      <w:r>
        <w:rPr>
          <w:sz w:val="24"/>
        </w:rPr>
        <w:t>Wage-bargainers care about the expected real value of earnings—workers because it determines their expected ability to purchase goods and services, and firms </w:t>
      </w:r>
      <w:r>
        <w:rPr>
          <w:spacing w:val="-3"/>
          <w:sz w:val="24"/>
        </w:rPr>
        <w:t>because </w:t>
      </w:r>
      <w:r>
        <w:rPr>
          <w:sz w:val="24"/>
        </w:rPr>
        <w:t>it determines their expected real labour costs. When inflation expectations fall, a given rise in expected real wages can be achieved with a lower increase in nominal wages. Most of the measures of one year ahead inflation expectations from the Barclays Basix Survey fell further between 1998 Q4 and 1999 Q1 (see </w:t>
      </w:r>
      <w:r>
        <w:rPr>
          <w:spacing w:val="-4"/>
          <w:sz w:val="24"/>
        </w:rPr>
        <w:t>Table </w:t>
      </w:r>
      <w:r>
        <w:rPr>
          <w:sz w:val="24"/>
        </w:rPr>
        <w:t>3.C), and have fallen markedly since the first half of 1998. Other surveys show a similar pattern.</w:t>
      </w:r>
    </w:p>
    <w:p>
      <w:pPr>
        <w:pStyle w:val="BodyText"/>
        <w:rPr>
          <w:sz w:val="25"/>
        </w:rPr>
      </w:pPr>
    </w:p>
    <w:p>
      <w:pPr>
        <w:spacing w:line="242" w:lineRule="auto" w:before="0"/>
        <w:ind w:left="155" w:right="193" w:firstLine="0"/>
        <w:jc w:val="left"/>
        <w:rPr>
          <w:sz w:val="24"/>
        </w:rPr>
      </w:pPr>
      <w:r>
        <w:rPr>
          <w:sz w:val="24"/>
        </w:rPr>
        <w:t>Consistent with the fall in inflation expectations, average employment-weighted wage settlements in 1998 Q4 and 1999 Q1 were lower than in the same periods a year earlier, reversing the previous upward trend (see</w:t>
      </w:r>
    </w:p>
    <w:p>
      <w:pPr>
        <w:spacing w:line="242" w:lineRule="auto" w:before="5"/>
        <w:ind w:left="155" w:right="276" w:firstLine="0"/>
        <w:jc w:val="left"/>
        <w:rPr>
          <w:sz w:val="24"/>
        </w:rPr>
      </w:pPr>
      <w:r>
        <w:rPr>
          <w:sz w:val="24"/>
        </w:rPr>
        <w:t>Chart 3.6). These declines were fairly broadly based. According to the Bank’s database, more than 80% of employees covered by settlements concluded in the first quarter of the year received a lower settlement in 1999</w:t>
      </w:r>
    </w:p>
    <w:p>
      <w:pPr>
        <w:spacing w:after="0" w:line="242" w:lineRule="auto"/>
        <w:jc w:val="left"/>
        <w:rPr>
          <w:sz w:val="24"/>
        </w:rPr>
        <w:sectPr>
          <w:type w:val="continuous"/>
          <w:pgSz w:w="11900" w:h="16840"/>
          <w:pgMar w:top="1220" w:bottom="280" w:left="640" w:right="640"/>
          <w:cols w:num="2" w:equalWidth="0">
            <w:col w:w="4386" w:space="404"/>
            <w:col w:w="5830"/>
          </w:cols>
        </w:sectPr>
      </w:pPr>
    </w:p>
    <w:p>
      <w:pPr>
        <w:pStyle w:val="BodyText"/>
        <w:spacing w:before="5"/>
        <w:rPr>
          <w:sz w:val="6"/>
        </w:rPr>
      </w:pPr>
    </w:p>
    <w:p>
      <w:pPr>
        <w:pStyle w:val="BodyText"/>
        <w:spacing w:line="20" w:lineRule="exact"/>
        <w:ind w:left="260"/>
        <w:rPr>
          <w:sz w:val="2"/>
        </w:rPr>
      </w:pPr>
      <w:r>
        <w:rPr>
          <w:sz w:val="2"/>
        </w:rPr>
        <w:pict>
          <v:group style="width:5.5pt;height:.5pt;mso-position-horizontal-relative:char;mso-position-vertical-relative:line" coordorigin="0,0" coordsize="110,10">
            <v:line style="position:absolute" from="0,5" to="110,5" stroked="true" strokeweight=".5pt" strokecolor="#000000">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243" w:val="left" w:leader="none"/>
          <w:tab w:pos="1850" w:val="left" w:leader="none"/>
          <w:tab w:pos="2455" w:val="left" w:leader="none"/>
          <w:tab w:pos="3043" w:val="left" w:leader="none"/>
        </w:tabs>
        <w:spacing w:before="89"/>
        <w:ind w:left="633" w:right="0" w:firstLine="0"/>
        <w:jc w:val="left"/>
        <w:rPr>
          <w:sz w:val="12"/>
        </w:rPr>
      </w:pPr>
      <w:r>
        <w:rPr>
          <w:sz w:val="12"/>
        </w:rPr>
        <w:t>Q1</w:t>
        <w:tab/>
        <w:t>Q2</w:t>
        <w:tab/>
        <w:t>Q3</w:t>
        <w:tab/>
        <w:t>Q4</w:t>
        <w:tab/>
        <w:t>Q1</w:t>
      </w:r>
    </w:p>
    <w:p>
      <w:pPr>
        <w:tabs>
          <w:tab w:pos="3080" w:val="left" w:leader="none"/>
        </w:tabs>
        <w:spacing w:before="14"/>
        <w:ind w:left="1510" w:right="0" w:firstLine="0"/>
        <w:jc w:val="left"/>
        <w:rPr>
          <w:sz w:val="12"/>
        </w:rPr>
      </w:pPr>
      <w:r>
        <w:rPr>
          <w:color w:val="231F20"/>
          <w:sz w:val="12"/>
        </w:rPr>
        <w:t>1998</w:t>
        <w:tab/>
        <w:t>99</w:t>
      </w:r>
    </w:p>
    <w:p>
      <w:pPr>
        <w:spacing w:before="49"/>
        <w:ind w:left="165" w:right="0" w:firstLine="0"/>
        <w:jc w:val="left"/>
        <w:rPr>
          <w:sz w:val="12"/>
        </w:rPr>
      </w:pPr>
      <w:r>
        <w:rPr>
          <w:sz w:val="12"/>
        </w:rPr>
        <w:t>Sources: Bank of England and Barclays Basix Survey.</w:t>
      </w:r>
    </w:p>
    <w:p>
      <w:pPr>
        <w:spacing w:before="102"/>
        <w:ind w:left="165" w:right="0" w:firstLine="0"/>
        <w:jc w:val="left"/>
        <w:rPr>
          <w:sz w:val="12"/>
        </w:rPr>
      </w:pPr>
      <w:r>
        <w:rPr>
          <w:sz w:val="12"/>
        </w:rPr>
        <w:t>(a) Settlements data for 1999 Q1 are provisional.</w:t>
      </w:r>
    </w:p>
    <w:p>
      <w:pPr>
        <w:spacing w:before="5"/>
        <w:ind w:left="165" w:right="0" w:firstLine="0"/>
        <w:jc w:val="left"/>
        <w:rPr>
          <w:sz w:val="12"/>
        </w:rPr>
      </w:pPr>
      <w:r>
        <w:rPr/>
        <w:br w:type="column"/>
      </w:r>
      <w:r>
        <w:rPr>
          <w:sz w:val="12"/>
        </w:rPr>
        <w:t>0.8</w:t>
      </w:r>
    </w:p>
    <w:p>
      <w:pPr>
        <w:pStyle w:val="BodyText"/>
        <w:spacing w:before="5"/>
        <w:rPr>
          <w:sz w:val="16"/>
        </w:rPr>
      </w:pPr>
    </w:p>
    <w:p>
      <w:pPr>
        <w:spacing w:before="0"/>
        <w:ind w:left="165" w:right="0" w:firstLine="0"/>
        <w:jc w:val="left"/>
        <w:rPr>
          <w:sz w:val="12"/>
        </w:rPr>
      </w:pPr>
      <w:r>
        <w:rPr/>
        <w:pict>
          <v:group style="position:absolute;margin-left:45.279999pt;margin-top:-7.773438pt;width:170.75pt;height:127.4pt;mso-position-horizontal-relative:page;mso-position-vertical-relative:paragraph;z-index:15961088" coordorigin="906,-155" coordsize="3415,2548">
            <v:rect style="position:absolute;left:1195;top:-151;width:175;height:1225" filled="true" fillcolor="#0066a5" stroked="false">
              <v:fill type="solid"/>
            </v:rect>
            <v:rect style="position:absolute;left:1195;top:-151;width:175;height:1225" filled="false" stroked="true" strokeweight=".5pt" strokecolor="#000000">
              <v:stroke dashstyle="solid"/>
            </v:rect>
            <v:rect style="position:absolute;left:1368;top:907;width:173;height:168" filled="true" fillcolor="#faab54" stroked="false">
              <v:fill type="solid"/>
            </v:rect>
            <v:rect style="position:absolute;left:1368;top:907;width:173;height:168" filled="false" stroked="true" strokeweight=".5pt" strokecolor="#000000">
              <v:stroke dashstyle="solid"/>
            </v:rect>
            <v:rect style="position:absolute;left:1795;top:657;width:175;height:418" filled="true" fillcolor="#0066a5" stroked="false">
              <v:fill type="solid"/>
            </v:rect>
            <v:rect style="position:absolute;left:1795;top:657;width:175;height:418" filled="false" stroked="true" strokeweight=".5pt" strokecolor="#000000">
              <v:stroke dashstyle="solid"/>
            </v:rect>
            <v:rect style="position:absolute;left:1968;top:807;width:175;height:268" filled="true" fillcolor="#faab54" stroked="false">
              <v:fill type="solid"/>
            </v:rect>
            <v:rect style="position:absolute;left:1968;top:807;width:175;height:268" filled="false" stroked="true" strokeweight=".5pt" strokecolor="#000000">
              <v:stroke dashstyle="solid"/>
            </v:rect>
            <v:rect style="position:absolute;left:2398;top:524;width:175;height:550" filled="true" fillcolor="#0066a5" stroked="false">
              <v:fill type="solid"/>
            </v:rect>
            <v:rect style="position:absolute;left:2398;top:524;width:175;height:550" filled="false" stroked="true" strokeweight=".5pt" strokecolor="#000000">
              <v:stroke dashstyle="solid"/>
            </v:rect>
            <v:rect style="position:absolute;left:2570;top:1072;width:173;height:358" filled="true" fillcolor="#faab54" stroked="false">
              <v:fill type="solid"/>
            </v:rect>
            <v:rect style="position:absolute;left:2570;top:1072;width:173;height:358" filled="false" stroked="true" strokeweight=".5pt" strokecolor="#000000">
              <v:stroke dashstyle="solid"/>
            </v:rect>
            <v:rect style="position:absolute;left:2998;top:1072;width:170;height:175" filled="true" fillcolor="#0066a5" stroked="false">
              <v:fill type="solid"/>
            </v:rect>
            <v:rect style="position:absolute;left:2998;top:1072;width:173;height:175" filled="false" stroked="true" strokeweight=".5pt" strokecolor="#000000">
              <v:stroke dashstyle="solid"/>
            </v:rect>
            <v:rect style="position:absolute;left:3168;top:1072;width:175;height:1260" filled="true" fillcolor="#faab54" stroked="false">
              <v:fill type="solid"/>
            </v:rect>
            <v:rect style="position:absolute;left:3168;top:1072;width:175;height:1260" filled="false" stroked="true" strokeweight=".5pt" strokecolor="#000000">
              <v:stroke dashstyle="solid"/>
            </v:rect>
            <v:rect style="position:absolute;left:3598;top:1072;width:173;height:990" filled="true" fillcolor="#0066a5" stroked="false">
              <v:fill type="solid"/>
            </v:rect>
            <v:rect style="position:absolute;left:3598;top:1072;width:175;height:990" filled="false" stroked="true" strokeweight=".5pt" strokecolor="#000000">
              <v:stroke dashstyle="solid"/>
            </v:rect>
            <v:rect style="position:absolute;left:3770;top:1072;width:175;height:1198" filled="true" fillcolor="#faab54" stroked="false">
              <v:fill type="solid"/>
            </v:rect>
            <v:shape style="position:absolute;left:905;top:77;width:3330;height:2310" coordorigin="906,77" coordsize="3330,2310" path="m3771,1072l3946,1072,3946,2270,3771,2270,3771,1072xm1068,1072l4073,1075m906,77l1016,77m906,407l1016,407m906,737l1016,737m906,1067l1016,1067m906,1397l1016,1397m906,1727l1016,1727m906,2057l1016,2057m906,2387l1016,2387m4126,77l4236,77m4126,407l4236,407m4126,737l4236,737m4126,1067l4236,1067m4126,1397l4236,1397m4126,1727l4236,1727m4126,2057l4236,2057m4126,2387l4236,2387e" filled="false" stroked="true" strokeweight=".5pt" strokecolor="#000000">
              <v:path arrowok="t"/>
              <v:stroke dashstyle="solid"/>
            </v:shape>
            <v:shape style="position:absolute;left:4210;top:804;width:111;height:473" type="#_x0000_t202" filled="false" stroked="false">
              <v:textbox inset="0,0,0,0">
                <w:txbxContent>
                  <w:p>
                    <w:pPr>
                      <w:spacing w:line="177" w:lineRule="exact" w:before="0"/>
                      <w:ind w:left="0" w:right="0" w:firstLine="0"/>
                      <w:jc w:val="left"/>
                      <w:rPr>
                        <w:sz w:val="16"/>
                      </w:rPr>
                    </w:pPr>
                    <w:r>
                      <w:rPr>
                        <w:color w:val="231F20"/>
                        <w:sz w:val="16"/>
                      </w:rPr>
                      <w:t>+</w:t>
                    </w:r>
                  </w:p>
                  <w:p>
                    <w:pPr>
                      <w:spacing w:before="111"/>
                      <w:ind w:left="10" w:right="0" w:firstLine="0"/>
                      <w:jc w:val="left"/>
                      <w:rPr>
                        <w:sz w:val="16"/>
                      </w:rPr>
                    </w:pPr>
                    <w:r>
                      <w:rPr>
                        <w:color w:val="231F20"/>
                        <w:sz w:val="16"/>
                      </w:rPr>
                      <w:t>–</w:t>
                    </w:r>
                  </w:p>
                </w:txbxContent>
              </v:textbox>
              <w10:wrap type="none"/>
            </v:shape>
            <w10:wrap type="none"/>
          </v:group>
        </w:pict>
      </w:r>
      <w:r>
        <w:rPr/>
        <w:pict>
          <v:line style="position:absolute;mso-position-horizontal-relative:page;mso-position-vertical-relative:paragraph;z-index:15962624" from="206.279999pt,-12.648438pt" to="211.779999pt,-12.648438pt" stroked="true" strokeweight=".5pt" strokecolor="#000000">
            <v:stroke dashstyle="solid"/>
            <w10:wrap type="none"/>
          </v:line>
        </w:pict>
      </w:r>
      <w:r>
        <w:rPr>
          <w:sz w:val="12"/>
        </w:rPr>
        <w:t>0.6</w:t>
      </w:r>
    </w:p>
    <w:p>
      <w:pPr>
        <w:pStyle w:val="BodyText"/>
        <w:spacing w:before="11"/>
        <w:rPr>
          <w:sz w:val="16"/>
        </w:rPr>
      </w:pPr>
    </w:p>
    <w:p>
      <w:pPr>
        <w:spacing w:before="0"/>
        <w:ind w:left="165" w:right="0" w:firstLine="0"/>
        <w:jc w:val="left"/>
        <w:rPr>
          <w:sz w:val="12"/>
        </w:rPr>
      </w:pPr>
      <w:r>
        <w:rPr>
          <w:sz w:val="12"/>
        </w:rPr>
        <w:t>0.4</w:t>
      </w:r>
    </w:p>
    <w:p>
      <w:pPr>
        <w:pStyle w:val="BodyText"/>
        <w:spacing w:before="5"/>
        <w:rPr>
          <w:sz w:val="16"/>
        </w:rPr>
      </w:pPr>
    </w:p>
    <w:p>
      <w:pPr>
        <w:spacing w:before="1"/>
        <w:ind w:left="165" w:right="0" w:firstLine="0"/>
        <w:jc w:val="left"/>
        <w:rPr>
          <w:sz w:val="12"/>
        </w:rPr>
      </w:pPr>
      <w:r>
        <w:rPr>
          <w:sz w:val="12"/>
        </w:rPr>
        <w:t>0.2</w:t>
      </w:r>
    </w:p>
    <w:p>
      <w:pPr>
        <w:pStyle w:val="BodyText"/>
        <w:spacing w:before="10"/>
        <w:rPr>
          <w:sz w:val="16"/>
        </w:rPr>
      </w:pPr>
    </w:p>
    <w:p>
      <w:pPr>
        <w:spacing w:before="0"/>
        <w:ind w:left="165" w:right="0" w:firstLine="0"/>
        <w:jc w:val="left"/>
        <w:rPr>
          <w:sz w:val="12"/>
        </w:rPr>
      </w:pPr>
      <w:r>
        <w:rPr>
          <w:sz w:val="12"/>
        </w:rPr>
        <w:t>0.0</w:t>
      </w:r>
    </w:p>
    <w:p>
      <w:pPr>
        <w:pStyle w:val="BodyText"/>
        <w:spacing w:before="5"/>
        <w:rPr>
          <w:sz w:val="16"/>
        </w:rPr>
      </w:pPr>
    </w:p>
    <w:p>
      <w:pPr>
        <w:spacing w:before="1"/>
        <w:ind w:left="165" w:right="0" w:firstLine="0"/>
        <w:jc w:val="left"/>
        <w:rPr>
          <w:sz w:val="12"/>
        </w:rPr>
      </w:pPr>
      <w:r>
        <w:rPr>
          <w:sz w:val="12"/>
        </w:rPr>
        <w:t>0.2</w:t>
      </w:r>
    </w:p>
    <w:p>
      <w:pPr>
        <w:pStyle w:val="BodyText"/>
        <w:spacing w:before="10"/>
        <w:rPr>
          <w:sz w:val="16"/>
        </w:rPr>
      </w:pPr>
    </w:p>
    <w:p>
      <w:pPr>
        <w:spacing w:before="0"/>
        <w:ind w:left="165" w:right="0" w:firstLine="0"/>
        <w:jc w:val="left"/>
        <w:rPr>
          <w:sz w:val="12"/>
        </w:rPr>
      </w:pPr>
      <w:r>
        <w:rPr>
          <w:sz w:val="12"/>
        </w:rPr>
        <w:t>0.4</w:t>
      </w:r>
    </w:p>
    <w:p>
      <w:pPr>
        <w:pStyle w:val="BodyText"/>
        <w:spacing w:before="5"/>
        <w:rPr>
          <w:sz w:val="16"/>
        </w:rPr>
      </w:pPr>
    </w:p>
    <w:p>
      <w:pPr>
        <w:spacing w:before="1"/>
        <w:ind w:left="165" w:right="0" w:firstLine="0"/>
        <w:jc w:val="left"/>
        <w:rPr>
          <w:sz w:val="12"/>
        </w:rPr>
      </w:pPr>
      <w:r>
        <w:rPr>
          <w:sz w:val="12"/>
        </w:rPr>
        <w:t>0.6</w:t>
      </w:r>
    </w:p>
    <w:p>
      <w:pPr>
        <w:pStyle w:val="BodyText"/>
        <w:spacing w:before="10"/>
        <w:rPr>
          <w:sz w:val="16"/>
        </w:rPr>
      </w:pPr>
    </w:p>
    <w:p>
      <w:pPr>
        <w:spacing w:before="0"/>
        <w:ind w:left="165" w:right="0" w:firstLine="0"/>
        <w:jc w:val="left"/>
        <w:rPr>
          <w:sz w:val="12"/>
        </w:rPr>
      </w:pPr>
      <w:r>
        <w:rPr>
          <w:sz w:val="12"/>
        </w:rPr>
        <w:t>0.8</w:t>
      </w:r>
    </w:p>
    <w:p>
      <w:pPr>
        <w:pStyle w:val="BodyText"/>
        <w:spacing w:before="6"/>
        <w:rPr>
          <w:sz w:val="16"/>
        </w:rPr>
      </w:pPr>
    </w:p>
    <w:p>
      <w:pPr>
        <w:spacing w:before="0"/>
        <w:ind w:left="165" w:right="0" w:firstLine="0"/>
        <w:jc w:val="left"/>
        <w:rPr>
          <w:sz w:val="12"/>
        </w:rPr>
      </w:pPr>
      <w:r>
        <w:rPr/>
        <w:pict>
          <v:shape style="position:absolute;margin-left:45.279999pt;margin-top:-3.648438pt;width:166.5pt;height:7.75pt;mso-position-horizontal-relative:page;mso-position-vertical-relative:paragraph;z-index:15961600" coordorigin="906,-73" coordsize="3330,155" path="m1068,80l4073,82m906,77l1016,77m4126,77l4236,77m1066,82l1066,-68m1666,82l1666,-13m2266,82l2266,-13m2866,82l2866,-13m3466,77l3466,-73m4073,82l4073,-13e" filled="false" stroked="true" strokeweight=".5pt" strokecolor="#000000">
            <v:path arrowok="t"/>
            <v:stroke dashstyle="solid"/>
            <w10:wrap type="none"/>
          </v:shape>
        </w:pict>
      </w:r>
      <w:r>
        <w:rPr>
          <w:sz w:val="12"/>
        </w:rPr>
        <w:t>1.0</w:t>
      </w:r>
    </w:p>
    <w:p>
      <w:pPr>
        <w:spacing w:line="266" w:lineRule="exact" w:before="0"/>
        <w:ind w:left="165" w:right="0" w:firstLine="0"/>
        <w:jc w:val="left"/>
        <w:rPr>
          <w:sz w:val="24"/>
        </w:rPr>
      </w:pPr>
      <w:r>
        <w:rPr/>
        <w:br w:type="column"/>
      </w:r>
      <w:r>
        <w:rPr>
          <w:sz w:val="24"/>
        </w:rPr>
        <w:t>than in 1998 (see Chart 3.7).</w:t>
      </w:r>
    </w:p>
    <w:p>
      <w:pPr>
        <w:pStyle w:val="BodyText"/>
        <w:spacing w:before="8"/>
        <w:rPr>
          <w:sz w:val="24"/>
        </w:rPr>
      </w:pPr>
    </w:p>
    <w:p>
      <w:pPr>
        <w:spacing w:line="242" w:lineRule="auto" w:before="0"/>
        <w:ind w:left="165" w:right="234" w:firstLine="0"/>
        <w:jc w:val="left"/>
        <w:rPr>
          <w:sz w:val="24"/>
        </w:rPr>
      </w:pPr>
      <w:r>
        <w:rPr>
          <w:sz w:val="24"/>
        </w:rPr>
        <w:t>Increases in the pay of some workers to meet the requirements of the National Minimum Wage, outside the standard settlement, are likely to have put some upward pressure on earnings growth in recent months. The National Minimum Wage formally came into effect on 1 April, but there appears to have been significant anticipation, with some firms beginning to pay the National Minimum Wage last autumn and some implementing rises in stages over a period of time.</w:t>
      </w:r>
    </w:p>
    <w:p>
      <w:pPr>
        <w:pStyle w:val="BodyText"/>
        <w:spacing w:before="4"/>
        <w:rPr>
          <w:sz w:val="25"/>
        </w:rPr>
      </w:pPr>
    </w:p>
    <w:p>
      <w:pPr>
        <w:spacing w:line="242" w:lineRule="auto" w:before="0"/>
        <w:ind w:left="165" w:right="583" w:firstLine="0"/>
        <w:jc w:val="left"/>
        <w:rPr>
          <w:sz w:val="24"/>
        </w:rPr>
      </w:pPr>
      <w:r>
        <w:rPr>
          <w:sz w:val="24"/>
        </w:rPr>
        <w:t>Earnings growth will also have been affected by the implementation of the public sector pay review body awards, which raised the wages of the 1.2 million workers covered by an average of 4.1% on 1 April.</w:t>
      </w:r>
    </w:p>
    <w:p>
      <w:pPr>
        <w:spacing w:after="0" w:line="242" w:lineRule="auto"/>
        <w:jc w:val="left"/>
        <w:rPr>
          <w:sz w:val="24"/>
        </w:rPr>
        <w:sectPr>
          <w:type w:val="continuous"/>
          <w:pgSz w:w="11900" w:h="16840"/>
          <w:pgMar w:top="1220" w:bottom="280" w:left="640" w:right="640"/>
          <w:cols w:num="3" w:equalWidth="0">
            <w:col w:w="3241" w:space="246"/>
            <w:col w:w="356" w:space="937"/>
            <w:col w:w="5840"/>
          </w:cols>
        </w:sectPr>
      </w:pPr>
    </w:p>
    <w:p>
      <w:pPr>
        <w:pStyle w:val="BodyText"/>
        <w:rPr>
          <w:sz w:val="20"/>
        </w:rPr>
      </w:pPr>
    </w:p>
    <w:p>
      <w:pPr>
        <w:spacing w:after="0"/>
        <w:rPr>
          <w:sz w:val="20"/>
        </w:rPr>
        <w:sectPr>
          <w:pgSz w:w="11900" w:h="16840"/>
          <w:pgMar w:header="584" w:footer="597" w:top="780" w:bottom="780" w:left="640" w:right="640"/>
        </w:sectPr>
      </w:pPr>
    </w:p>
    <w:p>
      <w:pPr>
        <w:pStyle w:val="BodyText"/>
        <w:spacing w:before="6"/>
        <w:rPr>
          <w:sz w:val="20"/>
        </w:rPr>
      </w:pPr>
    </w:p>
    <w:p>
      <w:pPr>
        <w:pStyle w:val="Heading4"/>
        <w:spacing w:before="0"/>
        <w:ind w:left="174"/>
      </w:pPr>
      <w:bookmarkStart w:name="Employment and unemployment" w:id="53"/>
      <w:bookmarkEnd w:id="53"/>
      <w:r>
        <w:rPr>
          <w:b w:val="0"/>
        </w:rPr>
      </w:r>
      <w:bookmarkStart w:name="_bookmark21" w:id="54"/>
      <w:bookmarkEnd w:id="54"/>
      <w:r>
        <w:rPr>
          <w:b w:val="0"/>
        </w:rPr>
      </w:r>
      <w:r>
        <w:rPr>
          <w:color w:val="0093C1"/>
        </w:rPr>
        <w:t>Chart 3.7</w:t>
      </w:r>
    </w:p>
    <w:p>
      <w:pPr>
        <w:pStyle w:val="Heading4"/>
        <w:spacing w:line="249" w:lineRule="auto"/>
        <w:ind w:left="174" w:right="165"/>
      </w:pPr>
      <w:r>
        <w:rPr>
          <w:color w:val="0093C1"/>
        </w:rPr>
        <w:t>Differences between wage settlements in 1998 and 1999 for those settling in</w:t>
      </w:r>
    </w:p>
    <w:p>
      <w:pPr>
        <w:pStyle w:val="Heading4"/>
        <w:spacing w:before="1"/>
        <w:ind w:left="174"/>
        <w:rPr>
          <w:b w:val="0"/>
          <w:sz w:val="12"/>
        </w:rPr>
      </w:pPr>
      <w:r>
        <w:rPr>
          <w:color w:val="0093C1"/>
        </w:rPr>
        <w:t>Q1 in both years</w:t>
      </w:r>
      <w:r>
        <w:rPr>
          <w:b w:val="0"/>
          <w:position w:val="4"/>
          <w:sz w:val="12"/>
        </w:rPr>
        <w:t>(a)</w:t>
      </w:r>
    </w:p>
    <w:p>
      <w:pPr>
        <w:spacing w:line="124" w:lineRule="exact" w:before="135"/>
        <w:ind w:left="1935" w:right="0" w:firstLine="0"/>
        <w:jc w:val="left"/>
        <w:rPr>
          <w:sz w:val="12"/>
        </w:rPr>
      </w:pPr>
      <w:r>
        <w:rPr>
          <w:color w:val="231F20"/>
          <w:sz w:val="12"/>
        </w:rPr>
        <w:t>Percentage of employees covered</w:t>
      </w:r>
    </w:p>
    <w:p>
      <w:pPr>
        <w:spacing w:line="124" w:lineRule="exact" w:before="0"/>
        <w:ind w:left="3594" w:right="0" w:firstLine="0"/>
        <w:jc w:val="left"/>
        <w:rPr>
          <w:sz w:val="12"/>
        </w:rPr>
      </w:pPr>
      <w:r>
        <w:rPr/>
        <w:pict>
          <v:group style="position:absolute;margin-left:44.595001pt;margin-top:3.570343pt;width:164pt;height:159.3pt;mso-position-horizontal-relative:page;mso-position-vertical-relative:paragraph;z-index:15968256" coordorigin="892,71" coordsize="3280,3186">
            <v:rect style="position:absolute;left:1111;top:3021;width:198;height:38" filled="true" fillcolor="#a790c4" stroked="false">
              <v:fill type="solid"/>
            </v:rect>
            <v:rect style="position:absolute;left:1111;top:3021;width:198;height:38" filled="false" stroked="true" strokeweight=".5pt" strokecolor="#231f20">
              <v:stroke dashstyle="solid"/>
            </v:rect>
            <v:rect style="position:absolute;left:1776;top:3043;width:200;height:15" filled="true" fillcolor="#a790c4" stroked="false">
              <v:fill type="solid"/>
            </v:rect>
            <v:rect style="position:absolute;left:1776;top:3043;width:200;height:15" filled="false" stroked="true" strokeweight=".5pt" strokecolor="#231f20">
              <v:stroke dashstyle="solid"/>
            </v:rect>
            <v:rect style="position:absolute;left:2109;top:2243;width:200;height:815" filled="true" fillcolor="#a790c4" stroked="false">
              <v:fill type="solid"/>
            </v:rect>
            <v:rect style="position:absolute;left:2109;top:2243;width:200;height:815" filled="false" stroked="true" strokeweight=".5pt" strokecolor="#231f20">
              <v:stroke dashstyle="solid"/>
            </v:rect>
            <v:rect style="position:absolute;left:2444;top:1776;width:198;height:1283" filled="true" fillcolor="#a790c4" stroked="false">
              <v:fill type="solid"/>
            </v:rect>
            <v:rect style="position:absolute;left:2444;top:1776;width:198;height:1283" filled="false" stroked="true" strokeweight=".5pt" strokecolor="#231f20">
              <v:stroke dashstyle="solid"/>
            </v:rect>
            <v:rect style="position:absolute;left:2774;top:266;width:200;height:2793" filled="true" fillcolor="#a790c4" stroked="false">
              <v:fill type="solid"/>
            </v:rect>
            <v:rect style="position:absolute;left:2774;top:266;width:200;height:2793" filled="false" stroked="true" strokeweight=".5pt" strokecolor="#231f20">
              <v:stroke dashstyle="solid"/>
            </v:rect>
            <v:rect style="position:absolute;left:3109;top:2473;width:200;height:585" filled="true" fillcolor="#a790c4" stroked="false">
              <v:fill type="solid"/>
            </v:rect>
            <v:rect style="position:absolute;left:3109;top:2473;width:200;height:585" filled="false" stroked="true" strokeweight=".5pt" strokecolor="#231f20">
              <v:stroke dashstyle="solid"/>
            </v:rect>
            <v:rect style="position:absolute;left:3441;top:2636;width:200;height:423" filled="true" fillcolor="#a790c4" stroked="false">
              <v:fill type="solid"/>
            </v:rect>
            <v:rect style="position:absolute;left:3441;top:2636;width:200;height:423" filled="false" stroked="true" strokeweight=".5pt" strokecolor="#231f20">
              <v:stroke dashstyle="solid"/>
            </v:rect>
            <v:rect style="position:absolute;left:3774;top:3026;width:200;height:33" filled="true" fillcolor="#a790c4" stroked="false">
              <v:fill type="solid"/>
            </v:rect>
            <v:shape style="position:absolute;left:891;top:71;width:3280;height:3041" coordorigin="892,71" coordsize="3280,3041" path="m3774,3026l3974,3026,3974,3059,3774,3059,3774,3026xm892,3059l979,3059m4085,3058l4172,3058m1041,3059l4034,3059m1041,3066l1041,3112m1374,3066l1374,3112m1706,3066l1706,3112m2039,3066l2039,3112m2371,3066l2371,3112m2704,3066l2704,3112m3037,71l3037,3112m3369,3066l3369,3112m3702,3066l3702,3112m4034,3066l4034,3112e" filled="false" stroked="true" strokeweight=".5pt" strokecolor="#231f20">
              <v:path arrowok="t"/>
              <v:stroke dashstyle="solid"/>
            </v:shape>
            <v:shape style="position:absolute;left:1012;top:3124;width:1079;height:134" type="#_x0000_t202" filled="false" stroked="false">
              <v:textbox inset="0,0,0,0">
                <w:txbxContent>
                  <w:p>
                    <w:pPr>
                      <w:tabs>
                        <w:tab w:pos="332" w:val="left" w:leader="none"/>
                        <w:tab w:pos="665" w:val="left" w:leader="none"/>
                        <w:tab w:pos="998" w:val="left" w:leader="none"/>
                      </w:tabs>
                      <w:spacing w:line="133" w:lineRule="exact" w:before="0"/>
                      <w:ind w:left="0" w:right="0" w:firstLine="0"/>
                      <w:jc w:val="left"/>
                      <w:rPr>
                        <w:sz w:val="12"/>
                      </w:rPr>
                    </w:pPr>
                    <w:r>
                      <w:rPr>
                        <w:color w:val="231F20"/>
                        <w:sz w:val="12"/>
                      </w:rPr>
                      <w:t>6</w:t>
                      <w:tab/>
                      <w:t>5</w:t>
                      <w:tab/>
                      <w:t>4</w:t>
                      <w:tab/>
                      <w:t>3</w:t>
                    </w:r>
                  </w:p>
                </w:txbxContent>
              </v:textbox>
              <w10:wrap type="none"/>
            </v:shape>
            <v:shape style="position:absolute;left:2343;top:3003;width:1079;height:254" type="#_x0000_t202" filled="false" stroked="false">
              <v:textbox inset="0,0,0,0">
                <w:txbxContent>
                  <w:p>
                    <w:pPr>
                      <w:spacing w:line="176" w:lineRule="exact" w:before="0"/>
                      <w:ind w:left="524" w:right="0" w:firstLine="0"/>
                      <w:jc w:val="left"/>
                      <w:rPr>
                        <w:sz w:val="16"/>
                      </w:rPr>
                    </w:pPr>
                    <w:r>
                      <w:rPr>
                        <w:color w:val="231F20"/>
                        <w:sz w:val="16"/>
                      </w:rPr>
                      <w:t>_ </w:t>
                    </w:r>
                    <w:r>
                      <w:rPr>
                        <w:color w:val="231F20"/>
                        <w:position w:val="-5"/>
                        <w:sz w:val="16"/>
                      </w:rPr>
                      <w:t>+</w:t>
                    </w:r>
                  </w:p>
                  <w:p>
                    <w:pPr>
                      <w:tabs>
                        <w:tab w:pos="332" w:val="left" w:leader="none"/>
                        <w:tab w:pos="665" w:val="left" w:leader="none"/>
                        <w:tab w:pos="998" w:val="left" w:leader="none"/>
                      </w:tabs>
                      <w:spacing w:line="77" w:lineRule="exact" w:before="0"/>
                      <w:ind w:left="0" w:right="0" w:firstLine="0"/>
                      <w:jc w:val="left"/>
                      <w:rPr>
                        <w:sz w:val="12"/>
                      </w:rPr>
                    </w:pPr>
                    <w:r>
                      <w:rPr>
                        <w:color w:val="231F20"/>
                        <w:sz w:val="12"/>
                      </w:rPr>
                      <w:t>2</w:t>
                      <w:tab/>
                      <w:t>1</w:t>
                      <w:tab/>
                      <w:t>0</w:t>
                      <w:tab/>
                      <w:t>1</w:t>
                    </w:r>
                  </w:p>
                </w:txbxContent>
              </v:textbox>
              <w10:wrap type="none"/>
            </v:shape>
            <v:shape style="position:absolute;left:3674;top:3123;width:413;height:134" type="#_x0000_t202" filled="false" stroked="false">
              <v:textbox inset="0,0,0,0">
                <w:txbxContent>
                  <w:p>
                    <w:pPr>
                      <w:tabs>
                        <w:tab w:pos="332" w:val="left" w:leader="none"/>
                      </w:tabs>
                      <w:spacing w:line="133" w:lineRule="exact" w:before="0"/>
                      <w:ind w:left="0" w:right="0" w:firstLine="0"/>
                      <w:jc w:val="left"/>
                      <w:rPr>
                        <w:sz w:val="12"/>
                      </w:rPr>
                    </w:pPr>
                    <w:r>
                      <w:rPr>
                        <w:color w:val="231F20"/>
                        <w:sz w:val="12"/>
                      </w:rPr>
                      <w:t>2</w:t>
                      <w:tab/>
                      <w:t>3</w:t>
                    </w:r>
                  </w:p>
                </w:txbxContent>
              </v:textbox>
              <w10:wrap type="none"/>
            </v:shape>
            <w10:wrap type="none"/>
          </v:group>
        </w:pict>
      </w:r>
      <w:r>
        <w:rPr/>
        <w:pict>
          <v:line style="position:absolute;mso-position-horizontal-relative:page;mso-position-vertical-relative:paragraph;z-index:15968768" from="44.595001pt,3.424343pt" to="48.928001pt,3.424343pt" stroked="true" strokeweight=".5pt" strokecolor="#231f20">
            <v:stroke dashstyle="solid"/>
            <w10:wrap type="none"/>
          </v:line>
        </w:pict>
      </w:r>
      <w:r>
        <w:rPr/>
        <w:pict>
          <v:line style="position:absolute;mso-position-horizontal-relative:page;mso-position-vertical-relative:paragraph;z-index:15971328" from="204.261993pt,3.382343pt" to="208.594993pt,3.382343pt" stroked="true" strokeweight=".5pt" strokecolor="#231f20">
            <v:stroke dashstyle="solid"/>
            <w10:wrap type="none"/>
          </v:line>
        </w:pict>
      </w:r>
      <w:r>
        <w:rPr>
          <w:color w:val="231F20"/>
          <w:sz w:val="12"/>
        </w:rPr>
        <w:t>50</w:t>
      </w:r>
    </w:p>
    <w:p>
      <w:pPr>
        <w:pStyle w:val="BodyText"/>
        <w:rPr>
          <w:sz w:val="12"/>
        </w:rPr>
      </w:pPr>
    </w:p>
    <w:p>
      <w:pPr>
        <w:pStyle w:val="BodyText"/>
        <w:rPr>
          <w:sz w:val="12"/>
        </w:rPr>
      </w:pPr>
    </w:p>
    <w:p>
      <w:pPr>
        <w:pStyle w:val="BodyText"/>
        <w:spacing w:before="8"/>
        <w:rPr>
          <w:sz w:val="15"/>
        </w:rPr>
      </w:pPr>
    </w:p>
    <w:p>
      <w:pPr>
        <w:spacing w:before="1"/>
        <w:ind w:left="0" w:right="63" w:firstLine="0"/>
        <w:jc w:val="right"/>
        <w:rPr>
          <w:sz w:val="12"/>
        </w:rPr>
      </w:pPr>
      <w:r>
        <w:rPr/>
        <w:pict>
          <v:line style="position:absolute;mso-position-horizontal-relative:page;mso-position-vertical-relative:paragraph;z-index:15969280" from="44.595001pt,4.326677pt" to="48.928001pt,4.326677pt" stroked="true" strokeweight=".5pt" strokecolor="#231f20">
            <v:stroke dashstyle="solid"/>
            <w10:wrap type="none"/>
          </v:line>
        </w:pict>
      </w:r>
      <w:r>
        <w:rPr/>
        <w:pict>
          <v:line style="position:absolute;mso-position-horizontal-relative:page;mso-position-vertical-relative:paragraph;z-index:15971840" from="204.261993pt,4.285677pt" to="208.594993pt,4.285677pt" stroked="true" strokeweight=".5pt" strokecolor="#231f20">
            <v:stroke dashstyle="solid"/>
            <w10:wrap type="none"/>
          </v:line>
        </w:pict>
      </w:r>
      <w:r>
        <w:rPr>
          <w:color w:val="231F20"/>
          <w:sz w:val="12"/>
        </w:rPr>
        <w:t>40</w:t>
      </w:r>
    </w:p>
    <w:p>
      <w:pPr>
        <w:pStyle w:val="BodyText"/>
        <w:rPr>
          <w:sz w:val="12"/>
        </w:rPr>
      </w:pPr>
    </w:p>
    <w:p>
      <w:pPr>
        <w:pStyle w:val="BodyText"/>
        <w:rPr>
          <w:sz w:val="12"/>
        </w:rPr>
      </w:pPr>
    </w:p>
    <w:p>
      <w:pPr>
        <w:pStyle w:val="BodyText"/>
        <w:spacing w:before="10"/>
        <w:rPr>
          <w:sz w:val="15"/>
        </w:rPr>
      </w:pPr>
    </w:p>
    <w:p>
      <w:pPr>
        <w:spacing w:before="1"/>
        <w:ind w:left="0" w:right="63" w:firstLine="0"/>
        <w:jc w:val="right"/>
        <w:rPr>
          <w:sz w:val="12"/>
        </w:rPr>
      </w:pPr>
      <w:r>
        <w:rPr/>
        <w:pict>
          <v:line style="position:absolute;mso-position-horizontal-relative:page;mso-position-vertical-relative:paragraph;z-index:15969792" from="44.595001pt,4.355433pt" to="48.928001pt,4.355433pt" stroked="true" strokeweight=".5pt" strokecolor="#231f20">
            <v:stroke dashstyle="solid"/>
            <w10:wrap type="none"/>
          </v:line>
        </w:pict>
      </w:r>
      <w:r>
        <w:rPr/>
        <w:pict>
          <v:line style="position:absolute;mso-position-horizontal-relative:page;mso-position-vertical-relative:paragraph;z-index:15972352" from="204.261993pt,4.314433pt" to="208.594993pt,4.314433pt" stroked="true" strokeweight=".5pt" strokecolor="#231f20">
            <v:stroke dashstyle="solid"/>
            <w10:wrap type="none"/>
          </v:line>
        </w:pict>
      </w:r>
      <w:r>
        <w:rPr>
          <w:color w:val="231F20"/>
          <w:sz w:val="12"/>
        </w:rPr>
        <w:t>30</w:t>
      </w:r>
    </w:p>
    <w:p>
      <w:pPr>
        <w:pStyle w:val="BodyText"/>
        <w:rPr>
          <w:sz w:val="12"/>
        </w:rPr>
      </w:pPr>
    </w:p>
    <w:p>
      <w:pPr>
        <w:pStyle w:val="BodyText"/>
        <w:rPr>
          <w:sz w:val="12"/>
        </w:rPr>
      </w:pPr>
    </w:p>
    <w:p>
      <w:pPr>
        <w:pStyle w:val="BodyText"/>
        <w:spacing w:before="8"/>
        <w:rPr>
          <w:sz w:val="15"/>
        </w:rPr>
      </w:pPr>
    </w:p>
    <w:p>
      <w:pPr>
        <w:spacing w:before="0"/>
        <w:ind w:left="0" w:right="63" w:firstLine="0"/>
        <w:jc w:val="right"/>
        <w:rPr>
          <w:sz w:val="12"/>
        </w:rPr>
      </w:pPr>
      <w:r>
        <w:rPr/>
        <w:pict>
          <v:line style="position:absolute;mso-position-horizontal-relative:page;mso-position-vertical-relative:paragraph;z-index:15970304" from="44.595001pt,4.460677pt" to="48.928001pt,4.460677pt" stroked="true" strokeweight=".5pt" strokecolor="#231f20">
            <v:stroke dashstyle="solid"/>
            <w10:wrap type="none"/>
          </v:line>
        </w:pict>
      </w:r>
      <w:r>
        <w:rPr/>
        <w:pict>
          <v:line style="position:absolute;mso-position-horizontal-relative:page;mso-position-vertical-relative:paragraph;z-index:15972864" from="204.261993pt,4.418677pt" to="208.594993pt,4.418677pt" stroked="true" strokeweight=".5pt" strokecolor="#231f20">
            <v:stroke dashstyle="solid"/>
            <w10:wrap type="none"/>
          </v:line>
        </w:pict>
      </w:r>
      <w:r>
        <w:rPr>
          <w:color w:val="231F20"/>
          <w:sz w:val="12"/>
        </w:rPr>
        <w:t>20</w:t>
      </w:r>
    </w:p>
    <w:p>
      <w:pPr>
        <w:pStyle w:val="BodyText"/>
        <w:rPr>
          <w:sz w:val="12"/>
        </w:rPr>
      </w:pPr>
    </w:p>
    <w:p>
      <w:pPr>
        <w:pStyle w:val="BodyText"/>
        <w:rPr>
          <w:sz w:val="12"/>
        </w:rPr>
      </w:pPr>
    </w:p>
    <w:p>
      <w:pPr>
        <w:pStyle w:val="BodyText"/>
        <w:spacing w:before="11"/>
        <w:rPr>
          <w:sz w:val="15"/>
        </w:rPr>
      </w:pPr>
    </w:p>
    <w:p>
      <w:pPr>
        <w:spacing w:before="0"/>
        <w:ind w:left="0" w:right="63" w:firstLine="0"/>
        <w:jc w:val="right"/>
        <w:rPr>
          <w:sz w:val="12"/>
        </w:rPr>
      </w:pPr>
      <w:r>
        <w:rPr/>
        <w:pict>
          <v:line style="position:absolute;mso-position-horizontal-relative:page;mso-position-vertical-relative:paragraph;z-index:15970816" from="44.595001pt,4.489433pt" to="48.928001pt,4.489433pt" stroked="true" strokeweight=".5pt" strokecolor="#231f20">
            <v:stroke dashstyle="solid"/>
            <w10:wrap type="none"/>
          </v:line>
        </w:pict>
      </w:r>
      <w:r>
        <w:rPr/>
        <w:pict>
          <v:line style="position:absolute;mso-position-horizontal-relative:page;mso-position-vertical-relative:paragraph;z-index:15973376" from="204.261993pt,4.447433pt" to="208.594993pt,4.447433pt" stroked="true" strokeweight=".5pt" strokecolor="#231f20">
            <v:stroke dashstyle="solid"/>
            <w10:wrap type="none"/>
          </v:line>
        </w:pict>
      </w:r>
      <w:r>
        <w:rPr>
          <w:color w:val="231F20"/>
          <w:sz w:val="12"/>
        </w:rPr>
        <w:t>10</w:t>
      </w:r>
    </w:p>
    <w:p>
      <w:pPr>
        <w:pStyle w:val="BodyText"/>
        <w:rPr>
          <w:sz w:val="12"/>
        </w:rPr>
      </w:pPr>
    </w:p>
    <w:p>
      <w:pPr>
        <w:pStyle w:val="BodyText"/>
        <w:rPr>
          <w:sz w:val="12"/>
        </w:rPr>
      </w:pPr>
    </w:p>
    <w:p>
      <w:pPr>
        <w:pStyle w:val="BodyText"/>
        <w:spacing w:before="9"/>
        <w:rPr>
          <w:sz w:val="15"/>
        </w:rPr>
      </w:pPr>
    </w:p>
    <w:p>
      <w:pPr>
        <w:spacing w:before="0"/>
        <w:ind w:left="0" w:right="63" w:firstLine="0"/>
        <w:jc w:val="right"/>
        <w:rPr>
          <w:sz w:val="12"/>
        </w:rPr>
      </w:pPr>
      <w:r>
        <w:rPr>
          <w:color w:val="231F20"/>
          <w:sz w:val="12"/>
        </w:rPr>
        <w:t>0</w:t>
      </w:r>
    </w:p>
    <w:p>
      <w:pPr>
        <w:pStyle w:val="BodyText"/>
        <w:spacing w:before="10"/>
        <w:rPr>
          <w:sz w:val="12"/>
        </w:rPr>
      </w:pPr>
    </w:p>
    <w:p>
      <w:pPr>
        <w:spacing w:line="398" w:lineRule="auto" w:before="0"/>
        <w:ind w:left="174" w:right="775" w:firstLine="846"/>
        <w:jc w:val="left"/>
        <w:rPr>
          <w:sz w:val="12"/>
        </w:rPr>
      </w:pPr>
      <w:r>
        <w:rPr>
          <w:color w:val="231F20"/>
          <w:sz w:val="12"/>
        </w:rPr>
        <w:t>Change in settlement (percentage points) </w:t>
      </w:r>
      <w:r>
        <w:rPr>
          <w:sz w:val="12"/>
        </w:rPr>
        <w:t>Source: Bank of England.</w:t>
      </w:r>
    </w:p>
    <w:p>
      <w:pPr>
        <w:spacing w:line="208" w:lineRule="auto" w:before="26"/>
        <w:ind w:left="414" w:right="38" w:hanging="240"/>
        <w:jc w:val="left"/>
        <w:rPr>
          <w:sz w:val="12"/>
        </w:rPr>
      </w:pPr>
      <w:r>
        <w:rPr>
          <w:sz w:val="12"/>
        </w:rPr>
        <w:t>(a)   Whole-number changes in settlement have been allocated to the bar to the right of the relevant tick mark on the horizontal axis. So, for example, the bar between 1 and 2 shows the proportion of employees covered by settlements that rose by 1 percentage point or more,</w:t>
      </w:r>
    </w:p>
    <w:p>
      <w:pPr>
        <w:spacing w:line="123" w:lineRule="exact" w:before="0"/>
        <w:ind w:left="414" w:right="0" w:firstLine="0"/>
        <w:jc w:val="left"/>
        <w:rPr>
          <w:sz w:val="12"/>
        </w:rPr>
      </w:pPr>
      <w:r>
        <w:rPr>
          <w:sz w:val="12"/>
        </w:rPr>
        <w:t>but by less than 2 percentage points.</w:t>
      </w:r>
    </w:p>
    <w:p>
      <w:pPr>
        <w:spacing w:line="242" w:lineRule="auto" w:before="206"/>
        <w:ind w:left="174" w:right="363" w:firstLine="0"/>
        <w:jc w:val="left"/>
        <w:rPr>
          <w:sz w:val="24"/>
        </w:rPr>
      </w:pPr>
      <w:r>
        <w:rPr/>
        <w:br w:type="column"/>
      </w:r>
      <w:r>
        <w:rPr>
          <w:sz w:val="24"/>
        </w:rPr>
        <w:t>The awards, which unlike last year’s settlements will not be phased in over the year, are likely to add</w:t>
      </w:r>
      <w:r>
        <w:rPr>
          <w:spacing w:val="-9"/>
          <w:sz w:val="24"/>
        </w:rPr>
        <w:t> </w:t>
      </w:r>
      <w:r>
        <w:rPr>
          <w:spacing w:val="-3"/>
          <w:sz w:val="24"/>
        </w:rPr>
        <w:t>around</w:t>
      </w:r>
    </w:p>
    <w:p>
      <w:pPr>
        <w:spacing w:line="242" w:lineRule="auto" w:before="2"/>
        <w:ind w:left="174" w:right="436" w:firstLine="0"/>
        <w:jc w:val="left"/>
        <w:rPr>
          <w:sz w:val="24"/>
        </w:rPr>
      </w:pPr>
      <w:r>
        <w:rPr>
          <w:sz w:val="24"/>
        </w:rPr>
        <w:t>0.1 to 0.2 percentage points to annual growth in whole-economy average earnings between April and December.  </w:t>
      </w:r>
      <w:r>
        <w:rPr>
          <w:spacing w:val="-3"/>
          <w:sz w:val="24"/>
        </w:rPr>
        <w:t>Average </w:t>
      </w:r>
      <w:r>
        <w:rPr>
          <w:sz w:val="24"/>
        </w:rPr>
        <w:t>earnings in the public sector</w:t>
      </w:r>
      <w:r>
        <w:rPr>
          <w:spacing w:val="-4"/>
          <w:sz w:val="24"/>
        </w:rPr>
        <w:t> </w:t>
      </w:r>
      <w:r>
        <w:rPr>
          <w:spacing w:val="-5"/>
          <w:sz w:val="24"/>
        </w:rPr>
        <w:t>have</w:t>
      </w:r>
    </w:p>
    <w:p>
      <w:pPr>
        <w:spacing w:line="242" w:lineRule="auto" w:before="4"/>
        <w:ind w:left="174" w:right="127" w:firstLine="0"/>
        <w:jc w:val="left"/>
        <w:rPr>
          <w:sz w:val="24"/>
        </w:rPr>
      </w:pPr>
      <w:r>
        <w:rPr>
          <w:sz w:val="24"/>
        </w:rPr>
        <w:t>been growing less rapidly than private sector pay since early 1993, but have slowed less sharply since the middle of last year.</w:t>
      </w:r>
    </w:p>
    <w:p>
      <w:pPr>
        <w:pStyle w:val="BodyText"/>
        <w:spacing w:before="8"/>
        <w:rPr>
          <w:sz w:val="24"/>
        </w:rPr>
      </w:pPr>
    </w:p>
    <w:p>
      <w:pPr>
        <w:spacing w:line="242" w:lineRule="auto" w:before="0"/>
        <w:ind w:left="174" w:right="120" w:firstLine="0"/>
        <w:jc w:val="left"/>
        <w:rPr>
          <w:sz w:val="24"/>
        </w:rPr>
      </w:pPr>
      <w:r>
        <w:rPr>
          <w:sz w:val="24"/>
        </w:rPr>
        <w:t>Overall, however, the news since the February </w:t>
      </w:r>
      <w:r>
        <w:rPr>
          <w:i/>
          <w:sz w:val="24"/>
        </w:rPr>
        <w:t>Report </w:t>
      </w:r>
      <w:r>
        <w:rPr>
          <w:sz w:val="24"/>
        </w:rPr>
        <w:t>suggests that the pressures on nominal earnings growth have eased somewhat. In light of the slowdown in earnings growth since last summer, the fall in inflation expectations, the reduction in settlements during the first quarter of this year and evidence on the determinants of wage drift, the MPC has lowered the profile for nominal earnings growth in its central projection relative to that in the February </w:t>
      </w:r>
      <w:r>
        <w:rPr>
          <w:i/>
          <w:sz w:val="24"/>
        </w:rPr>
        <w:t>Report</w:t>
      </w:r>
      <w:r>
        <w:rPr>
          <w:sz w:val="24"/>
        </w:rPr>
        <w:t>.</w:t>
      </w:r>
    </w:p>
    <w:p>
      <w:pPr>
        <w:pStyle w:val="BodyText"/>
        <w:rPr>
          <w:sz w:val="29"/>
        </w:rPr>
      </w:pPr>
    </w:p>
    <w:p>
      <w:pPr>
        <w:pStyle w:val="ListParagraph"/>
        <w:numPr>
          <w:ilvl w:val="1"/>
          <w:numId w:val="17"/>
        </w:numPr>
        <w:tabs>
          <w:tab w:pos="1534" w:val="left" w:leader="none"/>
          <w:tab w:pos="1535" w:val="left" w:leader="none"/>
          <w:tab w:pos="5699" w:val="left" w:leader="none"/>
        </w:tabs>
        <w:spacing w:line="240" w:lineRule="auto" w:before="1" w:after="0"/>
        <w:ind w:left="1534" w:right="0" w:hanging="1361"/>
        <w:jc w:val="left"/>
        <w:rPr>
          <w:b/>
          <w:sz w:val="28"/>
        </w:rPr>
      </w:pPr>
      <w:r>
        <w:rPr>
          <w:b/>
          <w:color w:val="009483"/>
          <w:sz w:val="28"/>
          <w:u w:val="thick" w:color="0093C1"/>
        </w:rPr>
        <w:t>Employment and unemployment</w:t>
        <w:tab/>
      </w:r>
    </w:p>
    <w:p>
      <w:pPr>
        <w:spacing w:after="0" w:line="240" w:lineRule="auto"/>
        <w:jc w:val="left"/>
        <w:rPr>
          <w:sz w:val="28"/>
        </w:rPr>
        <w:sectPr>
          <w:type w:val="continuous"/>
          <w:pgSz w:w="11900" w:h="16840"/>
          <w:pgMar w:top="1220" w:bottom="280" w:left="640" w:right="640"/>
          <w:cols w:num="2" w:equalWidth="0">
            <w:col w:w="3781" w:space="999"/>
            <w:col w:w="5840"/>
          </w:cols>
        </w:sectPr>
      </w:pPr>
    </w:p>
    <w:p>
      <w:pPr>
        <w:pStyle w:val="BodyText"/>
        <w:spacing w:before="9"/>
        <w:rPr>
          <w:b/>
          <w:sz w:val="14"/>
        </w:rPr>
      </w:pPr>
    </w:p>
    <w:p>
      <w:pPr>
        <w:spacing w:after="0"/>
        <w:rPr>
          <w:sz w:val="14"/>
        </w:rPr>
        <w:sectPr>
          <w:type w:val="continuous"/>
          <w:pgSz w:w="11900" w:h="16840"/>
          <w:pgMar w:top="1220" w:bottom="280" w:left="640" w:right="640"/>
        </w:sectPr>
      </w:pPr>
    </w:p>
    <w:p>
      <w:pPr>
        <w:pStyle w:val="BodyText"/>
        <w:rPr>
          <w:b/>
          <w:sz w:val="22"/>
        </w:rPr>
      </w:pPr>
    </w:p>
    <w:p>
      <w:pPr>
        <w:pStyle w:val="Heading4"/>
        <w:spacing w:line="249" w:lineRule="auto" w:before="162"/>
        <w:ind w:left="155" w:right="1383"/>
        <w:rPr>
          <w:b w:val="0"/>
          <w:sz w:val="12"/>
        </w:rPr>
      </w:pPr>
      <w:r>
        <w:rPr>
          <w:color w:val="0093C1"/>
        </w:rPr>
        <w:t>Chart 3.8 Employment growth</w:t>
      </w:r>
      <w:r>
        <w:rPr>
          <w:b w:val="0"/>
          <w:position w:val="4"/>
          <w:sz w:val="12"/>
        </w:rPr>
        <w:t>(a)</w:t>
      </w:r>
    </w:p>
    <w:p>
      <w:pPr>
        <w:spacing w:before="149"/>
        <w:ind w:left="1567" w:right="0" w:firstLine="0"/>
        <w:jc w:val="left"/>
        <w:rPr>
          <w:sz w:val="12"/>
        </w:rPr>
      </w:pPr>
      <w:r>
        <w:rPr>
          <w:color w:val="231F20"/>
          <w:sz w:val="12"/>
        </w:rPr>
        <w:t>Percentage changes on a quarter earli</w:t>
      </w:r>
      <w:r>
        <w:rPr>
          <w:color w:val="231F20"/>
          <w:sz w:val="12"/>
          <w:u w:val="single" w:color="231F20"/>
        </w:rPr>
        <w:t>er</w:t>
      </w:r>
    </w:p>
    <w:p>
      <w:pPr>
        <w:pStyle w:val="BodyText"/>
        <w:spacing w:line="20" w:lineRule="exact"/>
        <w:ind w:left="180"/>
        <w:rPr>
          <w:sz w:val="2"/>
        </w:rPr>
      </w:pPr>
      <w:r>
        <w:rPr>
          <w:sz w:val="2"/>
        </w:rPr>
        <w:pict>
          <v:group style="width:4.350pt;height:.5pt;mso-position-horizontal-relative:char;mso-position-vertical-relative:line" coordorigin="0,0" coordsize="87,10">
            <v:line style="position:absolute" from="0,5" to="87,5" stroked="true" strokeweight=".5pt" strokecolor="#231f2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spacing w:before="0"/>
        <w:ind w:left="3" w:right="0" w:firstLine="0"/>
        <w:jc w:val="left"/>
        <w:rPr>
          <w:sz w:val="12"/>
        </w:rPr>
      </w:pPr>
      <w:r>
        <w:rPr>
          <w:color w:val="231F20"/>
          <w:sz w:val="12"/>
        </w:rPr>
        <w:t>0.8</w:t>
      </w:r>
    </w:p>
    <w:p>
      <w:pPr>
        <w:spacing w:line="242" w:lineRule="auto" w:before="90"/>
        <w:ind w:left="155" w:right="460" w:firstLine="0"/>
        <w:jc w:val="left"/>
        <w:rPr>
          <w:sz w:val="24"/>
        </w:rPr>
      </w:pPr>
      <w:r>
        <w:rPr/>
        <w:br w:type="column"/>
      </w:r>
      <w:r>
        <w:rPr>
          <w:sz w:val="24"/>
        </w:rPr>
        <w:t>Pay pressure is influenced by both the degree and the rate of change of labour market tightness. Although quantity indicators give a mixed picture, most suggest that labour market pressures have eased slightly, but remain significant by recent historical standards.</w:t>
      </w:r>
    </w:p>
    <w:p>
      <w:pPr>
        <w:spacing w:after="0" w:line="242" w:lineRule="auto"/>
        <w:jc w:val="left"/>
        <w:rPr>
          <w:sz w:val="24"/>
        </w:rPr>
        <w:sectPr>
          <w:type w:val="continuous"/>
          <w:pgSz w:w="11900" w:h="16840"/>
          <w:pgMar w:top="1220" w:bottom="280" w:left="640" w:right="640"/>
          <w:cols w:num="3" w:equalWidth="0">
            <w:col w:w="3450" w:space="40"/>
            <w:col w:w="194" w:space="1115"/>
            <w:col w:w="5821"/>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0"/>
        </w:rPr>
      </w:pPr>
    </w:p>
    <w:p>
      <w:pPr>
        <w:spacing w:before="0"/>
        <w:ind w:left="0" w:right="0" w:firstLine="0"/>
        <w:jc w:val="right"/>
        <w:rPr>
          <w:sz w:val="12"/>
        </w:rPr>
      </w:pPr>
      <w:r>
        <w:rPr>
          <w:color w:val="231F20"/>
          <w:sz w:val="12"/>
        </w:rPr>
        <w:t>1995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0"/>
        </w:rPr>
      </w:pPr>
    </w:p>
    <w:p>
      <w:pPr>
        <w:tabs>
          <w:tab w:pos="1627" w:val="left" w:leader="none"/>
          <w:tab w:pos="2083" w:val="left" w:leader="none"/>
        </w:tabs>
        <w:spacing w:before="0"/>
        <w:ind w:left="700" w:right="0" w:firstLine="0"/>
        <w:jc w:val="left"/>
        <w:rPr>
          <w:sz w:val="12"/>
        </w:rPr>
      </w:pPr>
      <w:r>
        <w:rPr>
          <w:color w:val="231F20"/>
          <w:sz w:val="12"/>
        </w:rPr>
        <w:t>96</w:t>
        <w:tab/>
        <w:t>97</w:t>
        <w:tab/>
      </w:r>
      <w:r>
        <w:rPr>
          <w:color w:val="231F20"/>
          <w:spacing w:val="-10"/>
          <w:sz w:val="12"/>
        </w:rPr>
        <w:t>98</w:t>
      </w:r>
    </w:p>
    <w:p>
      <w:pPr>
        <w:pStyle w:val="BodyText"/>
        <w:spacing w:before="5"/>
        <w:rPr>
          <w:sz w:val="11"/>
        </w:rPr>
      </w:pPr>
      <w:r>
        <w:rPr/>
        <w:br w:type="column"/>
      </w:r>
      <w:r>
        <w:rPr>
          <w:sz w:val="11"/>
        </w:rPr>
      </w:r>
    </w:p>
    <w:p>
      <w:pPr>
        <w:spacing w:before="0"/>
        <w:ind w:left="0" w:right="38" w:firstLine="0"/>
        <w:jc w:val="right"/>
        <w:rPr>
          <w:sz w:val="12"/>
        </w:rPr>
      </w:pPr>
      <w:r>
        <w:rPr>
          <w:color w:val="231F20"/>
          <w:sz w:val="12"/>
        </w:rPr>
        <w:t>0.6</w:t>
      </w:r>
    </w:p>
    <w:p>
      <w:pPr>
        <w:pStyle w:val="BodyText"/>
        <w:rPr>
          <w:sz w:val="12"/>
        </w:rPr>
      </w:pPr>
    </w:p>
    <w:p>
      <w:pPr>
        <w:pStyle w:val="BodyText"/>
        <w:rPr>
          <w:sz w:val="12"/>
        </w:rPr>
      </w:pPr>
    </w:p>
    <w:p>
      <w:pPr>
        <w:spacing w:before="81"/>
        <w:ind w:left="0" w:right="38" w:firstLine="0"/>
        <w:jc w:val="right"/>
        <w:rPr>
          <w:sz w:val="12"/>
        </w:rPr>
      </w:pPr>
      <w:r>
        <w:rPr/>
        <w:pict>
          <v:group style="position:absolute;margin-left:41.279999pt;margin-top:-30.033897pt;width:163.25pt;height:124.95pt;mso-position-horizontal-relative:page;mso-position-vertical-relative:paragraph;z-index:15965696" coordorigin="826,-601" coordsize="3265,2499">
            <v:rect style="position:absolute;left:995;top:-27;width:90;height:1183" filled="true" fillcolor="#952e40" stroked="false">
              <v:fill type="solid"/>
            </v:rect>
            <v:rect style="position:absolute;left:995;top:-27;width:90;height:1183" filled="false" stroked="true" strokeweight=".5pt" strokecolor="#231f20">
              <v:stroke dashstyle="solid"/>
            </v:rect>
            <v:rect style="position:absolute;left:1224;top:1153;width:91;height:180" filled="true" fillcolor="#952e40" stroked="false">
              <v:fill type="solid"/>
            </v:rect>
            <v:rect style="position:absolute;left:1224;top:1153;width:91;height:180" filled="false" stroked="true" strokeweight=".5pt" strokecolor="#231f20">
              <v:stroke dashstyle="solid"/>
            </v:rect>
            <v:rect style="position:absolute;left:1083;top:235;width:90;height:920" filled="true" fillcolor="#faab54" stroked="false">
              <v:fill type="solid"/>
            </v:rect>
            <v:rect style="position:absolute;left:1083;top:235;width:90;height:920" filled="false" stroked="true" strokeweight=".5pt" strokecolor="#231f20">
              <v:stroke dashstyle="solid"/>
            </v:rect>
            <v:rect style="position:absolute;left:1454;top:-60;width:91;height:1215" filled="true" fillcolor="#952e40" stroked="false">
              <v:fill type="solid"/>
            </v:rect>
            <v:rect style="position:absolute;left:1454;top:-60;width:91;height:1215" filled="false" stroked="true" strokeweight=".5pt" strokecolor="#231f20">
              <v:stroke dashstyle="solid"/>
            </v:rect>
            <v:rect style="position:absolute;left:1313;top:1153;width:90;height:58" filled="true" fillcolor="#faab54" stroked="false">
              <v:fill type="solid"/>
            </v:rect>
            <v:rect style="position:absolute;left:1313;top:1153;width:90;height:58" filled="false" stroked="true" strokeweight=".5pt" strokecolor="#231f20">
              <v:stroke dashstyle="solid"/>
            </v:rect>
            <v:rect style="position:absolute;left:1683;top:-250;width:90;height:1405" filled="true" fillcolor="#952e40" stroked="false">
              <v:fill type="solid"/>
            </v:rect>
            <v:rect style="position:absolute;left:1683;top:-250;width:90;height:1405" filled="false" stroked="true" strokeweight=".5pt" strokecolor="#231f20">
              <v:stroke dashstyle="solid"/>
            </v:rect>
            <v:rect style="position:absolute;left:1543;top:718;width:90;height:438" filled="true" fillcolor="#faab54" stroked="false">
              <v:fill type="solid"/>
            </v:rect>
            <v:rect style="position:absolute;left:1543;top:718;width:90;height:438" filled="false" stroked="true" strokeweight=".5pt" strokecolor="#231f20">
              <v:stroke dashstyle="solid"/>
            </v:rect>
            <v:rect style="position:absolute;left:1911;top:145;width:89;height:1010" filled="true" fillcolor="#952e40" stroked="false">
              <v:fill type="solid"/>
            </v:rect>
            <v:rect style="position:absolute;left:1911;top:145;width:91;height:1010" filled="false" stroked="true" strokeweight=".5pt" strokecolor="#231f20">
              <v:stroke dashstyle="solid"/>
            </v:rect>
            <v:rect style="position:absolute;left:1770;top:50;width:90;height:1105" filled="true" fillcolor="#faab54" stroked="false">
              <v:fill type="solid"/>
            </v:rect>
            <v:rect style="position:absolute;left:1770;top:50;width:90;height:1105" filled="false" stroked="true" strokeweight=".5pt" strokecolor="#231f20">
              <v:stroke dashstyle="solid"/>
            </v:rect>
            <v:rect style="position:absolute;left:2143;top:548;width:88;height:608" filled="true" fillcolor="#952e40" stroked="false">
              <v:fill type="solid"/>
            </v:rect>
            <v:rect style="position:absolute;left:2143;top:548;width:90;height:608" filled="false" stroked="true" strokeweight=".5pt" strokecolor="#231f20">
              <v:stroke dashstyle="solid"/>
            </v:rect>
            <v:rect style="position:absolute;left:2000;top:-180;width:90;height:1335" filled="true" fillcolor="#faab54" stroked="false">
              <v:fill type="solid"/>
            </v:rect>
            <v:rect style="position:absolute;left:2000;top:-180;width:90;height:1335" filled="false" stroked="true" strokeweight=".5pt" strokecolor="#231f20">
              <v:stroke dashstyle="solid"/>
            </v:rect>
            <v:rect style="position:absolute;left:2371;top:-542;width:91;height:1698" filled="true" fillcolor="#952e40" stroked="false">
              <v:fill type="solid"/>
            </v:rect>
            <v:rect style="position:absolute;left:2371;top:-542;width:91;height:1698" filled="false" stroked="true" strokeweight=".5pt" strokecolor="#231f20">
              <v:stroke dashstyle="solid"/>
            </v:rect>
            <v:rect style="position:absolute;left:2230;top:-517;width:90;height:1673" filled="true" fillcolor="#faab54" stroked="false">
              <v:fill type="solid"/>
            </v:rect>
            <v:rect style="position:absolute;left:2230;top:-517;width:90;height:1673" filled="false" stroked="true" strokeweight=".5pt" strokecolor="#231f20">
              <v:stroke dashstyle="solid"/>
            </v:rect>
            <v:rect style="position:absolute;left:2600;top:195;width:88;height:960" filled="true" fillcolor="#952e40" stroked="false">
              <v:fill type="solid"/>
            </v:rect>
            <v:rect style="position:absolute;left:2600;top:195;width:90;height:960" filled="false" stroked="true" strokeweight=".5pt" strokecolor="#231f20">
              <v:stroke dashstyle="solid"/>
            </v:rect>
            <v:rect style="position:absolute;left:2459;top:503;width:91;height:653" filled="true" fillcolor="#faab54" stroked="false">
              <v:fill type="solid"/>
            </v:rect>
            <v:rect style="position:absolute;left:2459;top:503;width:91;height:653" filled="false" stroked="true" strokeweight=".5pt" strokecolor="#231f20">
              <v:stroke dashstyle="solid"/>
            </v:rect>
            <v:rect style="position:absolute;left:2829;top:-55;width:91;height:1210" filled="true" fillcolor="#952e40" stroked="false">
              <v:fill type="solid"/>
            </v:rect>
            <v:rect style="position:absolute;left:2829;top:-55;width:91;height:1210" filled="false" stroked="true" strokeweight=".5pt" strokecolor="#231f20">
              <v:stroke dashstyle="solid"/>
            </v:rect>
            <v:rect style="position:absolute;left:2688;top:138;width:90;height:1018" filled="true" fillcolor="#faab54" stroked="false">
              <v:fill type="solid"/>
            </v:rect>
            <v:rect style="position:absolute;left:2688;top:138;width:90;height:1018" filled="false" stroked="true" strokeweight=".5pt" strokecolor="#231f20">
              <v:stroke dashstyle="solid"/>
            </v:rect>
            <v:rect style="position:absolute;left:3059;top:160;width:91;height:995" filled="true" fillcolor="#952e40" stroked="false">
              <v:fill type="solid"/>
            </v:rect>
            <v:rect style="position:absolute;left:3059;top:160;width:91;height:995" filled="false" stroked="true" strokeweight=".5pt" strokecolor="#231f20">
              <v:stroke dashstyle="solid"/>
            </v:rect>
            <v:rect style="position:absolute;left:2918;top:988;width:90;height:168" filled="true" fillcolor="#faab54" stroked="false">
              <v:fill type="solid"/>
            </v:rect>
            <v:rect style="position:absolute;left:2918;top:988;width:90;height:168" filled="false" stroked="true" strokeweight=".5pt" strokecolor="#231f20">
              <v:stroke dashstyle="solid"/>
            </v:rect>
            <v:rect style="position:absolute;left:3288;top:1153;width:90;height:740" filled="true" fillcolor="#952e40" stroked="false">
              <v:fill type="solid"/>
            </v:rect>
            <v:rect style="position:absolute;left:3288;top:1153;width:90;height:740" filled="false" stroked="true" strokeweight=".5pt" strokecolor="#231f20">
              <v:stroke dashstyle="solid"/>
            </v:rect>
            <v:rect style="position:absolute;left:3148;top:230;width:90;height:925" filled="true" fillcolor="#faab54" stroked="false">
              <v:fill type="solid"/>
            </v:rect>
            <v:rect style="position:absolute;left:3148;top:230;width:90;height:925" filled="false" stroked="true" strokeweight=".5pt" strokecolor="#231f20">
              <v:stroke dashstyle="solid"/>
            </v:rect>
            <v:rect style="position:absolute;left:3516;top:125;width:91;height:1030" filled="true" fillcolor="#952e40" stroked="false">
              <v:fill type="solid"/>
            </v:rect>
            <v:rect style="position:absolute;left:3516;top:125;width:91;height:1030" filled="false" stroked="true" strokeweight=".5pt" strokecolor="#231f20">
              <v:stroke dashstyle="solid"/>
            </v:rect>
            <v:rect style="position:absolute;left:3375;top:613;width:90;height:543" filled="true" fillcolor="#faab54" stroked="false">
              <v:fill type="solid"/>
            </v:rect>
            <v:rect style="position:absolute;left:3375;top:613;width:90;height:543" filled="false" stroked="true" strokeweight=".5pt" strokecolor="#231f20">
              <v:stroke dashstyle="solid"/>
            </v:rect>
            <v:rect style="position:absolute;left:3748;top:720;width:88;height:435" filled="true" fillcolor="#952e40" stroked="false">
              <v:fill type="solid"/>
            </v:rect>
            <v:rect style="position:absolute;left:3748;top:720;width:90;height:435" filled="false" stroked="true" strokeweight=".5pt" strokecolor="#231f20">
              <v:stroke dashstyle="solid"/>
            </v:rect>
            <v:rect style="position:absolute;left:3605;top:368;width:90;height:788" filled="true" fillcolor="#faab54" stroked="false">
              <v:fill type="solid"/>
            </v:rect>
            <v:rect style="position:absolute;left:3605;top:368;width:90;height:788" filled="false" stroked="true" strokeweight=".5pt" strokecolor="#231f20">
              <v:stroke dashstyle="solid"/>
            </v:rect>
            <v:rect style="position:absolute;left:3835;top:188;width:90;height:968" filled="true" fillcolor="#faab54" stroked="false">
              <v:fill type="solid"/>
            </v:rect>
            <v:shape style="position:absolute;left:825;top:-336;width:3265;height:1983" coordorigin="826,-336" coordsize="3265,1983" path="m3836,188l3926,188,3926,1156,3836,1156,3836,188xm968,1153l3951,1156m826,-336l912,-336m826,160l912,160m826,656l912,656m826,1152l912,1152m826,1647l912,1647m4003,-336l4090,-336m4003,160l4090,160m4003,656l4090,656m4003,1152l4090,1152m4003,1647l4090,1647e" filled="false" stroked="true" strokeweight=".5pt" strokecolor="#231f20">
              <v:path arrowok="t"/>
              <v:stroke dashstyle="solid"/>
            </v:shape>
            <v:shape style="position:absolute;left:2002;top:-601;width:227;height:133" type="#_x0000_t202" filled="false" stroked="false">
              <v:textbox inset="0,0,0,0">
                <w:txbxContent>
                  <w:p>
                    <w:pPr>
                      <w:spacing w:line="133" w:lineRule="exact" w:before="0"/>
                      <w:ind w:left="0" w:right="0" w:firstLine="0"/>
                      <w:jc w:val="left"/>
                      <w:rPr>
                        <w:sz w:val="12"/>
                      </w:rPr>
                    </w:pPr>
                    <w:r>
                      <w:rPr>
                        <w:color w:val="231F20"/>
                        <w:sz w:val="12"/>
                      </w:rPr>
                      <w:t>LFS</w:t>
                    </w:r>
                  </w:p>
                </w:txbxContent>
              </v:textbox>
              <w10:wrap type="none"/>
            </v:shape>
            <v:shape style="position:absolute;left:2508;top:1575;width:770;height:134" type="#_x0000_t202" filled="false" stroked="false">
              <v:textbox inset="0,0,0,0">
                <w:txbxContent>
                  <w:p>
                    <w:pPr>
                      <w:spacing w:line="133" w:lineRule="exact" w:before="0"/>
                      <w:ind w:left="0" w:right="0" w:firstLine="0"/>
                      <w:jc w:val="left"/>
                      <w:rPr>
                        <w:sz w:val="12"/>
                      </w:rPr>
                    </w:pPr>
                    <w:r>
                      <w:rPr>
                        <w:color w:val="231F20"/>
                        <w:sz w:val="12"/>
                      </w:rPr>
                      <w:t>Workforce jobs</w:t>
                    </w:r>
                  </w:p>
                </w:txbxContent>
              </v:textbox>
              <w10:wrap type="none"/>
            </v:shape>
            <w10:wrap type="none"/>
          </v:group>
        </w:pict>
      </w:r>
      <w:r>
        <w:rPr>
          <w:color w:val="231F20"/>
          <w:sz w:val="12"/>
        </w:rPr>
        <w:t>0.4</w:t>
      </w:r>
    </w:p>
    <w:p>
      <w:pPr>
        <w:pStyle w:val="BodyText"/>
        <w:rPr>
          <w:sz w:val="12"/>
        </w:rPr>
      </w:pPr>
    </w:p>
    <w:p>
      <w:pPr>
        <w:pStyle w:val="BodyText"/>
        <w:rPr>
          <w:sz w:val="12"/>
        </w:rPr>
      </w:pPr>
    </w:p>
    <w:p>
      <w:pPr>
        <w:spacing w:before="81"/>
        <w:ind w:left="0" w:right="38" w:firstLine="0"/>
        <w:jc w:val="right"/>
        <w:rPr>
          <w:sz w:val="12"/>
        </w:rPr>
      </w:pPr>
      <w:r>
        <w:rPr>
          <w:color w:val="231F20"/>
          <w:sz w:val="12"/>
        </w:rPr>
        <w:t>0.2</w:t>
      </w:r>
    </w:p>
    <w:p>
      <w:pPr>
        <w:pStyle w:val="BodyText"/>
        <w:rPr>
          <w:sz w:val="10"/>
        </w:rPr>
      </w:pPr>
    </w:p>
    <w:p>
      <w:pPr>
        <w:spacing w:before="1"/>
        <w:ind w:left="0" w:right="17" w:firstLine="0"/>
        <w:jc w:val="center"/>
        <w:rPr>
          <w:sz w:val="16"/>
        </w:rPr>
      </w:pPr>
      <w:r>
        <w:rPr>
          <w:color w:val="231F20"/>
          <w:sz w:val="16"/>
        </w:rPr>
        <w:t>+</w:t>
      </w:r>
    </w:p>
    <w:p>
      <w:pPr>
        <w:spacing w:before="38"/>
        <w:ind w:left="0" w:right="50" w:firstLine="0"/>
        <w:jc w:val="right"/>
        <w:rPr>
          <w:sz w:val="12"/>
        </w:rPr>
      </w:pPr>
      <w:r>
        <w:rPr>
          <w:color w:val="231F20"/>
          <w:sz w:val="12"/>
        </w:rPr>
        <w:t>0</w:t>
      </w:r>
    </w:p>
    <w:p>
      <w:pPr>
        <w:spacing w:before="10"/>
        <w:ind w:left="0" w:right="27" w:firstLine="0"/>
        <w:jc w:val="center"/>
        <w:rPr>
          <w:sz w:val="16"/>
        </w:rPr>
      </w:pPr>
      <w:r>
        <w:rPr>
          <w:color w:val="231F20"/>
          <w:sz w:val="16"/>
        </w:rPr>
        <w:t>_</w:t>
      </w:r>
    </w:p>
    <w:p>
      <w:pPr>
        <w:pStyle w:val="BodyText"/>
        <w:spacing w:before="1"/>
        <w:rPr>
          <w:sz w:val="16"/>
        </w:rPr>
      </w:pPr>
    </w:p>
    <w:p>
      <w:pPr>
        <w:spacing w:before="0"/>
        <w:ind w:left="0" w:right="38" w:firstLine="0"/>
        <w:jc w:val="right"/>
        <w:rPr>
          <w:sz w:val="12"/>
        </w:rPr>
      </w:pPr>
      <w:r>
        <w:rPr>
          <w:color w:val="231F20"/>
          <w:sz w:val="12"/>
        </w:rPr>
        <w:t>0.2</w:t>
      </w:r>
    </w:p>
    <w:p>
      <w:pPr>
        <w:pStyle w:val="BodyText"/>
        <w:rPr>
          <w:sz w:val="12"/>
        </w:rPr>
      </w:pPr>
    </w:p>
    <w:p>
      <w:pPr>
        <w:pStyle w:val="BodyText"/>
        <w:rPr>
          <w:sz w:val="12"/>
        </w:rPr>
      </w:pPr>
    </w:p>
    <w:p>
      <w:pPr>
        <w:spacing w:before="81"/>
        <w:ind w:left="0" w:right="38" w:firstLine="0"/>
        <w:jc w:val="right"/>
        <w:rPr>
          <w:sz w:val="12"/>
        </w:rPr>
      </w:pPr>
      <w:r>
        <w:rPr/>
        <w:pict>
          <v:shape style="position:absolute;margin-left:41.279999pt;margin-top:1.526562pt;width:163.25pt;height:6.5pt;mso-position-horizontal-relative:page;mso-position-vertical-relative:paragraph;z-index:15966208" coordorigin="826,31" coordsize="3265,130" path="m826,160l912,160m4003,160l4090,160m971,160l3951,160m1086,31l1086,160m1319,93l1319,160m1552,93l1552,160m1784,93l1784,160m2017,31l2017,160m2249,93l2249,160m2482,93l2482,160m2714,93l2714,160m2947,31l2947,160m3180,93l3180,160m3412,93l3412,160m3645,93l3645,160m3877,31l3877,160e" filled="false" stroked="true" strokeweight=".5pt" strokecolor="#231f20">
            <v:path arrowok="t"/>
            <v:stroke dashstyle="solid"/>
            <w10:wrap type="none"/>
          </v:shape>
        </w:pict>
      </w:r>
      <w:r>
        <w:rPr>
          <w:color w:val="231F20"/>
          <w:sz w:val="12"/>
        </w:rPr>
        <w:t>0.4</w:t>
      </w:r>
    </w:p>
    <w:p>
      <w:pPr>
        <w:pStyle w:val="BodyText"/>
        <w:spacing w:before="6"/>
        <w:rPr>
          <w:sz w:val="24"/>
        </w:rPr>
      </w:pPr>
      <w:r>
        <w:rPr/>
        <w:br w:type="column"/>
      </w:r>
      <w:r>
        <w:rPr>
          <w:sz w:val="24"/>
        </w:rPr>
      </w:r>
    </w:p>
    <w:p>
      <w:pPr>
        <w:spacing w:line="280" w:lineRule="atLeast" w:before="0"/>
        <w:ind w:left="805" w:right="138" w:firstLine="0"/>
        <w:jc w:val="left"/>
        <w:rPr>
          <w:sz w:val="24"/>
        </w:rPr>
      </w:pPr>
      <w:r>
        <w:rPr>
          <w:sz w:val="24"/>
        </w:rPr>
        <w:t>Whole-economy employment has continued to grow quite strongly (see Chart 3.8). Labour Force Survey (LFS) employment rose by 80,000 (0.3%) in the three months to February, and the </w:t>
      </w:r>
      <w:r>
        <w:rPr>
          <w:spacing w:val="-3"/>
          <w:sz w:val="24"/>
        </w:rPr>
        <w:t>Workforce </w:t>
      </w:r>
      <w:r>
        <w:rPr>
          <w:sz w:val="24"/>
        </w:rPr>
        <w:t>jobs measure rose by 48,000 (0.2%) in 1998 Q4.  But while the number of people in work rose, average hours worked fell, leaving total hours worked—in principle, a better measure of labour usage—unchanged in the three </w:t>
      </w:r>
      <w:r>
        <w:rPr>
          <w:spacing w:val="-3"/>
          <w:sz w:val="24"/>
        </w:rPr>
        <w:t>months </w:t>
      </w:r>
      <w:r>
        <w:rPr>
          <w:sz w:val="24"/>
        </w:rPr>
        <w:t>to February (see </w:t>
      </w:r>
      <w:r>
        <w:rPr>
          <w:spacing w:val="-4"/>
          <w:sz w:val="24"/>
        </w:rPr>
        <w:t>Table </w:t>
      </w:r>
      <w:r>
        <w:rPr>
          <w:sz w:val="24"/>
        </w:rPr>
        <w:t>3.D). The fall in average hours reflected two main factors. First, average hours worked</w:t>
      </w:r>
    </w:p>
    <w:p>
      <w:pPr>
        <w:spacing w:after="0" w:line="280" w:lineRule="atLeast"/>
        <w:jc w:val="left"/>
        <w:rPr>
          <w:sz w:val="24"/>
        </w:rPr>
        <w:sectPr>
          <w:type w:val="continuous"/>
          <w:pgSz w:w="11900" w:h="16840"/>
          <w:pgMar w:top="1220" w:bottom="280" w:left="640" w:right="640"/>
          <w:cols w:num="4" w:equalWidth="0">
            <w:col w:w="1046" w:space="40"/>
            <w:col w:w="2204" w:space="39"/>
            <w:col w:w="354" w:space="466"/>
            <w:col w:w="6471"/>
          </w:cols>
        </w:sectPr>
      </w:pPr>
    </w:p>
    <w:p>
      <w:pPr>
        <w:spacing w:line="38" w:lineRule="exact" w:before="0"/>
        <w:ind w:left="175" w:right="0" w:firstLine="0"/>
        <w:jc w:val="left"/>
        <w:rPr>
          <w:sz w:val="12"/>
        </w:rPr>
      </w:pPr>
      <w:r>
        <w:rPr>
          <w:sz w:val="12"/>
        </w:rPr>
        <w:t>(a) The LFS and Workforce jobs measures differ, because the LFS</w:t>
      </w:r>
    </w:p>
    <w:p>
      <w:pPr>
        <w:spacing w:line="208" w:lineRule="auto" w:before="5"/>
        <w:ind w:left="415" w:right="20" w:firstLine="0"/>
        <w:jc w:val="left"/>
        <w:rPr>
          <w:sz w:val="12"/>
        </w:rPr>
      </w:pPr>
      <w:r>
        <w:rPr>
          <w:sz w:val="12"/>
        </w:rPr>
        <w:t>measure is based on a rolling three-month survey of households on the number of people in work whereas the Workforce measure is based</w:t>
      </w:r>
    </w:p>
    <w:p>
      <w:pPr>
        <w:spacing w:line="208" w:lineRule="auto" w:before="0"/>
        <w:ind w:left="415" w:right="0" w:firstLine="0"/>
        <w:jc w:val="left"/>
        <w:rPr>
          <w:sz w:val="12"/>
        </w:rPr>
      </w:pPr>
      <w:r>
        <w:rPr>
          <w:sz w:val="12"/>
        </w:rPr>
        <w:t>on the number of employee jobs, taken from a survey of firms on a specific date each quarter. In the chart, LFS data are centred around March, June, September and December, for comparability with the Workforce jobs measure.</w:t>
      </w:r>
    </w:p>
    <w:p>
      <w:pPr>
        <w:pStyle w:val="BodyText"/>
        <w:rPr>
          <w:sz w:val="12"/>
        </w:rPr>
      </w:pPr>
    </w:p>
    <w:p>
      <w:pPr>
        <w:pStyle w:val="BodyText"/>
        <w:rPr>
          <w:sz w:val="12"/>
        </w:rPr>
      </w:pPr>
    </w:p>
    <w:p>
      <w:pPr>
        <w:pStyle w:val="BodyText"/>
        <w:rPr>
          <w:sz w:val="12"/>
        </w:rPr>
      </w:pPr>
    </w:p>
    <w:p>
      <w:pPr>
        <w:pStyle w:val="BodyText"/>
        <w:spacing w:before="5"/>
        <w:rPr>
          <w:sz w:val="11"/>
        </w:rPr>
      </w:pPr>
    </w:p>
    <w:p>
      <w:pPr>
        <w:pStyle w:val="Heading4"/>
        <w:spacing w:before="0"/>
        <w:ind w:left="174"/>
      </w:pPr>
      <w:r>
        <w:rPr>
          <w:color w:val="0093C1"/>
        </w:rPr>
        <w:t>Table 3.D</w:t>
      </w:r>
    </w:p>
    <w:p>
      <w:pPr>
        <w:pStyle w:val="Heading4"/>
        <w:ind w:left="174"/>
      </w:pPr>
      <w:r>
        <w:rPr>
          <w:color w:val="0093C1"/>
        </w:rPr>
        <w:t>Growth in employment and hours</w:t>
      </w:r>
    </w:p>
    <w:p>
      <w:pPr>
        <w:spacing w:before="106"/>
        <w:ind w:left="174" w:right="0" w:firstLine="0"/>
        <w:jc w:val="left"/>
        <w:rPr>
          <w:sz w:val="14"/>
        </w:rPr>
      </w:pPr>
      <w:r>
        <w:rPr>
          <w:sz w:val="14"/>
        </w:rPr>
        <w:t>Percentage change: three months on previous three months</w:t>
      </w:r>
    </w:p>
    <w:p>
      <w:pPr>
        <w:pStyle w:val="BodyText"/>
        <w:spacing w:after="1"/>
        <w:rPr>
          <w:sz w:val="23"/>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5"/>
        <w:gridCol w:w="1293"/>
        <w:gridCol w:w="502"/>
      </w:tblGrid>
      <w:tr>
        <w:trPr>
          <w:trHeight w:val="377" w:hRule="atLeast"/>
        </w:trPr>
        <w:tc>
          <w:tcPr>
            <w:tcW w:w="1415" w:type="dxa"/>
          </w:tcPr>
          <w:p>
            <w:pPr>
              <w:pStyle w:val="TableParagraph"/>
              <w:spacing w:line="155" w:lineRule="exact"/>
              <w:ind w:left="50"/>
              <w:rPr>
                <w:sz w:val="14"/>
              </w:rPr>
            </w:pPr>
            <w:r>
              <w:rPr>
                <w:sz w:val="14"/>
              </w:rPr>
              <w:t>Three months ending</w:t>
            </w:r>
          </w:p>
        </w:tc>
        <w:tc>
          <w:tcPr>
            <w:tcW w:w="1293" w:type="dxa"/>
          </w:tcPr>
          <w:p>
            <w:pPr>
              <w:pStyle w:val="TableParagraph"/>
              <w:tabs>
                <w:tab w:pos="1090" w:val="left" w:leader="none"/>
              </w:tabs>
              <w:spacing w:line="155" w:lineRule="exact"/>
              <w:ind w:left="175"/>
              <w:rPr>
                <w:sz w:val="14"/>
              </w:rPr>
            </w:pPr>
            <w:r>
              <w:rPr>
                <w:sz w:val="14"/>
                <w:u w:val="single"/>
              </w:rPr>
              <w:t>1998</w:t>
              <w:tab/>
            </w:r>
          </w:p>
          <w:p>
            <w:pPr>
              <w:pStyle w:val="TableParagraph"/>
              <w:tabs>
                <w:tab w:pos="844" w:val="left" w:leader="none"/>
              </w:tabs>
              <w:spacing w:line="160" w:lineRule="exact"/>
              <w:ind w:left="175"/>
              <w:rPr>
                <w:sz w:val="14"/>
              </w:rPr>
            </w:pPr>
            <w:r>
              <w:rPr>
                <w:sz w:val="14"/>
                <w:u w:val="single"/>
              </w:rPr>
              <w:t>Aug</w:t>
            </w:r>
            <w:r>
              <w:rPr>
                <w:sz w:val="14"/>
              </w:rPr>
              <w:t>.</w:t>
              <w:tab/>
            </w:r>
            <w:r>
              <w:rPr>
                <w:sz w:val="14"/>
                <w:u w:val="single"/>
              </w:rPr>
              <w:t>Nov</w:t>
            </w:r>
            <w:r>
              <w:rPr>
                <w:sz w:val="14"/>
              </w:rPr>
              <w:t>.</w:t>
            </w:r>
          </w:p>
        </w:tc>
        <w:tc>
          <w:tcPr>
            <w:tcW w:w="502" w:type="dxa"/>
          </w:tcPr>
          <w:p>
            <w:pPr>
              <w:pStyle w:val="TableParagraph"/>
              <w:spacing w:line="155" w:lineRule="exact"/>
              <w:ind w:left="172"/>
              <w:rPr>
                <w:sz w:val="14"/>
              </w:rPr>
            </w:pPr>
            <w:r>
              <w:rPr>
                <w:sz w:val="14"/>
                <w:u w:val="single"/>
              </w:rPr>
              <w:t>1999</w:t>
            </w:r>
          </w:p>
          <w:p>
            <w:pPr>
              <w:pStyle w:val="TableParagraph"/>
              <w:spacing w:line="160" w:lineRule="exact"/>
              <w:ind w:left="172"/>
              <w:rPr>
                <w:sz w:val="14"/>
              </w:rPr>
            </w:pPr>
            <w:r>
              <w:rPr>
                <w:sz w:val="14"/>
                <w:u w:val="single"/>
              </w:rPr>
              <w:t>Feb.</w:t>
            </w:r>
          </w:p>
        </w:tc>
      </w:tr>
      <w:tr>
        <w:trPr>
          <w:trHeight w:val="210" w:hRule="atLeast"/>
        </w:trPr>
        <w:tc>
          <w:tcPr>
            <w:tcW w:w="1415" w:type="dxa"/>
          </w:tcPr>
          <w:p>
            <w:pPr>
              <w:pStyle w:val="TableParagraph"/>
              <w:spacing w:line="133" w:lineRule="exact" w:before="56"/>
              <w:ind w:left="50"/>
              <w:rPr>
                <w:sz w:val="14"/>
              </w:rPr>
            </w:pPr>
            <w:r>
              <w:rPr>
                <w:sz w:val="14"/>
              </w:rPr>
              <w:t>Employment</w:t>
            </w:r>
          </w:p>
        </w:tc>
        <w:tc>
          <w:tcPr>
            <w:tcW w:w="1293" w:type="dxa"/>
          </w:tcPr>
          <w:p>
            <w:pPr>
              <w:pStyle w:val="TableParagraph"/>
              <w:tabs>
                <w:tab w:pos="709" w:val="left" w:leader="none"/>
              </w:tabs>
              <w:spacing w:line="133" w:lineRule="exact" w:before="56"/>
              <w:ind w:right="185"/>
              <w:jc w:val="right"/>
              <w:rPr>
                <w:sz w:val="14"/>
              </w:rPr>
            </w:pPr>
            <w:r>
              <w:rPr>
                <w:sz w:val="14"/>
              </w:rPr>
              <w:t>0.5</w:t>
              <w:tab/>
              <w:t>0.3</w:t>
            </w:r>
          </w:p>
        </w:tc>
        <w:tc>
          <w:tcPr>
            <w:tcW w:w="502" w:type="dxa"/>
          </w:tcPr>
          <w:p>
            <w:pPr>
              <w:pStyle w:val="TableParagraph"/>
              <w:spacing w:line="133" w:lineRule="exact" w:before="56"/>
              <w:ind w:right="118"/>
              <w:jc w:val="right"/>
              <w:rPr>
                <w:sz w:val="14"/>
              </w:rPr>
            </w:pPr>
            <w:r>
              <w:rPr>
                <w:sz w:val="14"/>
              </w:rPr>
              <w:t>0.3</w:t>
            </w:r>
          </w:p>
        </w:tc>
      </w:tr>
      <w:tr>
        <w:trPr>
          <w:trHeight w:val="147" w:hRule="atLeast"/>
        </w:trPr>
        <w:tc>
          <w:tcPr>
            <w:tcW w:w="1415" w:type="dxa"/>
          </w:tcPr>
          <w:p>
            <w:pPr>
              <w:pStyle w:val="TableParagraph"/>
              <w:spacing w:line="128" w:lineRule="exact"/>
              <w:ind w:left="50"/>
              <w:rPr>
                <w:sz w:val="14"/>
              </w:rPr>
            </w:pPr>
            <w:r>
              <w:rPr>
                <w:sz w:val="14"/>
              </w:rPr>
              <w:t>Total hours worked</w:t>
            </w:r>
          </w:p>
        </w:tc>
        <w:tc>
          <w:tcPr>
            <w:tcW w:w="1293" w:type="dxa"/>
          </w:tcPr>
          <w:p>
            <w:pPr>
              <w:pStyle w:val="TableParagraph"/>
              <w:tabs>
                <w:tab w:pos="663" w:val="left" w:leader="none"/>
              </w:tabs>
              <w:spacing w:line="128" w:lineRule="exact"/>
              <w:ind w:right="185"/>
              <w:jc w:val="right"/>
              <w:rPr>
                <w:sz w:val="14"/>
              </w:rPr>
            </w:pPr>
            <w:r>
              <w:rPr>
                <w:sz w:val="14"/>
              </w:rPr>
              <w:t>0.8</w:t>
              <w:tab/>
              <w:t>-0.2</w:t>
            </w:r>
          </w:p>
        </w:tc>
        <w:tc>
          <w:tcPr>
            <w:tcW w:w="502" w:type="dxa"/>
          </w:tcPr>
          <w:p>
            <w:pPr>
              <w:pStyle w:val="TableParagraph"/>
              <w:spacing w:line="128" w:lineRule="exact"/>
              <w:ind w:right="117"/>
              <w:jc w:val="right"/>
              <w:rPr>
                <w:sz w:val="14"/>
              </w:rPr>
            </w:pPr>
            <w:r>
              <w:rPr>
                <w:sz w:val="14"/>
              </w:rPr>
              <w:t>0.0</w:t>
            </w:r>
          </w:p>
        </w:tc>
      </w:tr>
    </w:tbl>
    <w:p>
      <w:pPr>
        <w:spacing w:line="242" w:lineRule="auto" w:before="4"/>
        <w:ind w:left="174" w:right="152" w:firstLine="0"/>
        <w:jc w:val="left"/>
        <w:rPr>
          <w:sz w:val="24"/>
        </w:rPr>
      </w:pPr>
      <w:r>
        <w:rPr/>
        <w:br w:type="column"/>
      </w:r>
      <w:r>
        <w:rPr>
          <w:sz w:val="24"/>
        </w:rPr>
        <w:t>by those in full-time employment fell by 0.5% in the three months to February, consistent with a fall in overtime. And second, a relatively large proportion of recent employment growth was accounted for by a rise in part-time workers, who typically work about 40% of the hours of full-timers.</w:t>
      </w:r>
    </w:p>
    <w:p>
      <w:pPr>
        <w:pStyle w:val="BodyText"/>
        <w:rPr>
          <w:sz w:val="25"/>
        </w:rPr>
      </w:pPr>
    </w:p>
    <w:p>
      <w:pPr>
        <w:spacing w:line="242" w:lineRule="auto" w:before="0"/>
        <w:ind w:left="174" w:right="234" w:firstLine="0"/>
        <w:jc w:val="left"/>
        <w:rPr>
          <w:sz w:val="24"/>
        </w:rPr>
      </w:pPr>
      <w:r>
        <w:rPr>
          <w:sz w:val="24"/>
        </w:rPr>
        <w:t>It is possible that some of the strength of recent employment growth may have reflected firms taking on staff in the expectation that demand growth will soon pick up again. The Bank’s regional Agents conducted a survey of their contacts’ employment intentions in March. Some of those planning to recruit were doing so even though they considered their staffing to be more</w:t>
      </w:r>
    </w:p>
    <w:p>
      <w:pPr>
        <w:spacing w:after="0" w:line="242" w:lineRule="auto"/>
        <w:jc w:val="left"/>
        <w:rPr>
          <w:sz w:val="24"/>
        </w:rPr>
        <w:sectPr>
          <w:type w:val="continuous"/>
          <w:pgSz w:w="11900" w:h="16840"/>
          <w:pgMar w:top="1220" w:bottom="280" w:left="640" w:right="640"/>
          <w:cols w:num="2" w:equalWidth="0">
            <w:col w:w="3845" w:space="935"/>
            <w:col w:w="5840"/>
          </w:cols>
        </w:sectPr>
      </w:pPr>
    </w:p>
    <w:p>
      <w:pPr>
        <w:pStyle w:val="BodyText"/>
        <w:rPr>
          <w:sz w:val="20"/>
        </w:rPr>
      </w:pPr>
    </w:p>
    <w:p>
      <w:pPr>
        <w:spacing w:line="242" w:lineRule="auto" w:before="206"/>
        <w:ind w:left="4945" w:right="184" w:firstLine="0"/>
        <w:jc w:val="left"/>
        <w:rPr>
          <w:sz w:val="24"/>
        </w:rPr>
      </w:pPr>
      <w:r>
        <w:rPr>
          <w:sz w:val="24"/>
        </w:rPr>
        <w:t>than adequate for their current needs, either because they were expecting a significant upturn in demand, or because they were seeking to adjust the mix of skills and job types.</w:t>
      </w:r>
    </w:p>
    <w:p>
      <w:pPr>
        <w:pStyle w:val="BodyText"/>
        <w:spacing w:before="8"/>
      </w:pPr>
    </w:p>
    <w:p>
      <w:pPr>
        <w:spacing w:after="0"/>
        <w:sectPr>
          <w:headerReference w:type="default" r:id="rId86"/>
          <w:headerReference w:type="even" r:id="rId87"/>
          <w:footerReference w:type="default" r:id="rId88"/>
          <w:footerReference w:type="even" r:id="rId89"/>
          <w:pgSz w:w="11900" w:h="16840"/>
          <w:pgMar w:header="584" w:footer="617" w:top="780" w:bottom="800" w:left="640" w:right="640"/>
          <w:pgNumType w:start="29"/>
        </w:sectPr>
      </w:pPr>
    </w:p>
    <w:p>
      <w:pPr>
        <w:pStyle w:val="Heading4"/>
        <w:spacing w:before="180"/>
        <w:ind w:left="165"/>
      </w:pPr>
      <w:r>
        <w:rPr>
          <w:color w:val="0093C1"/>
        </w:rPr>
        <w:t>Chart 3.9</w:t>
      </w:r>
    </w:p>
    <w:p>
      <w:pPr>
        <w:pStyle w:val="Heading4"/>
        <w:ind w:left="165"/>
        <w:rPr>
          <w:b w:val="0"/>
          <w:sz w:val="12"/>
        </w:rPr>
      </w:pPr>
      <w:r>
        <w:rPr>
          <w:color w:val="0093C1"/>
        </w:rPr>
        <w:t>Whole-economy labour productivity growth</w:t>
      </w:r>
      <w:r>
        <w:rPr>
          <w:b w:val="0"/>
          <w:position w:val="4"/>
          <w:sz w:val="12"/>
        </w:rPr>
        <w:t>(a)</w:t>
      </w:r>
    </w:p>
    <w:p>
      <w:pPr>
        <w:spacing w:before="143"/>
        <w:ind w:left="1784" w:right="0" w:firstLine="0"/>
        <w:jc w:val="left"/>
        <w:rPr>
          <w:sz w:val="12"/>
        </w:rPr>
      </w:pPr>
      <w:r>
        <w:rPr/>
        <w:pict>
          <v:line style="position:absolute;mso-position-horizontal-relative:page;mso-position-vertical-relative:paragraph;z-index:15974400" from="45.862999pt,14.218718pt" to="50.196999pt,14.218718pt" stroked="true" strokeweight=".5pt" strokecolor="#000000">
            <v:stroke dashstyle="solid"/>
            <w10:wrap type="none"/>
          </v:line>
        </w:pict>
      </w:r>
      <w:r>
        <w:rPr>
          <w:sz w:val="12"/>
        </w:rPr>
        <w:t>Percentage changes on a year earli</w:t>
      </w:r>
      <w:r>
        <w:rPr>
          <w:sz w:val="12"/>
          <w:u w:val="single"/>
        </w:rPr>
        <w:t>er</w:t>
      </w:r>
      <w:r>
        <w:rPr>
          <w:spacing w:val="4"/>
          <w:sz w:val="12"/>
        </w:rPr>
        <w:t> </w:t>
      </w:r>
      <w:r>
        <w:rPr>
          <w:position w:val="-5"/>
          <w:sz w:val="12"/>
        </w:rPr>
        <w:t>7</w:t>
      </w:r>
    </w:p>
    <w:p>
      <w:pPr>
        <w:spacing w:before="132"/>
        <w:ind w:left="0" w:right="468" w:firstLine="0"/>
        <w:jc w:val="right"/>
        <w:rPr>
          <w:sz w:val="12"/>
        </w:rPr>
      </w:pPr>
      <w:r>
        <w:rPr/>
        <w:pict>
          <v:group style="position:absolute;margin-left:45.862999pt;margin-top:8.077173pt;width:162.85pt;height:141.75pt;mso-position-horizontal-relative:page;mso-position-vertical-relative:paragraph;z-index:-21160448" coordorigin="917,162" coordsize="3257,2835">
            <v:line style="position:absolute" from="1056,1329" to="4056,1329" stroked="true" strokeweight=".5pt" strokecolor="#000000">
              <v:stroke dashstyle="dash"/>
            </v:line>
            <v:line style="position:absolute" from="1056,1884" to="4056,1887" stroked="true" strokeweight=".5pt" strokecolor="#000000">
              <v:stroke dashstyle="solid"/>
            </v:line>
            <v:shape style="position:absolute;left:1055;top:1769;width:120;height:1075" coordorigin="1056,1769" coordsize="120,1075" path="m1056,1769l1093,2844m1093,2844l1136,2184m1136,2184l1176,2334e" filled="false" stroked="true" strokeweight="1pt" strokecolor="#952e40">
              <v:path arrowok="t"/>
              <v:stroke dashstyle="solid"/>
            </v:shape>
            <v:line style="position:absolute" from="1194,1909" to="1194,2344" stroked="true" strokeweight="2.875pt" strokecolor="#952e40">
              <v:stroke dashstyle="solid"/>
            </v:line>
            <v:line style="position:absolute" from="1233,1337" to="1233,1929" stroked="true" strokeweight="3pt" strokecolor="#952e40">
              <v:stroke dashstyle="solid"/>
            </v:line>
            <v:line style="position:absolute" from="1274,879" to="1274,1357" stroked="true" strokeweight="3.125pt" strokecolor="#952e40">
              <v:stroke dashstyle="solid"/>
            </v:line>
            <v:shape style="position:absolute;left:1295;top:171;width:598;height:2193" coordorigin="1296,172" coordsize="598,2193" path="m1296,889l1336,579m1336,579l1373,627m1373,627l1416,532m1416,532l1456,889m1456,889l1493,822m1493,822l1536,172m1536,172l1576,807m1576,807l1616,922m1616,922l1653,1074m1653,1074l1696,1712m1696,1712l1736,2087m1736,2087l1773,2364m1773,2364l1816,2189m1816,2189l1856,1917m1856,1917l1893,839e" filled="false" stroked="true" strokeweight="1pt" strokecolor="#952e40">
              <v:path arrowok="t"/>
              <v:stroke dashstyle="solid"/>
            </v:shape>
            <v:line style="position:absolute" from="1883,837" to="1943,837" stroked="true" strokeweight="1.25pt" strokecolor="#952e40">
              <v:stroke dashstyle="solid"/>
            </v:line>
            <v:shape style="position:absolute;left:1933;top:709;width:520;height:918" coordorigin="1933,709" coordsize="520,918" path="m1933,834l1976,982m1976,982l2016,1027m2016,1027l2053,1179m2053,1179l2096,839m2096,839l2136,709m2136,709l2173,1054m2173,1054l2216,1294m2216,1294l2256,1264m2256,1264l2296,1562m2296,1562l2333,1367m2333,1367l2376,1594m2376,1594l2416,1627m2416,1627l2453,1597e" filled="false" stroked="true" strokeweight="1pt" strokecolor="#952e40">
              <v:path arrowok="t"/>
              <v:stroke dashstyle="solid"/>
            </v:shape>
            <v:line style="position:absolute" from="2474,1587" to="2474,2019" stroked="true" strokeweight="3.125pt" strokecolor="#952e40">
              <v:stroke dashstyle="solid"/>
            </v:line>
            <v:shape style="position:absolute;left:2485;top:1586;width:378;height:653" type="#_x0000_t75" stroked="false">
              <v:imagedata r:id="rId90" o:title=""/>
            </v:shape>
            <v:line style="position:absolute" from="2873,1139" to="2873,1607" stroked="true" strokeweight="3pt" strokecolor="#952e40">
              <v:stroke dashstyle="solid"/>
            </v:line>
            <v:shape style="position:absolute;left:2883;top:756;width:583;height:485" type="#_x0000_t75" stroked="false">
              <v:imagedata r:id="rId91" o:title=""/>
            </v:shape>
            <v:line style="position:absolute" from="3476,1012" to="3476,1414" stroked="true" strokeweight="3pt" strokecolor="#952e40">
              <v:stroke dashstyle="solid"/>
            </v:line>
            <v:shape style="position:absolute;left:3495;top:1404;width:198;height:170" coordorigin="3496,1404" coordsize="198,170" path="m3496,1404l3536,1519m3536,1519l3573,1574m3573,1574l3616,1439m3616,1439l3656,1409m3656,1409l3693,1494e" filled="false" stroked="true" strokeweight="1pt" strokecolor="#952e40">
              <v:path arrowok="t"/>
              <v:stroke dashstyle="solid"/>
            </v:shape>
            <v:line style="position:absolute" from="3683,1495" to="3746,1495" stroked="true" strokeweight="1.125pt" strokecolor="#952e40">
              <v:stroke dashstyle="solid"/>
            </v:line>
            <v:shape style="position:absolute;left:3735;top:1394;width:120;height:135" coordorigin="3736,1394" coordsize="120,135" path="m3736,1494l3776,1529m3776,1529l3813,1472m3813,1472l3856,1394e" filled="false" stroked="true" strokeweight="1pt" strokecolor="#952e40">
              <v:path arrowok="t"/>
              <v:stroke dashstyle="solid"/>
            </v:shape>
            <v:line style="position:absolute" from="3846,1395" to="3906,1395" stroked="true" strokeweight="1.125pt" strokecolor="#952e40">
              <v:stroke dashstyle="solid"/>
            </v:line>
            <v:shape style="position:absolute;left:3895;top:1394;width:160;height:303" coordorigin="3896,1394" coordsize="160,303" path="m3896,1394l3936,1557m3936,1557l3973,1534m3973,1534l4016,1562m4016,1562l4056,1697e" filled="false" stroked="true" strokeweight="1pt" strokecolor="#952e40">
              <v:path arrowok="t"/>
              <v:stroke dashstyle="solid"/>
            </v:shape>
            <v:shape style="position:absolute;left:917;top:220;width:3257;height:2495" coordorigin="917,220" coordsize="3257,2495" path="m917,220l1004,220m917,497l1004,497m917,774l1004,774m917,1051l1004,1051m917,1328l1004,1328m917,1605l1004,1605m917,1882l1004,1882m917,2159l1004,2159m917,2436l1004,2436m917,2713l1004,2713m4087,221l4174,221m4087,498l4174,498m4087,775l4174,775m4087,1052l4174,1052m4087,1329l4174,1329m4087,1606l4174,1606m4087,1883l4174,1883m4087,2160l4174,2160m4087,2437l4174,2437m4087,2714l4174,2714m2536,524l2536,1244e" filled="false" stroked="true" strokeweight=".5pt" strokecolor="#000000">
              <v:path arrowok="t"/>
              <v:stroke dashstyle="solid"/>
            </v:shape>
            <v:shape style="position:absolute;left:2510;top:1227;width:51;height:85" coordorigin="2510,1227" coordsize="51,85" path="m2561,1227l2510,1227,2517,1243,2521,1255,2536,1312,2537,1303,2539,1292,2542,1281,2546,1268,2550,1256,2561,1227xe" filled="true" fillcolor="#000000" stroked="false">
              <v:path arrowok="t"/>
              <v:fill type="solid"/>
            </v:shape>
            <v:shape style="position:absolute;left:917;top:2990;width:3257;height:2" coordorigin="917,2990" coordsize="3257,2" path="m917,2990l1004,2990m4087,2991l4174,2991e" filled="false" stroked="true" strokeweight=".5pt" strokecolor="#000000">
              <v:path arrowok="t"/>
              <v:stroke dashstyle="solid"/>
            </v:shape>
            <v:shape style="position:absolute;left:1051;top:2906;width:3005;height:85" coordorigin="1051,2907" coordsize="3005,85" path="m1051,2989l4056,2989m1051,2907l1051,2992m1212,2907l1212,2992m1372,2907l1372,2992m1532,2907l1532,2992m1693,2907l1693,2992m1853,2907l1853,2992m2013,2907l2013,2992m2173,2907l2173,2992m2334,2907l2334,2992m2494,2907l2494,2992m2654,2907l2654,2992m2814,2907l2814,2992m2975,2907l2975,2992m3135,2907l3135,2992m3295,2907l3295,2992m3456,2907l3456,2992m3616,2907l3616,2992m3776,2907l3776,2992m3936,2907l3936,2992e" filled="false" stroked="true" strokeweight=".5pt" strokecolor="#231f20">
              <v:path arrowok="t"/>
              <v:stroke dashstyle="solid"/>
            </v:shape>
            <w10:wrap type="none"/>
          </v:group>
        </w:pict>
      </w:r>
      <w:r>
        <w:rPr>
          <w:sz w:val="12"/>
        </w:rPr>
        <w:t>6</w:t>
      </w:r>
    </w:p>
    <w:p>
      <w:pPr>
        <w:tabs>
          <w:tab w:pos="3628" w:val="right" w:leader="none"/>
        </w:tabs>
        <w:spacing w:before="114"/>
        <w:ind w:left="1475" w:right="0" w:firstLine="0"/>
        <w:jc w:val="left"/>
        <w:rPr>
          <w:sz w:val="12"/>
        </w:rPr>
      </w:pPr>
      <w:r>
        <w:rPr>
          <w:sz w:val="12"/>
        </w:rPr>
        <w:t>Average (1960–98)</w:t>
        <w:tab/>
      </w:r>
      <w:r>
        <w:rPr>
          <w:position w:val="-2"/>
          <w:sz w:val="12"/>
        </w:rPr>
        <w:t>5</w:t>
      </w:r>
    </w:p>
    <w:p>
      <w:pPr>
        <w:spacing w:before="132"/>
        <w:ind w:left="0" w:right="468" w:firstLine="0"/>
        <w:jc w:val="right"/>
        <w:rPr>
          <w:sz w:val="12"/>
        </w:rPr>
      </w:pPr>
      <w:r>
        <w:rPr>
          <w:sz w:val="12"/>
        </w:rPr>
        <w:t>4</w:t>
      </w:r>
    </w:p>
    <w:p>
      <w:pPr>
        <w:pStyle w:val="BodyText"/>
        <w:spacing w:before="2"/>
        <w:rPr>
          <w:sz w:val="12"/>
        </w:rPr>
      </w:pPr>
    </w:p>
    <w:p>
      <w:pPr>
        <w:spacing w:before="0"/>
        <w:ind w:left="0" w:right="468" w:firstLine="0"/>
        <w:jc w:val="right"/>
        <w:rPr>
          <w:sz w:val="12"/>
        </w:rPr>
      </w:pPr>
      <w:r>
        <w:rPr>
          <w:sz w:val="12"/>
        </w:rPr>
        <w:t>3</w:t>
      </w:r>
    </w:p>
    <w:p>
      <w:pPr>
        <w:pStyle w:val="BodyText"/>
        <w:spacing w:before="1"/>
        <w:rPr>
          <w:sz w:val="12"/>
        </w:rPr>
      </w:pPr>
    </w:p>
    <w:p>
      <w:pPr>
        <w:spacing w:before="0"/>
        <w:ind w:left="0" w:right="468" w:firstLine="0"/>
        <w:jc w:val="right"/>
        <w:rPr>
          <w:sz w:val="12"/>
        </w:rPr>
      </w:pPr>
      <w:r>
        <w:rPr>
          <w:sz w:val="12"/>
        </w:rPr>
        <w:t>2</w:t>
      </w:r>
    </w:p>
    <w:p>
      <w:pPr>
        <w:pStyle w:val="BodyText"/>
        <w:spacing w:before="2"/>
        <w:rPr>
          <w:sz w:val="12"/>
        </w:rPr>
      </w:pPr>
    </w:p>
    <w:p>
      <w:pPr>
        <w:spacing w:line="132" w:lineRule="exact" w:before="0"/>
        <w:ind w:left="3568" w:right="0" w:firstLine="0"/>
        <w:jc w:val="left"/>
        <w:rPr>
          <w:sz w:val="12"/>
        </w:rPr>
      </w:pPr>
      <w:r>
        <w:rPr>
          <w:sz w:val="12"/>
        </w:rPr>
        <w:t>1</w:t>
      </w:r>
    </w:p>
    <w:p>
      <w:pPr>
        <w:spacing w:line="162" w:lineRule="exact" w:before="0"/>
        <w:ind w:left="3500" w:right="0" w:firstLine="0"/>
        <w:jc w:val="left"/>
        <w:rPr>
          <w:sz w:val="16"/>
        </w:rPr>
      </w:pPr>
      <w:r>
        <w:rPr>
          <w:sz w:val="16"/>
        </w:rPr>
        <w:t>+</w:t>
      </w:r>
    </w:p>
    <w:p>
      <w:pPr>
        <w:spacing w:line="86" w:lineRule="exact" w:before="0"/>
        <w:ind w:left="3568" w:right="0" w:firstLine="0"/>
        <w:jc w:val="left"/>
        <w:rPr>
          <w:sz w:val="12"/>
        </w:rPr>
      </w:pPr>
      <w:r>
        <w:rPr>
          <w:sz w:val="12"/>
        </w:rPr>
        <w:t>0</w:t>
      </w:r>
    </w:p>
    <w:p>
      <w:pPr>
        <w:spacing w:line="148" w:lineRule="exact" w:before="0"/>
        <w:ind w:left="3500" w:right="0" w:firstLine="0"/>
        <w:jc w:val="left"/>
        <w:rPr>
          <w:sz w:val="16"/>
        </w:rPr>
      </w:pPr>
      <w:r>
        <w:rPr>
          <w:sz w:val="16"/>
        </w:rPr>
        <w:t>_</w:t>
      </w:r>
    </w:p>
    <w:p>
      <w:pPr>
        <w:spacing w:before="28"/>
        <w:ind w:left="0" w:right="468" w:firstLine="0"/>
        <w:jc w:val="right"/>
        <w:rPr>
          <w:sz w:val="12"/>
        </w:rPr>
      </w:pPr>
      <w:r>
        <w:rPr>
          <w:sz w:val="12"/>
        </w:rPr>
        <w:t>1</w:t>
      </w:r>
    </w:p>
    <w:p>
      <w:pPr>
        <w:pStyle w:val="BodyText"/>
        <w:spacing w:before="11"/>
        <w:rPr>
          <w:sz w:val="11"/>
        </w:rPr>
      </w:pPr>
    </w:p>
    <w:p>
      <w:pPr>
        <w:spacing w:before="0"/>
        <w:ind w:left="0" w:right="468" w:firstLine="0"/>
        <w:jc w:val="right"/>
        <w:rPr>
          <w:sz w:val="12"/>
        </w:rPr>
      </w:pPr>
      <w:r>
        <w:rPr>
          <w:sz w:val="12"/>
        </w:rPr>
        <w:t>2</w:t>
      </w:r>
    </w:p>
    <w:p>
      <w:pPr>
        <w:pStyle w:val="BodyText"/>
        <w:spacing w:before="1"/>
        <w:rPr>
          <w:sz w:val="12"/>
        </w:rPr>
      </w:pPr>
    </w:p>
    <w:p>
      <w:pPr>
        <w:spacing w:before="0"/>
        <w:ind w:left="0" w:right="468" w:firstLine="0"/>
        <w:jc w:val="right"/>
        <w:rPr>
          <w:sz w:val="12"/>
        </w:rPr>
      </w:pPr>
      <w:r>
        <w:rPr>
          <w:sz w:val="12"/>
        </w:rPr>
        <w:t>3</w:t>
      </w:r>
    </w:p>
    <w:p>
      <w:pPr>
        <w:pStyle w:val="BodyText"/>
        <w:spacing w:before="11"/>
        <w:rPr>
          <w:sz w:val="11"/>
        </w:rPr>
      </w:pPr>
    </w:p>
    <w:p>
      <w:pPr>
        <w:spacing w:line="128" w:lineRule="exact" w:before="0"/>
        <w:ind w:left="3568" w:right="0" w:firstLine="0"/>
        <w:jc w:val="left"/>
        <w:rPr>
          <w:sz w:val="12"/>
        </w:rPr>
      </w:pPr>
      <w:r>
        <w:rPr>
          <w:sz w:val="12"/>
        </w:rPr>
        <w:t>4</w:t>
      </w:r>
    </w:p>
    <w:p>
      <w:pPr>
        <w:tabs>
          <w:tab w:pos="903" w:val="left" w:leader="none"/>
          <w:tab w:pos="1388" w:val="left" w:leader="none"/>
          <w:tab w:pos="1868" w:val="left" w:leader="none"/>
          <w:tab w:pos="2353" w:val="left" w:leader="none"/>
          <w:tab w:pos="2843" w:val="left" w:leader="none"/>
          <w:tab w:pos="3303" w:val="left" w:leader="none"/>
        </w:tabs>
        <w:spacing w:line="128" w:lineRule="exact" w:before="0"/>
        <w:ind w:left="298" w:right="0" w:firstLine="0"/>
        <w:jc w:val="left"/>
        <w:rPr>
          <w:sz w:val="12"/>
        </w:rPr>
      </w:pPr>
      <w:r>
        <w:rPr>
          <w:sz w:val="12"/>
        </w:rPr>
        <w:t>1980</w:t>
        <w:tab/>
        <w:t>83</w:t>
        <w:tab/>
        <w:t>86</w:t>
        <w:tab/>
        <w:t>89</w:t>
        <w:tab/>
        <w:t>92</w:t>
        <w:tab/>
        <w:t>95</w:t>
        <w:tab/>
        <w:t>98</w:t>
      </w:r>
    </w:p>
    <w:p>
      <w:pPr>
        <w:pStyle w:val="BodyText"/>
        <w:spacing w:before="2"/>
        <w:rPr>
          <w:sz w:val="10"/>
        </w:rPr>
      </w:pPr>
    </w:p>
    <w:p>
      <w:pPr>
        <w:spacing w:line="208" w:lineRule="auto" w:before="0"/>
        <w:ind w:left="405" w:right="375" w:hanging="240"/>
        <w:jc w:val="left"/>
        <w:rPr>
          <w:sz w:val="12"/>
        </w:rPr>
      </w:pPr>
      <w:r>
        <w:rPr>
          <w:sz w:val="12"/>
        </w:rPr>
        <w:t>(a) Official measure, defined as GDP at basic prices divided by the number of Workforce jobs.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pStyle w:val="Heading4"/>
        <w:spacing w:line="249" w:lineRule="auto" w:before="0"/>
        <w:ind w:right="2126"/>
      </w:pPr>
      <w:r>
        <w:rPr>
          <w:color w:val="0093C1"/>
        </w:rPr>
        <w:t>Chart 3.10 Unemployment rates</w:t>
      </w:r>
    </w:p>
    <w:p>
      <w:pPr>
        <w:spacing w:line="242" w:lineRule="auto" w:before="90"/>
        <w:ind w:left="165" w:right="163" w:firstLine="0"/>
        <w:jc w:val="left"/>
        <w:rPr>
          <w:sz w:val="24"/>
        </w:rPr>
      </w:pPr>
      <w:r>
        <w:rPr/>
        <w:br w:type="column"/>
      </w:r>
      <w:r>
        <w:rPr>
          <w:sz w:val="24"/>
        </w:rPr>
        <w:t>Employment has grown relatively rapidly compared with the growth in output since the mid 1990s. Consequently, annual growth in the official measure of whole-economy labour productivity—the amount of output per employed person—has averaged only about 1</w:t>
      </w:r>
      <w:r>
        <w:rPr>
          <w:position w:val="8"/>
          <w:sz w:val="12"/>
        </w:rPr>
        <w:t>1</w:t>
      </w:r>
      <w:r>
        <w:rPr>
          <w:sz w:val="24"/>
        </w:rPr>
        <w:t>/</w:t>
      </w:r>
      <w:r>
        <w:rPr>
          <w:sz w:val="12"/>
        </w:rPr>
        <w:t>2</w:t>
      </w:r>
      <w:r>
        <w:rPr>
          <w:sz w:val="24"/>
        </w:rPr>
        <w:t>% since 1995, below the longer-run historical average of around 2% (see Chart 3.9). Developments in labour productivity are important for assessing inflationary pressures. A change in the rate of labour productivity growth which is not reflected in earnings growth affects firms’ unit labour costs. And, in the longer run, real earnings should rise in line with trend productivity growth.</w:t>
      </w:r>
    </w:p>
    <w:p>
      <w:pPr>
        <w:pStyle w:val="BodyText"/>
        <w:spacing w:before="4"/>
        <w:rPr>
          <w:sz w:val="27"/>
        </w:rPr>
      </w:pPr>
    </w:p>
    <w:p>
      <w:pPr>
        <w:spacing w:line="242" w:lineRule="auto" w:before="1"/>
        <w:ind w:left="165" w:right="210" w:firstLine="0"/>
        <w:jc w:val="left"/>
        <w:rPr>
          <w:sz w:val="24"/>
        </w:rPr>
      </w:pPr>
      <w:r>
        <w:rPr>
          <w:sz w:val="24"/>
        </w:rPr>
        <w:t>There is no strong evidence that the trend rate of labour productivity growth has shifted: since the start of the 1990s recovery, productivity growth has averaged just over 2%, in line with the longer-run average. But the cyclical behaviour of productivity growth does appear to have been different in the 1990s. Historically, productivity growth has tended to rise strongly during the early part of a recovery and to fall sharply during</w:t>
      </w:r>
    </w:p>
    <w:p>
      <w:pPr>
        <w:spacing w:line="242" w:lineRule="auto" w:before="10"/>
        <w:ind w:left="165" w:right="268" w:firstLine="0"/>
        <w:jc w:val="left"/>
        <w:rPr>
          <w:sz w:val="24"/>
        </w:rPr>
      </w:pPr>
      <w:r>
        <w:rPr>
          <w:sz w:val="24"/>
        </w:rPr>
        <w:t>a downturn, reflecting the delayed response of employment to changes in output. During the 1990s, cyclical swings in productivity have been rather less pronounced. This is likely to have reflected a range of influences. But one possible factor is that the labour market reforms of the last two decades, together with other structural changes in the economy, have increased the speed and flexibility with which employers can adjust both the number of employees and the amount of hours worked in response to changes in demand. In its</w:t>
      </w:r>
    </w:p>
    <w:p>
      <w:pPr>
        <w:spacing w:after="0" w:line="242" w:lineRule="auto"/>
        <w:jc w:val="left"/>
        <w:rPr>
          <w:sz w:val="24"/>
        </w:rPr>
        <w:sectPr>
          <w:type w:val="continuous"/>
          <w:pgSz w:w="11900" w:h="16840"/>
          <w:pgMar w:top="1220" w:bottom="280" w:left="640" w:right="640"/>
          <w:cols w:num="2" w:equalWidth="0">
            <w:col w:w="4099" w:space="681"/>
            <w:col w:w="584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spacing w:line="208" w:lineRule="auto" w:before="0"/>
        <w:ind w:left="1126" w:right="603" w:hanging="60"/>
        <w:jc w:val="left"/>
        <w:rPr>
          <w:sz w:val="12"/>
        </w:rPr>
      </w:pPr>
      <w:r>
        <w:rPr>
          <w:sz w:val="12"/>
        </w:rPr>
        <w:t>LFS </w:t>
      </w:r>
      <w:r>
        <w:rPr>
          <w:spacing w:val="-2"/>
          <w:sz w:val="12"/>
        </w:rPr>
        <w:t>unemployment </w:t>
      </w:r>
      <w:r>
        <w:rPr>
          <w:sz w:val="12"/>
        </w:rPr>
        <w:t>rate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7"/>
        </w:rPr>
      </w:pPr>
    </w:p>
    <w:p>
      <w:pPr>
        <w:spacing w:before="0"/>
        <w:ind w:left="570" w:right="0" w:firstLine="0"/>
        <w:jc w:val="left"/>
        <w:rPr>
          <w:sz w:val="12"/>
        </w:rPr>
      </w:pPr>
      <w:r>
        <w:rPr>
          <w:sz w:val="12"/>
        </w:rPr>
        <w:t>Claimant count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6"/>
        </w:rPr>
      </w:pPr>
    </w:p>
    <w:p>
      <w:pPr>
        <w:spacing w:line="129" w:lineRule="exact" w:before="0"/>
        <w:ind w:left="1565" w:right="0" w:firstLine="0"/>
        <w:jc w:val="left"/>
        <w:rPr>
          <w:sz w:val="12"/>
        </w:rPr>
      </w:pPr>
      <w:r>
        <w:rPr>
          <w:sz w:val="12"/>
        </w:rPr>
        <w:t>Short-term (a)</w:t>
      </w:r>
    </w:p>
    <w:p>
      <w:pPr>
        <w:spacing w:line="129" w:lineRule="exact" w:before="0"/>
        <w:ind w:left="1595" w:right="0" w:firstLine="0"/>
        <w:jc w:val="left"/>
        <w:rPr>
          <w:sz w:val="12"/>
        </w:rPr>
      </w:pPr>
      <w:r>
        <w:rPr/>
        <w:pict>
          <v:line style="position:absolute;mso-position-horizontal-relative:page;mso-position-vertical-relative:paragraph;z-index:15975424" from="44.208pt,4.333747pt" to="48.542pt,4.333747pt" stroked="true" strokeweight=".5pt" strokecolor="#000000">
            <v:stroke dashstyle="solid"/>
            <w10:wrap type="none"/>
          </v:line>
        </w:pict>
      </w:r>
      <w:r>
        <w:rPr>
          <w:sz w:val="12"/>
        </w:rPr>
        <w:t>LFS unemployment rate</w:t>
      </w:r>
    </w:p>
    <w:p>
      <w:pPr>
        <w:pStyle w:val="BodyText"/>
        <w:spacing w:before="3"/>
        <w:rPr>
          <w:sz w:val="11"/>
        </w:rPr>
      </w:pPr>
      <w:r>
        <w:rPr/>
        <w:br w:type="column"/>
      </w:r>
      <w:r>
        <w:rPr>
          <w:sz w:val="11"/>
        </w:rPr>
      </w:r>
    </w:p>
    <w:p>
      <w:pPr>
        <w:spacing w:line="118" w:lineRule="exact" w:before="0"/>
        <w:ind w:left="386" w:right="0" w:firstLine="0"/>
        <w:jc w:val="left"/>
        <w:rPr>
          <w:sz w:val="12"/>
        </w:rPr>
      </w:pPr>
      <w:r>
        <w:rPr>
          <w:sz w:val="12"/>
        </w:rPr>
        <w:t>Per cent</w:t>
      </w:r>
    </w:p>
    <w:p>
      <w:pPr>
        <w:spacing w:line="118" w:lineRule="exact" w:before="0"/>
        <w:ind w:left="796" w:right="0" w:firstLine="0"/>
        <w:jc w:val="left"/>
        <w:rPr>
          <w:sz w:val="12"/>
        </w:rPr>
      </w:pPr>
      <w:r>
        <w:rPr/>
        <w:pict>
          <v:group style="position:absolute;margin-left:44.208pt;margin-top:2.256562pt;width:166.7pt;height:126.25pt;mso-position-horizontal-relative:page;mso-position-vertical-relative:paragraph;z-index:-21159424" coordorigin="884,45" coordsize="3334,2525">
            <v:shape style="position:absolute;left:1048;top:1874;width:3003;height:685" coordorigin="1048,1874" coordsize="3003,685" path="m1048,1929l1066,1939m1066,1939l1083,1947m1083,1947l1098,1959m1098,1959l1116,1967m1116,1967l1133,1977m1133,1977l1151,1984m1151,1984l1186,2004m1186,2004l1201,2014m1201,2014l1218,2022m1218,2022l1233,2032m1233,2032l1251,2039m1251,2039l1268,2034m1268,2034l1286,2027m1286,2027l1321,2017m1321,2017l1336,2009m1336,2009l1388,1994m1388,1994l1406,1987m1406,1987l1423,1982m1423,1982l1438,1979m1438,1979l1456,1974m1456,1974l1471,1977m1471,1977l1558,1989m1558,1989l1573,1994m1573,1994l1626,2002m1626,2002l1643,2007m1643,2007l1658,2009m1658,2009l1676,2034m1676,2034l1693,2057m1693,2057l1711,2082m1711,2082l1728,2104m1728,2104l1743,2127m1743,2127l1778,2177m1778,2177l1793,2199m1793,2199l1846,2267m1846,2267l1863,2294m1863,2294l1881,2307m1881,2307l1913,2339m1913,2339l1931,2354m1931,2354l1948,2367m1948,2367l1966,2382m1966,2382l1998,2414m1998,2414l2016,2427m2016,2427l2048,2459m2048,2459l2066,2474m2066,2474l2083,2472m2083,2472l2101,2467m2101,2467l2118,2464m2118,2464l2133,2467m2133,2464l2203,2454m2203,2454l2221,2457m2221,2454l2236,2452m2236,2452l2253,2447m2253,2447l2271,2444m2271,2444l2286,2404m2286,2404l2338,2284m2338,2284l2353,2244m2353,2244l2441,2044m2441,2044l2456,2004m2456,2004l2473,1964m2473,1964l2491,1957m2491,1957l2508,1947m2508,1947l2526,1939m2526,1939l2543,1929m2543,1929l2558,1924m2558,1924l2576,1917m2576,1917l2591,1907m2591,1907l2608,1899m2608,1899l2626,1889m2626,1889l2643,1884m2643,1884l2661,1879m2661,1879l2678,1874m2678,1874l2711,1939m2711,1939l2728,1964m2728,1964l2746,1969m2746,1969l2763,1954m2763,1954l2781,1947m2781,1947l2796,1937m2796,1937l2813,1914m2813,1914l2831,1889m2831,1889l2846,1929m2846,1929l2863,1947m2863,1947l2881,1979m2881,1979l2898,2004m2898,2004l2913,2007m2913,2007l2931,2034m2931,2034l2948,2067m2948,2067l2966,2084m2966,2084l2983,2092m2983,2092l3001,2084m3001,2084l3016,2087m3016,2084l3033,2122m3033,2122l3051,2144m3051,2144l3068,2187m3068,2187l3086,2192m3086,2192l3103,2202m3103,2202l3118,2212m3118,2212l3136,2219m3136,2219l3151,2257m3151,2257l3168,2267m3168,2267l3186,2304m3186,2304l3203,2302m3203,2302l3221,2307m3221,2307l3238,2322m3238,2322l3253,2324m3253,2322l3271,2324m3271,2324l3288,2314m3288,2314l3306,2342m3306,2342l3323,2319m3323,2319l3341,2332m3341,2332l3356,2322m3356,2322l3373,2317m3373,2317l3388,2284m3388,2284l3406,2322m3406,2322l3423,2302m3423,2302l3441,2322m3441,2322l3458,2317m3458,2317l3473,2304m3473,2304l3491,2297m3491,2297l3508,2307m3508,2307l3526,2332m3526,2332l3543,2362m3543,2362l3561,2359m3561,2359l3576,2357m3576,2357l3593,2354m3593,2354l3611,2399m3611,2399l3646,2474m3646,2474l3661,2487m3661,2487l3678,2502m3678,2502l3696,2484m3696,2484l3711,2467m3711,2467l3728,2434m3728,2434l3746,2472m3746,2472l3763,2517m3763,2517l3781,2537m3781,2537l3798,2527m3798,2527l3813,2522m3813,2522l3831,2537m3831,2537l3848,2532m3848,2532l3866,2534m3866,2532l3883,2544m3883,2544l3901,2559m3901,2559l3916,2554m3916,2554l3933,2537m3933,2537l3948,2519m3948,2519l3966,2534m3966,2534l3983,2532m3983,2532l4001,2522m4001,2522l4018,2517m4018,2517l4033,2482m4033,2482l4051,2484e" filled="false" stroked="true" strokeweight="1pt" strokecolor="#df6f1d">
              <v:path arrowok="t"/>
              <v:stroke dashstyle="solid"/>
            </v:shape>
            <v:shape style="position:absolute;left:1048;top:134;width:3003;height:1810" coordorigin="1048,134" coordsize="3003,1810" path="m1048,134l1066,152m1066,152l1083,167m1083,167l1098,182m1098,182l1116,194m1116,194l1151,224m1151,224l1168,242m1168,242l1186,254m1186,254l1201,269m1201,269l1218,284m1218,284l1233,299m1233,299l1251,312m1251,312l1268,314m1268,314l1286,317m1286,314l1303,317m1303,314l1321,319m1321,319l1336,322m1336,319l1353,322m1353,319l1371,322m1371,322l1388,324m1388,322l1406,324m1406,322l1423,324m1423,322l1438,324m1438,324l1456,327m1456,324l1471,334m1471,334l1506,359m1506,359l1523,369m1523,369l1558,394m1558,394l1573,407m1573,407l1591,419m1591,419l1608,429m1608,429l1626,442m1626,442l1643,452m1643,452l1658,464m1658,464l1728,684m1728,684l1743,739m1743,739l1761,797m1761,797l1778,849m1778,849l1793,904m1793,904l1811,959m1811,959l1828,1012m1828,1012l1863,1122m1863,1122l1881,1164m1881,1164l1896,1207m1896,1207l1931,1292m1931,1292l1948,1332m1948,1332l1966,1377m1966,1377l1983,1419m1983,1419l1998,1462m1998,1462l2016,1502m2016,1502l2031,1544m2031,1544l2048,1584m2048,1584l2066,1627m2066,1627l2101,1647m2101,1647l2118,1659m2118,1659l2133,1667m2133,1667l2151,1679m2151,1679l2168,1687m2168,1687l2186,1699m2186,1699l2203,1707m2203,1707l2221,1719m2221,1719l2236,1727m2236,1727l2253,1739m2253,1739l2271,1747m2271,1747l2286,1704m2286,1704l2303,1664m2303,1664l2338,1579m2338,1579l2353,1537m2353,1537l2371,1494m2371,1494l2388,1449m2388,1449l2441,1322m2441,1322l2456,1282m2456,1282l2473,1239m2473,1239l2508,1159m2508,1159l2526,1122m2526,1122l2543,1082m2543,1082l2558,1042m2558,1042l2576,1004m2576,1004l2591,964m2591,964l2608,924m2608,924l2626,887m2626,887l2661,792m2661,792l2678,747m2678,747l2693,759m2693,759l2711,729m2711,729l2728,719m2728,719l2746,722m2746,719l2763,682m2763,682l2781,619m2781,619l2796,574m2796,574l2813,519m2813,519l2831,469m2831,469l2846,487m2846,487l2863,502m2863,502l2881,542m2881,542l2898,567m2898,567l2913,569m2913,569l2931,592m2931,592l2948,612m2948,612l2966,622m2966,622l2983,619m2983,619l3001,607m3001,607l3016,609m3016,609l3033,662m3033,662l3051,707m3051,707l3068,749m3068,749l3103,784m3103,784l3118,824m3118,824l3136,842m3136,842l3151,899m3151,899l3168,939m3168,939l3186,987m3186,987l3203,1024m3203,1024l3221,1049m3221,1049l3238,1059m3238,1059l3253,1062m3253,1059l3271,1069m3271,1069l3288,1092m3288,1092l3306,1127m3306,1127l3323,1124m3323,1124l3341,1142m3341,1142l3356,1129m3356,1129l3373,1157m3373,1157l3388,1162m3388,1162l3406,1239m3406,1239l3423,1212m3423,1212l3441,1237m3441,1237l3458,1257m3458,1257l3473,1239m3473,1239l3491,1242m3491,1242l3508,1262m3508,1262l3526,1299m3526,1299l3543,1329m3543,1329l3561,1332m3561,1329l3576,1339m3576,1339l3593,1359m3593,1359l3611,1397m3611,1397l3628,1444m3628,1444l3646,1507m3646,1507l3661,1557m3661,1557l3678,1594m3678,1594l3696,1599m3696,1599l3711,1614m3711,1614l3728,1589m3728,1589l3746,1659m3746,1659l3763,1734m3763,1734l3781,1787m3781,1787l3798,1797m3798,1797l3813,1822m3813,1822l3831,1859m3831,1859l3848,1869m3848,1869l3866,1867m3866,1867l3883,1889m3883,1889l3901,1902m3901,1902l3916,1914m3916,1914l3933,1924m3933,1924l3948,1914m3948,1914l3966,1927m3966,1927l3983,1937m3983,1937l4001,1942m4001,1942l4018,1944m4018,1944l4033,1907m4033,1907l4051,1914e" filled="false" stroked="true" strokeweight="1pt" strokecolor="#f7a08b">
              <v:path arrowok="t"/>
              <v:stroke dashstyle="solid"/>
            </v:shape>
            <v:shape style="position:absolute;left:1048;top:311;width:3020;height:2153" coordorigin="1048,312" coordsize="3020,2153" path="m1048,542l1066,507m1066,507l1083,509m1083,507l1098,509m1098,507l1116,444m1116,444l1133,447m1133,444l1151,447m1151,444l1168,409m1168,409l1186,474m1186,474l1201,444m1201,444l1218,447m1218,444l1233,409m1233,409l1251,412m1251,409l1268,444m1268,444l1286,447m1286,444l1303,409m1303,409l1321,412m1321,409l1336,412m1336,409l1353,412m1353,409l1371,379m1371,379l1388,382m1388,379l1406,382m1406,379l1423,312m1423,312l1438,347m1438,347l1456,349m1456,347l1471,312m1471,312l1488,314m1488,312l1506,314m1506,312l1523,347m1523,347l1541,379m1541,379l1558,382m1558,379l1591,444m1591,444l1608,507m1608,507l1626,542m1626,542l1643,572m1643,572l1658,639m1658,639l1676,669m1676,669l1693,737m1693,737l1711,802m1711,802l1728,832m1728,832l1743,899m1743,899l1761,964m1761,964l1778,997m1778,997l1793,1092m1793,1092l1811,1127m1811,1127l1828,1192m1828,1192l1846,1224m1846,1224l1863,1289m1863,1289l1881,1322m1881,1322l1896,1387m1896,1387l1913,1454m1913,1454l1931,1484m1931,1484l1948,1519m1948,1519l1966,1582m1966,1582l1983,1647m1983,1647l1998,1714m1998,1714l2016,1779m2016,1779l2031,1809m2031,1809l2048,1877m2048,1877l2066,1907m2066,1907l2083,1942m2083,1942l2101,1974m2101,1974l2118,2004m2118,2004l2133,2039m2133,2039l2151,2042m2151,2039l2203,2137m2203,2137l2221,2139m2221,2137l2236,2139m2236,2137l2253,2167m2253,2167l2271,2137m2271,2137l2286,2139m2286,2137l2303,2139m2303,2137l2338,2072m2338,2072l2353,2004m2353,2004l2371,1942m2371,1942l2388,1877m2388,1877l2406,1809m2406,1809l2423,1714m2423,1714l2441,1582m2441,1582l2456,1484m2456,1484l2473,1419m2473,1419l2491,1322m2491,1322l2508,1257m2508,1257l2526,1224m2526,1224l2543,1159m2543,1159l2558,1127m2558,1127l2591,1062m2591,1062l2608,997m2608,997l2626,929m2626,929l2643,932m2643,929l2661,867m2661,867l2678,832m2678,832l2693,834m2693,832l2711,802m2711,802l2746,737m2746,737l2763,669m2763,669l2781,639m2781,639l2796,542m2796,542l2813,544m2813,542l2831,544m2831,542l2846,572m2846,572l2863,574m2863,572l2881,574m2881,572l2898,607m2898,607l2913,609m2913,607l2931,609m2931,607l2948,639m2948,639l2966,669m2966,669l2983,704m2983,704l3001,769m3001,769l3016,737m3016,737l3051,802m3051,802l3068,832m3068,832l3086,867m3086,867l3103,899m3103,899l3136,964m3136,964l3151,997m3151,997l3168,1062m3168,1062l3186,1092m3186,1092l3203,1159m3203,1159l3238,1289m3238,1289l3253,1292m3253,1289l3271,1322m3271,1322l3288,1324m3288,1322l3306,1357m3306,1357l3323,1359m3323,1357l3341,1387m3341,1387l3356,1389m3356,1387l3373,1419m3373,1419l3388,1422m3388,1419l3406,1422m3406,1419l3423,1454m3423,1454l3441,1457m3441,1454l3458,1484m3458,1484l3473,1487m3473,1484l3491,1519m3491,1519l3508,1522m3508,1519l3526,1549m3526,1549l3543,1582m3543,1582l3561,1617m3561,1617l3576,1679m3576,1679l3593,1779m3593,1779l3611,1842m3611,1842l3628,1877m3628,1877l3646,1974m3646,1974l3661,2004m3661,2004l3678,2072m3678,2072l3696,2104m3696,2104l3711,2137m3711,2137l3728,2202m3728,2202l3746,2234m3746,2234l3763,2264m3763,2264l3781,2299m3781,2299l3798,2332m3798,2332l3813,2364m3813,2364l3831,2367m3831,2364l3848,2397m3848,2397l3866,2399m3866,2397l3883,2399m3883,2397l3901,2399m3901,2397l3916,2399m3916,2397l3933,2427m3933,2427l3948,2462m3948,2462l3966,2464m3966,2462l3983,2464m3983,2462l4001,2464m4001,2462l4018,2464m4018,2462l4033,2464m4033,2462l4051,2464m4051,2462l4068,2464e" filled="false" stroked="true" strokeweight="1pt" strokecolor="#952e40">
              <v:path arrowok="t"/>
              <v:stroke dashstyle="solid"/>
            </v:shape>
            <v:shape style="position:absolute;left:884;top:50;width:3334;height:2284" coordorigin="884,50" coordsize="3334,2284" path="m884,51l971,51m884,377l971,377m884,703l971,703m884,1029l971,1029m884,1355l971,1355m884,1681l971,1681m884,2007l971,2007m884,2334l971,2334m4131,50l4218,50m4131,376l4218,376m4131,702l4218,702m4131,1028l4218,1028m4131,1354l4218,1354m4131,1680l4218,1680m4131,2006l4218,2006m4131,2332l4218,2332e" filled="false" stroked="true" strokeweight=".5pt" strokecolor="#000000">
              <v:path arrowok="t"/>
              <v:stroke dashstyle="solid"/>
            </v:shape>
            <w10:wrap type="none"/>
          </v:group>
        </w:pict>
      </w:r>
      <w:r>
        <w:rPr>
          <w:sz w:val="12"/>
        </w:rPr>
        <w:t>12</w:t>
      </w:r>
    </w:p>
    <w:p>
      <w:pPr>
        <w:pStyle w:val="BodyText"/>
        <w:spacing w:before="5"/>
        <w:rPr>
          <w:sz w:val="16"/>
        </w:rPr>
      </w:pPr>
    </w:p>
    <w:p>
      <w:pPr>
        <w:spacing w:before="1"/>
        <w:ind w:left="0" w:right="38" w:firstLine="0"/>
        <w:jc w:val="right"/>
        <w:rPr>
          <w:sz w:val="12"/>
        </w:rPr>
      </w:pPr>
      <w:r>
        <w:rPr>
          <w:sz w:val="12"/>
        </w:rPr>
        <w:t>11</w:t>
      </w:r>
    </w:p>
    <w:p>
      <w:pPr>
        <w:pStyle w:val="BodyText"/>
        <w:spacing w:before="2"/>
        <w:rPr>
          <w:sz w:val="16"/>
        </w:rPr>
      </w:pPr>
    </w:p>
    <w:p>
      <w:pPr>
        <w:spacing w:before="1"/>
        <w:ind w:left="0" w:right="38" w:firstLine="0"/>
        <w:jc w:val="right"/>
        <w:rPr>
          <w:sz w:val="12"/>
        </w:rPr>
      </w:pPr>
      <w:r>
        <w:rPr>
          <w:sz w:val="12"/>
        </w:rPr>
        <w:t>10</w:t>
      </w:r>
    </w:p>
    <w:p>
      <w:pPr>
        <w:pStyle w:val="BodyText"/>
        <w:spacing w:before="5"/>
        <w:rPr>
          <w:sz w:val="16"/>
        </w:rPr>
      </w:pPr>
    </w:p>
    <w:p>
      <w:pPr>
        <w:spacing w:before="0"/>
        <w:ind w:left="0" w:right="38" w:firstLine="0"/>
        <w:jc w:val="right"/>
        <w:rPr>
          <w:sz w:val="12"/>
        </w:rPr>
      </w:pPr>
      <w:r>
        <w:rPr>
          <w:sz w:val="12"/>
        </w:rPr>
        <w:t>9</w:t>
      </w:r>
    </w:p>
    <w:p>
      <w:pPr>
        <w:pStyle w:val="BodyText"/>
        <w:spacing w:before="3"/>
        <w:rPr>
          <w:sz w:val="16"/>
        </w:rPr>
      </w:pPr>
    </w:p>
    <w:p>
      <w:pPr>
        <w:spacing w:before="0"/>
        <w:ind w:left="0" w:right="38" w:firstLine="0"/>
        <w:jc w:val="right"/>
        <w:rPr>
          <w:sz w:val="12"/>
        </w:rPr>
      </w:pPr>
      <w:r>
        <w:rPr>
          <w:sz w:val="12"/>
        </w:rPr>
        <w:t>8</w:t>
      </w:r>
    </w:p>
    <w:p>
      <w:pPr>
        <w:pStyle w:val="BodyText"/>
        <w:rPr>
          <w:sz w:val="16"/>
        </w:rPr>
      </w:pPr>
    </w:p>
    <w:p>
      <w:pPr>
        <w:spacing w:before="1"/>
        <w:ind w:left="0" w:right="38" w:firstLine="0"/>
        <w:jc w:val="right"/>
        <w:rPr>
          <w:sz w:val="12"/>
        </w:rPr>
      </w:pPr>
      <w:r>
        <w:rPr>
          <w:sz w:val="12"/>
        </w:rPr>
        <w:t>7</w:t>
      </w:r>
    </w:p>
    <w:p>
      <w:pPr>
        <w:pStyle w:val="BodyText"/>
        <w:spacing w:before="2"/>
        <w:rPr>
          <w:sz w:val="16"/>
        </w:rPr>
      </w:pPr>
    </w:p>
    <w:p>
      <w:pPr>
        <w:spacing w:before="1"/>
        <w:ind w:left="0" w:right="38" w:firstLine="0"/>
        <w:jc w:val="right"/>
        <w:rPr>
          <w:sz w:val="12"/>
        </w:rPr>
      </w:pPr>
      <w:r>
        <w:rPr>
          <w:sz w:val="12"/>
        </w:rPr>
        <w:t>6</w:t>
      </w:r>
    </w:p>
    <w:p>
      <w:pPr>
        <w:pStyle w:val="BodyText"/>
        <w:spacing w:before="5"/>
        <w:rPr>
          <w:sz w:val="16"/>
        </w:rPr>
      </w:pPr>
    </w:p>
    <w:p>
      <w:pPr>
        <w:spacing w:before="0"/>
        <w:ind w:left="0" w:right="38" w:firstLine="0"/>
        <w:jc w:val="right"/>
        <w:rPr>
          <w:sz w:val="12"/>
        </w:rPr>
      </w:pPr>
      <w:r>
        <w:rPr>
          <w:sz w:val="12"/>
        </w:rPr>
        <w:t>5</w:t>
      </w:r>
    </w:p>
    <w:p>
      <w:pPr>
        <w:pStyle w:val="BodyText"/>
        <w:spacing w:before="3"/>
        <w:rPr>
          <w:sz w:val="16"/>
        </w:rPr>
      </w:pPr>
    </w:p>
    <w:p>
      <w:pPr>
        <w:spacing w:before="0"/>
        <w:ind w:left="0" w:right="38" w:firstLine="0"/>
        <w:jc w:val="right"/>
        <w:rPr>
          <w:sz w:val="12"/>
        </w:rPr>
      </w:pPr>
      <w:r>
        <w:rPr/>
        <w:pict>
          <v:line style="position:absolute;mso-position-horizontal-relative:page;mso-position-vertical-relative:paragraph;z-index:15976448" from="206.542007pt,3.675761pt" to="210.875007pt,3.675761pt" stroked="true" strokeweight=".5pt" strokecolor="#000000">
            <v:stroke dashstyle="solid"/>
            <w10:wrap type="none"/>
          </v:line>
        </w:pict>
      </w:r>
      <w:r>
        <w:rPr>
          <w:sz w:val="12"/>
        </w:rPr>
        <w:t>4</w:t>
      </w:r>
    </w:p>
    <w:p>
      <w:pPr>
        <w:pStyle w:val="BodyText"/>
        <w:spacing w:before="6"/>
        <w:rPr>
          <w:sz w:val="16"/>
        </w:rPr>
      </w:pPr>
    </w:p>
    <w:p>
      <w:pPr>
        <w:spacing w:before="0"/>
        <w:ind w:left="0" w:right="38" w:firstLine="0"/>
        <w:jc w:val="right"/>
        <w:rPr>
          <w:sz w:val="12"/>
        </w:rPr>
      </w:pPr>
      <w:r>
        <w:rPr/>
        <w:pict>
          <v:shape style="position:absolute;margin-left:43pt;margin-top:3.601563pt;width:168.6pt;height:7pt;mso-position-horizontal-relative:page;mso-position-vertical-relative:paragraph;z-index:15975936" coordorigin="860,72" coordsize="3372,140" path="m884,73l971,73m967,79l967,105,947,122,987,135,947,155,987,172,963,182,963,205m4131,72l4218,72m4212,76l4212,103,4192,119,4232,133,4192,153,4232,170,4208,180,4208,203m860,206l4207,206m1040,125l1040,212m1244,125l1244,212m1448,125l1448,212m1652,125l1652,212m1856,125l1856,212m2263,125l2263,212m2467,125l2467,212m2671,125l2671,212m2874,125l2874,212m3078,125l3078,212m3282,125l3282,212m3486,125l3486,212m3690,125l3690,212m3893,125l3893,212m2059,125l2059,212e" filled="false" stroked="true" strokeweight=".5pt" strokecolor="#000000">
            <v:path arrowok="t"/>
            <v:stroke dashstyle="solid"/>
            <w10:wrap type="none"/>
          </v:shape>
        </w:pict>
      </w:r>
      <w:r>
        <w:rPr>
          <w:sz w:val="12"/>
        </w:rPr>
        <w:t>3</w:t>
      </w:r>
    </w:p>
    <w:p>
      <w:pPr>
        <w:spacing w:line="233" w:lineRule="exact" w:before="0"/>
        <w:ind w:left="570" w:right="0" w:firstLine="0"/>
        <w:jc w:val="left"/>
        <w:rPr>
          <w:sz w:val="24"/>
        </w:rPr>
      </w:pPr>
      <w:r>
        <w:rPr/>
        <w:br w:type="column"/>
      </w:r>
      <w:r>
        <w:rPr>
          <w:sz w:val="24"/>
        </w:rPr>
        <w:t>central projection for inflation, the MPC has assumed</w:t>
      </w:r>
    </w:p>
    <w:p>
      <w:pPr>
        <w:spacing w:line="242" w:lineRule="auto" w:before="4"/>
        <w:ind w:left="570" w:right="434" w:firstLine="0"/>
        <w:jc w:val="left"/>
        <w:rPr>
          <w:sz w:val="24"/>
        </w:rPr>
      </w:pPr>
      <w:r>
        <w:rPr>
          <w:sz w:val="24"/>
        </w:rPr>
        <w:t>that productivity growth will continue to be somewhat less cyclical over the forecast period.</w:t>
      </w:r>
    </w:p>
    <w:p>
      <w:pPr>
        <w:pStyle w:val="BodyText"/>
        <w:spacing w:before="3"/>
        <w:rPr>
          <w:sz w:val="26"/>
        </w:rPr>
      </w:pPr>
    </w:p>
    <w:p>
      <w:pPr>
        <w:spacing w:line="242" w:lineRule="auto" w:before="0"/>
        <w:ind w:left="570" w:right="180" w:firstLine="0"/>
        <w:jc w:val="left"/>
        <w:rPr>
          <w:sz w:val="24"/>
        </w:rPr>
      </w:pPr>
      <w:r>
        <w:rPr>
          <w:sz w:val="24"/>
        </w:rPr>
        <w:t>Aggregate unemployment has risen slightly, having been stable or falling during last </w:t>
      </w:r>
      <w:r>
        <w:rPr>
          <w:spacing w:val="-3"/>
          <w:sz w:val="24"/>
        </w:rPr>
        <w:t>year. </w:t>
      </w:r>
      <w:r>
        <w:rPr>
          <w:sz w:val="24"/>
        </w:rPr>
        <w:t>LFS unemployment rose by 32,000 in the three months to February, and the claimant count increased slightly in February and </w:t>
      </w:r>
      <w:r>
        <w:rPr>
          <w:spacing w:val="-3"/>
          <w:sz w:val="24"/>
        </w:rPr>
        <w:t>March. </w:t>
      </w:r>
      <w:r>
        <w:rPr>
          <w:sz w:val="24"/>
        </w:rPr>
        <w:t>The LFS measure of redundancies in the three months to February was 52,000 higher than a year</w:t>
      </w:r>
      <w:r>
        <w:rPr>
          <w:spacing w:val="-5"/>
          <w:sz w:val="24"/>
        </w:rPr>
        <w:t> </w:t>
      </w:r>
      <w:r>
        <w:rPr>
          <w:sz w:val="24"/>
        </w:rPr>
        <w:t>earlier.</w:t>
      </w:r>
    </w:p>
    <w:p>
      <w:pPr>
        <w:spacing w:line="242" w:lineRule="auto" w:before="8"/>
        <w:ind w:left="570" w:right="0" w:firstLine="0"/>
        <w:jc w:val="left"/>
        <w:rPr>
          <w:sz w:val="24"/>
        </w:rPr>
      </w:pPr>
      <w:r>
        <w:rPr>
          <w:sz w:val="24"/>
        </w:rPr>
        <w:t>Short-term LFS unemployment, the number of people unemployed for less than one year, has been rising since</w:t>
      </w:r>
    </w:p>
    <w:p>
      <w:pPr>
        <w:spacing w:after="0" w:line="242" w:lineRule="auto"/>
        <w:jc w:val="left"/>
        <w:rPr>
          <w:sz w:val="24"/>
        </w:rPr>
        <w:sectPr>
          <w:type w:val="continuous"/>
          <w:pgSz w:w="11900" w:h="16840"/>
          <w:pgMar w:top="1220" w:bottom="280" w:left="640" w:right="640"/>
          <w:cols w:num="3" w:equalWidth="0">
            <w:col w:w="2762" w:space="40"/>
            <w:col w:w="957" w:space="617"/>
            <w:col w:w="6244"/>
          </w:cols>
        </w:sectPr>
      </w:pPr>
    </w:p>
    <w:p>
      <w:pPr>
        <w:tabs>
          <w:tab w:pos="845" w:val="left" w:leader="none"/>
          <w:tab w:pos="1252" w:val="left" w:leader="none"/>
          <w:tab w:pos="1660" w:val="left" w:leader="none"/>
          <w:tab w:pos="2065" w:val="left" w:leader="none"/>
          <w:tab w:pos="2475" w:val="left" w:leader="none"/>
          <w:tab w:pos="2880" w:val="left" w:leader="none"/>
          <w:tab w:pos="3287" w:val="left" w:leader="none"/>
          <w:tab w:pos="3657" w:val="left" w:leader="none"/>
        </w:tabs>
        <w:spacing w:line="192" w:lineRule="exact" w:before="0"/>
        <w:ind w:left="344" w:right="0" w:firstLine="0"/>
        <w:jc w:val="left"/>
        <w:rPr>
          <w:sz w:val="12"/>
        </w:rPr>
      </w:pPr>
      <w:r>
        <w:rPr>
          <w:sz w:val="12"/>
        </w:rPr>
        <w:t>1984</w:t>
        <w:tab/>
        <w:t>86</w:t>
        <w:tab/>
        <w:t>88</w:t>
        <w:tab/>
        <w:t>90</w:t>
        <w:tab/>
        <w:t>92</w:t>
        <w:tab/>
        <w:t>94</w:t>
        <w:tab/>
        <w:t>96</w:t>
        <w:tab/>
        <w:t>98</w:t>
        <w:tab/>
      </w:r>
      <w:r>
        <w:rPr>
          <w:color w:val="231F20"/>
          <w:position w:val="7"/>
          <w:sz w:val="12"/>
        </w:rPr>
        <w:t>0</w:t>
      </w:r>
    </w:p>
    <w:p>
      <w:pPr>
        <w:spacing w:before="95"/>
        <w:ind w:left="150" w:right="0" w:firstLine="0"/>
        <w:jc w:val="left"/>
        <w:rPr>
          <w:sz w:val="12"/>
        </w:rPr>
      </w:pPr>
      <w:r>
        <w:rPr>
          <w:sz w:val="12"/>
        </w:rPr>
        <w:t>Note: pre-1992 LFS figures interpolated from yearly observations.</w:t>
      </w:r>
    </w:p>
    <w:p>
      <w:pPr>
        <w:spacing w:before="102"/>
        <w:ind w:left="150" w:right="0" w:firstLine="0"/>
        <w:jc w:val="left"/>
        <w:rPr>
          <w:sz w:val="12"/>
        </w:rPr>
      </w:pPr>
      <w:r>
        <w:rPr>
          <w:sz w:val="12"/>
        </w:rPr>
        <w:t>(a) Those employed for less than a year (seasonally adjusted estimate).</w:t>
      </w:r>
    </w:p>
    <w:p>
      <w:pPr>
        <w:spacing w:line="242" w:lineRule="auto" w:before="2"/>
        <w:ind w:left="150" w:right="0" w:firstLine="0"/>
        <w:jc w:val="left"/>
        <w:rPr>
          <w:sz w:val="24"/>
        </w:rPr>
      </w:pPr>
      <w:r>
        <w:rPr/>
        <w:br w:type="column"/>
      </w:r>
      <w:r>
        <w:rPr>
          <w:sz w:val="24"/>
        </w:rPr>
        <w:t>May last year (see Chart 3.10). The duration structure of unemployment may contain useful information on inflationary pressures in the labour market. Those in</w:t>
      </w:r>
    </w:p>
    <w:p>
      <w:pPr>
        <w:spacing w:after="0" w:line="242" w:lineRule="auto"/>
        <w:jc w:val="left"/>
        <w:rPr>
          <w:sz w:val="24"/>
        </w:rPr>
        <w:sectPr>
          <w:type w:val="continuous"/>
          <w:pgSz w:w="11900" w:h="16840"/>
          <w:pgMar w:top="1220" w:bottom="280" w:left="640" w:right="640"/>
          <w:cols w:num="2" w:equalWidth="0">
            <w:col w:w="3758" w:space="1038"/>
            <w:col w:w="5824"/>
          </w:cols>
        </w:sectPr>
      </w:pPr>
    </w:p>
    <w:p>
      <w:pPr>
        <w:pStyle w:val="BodyText"/>
        <w:rPr>
          <w:sz w:val="20"/>
        </w:rPr>
      </w:pPr>
    </w:p>
    <w:p>
      <w:pPr>
        <w:spacing w:line="242" w:lineRule="auto" w:before="206"/>
        <w:ind w:left="4954" w:right="95" w:firstLine="0"/>
        <w:jc w:val="left"/>
        <w:rPr>
          <w:sz w:val="24"/>
        </w:rPr>
      </w:pPr>
      <w:r>
        <w:rPr>
          <w:sz w:val="24"/>
        </w:rPr>
        <w:t>short-term unemployment are more likely to have the types of up-to-date skills and experience valued by employers. So, for a given level of unemployment, a rise in the share accounted for by the recently employed may increase the stock of relevant skills available to firms, putting downward pressure on wages. But if the recent rise in the number of short-term unemployed reflects an increasing mismatch between the skills demanded by firms and those offered by people who have recently moved into unemployment, the implications for wage pressure are less straightforward. Although both</w:t>
      </w:r>
    </w:p>
    <w:p>
      <w:pPr>
        <w:spacing w:line="242" w:lineRule="auto" w:before="14"/>
        <w:ind w:left="4954" w:right="180" w:firstLine="0"/>
        <w:jc w:val="left"/>
        <w:rPr>
          <w:sz w:val="24"/>
        </w:rPr>
      </w:pPr>
      <w:r>
        <w:rPr>
          <w:sz w:val="24"/>
        </w:rPr>
        <w:t>short-term and whole-economy unemployment measures have risen recently, unemployment rates remain low by recent historical standards (see Chart 3.10).</w:t>
      </w:r>
    </w:p>
    <w:p>
      <w:pPr>
        <w:pStyle w:val="BodyText"/>
        <w:spacing w:before="7"/>
      </w:pPr>
    </w:p>
    <w:p>
      <w:pPr>
        <w:spacing w:after="0"/>
        <w:sectPr>
          <w:pgSz w:w="11900" w:h="16840"/>
          <w:pgMar w:header="584" w:footer="597" w:top="780" w:bottom="780" w:left="640" w:right="640"/>
        </w:sectPr>
      </w:pPr>
    </w:p>
    <w:p>
      <w:pPr>
        <w:pStyle w:val="Heading4"/>
        <w:spacing w:before="140"/>
        <w:ind w:left="179"/>
      </w:pPr>
      <w:r>
        <w:rPr>
          <w:color w:val="0093C1"/>
        </w:rPr>
        <w:t>Chart 3.11</w:t>
      </w:r>
    </w:p>
    <w:p>
      <w:pPr>
        <w:pStyle w:val="Heading4"/>
        <w:ind w:left="179"/>
      </w:pPr>
      <w:r>
        <w:rPr>
          <w:color w:val="0093C1"/>
        </w:rPr>
        <w:t>Changes in employment and unemployment</w:t>
      </w:r>
    </w:p>
    <w:p>
      <w:pPr>
        <w:pStyle w:val="BodyText"/>
        <w:spacing w:before="6"/>
        <w:rPr>
          <w:b/>
          <w:sz w:val="20"/>
        </w:rPr>
      </w:pPr>
    </w:p>
    <w:p>
      <w:pPr>
        <w:spacing w:before="0"/>
        <w:ind w:left="1812" w:right="0" w:firstLine="0"/>
        <w:jc w:val="left"/>
        <w:rPr>
          <w:sz w:val="12"/>
        </w:rPr>
      </w:pPr>
      <w:r>
        <w:rPr/>
        <w:pict>
          <v:group style="position:absolute;margin-left:46.824001pt;margin-top:11.902039pt;width:166.85pt;height:125.9pt;mso-position-horizontal-relative:page;mso-position-vertical-relative:paragraph;z-index:15979008" coordorigin="936,238" coordsize="3337,2518">
            <v:shape style="position:absolute;left:1086;top:1358;width:303;height:305" type="#_x0000_t75" stroked="false">
              <v:imagedata r:id="rId92" o:title=""/>
            </v:shape>
            <v:rect style="position:absolute;left:1381;top:1080;width:60;height:578" filled="true" fillcolor="#f89f6d" stroked="false">
              <v:fill type="solid"/>
            </v:rect>
            <v:rect style="position:absolute;left:1381;top:1080;width:60;height:578" filled="false" stroked="true" strokeweight=".5pt" strokecolor="#000000">
              <v:stroke dashstyle="solid"/>
            </v:rect>
            <v:rect style="position:absolute;left:1439;top:783;width:63;height:875" filled="true" fillcolor="#f89f6d" stroked="false">
              <v:fill type="solid"/>
            </v:rect>
            <v:rect style="position:absolute;left:1439;top:783;width:63;height:875" filled="false" stroked="true" strokeweight=".5pt" strokecolor="#000000">
              <v:stroke dashstyle="solid"/>
            </v:rect>
            <v:rect style="position:absolute;left:1499;top:473;width:60;height:1185" filled="true" fillcolor="#f89f6d" stroked="false">
              <v:fill type="solid"/>
            </v:rect>
            <v:rect style="position:absolute;left:1499;top:473;width:60;height:1185" filled="false" stroked="true" strokeweight=".5pt" strokecolor="#000000">
              <v:stroke dashstyle="solid"/>
            </v:rect>
            <v:rect style="position:absolute;left:1556;top:243;width:60;height:1415" filled="true" fillcolor="#f89f6d" stroked="false">
              <v:fill type="solid"/>
            </v:rect>
            <v:rect style="position:absolute;left:1556;top:243;width:60;height:1415" filled="false" stroked="true" strokeweight=".5pt" strokecolor="#000000">
              <v:stroke dashstyle="solid"/>
            </v:rect>
            <v:rect style="position:absolute;left:1614;top:265;width:63;height:1393" filled="true" fillcolor="#f89f6d" stroked="false">
              <v:fill type="solid"/>
            </v:rect>
            <v:rect style="position:absolute;left:1614;top:265;width:63;height:1393" filled="false" stroked="true" strokeweight=".5pt" strokecolor="#000000">
              <v:stroke dashstyle="solid"/>
            </v:rect>
            <v:rect style="position:absolute;left:1674;top:315;width:60;height:1343" filled="true" fillcolor="#f89f6d" stroked="false">
              <v:fill type="solid"/>
            </v:rect>
            <v:rect style="position:absolute;left:1674;top:315;width:60;height:1343" filled="false" stroked="true" strokeweight=".5pt" strokecolor="#000000">
              <v:stroke dashstyle="solid"/>
            </v:rect>
            <v:rect style="position:absolute;left:1731;top:388;width:60;height:1270" filled="true" fillcolor="#f89f6d" stroked="false">
              <v:fill type="solid"/>
            </v:rect>
            <v:rect style="position:absolute;left:1731;top:388;width:60;height:1270" filled="false" stroked="true" strokeweight=".5pt" strokecolor="#000000">
              <v:stroke dashstyle="solid"/>
            </v:rect>
            <v:rect style="position:absolute;left:1789;top:273;width:60;height:1385" filled="true" fillcolor="#f89f6d" stroked="false">
              <v:fill type="solid"/>
            </v:rect>
            <v:rect style="position:absolute;left:1789;top:273;width:60;height:1385" filled="false" stroked="true" strokeweight=".5pt" strokecolor="#000000">
              <v:stroke dashstyle="solid"/>
            </v:rect>
            <v:rect style="position:absolute;left:1846;top:418;width:63;height:1240" filled="true" fillcolor="#f89f6d" stroked="false">
              <v:fill type="solid"/>
            </v:rect>
            <v:rect style="position:absolute;left:1846;top:418;width:63;height:1240" filled="false" stroked="true" strokeweight=".5pt" strokecolor="#000000">
              <v:stroke dashstyle="solid"/>
            </v:rect>
            <v:rect style="position:absolute;left:1906;top:645;width:60;height:1013" filled="true" fillcolor="#f89f6d" stroked="false">
              <v:fill type="solid"/>
            </v:rect>
            <v:rect style="position:absolute;left:1906;top:645;width:60;height:1013" filled="false" stroked="true" strokeweight=".5pt" strokecolor="#000000">
              <v:stroke dashstyle="solid"/>
            </v:rect>
            <v:rect style="position:absolute;left:1964;top:828;width:60;height:830" filled="true" fillcolor="#f89f6d" stroked="false">
              <v:fill type="solid"/>
            </v:rect>
            <v:rect style="position:absolute;left:1964;top:828;width:60;height:830" filled="false" stroked="true" strokeweight=".5pt" strokecolor="#000000">
              <v:stroke dashstyle="solid"/>
            </v:rect>
            <v:rect style="position:absolute;left:2021;top:1223;width:63;height:435" filled="true" fillcolor="#f89f6d" stroked="false">
              <v:fill type="solid"/>
            </v:rect>
            <v:rect style="position:absolute;left:2021;top:1223;width:63;height:435" filled="false" stroked="true" strokeweight=".5pt" strokecolor="#000000">
              <v:stroke dashstyle="solid"/>
            </v:rect>
            <v:shape style="position:absolute;left:2076;top:1280;width:185;height:540" type="#_x0000_t75" stroked="false">
              <v:imagedata r:id="rId93" o:title=""/>
            </v:shape>
            <v:rect style="position:absolute;left:2254;top:1655;width:63;height:455" filled="true" fillcolor="#f89f6d" stroked="false">
              <v:fill type="solid"/>
            </v:rect>
            <v:rect style="position:absolute;left:2254;top:1655;width:63;height:455" filled="false" stroked="true" strokeweight=".5pt" strokecolor="#000000">
              <v:stroke dashstyle="solid"/>
            </v:rect>
            <v:rect style="position:absolute;left:2314;top:1655;width:60;height:798" filled="true" fillcolor="#f89f6d" stroked="false">
              <v:fill type="solid"/>
            </v:rect>
            <v:rect style="position:absolute;left:2314;top:1655;width:60;height:798" filled="false" stroked="true" strokeweight=".5pt" strokecolor="#000000">
              <v:stroke dashstyle="solid"/>
            </v:rect>
            <v:rect style="position:absolute;left:2371;top:1655;width:60;height:1035" filled="true" fillcolor="#f89f6d" stroked="false">
              <v:fill type="solid"/>
            </v:rect>
            <v:rect style="position:absolute;left:2371;top:1655;width:60;height:1035" filled="false" stroked="true" strokeweight=".5pt" strokecolor="#000000">
              <v:stroke dashstyle="solid"/>
            </v:rect>
            <v:rect style="position:absolute;left:2429;top:1655;width:63;height:1095" filled="true" fillcolor="#f89f6d" stroked="false">
              <v:fill type="solid"/>
            </v:rect>
            <v:rect style="position:absolute;left:2429;top:1655;width:63;height:1095" filled="false" stroked="true" strokeweight=".5pt" strokecolor="#000000">
              <v:stroke dashstyle="solid"/>
            </v:rect>
            <v:rect style="position:absolute;left:2489;top:1655;width:60;height:863" filled="true" fillcolor="#f89f6d" stroked="false">
              <v:fill type="solid"/>
            </v:rect>
            <v:rect style="position:absolute;left:2489;top:1655;width:60;height:863" filled="false" stroked="true" strokeweight=".5pt" strokecolor="#000000">
              <v:stroke dashstyle="solid"/>
            </v:rect>
            <v:rect style="position:absolute;left:2546;top:1655;width:60;height:848" filled="true" fillcolor="#f89f6d" stroked="false">
              <v:fill type="solid"/>
            </v:rect>
            <v:rect style="position:absolute;left:2546;top:1655;width:60;height:848" filled="false" stroked="true" strokeweight=".5pt" strokecolor="#000000">
              <v:stroke dashstyle="solid"/>
            </v:rect>
            <v:rect style="position:absolute;left:2604;top:1655;width:63;height:653" filled="true" fillcolor="#f89f6d" stroked="false">
              <v:fill type="solid"/>
            </v:rect>
            <v:rect style="position:absolute;left:2604;top:1655;width:63;height:653" filled="false" stroked="true" strokeweight=".5pt" strokecolor="#000000">
              <v:stroke dashstyle="solid"/>
            </v:rect>
            <v:rect style="position:absolute;left:2664;top:1655;width:60;height:648" filled="true" fillcolor="#f89f6d" stroked="false">
              <v:fill type="solid"/>
            </v:rect>
            <v:rect style="position:absolute;left:2664;top:1655;width:60;height:648" filled="false" stroked="true" strokeweight=".5pt" strokecolor="#000000">
              <v:stroke dashstyle="solid"/>
            </v:rect>
            <v:rect style="position:absolute;left:2721;top:1655;width:60;height:683" filled="true" fillcolor="#f89f6d" stroked="false">
              <v:fill type="solid"/>
            </v:rect>
            <v:rect style="position:absolute;left:2721;top:1655;width:60;height:683" filled="false" stroked="true" strokeweight=".5pt" strokecolor="#000000">
              <v:stroke dashstyle="solid"/>
            </v:rect>
            <v:shape style="position:absolute;left:2774;top:1278;width:363;height:763" type="#_x0000_t75" stroked="false">
              <v:imagedata r:id="rId94" o:title=""/>
            </v:shape>
            <v:rect style="position:absolute;left:3129;top:1210;width:60;height:448" filled="true" fillcolor="#f89f6d" stroked="false">
              <v:fill type="solid"/>
            </v:rect>
            <v:rect style="position:absolute;left:3129;top:1210;width:60;height:448" filled="false" stroked="true" strokeweight=".5pt" strokecolor="#000000">
              <v:stroke dashstyle="solid"/>
            </v:rect>
            <v:rect style="position:absolute;left:3186;top:1248;width:63;height:410" filled="true" fillcolor="#f89f6d" stroked="false">
              <v:fill type="solid"/>
            </v:rect>
            <v:rect style="position:absolute;left:3186;top:1248;width:63;height:410" filled="false" stroked="true" strokeweight=".5pt" strokecolor="#000000">
              <v:stroke dashstyle="solid"/>
            </v:rect>
            <v:rect style="position:absolute;left:3246;top:1175;width:60;height:483" filled="true" fillcolor="#f89f6d" stroked="false">
              <v:fill type="solid"/>
            </v:rect>
            <v:rect style="position:absolute;left:3246;top:1175;width:60;height:483" filled="false" stroked="true" strokeweight=".5pt" strokecolor="#000000">
              <v:stroke dashstyle="solid"/>
            </v:rect>
            <v:rect style="position:absolute;left:3304;top:1210;width:60;height:448" filled="true" fillcolor="#f89f6d" stroked="false">
              <v:fill type="solid"/>
            </v:rect>
            <v:rect style="position:absolute;left:3304;top:1210;width:60;height:448" filled="false" stroked="true" strokeweight=".5pt" strokecolor="#000000">
              <v:stroke dashstyle="solid"/>
            </v:rect>
            <v:rect style="position:absolute;left:3361;top:1088;width:60;height:570" filled="true" fillcolor="#f89f6d" stroked="false">
              <v:fill type="solid"/>
            </v:rect>
            <v:rect style="position:absolute;left:3361;top:1088;width:60;height:570" filled="false" stroked="true" strokeweight=".5pt" strokecolor="#000000">
              <v:stroke dashstyle="solid"/>
            </v:rect>
            <v:rect style="position:absolute;left:3419;top:1213;width:63;height:445" filled="true" fillcolor="#f89f6d" stroked="false">
              <v:fill type="solid"/>
            </v:rect>
            <v:rect style="position:absolute;left:3419;top:1213;width:63;height:445" filled="false" stroked="true" strokeweight=".5pt" strokecolor="#000000">
              <v:stroke dashstyle="solid"/>
            </v:rect>
            <v:shape style="position:absolute;left:3474;top:1290;width:188;height:373" type="#_x0000_t75" stroked="false">
              <v:imagedata r:id="rId95" o:title=""/>
            </v:shape>
            <v:rect style="position:absolute;left:3654;top:1005;width:60;height:653" filled="true" fillcolor="#f89f6d" stroked="false">
              <v:fill type="solid"/>
            </v:rect>
            <v:rect style="position:absolute;left:3654;top:1005;width:60;height:653" filled="false" stroked="true" strokeweight=".5pt" strokecolor="#000000">
              <v:stroke dashstyle="solid"/>
            </v:rect>
            <v:rect style="position:absolute;left:3711;top:870;width:60;height:788" filled="true" fillcolor="#f89f6d" stroked="false">
              <v:fill type="solid"/>
            </v:rect>
            <v:rect style="position:absolute;left:3711;top:870;width:60;height:788" filled="false" stroked="true" strokeweight=".5pt" strokecolor="#000000">
              <v:stroke dashstyle="solid"/>
            </v:rect>
            <v:rect style="position:absolute;left:3769;top:860;width:63;height:798" filled="true" fillcolor="#f89f6d" stroked="false">
              <v:fill type="solid"/>
            </v:rect>
            <v:rect style="position:absolute;left:3769;top:860;width:63;height:798" filled="false" stroked="true" strokeweight=".5pt" strokecolor="#000000">
              <v:stroke dashstyle="solid"/>
            </v:rect>
            <v:rect style="position:absolute;left:3829;top:988;width:60;height:670" filled="true" fillcolor="#f89f6d" stroked="false">
              <v:fill type="solid"/>
            </v:rect>
            <v:rect style="position:absolute;left:3829;top:988;width:60;height:670" filled="false" stroked="true" strokeweight=".5pt" strokecolor="#000000">
              <v:stroke dashstyle="solid"/>
            </v:rect>
            <v:rect style="position:absolute;left:3886;top:1185;width:60;height:473" filled="true" fillcolor="#f89f6d" stroked="false">
              <v:fill type="solid"/>
            </v:rect>
            <v:rect style="position:absolute;left:3886;top:1185;width:60;height:473" filled="false" stroked="true" strokeweight=".5pt" strokecolor="#000000">
              <v:stroke dashstyle="solid"/>
            </v:rect>
            <v:shape style="position:absolute;left:3939;top:1265;width:130;height:398" type="#_x0000_t75" stroked="false">
              <v:imagedata r:id="rId96" o:title=""/>
            </v:shape>
            <v:rect style="position:absolute;left:4061;top:1188;width:60;height:470" filled="true" fillcolor="#f89f6d" stroked="false">
              <v:fill type="solid"/>
            </v:rect>
            <v:rect style="position:absolute;left:4061;top:1188;width:60;height:470" filled="false" stroked="true" strokeweight=".5pt" strokecolor="#000000">
              <v:stroke dashstyle="solid"/>
            </v:rect>
            <v:shape style="position:absolute;left:1121;top:875;width:2970;height:1620" coordorigin="1122,876" coordsize="2970,1620" path="m1122,1748l1179,1661,1237,1641,1294,1611,1354,1626,1412,1528,1469,1281,1529,1093,1587,1018,1644,876,1704,956,1762,976,1819,977,1877,1053,1937,1181,1994,1301,2052,1368,2112,1508,2169,1568,2227,1701,2284,1998,2344,2306,2402,2486,2459,2496,2519,2431,2577,2331,2634,2198,2694,2321,2752,2176,2809,1893,2867,1783,2927,1608,2984,1358,3042,1368,3102,1281,3159,1098,3217,1191,3277,1206,3334,1366,3392,1398,3449,1411,3509,1493,3567,1398,3624,1461,3684,1283,3742,1218,3799,1143,3859,1098,3917,1243,3974,1251,4032,1403,4092,1508e" filled="false" stroked="true" strokeweight="1pt" strokecolor="#0066a5">
              <v:path arrowok="t"/>
              <v:stroke dashstyle="solid"/>
            </v:shape>
            <v:shape style="position:absolute;left:936;top:453;width:3337;height:2093" coordorigin="936,454" coordsize="3337,2093" path="m4196,454l4269,454m4192,753l4265,753m947,1059l1020,1059m4199,1059l4273,1059m936,1354l1010,1354m4189,1354l4262,1354m943,1653l1016,1653m4196,1653l4269,1653m939,1946l1013,1946m4192,1946l4265,1946m936,2253l1010,2253m4189,2253l4262,2253m939,2546l1013,2546m4192,2546l4265,2546e" filled="false" stroked="true" strokeweight=".5pt" strokecolor="#000000">
              <v:path arrowok="t"/>
              <v:stroke dashstyle="solid"/>
            </v:shape>
            <v:line style="position:absolute" from="1626,2237" to="1919,1311" stroked="true" strokeweight=".5pt" strokecolor="#000000">
              <v:stroke dashstyle="solid"/>
            </v:line>
            <v:shape style="position:absolute;left:1889;top:1245;width:50;height:89" coordorigin="1890,1246" coordsize="50,89" path="m1939,1246l1890,1319,1938,1334,1937,1317,1936,1304,1936,1291,1936,1278,1937,1265,1938,1255,1939,1246xe" filled="true" fillcolor="#000000" stroked="false">
              <v:path arrowok="t"/>
              <v:fill type="solid"/>
            </v:shape>
            <v:shape style="position:absolute;left:1929;top:267;width:857;height:134" type="#_x0000_t202" filled="false" stroked="false">
              <v:textbox inset="0,0,0,0">
                <w:txbxContent>
                  <w:p>
                    <w:pPr>
                      <w:spacing w:line="133" w:lineRule="exact" w:before="0"/>
                      <w:ind w:left="0" w:right="0" w:firstLine="0"/>
                      <w:jc w:val="left"/>
                      <w:rPr>
                        <w:sz w:val="12"/>
                      </w:rPr>
                    </w:pPr>
                    <w:r>
                      <w:rPr>
                        <w:sz w:val="12"/>
                      </w:rPr>
                      <w:t>LFS employment</w:t>
                    </w:r>
                  </w:p>
                </w:txbxContent>
              </v:textbox>
              <w10:wrap type="none"/>
            </v:shape>
            <v:shape style="position:absolute;left:1239;top:2238;width:977;height:286" type="#_x0000_t202" filled="false" stroked="false">
              <v:textbox inset="0,0,0,0">
                <w:txbxContent>
                  <w:p>
                    <w:pPr>
                      <w:spacing w:line="264" w:lineRule="auto" w:before="0"/>
                      <w:ind w:left="78" w:right="1" w:hanging="79"/>
                      <w:jc w:val="left"/>
                      <w:rPr>
                        <w:sz w:val="12"/>
                      </w:rPr>
                    </w:pPr>
                    <w:r>
                      <w:rPr>
                        <w:sz w:val="12"/>
                      </w:rPr>
                      <w:t>LFS unemployment (inverted)</w:t>
                    </w:r>
                  </w:p>
                </w:txbxContent>
              </v:textbox>
              <w10:wrap type="none"/>
            </v:shape>
            <w10:wrap type="none"/>
          </v:group>
        </w:pict>
      </w:r>
      <w:r>
        <w:rPr/>
        <w:pict>
          <v:line style="position:absolute;mso-position-horizontal-relative:page;mso-position-vertical-relative:paragraph;z-index:15979520" from="46.970001pt,7.985039pt" to="50.637001pt,7.985039pt" stroked="true" strokeweight=".5pt" strokecolor="#000000">
            <v:stroke dashstyle="solid"/>
            <w10:wrap type="none"/>
          </v:line>
        </w:pict>
      </w:r>
      <w:r>
        <w:rPr/>
        <w:pict>
          <v:line style="position:absolute;mso-position-horizontal-relative:page;mso-position-vertical-relative:paragraph;z-index:-21154304" from="209.595001pt,7.985039pt" to="213.262001pt,7.985039pt" stroked="true" strokeweight=".5pt" strokecolor="#000000">
            <v:stroke dashstyle="solid"/>
            <w10:wrap type="none"/>
          </v:line>
        </w:pict>
      </w:r>
      <w:r>
        <w:rPr>
          <w:sz w:val="12"/>
        </w:rPr>
        <w:t>Changes on a year earlier (thousands)</w:t>
      </w:r>
      <w:r>
        <w:rPr>
          <w:spacing w:val="22"/>
          <w:sz w:val="12"/>
        </w:rPr>
        <w:t> </w:t>
      </w:r>
      <w:r>
        <w:rPr>
          <w:position w:val="-8"/>
          <w:sz w:val="12"/>
        </w:rPr>
        <w:t>1,000</w:t>
      </w:r>
    </w:p>
    <w:p>
      <w:pPr>
        <w:spacing w:before="156"/>
        <w:ind w:left="0" w:right="38" w:firstLine="0"/>
        <w:jc w:val="right"/>
        <w:rPr>
          <w:sz w:val="12"/>
        </w:rPr>
      </w:pPr>
      <w:r>
        <w:rPr/>
        <w:pict>
          <v:line style="position:absolute;mso-position-horizontal-relative:page;mso-position-vertical-relative:paragraph;z-index:15980544" from="47.157001pt,11.319325pt" to="50.824001pt,11.319325pt" stroked="true" strokeweight=".5pt" strokecolor="#000000">
            <v:stroke dashstyle="solid"/>
            <w10:wrap type="none"/>
          </v:line>
        </w:pict>
      </w:r>
      <w:r>
        <w:rPr>
          <w:sz w:val="12"/>
        </w:rPr>
        <w:t>800</w:t>
      </w:r>
    </w:p>
    <w:p>
      <w:pPr>
        <w:pStyle w:val="BodyText"/>
        <w:spacing w:before="10"/>
        <w:rPr>
          <w:sz w:val="13"/>
        </w:rPr>
      </w:pPr>
    </w:p>
    <w:p>
      <w:pPr>
        <w:spacing w:before="0"/>
        <w:ind w:left="0" w:right="38" w:firstLine="0"/>
        <w:jc w:val="right"/>
        <w:rPr>
          <w:sz w:val="12"/>
        </w:rPr>
      </w:pPr>
      <w:r>
        <w:rPr/>
        <w:pict>
          <v:line style="position:absolute;mso-position-horizontal-relative:page;mso-position-vertical-relative:paragraph;z-index:15981056" from="46.970001pt,3.602112pt" to="50.637001pt,3.602112pt" stroked="true" strokeweight=".5pt" strokecolor="#000000">
            <v:stroke dashstyle="solid"/>
            <w10:wrap type="none"/>
          </v:line>
        </w:pict>
      </w:r>
      <w:r>
        <w:rPr>
          <w:sz w:val="12"/>
        </w:rPr>
        <w:t>600</w:t>
      </w:r>
    </w:p>
    <w:p>
      <w:pPr>
        <w:pStyle w:val="BodyText"/>
        <w:spacing w:before="1"/>
        <w:rPr>
          <w:sz w:val="14"/>
        </w:rPr>
      </w:pPr>
    </w:p>
    <w:p>
      <w:pPr>
        <w:spacing w:before="0"/>
        <w:ind w:left="0" w:right="38" w:firstLine="0"/>
        <w:jc w:val="right"/>
        <w:rPr>
          <w:sz w:val="12"/>
        </w:rPr>
      </w:pPr>
      <w:r>
        <w:rPr>
          <w:sz w:val="12"/>
        </w:rPr>
        <w:t>400</w:t>
      </w:r>
    </w:p>
    <w:p>
      <w:pPr>
        <w:pStyle w:val="BodyText"/>
        <w:spacing w:before="10"/>
        <w:rPr>
          <w:sz w:val="13"/>
        </w:rPr>
      </w:pPr>
    </w:p>
    <w:p>
      <w:pPr>
        <w:spacing w:before="0"/>
        <w:ind w:left="0" w:right="38" w:firstLine="0"/>
        <w:jc w:val="right"/>
        <w:rPr>
          <w:sz w:val="12"/>
        </w:rPr>
      </w:pPr>
      <w:r>
        <w:rPr>
          <w:sz w:val="12"/>
        </w:rPr>
        <w:t>200</w:t>
      </w:r>
    </w:p>
    <w:p>
      <w:pPr>
        <w:spacing w:line="169" w:lineRule="exact" w:before="5"/>
        <w:ind w:left="3623" w:right="0" w:firstLine="0"/>
        <w:jc w:val="left"/>
        <w:rPr>
          <w:sz w:val="16"/>
        </w:rPr>
      </w:pPr>
      <w:r>
        <w:rPr>
          <w:sz w:val="16"/>
        </w:rPr>
        <w:t>+</w:t>
      </w:r>
    </w:p>
    <w:p>
      <w:pPr>
        <w:spacing w:line="156" w:lineRule="auto" w:before="13"/>
        <w:ind w:left="3633" w:right="0" w:firstLine="0"/>
        <w:jc w:val="left"/>
        <w:rPr>
          <w:sz w:val="12"/>
        </w:rPr>
      </w:pPr>
      <w:r>
        <w:rPr>
          <w:position w:val="-6"/>
          <w:sz w:val="16"/>
        </w:rPr>
        <w:t>_   </w:t>
      </w:r>
      <w:r>
        <w:rPr>
          <w:spacing w:val="10"/>
          <w:position w:val="-6"/>
          <w:sz w:val="16"/>
        </w:rPr>
        <w:t> </w:t>
      </w:r>
      <w:r>
        <w:rPr>
          <w:sz w:val="12"/>
        </w:rPr>
        <w:t>0</w:t>
      </w:r>
    </w:p>
    <w:p>
      <w:pPr>
        <w:spacing w:before="120"/>
        <w:ind w:left="0" w:right="38" w:firstLine="0"/>
        <w:jc w:val="right"/>
        <w:rPr>
          <w:sz w:val="12"/>
        </w:rPr>
      </w:pPr>
      <w:r>
        <w:rPr>
          <w:sz w:val="12"/>
        </w:rPr>
        <w:t>200</w:t>
      </w:r>
    </w:p>
    <w:p>
      <w:pPr>
        <w:pStyle w:val="BodyText"/>
        <w:spacing w:before="10"/>
        <w:rPr>
          <w:sz w:val="13"/>
        </w:rPr>
      </w:pPr>
    </w:p>
    <w:p>
      <w:pPr>
        <w:spacing w:before="0"/>
        <w:ind w:left="0" w:right="38" w:firstLine="0"/>
        <w:jc w:val="right"/>
        <w:rPr>
          <w:sz w:val="12"/>
        </w:rPr>
      </w:pPr>
      <w:r>
        <w:rPr>
          <w:sz w:val="12"/>
        </w:rPr>
        <w:t>400</w:t>
      </w:r>
    </w:p>
    <w:p>
      <w:pPr>
        <w:pStyle w:val="BodyText"/>
        <w:spacing w:before="1"/>
        <w:rPr>
          <w:sz w:val="14"/>
        </w:rPr>
      </w:pPr>
    </w:p>
    <w:p>
      <w:pPr>
        <w:spacing w:before="0"/>
        <w:ind w:left="0" w:right="38" w:firstLine="0"/>
        <w:jc w:val="right"/>
        <w:rPr>
          <w:sz w:val="12"/>
        </w:rPr>
      </w:pPr>
      <w:r>
        <w:rPr>
          <w:sz w:val="12"/>
        </w:rPr>
        <w:t>600</w:t>
      </w:r>
    </w:p>
    <w:p>
      <w:pPr>
        <w:pStyle w:val="BodyText"/>
        <w:spacing w:before="10"/>
        <w:rPr>
          <w:sz w:val="13"/>
        </w:rPr>
      </w:pPr>
    </w:p>
    <w:p>
      <w:pPr>
        <w:spacing w:before="0"/>
        <w:ind w:left="0" w:right="38" w:firstLine="0"/>
        <w:jc w:val="right"/>
        <w:rPr>
          <w:sz w:val="12"/>
        </w:rPr>
      </w:pPr>
      <w:r>
        <w:rPr/>
        <w:pict>
          <v:line style="position:absolute;mso-position-horizontal-relative:page;mso-position-vertical-relative:paragraph;z-index:15981568" from="46.970001pt,3.768318pt" to="50.637001pt,3.768318pt" stroked="true" strokeweight=".5pt" strokecolor="#000000">
            <v:stroke dashstyle="solid"/>
            <w10:wrap type="none"/>
          </v:line>
        </w:pict>
      </w:r>
      <w:r>
        <w:rPr/>
        <w:pict>
          <v:line style="position:absolute;mso-position-horizontal-relative:page;mso-position-vertical-relative:paragraph;z-index:15982080" from="209.595001pt,3.768318pt" to="213.262001pt,3.768318pt" stroked="true" strokeweight=".5pt" strokecolor="#000000">
            <v:stroke dashstyle="solid"/>
            <w10:wrap type="none"/>
          </v:line>
        </w:pict>
      </w:r>
      <w:r>
        <w:rPr>
          <w:sz w:val="12"/>
        </w:rPr>
        <w:t>800</w:t>
      </w:r>
    </w:p>
    <w:p>
      <w:pPr>
        <w:pStyle w:val="BodyText"/>
        <w:spacing w:before="1" w:after="40"/>
        <w:rPr>
          <w:sz w:val="9"/>
        </w:rPr>
      </w:pPr>
    </w:p>
    <w:p>
      <w:pPr>
        <w:spacing w:line="104" w:lineRule="exact"/>
        <w:ind w:left="284" w:right="0" w:firstLine="0"/>
        <w:rPr>
          <w:sz w:val="10"/>
        </w:rPr>
      </w:pPr>
      <w:r>
        <w:rPr>
          <w:position w:val="-1"/>
          <w:sz w:val="2"/>
        </w:rPr>
        <w:pict>
          <v:group style="width:3.7pt;height:.5pt;mso-position-horizontal-relative:char;mso-position-vertical-relative:line" coordorigin="0,0" coordsize="74,10">
            <v:line style="position:absolute" from="0,5" to="73,5" stroked="true" strokeweight=".5pt" strokecolor="#000000">
              <v:stroke dashstyle="solid"/>
            </v:line>
          </v:group>
        </w:pict>
      </w:r>
      <w:r>
        <w:rPr>
          <w:position w:val="-1"/>
          <w:sz w:val="2"/>
        </w:rPr>
      </w:r>
      <w:r>
        <w:rPr>
          <w:spacing w:val="34"/>
          <w:position w:val="-1"/>
          <w:sz w:val="10"/>
        </w:rPr>
        <w:t> </w:t>
      </w:r>
      <w:r>
        <w:rPr>
          <w:spacing w:val="34"/>
          <w:position w:val="-1"/>
          <w:sz w:val="10"/>
        </w:rPr>
        <w:pict>
          <v:group style="width:158.6pt;height:4.75pt;mso-position-horizontal-relative:char;mso-position-vertical-relative:line" coordorigin="0,0" coordsize="3172,95">
            <v:shape style="position:absolute;left:7;top:87;width:3164;height:3" coordorigin="8,88" coordsize="3164,3" path="m8,88l3035,90m3098,89l3171,89e" filled="false" stroked="true" strokeweight=".5pt" strokecolor="#000000">
              <v:path arrowok="t"/>
              <v:stroke dashstyle="solid"/>
            </v:shape>
            <v:shape style="position:absolute;left:5;top:0;width:3028;height:95" coordorigin="5,0" coordsize="3028,95" path="m5,94l5,17m236,83l236,6m473,88l473,11m703,77l703,0m935,88l935,11m1166,77l1166,0m1406,83l1406,5m1638,91l1638,14m1868,88l1868,11m2099,77l2099,0m2335,88l2335,11m2566,77l2566,0m2802,89l2802,12m3033,78l3033,1e" filled="false" stroked="true" strokeweight=".5pt" strokecolor="#000000">
              <v:path arrowok="t"/>
              <v:stroke dashstyle="solid"/>
            </v:shape>
          </v:group>
        </w:pict>
      </w:r>
      <w:r>
        <w:rPr>
          <w:spacing w:val="34"/>
          <w:position w:val="-1"/>
          <w:sz w:val="10"/>
        </w:rPr>
      </w:r>
    </w:p>
    <w:p>
      <w:pPr>
        <w:spacing w:line="280" w:lineRule="atLeast" w:before="86"/>
        <w:ind w:left="179" w:right="194" w:firstLine="0"/>
        <w:jc w:val="left"/>
        <w:rPr>
          <w:sz w:val="24"/>
        </w:rPr>
      </w:pPr>
      <w:r>
        <w:rPr/>
        <w:br w:type="column"/>
      </w:r>
      <w:r>
        <w:rPr>
          <w:sz w:val="24"/>
        </w:rPr>
        <w:t>The recent rise in both employment and unemployment was associated with a decline in the number of people who are economically inactive (those who are neither employed nor actively searching for work). The inactivity rate has been falling since early 1998, having been broadly flat since the start of the 1990s recovery. The extent to which changes in employment are associated with changes in inactivity rather than changes in unemployment affects the prospects for inflation, because the inactive are assumed to exert less downward pressure on earnings than the unemployed. In the past, inactivity has tended to be counter-cyclical, falling in recoveries as people are attracted out of inactivity into searching for—and acquiring—work, and rising in</w:t>
      </w:r>
    </w:p>
    <w:p>
      <w:pPr>
        <w:spacing w:after="0" w:line="280" w:lineRule="atLeast"/>
        <w:jc w:val="left"/>
        <w:rPr>
          <w:sz w:val="24"/>
        </w:rPr>
        <w:sectPr>
          <w:type w:val="continuous"/>
          <w:pgSz w:w="11900" w:h="16840"/>
          <w:pgMar w:top="1220" w:bottom="280" w:left="640" w:right="640"/>
          <w:cols w:num="2" w:equalWidth="0">
            <w:col w:w="3985" w:space="790"/>
            <w:col w:w="5845"/>
          </w:cols>
        </w:sectPr>
      </w:pPr>
    </w:p>
    <w:p>
      <w:pPr>
        <w:tabs>
          <w:tab w:pos="943" w:val="left" w:leader="none"/>
          <w:tab w:pos="1408" w:val="left" w:leader="none"/>
          <w:tab w:pos="1875" w:val="left" w:leader="none"/>
          <w:tab w:pos="2340" w:val="left" w:leader="none"/>
          <w:tab w:pos="2805" w:val="left" w:leader="none"/>
          <w:tab w:pos="3273" w:val="left" w:leader="none"/>
        </w:tabs>
        <w:spacing w:before="38"/>
        <w:ind w:left="419" w:right="0" w:firstLine="0"/>
        <w:jc w:val="left"/>
        <w:rPr>
          <w:sz w:val="12"/>
        </w:rPr>
      </w:pPr>
      <w:r>
        <w:rPr>
          <w:sz w:val="12"/>
        </w:rPr>
        <w:t>1986</w:t>
        <w:tab/>
        <w:t>88</w:t>
        <w:tab/>
        <w:t>90</w:t>
        <w:tab/>
        <w:t>92</w:t>
        <w:tab/>
        <w:t>94</w:t>
        <w:tab/>
        <w:t>96</w:t>
        <w:tab/>
        <w:t>98</w:t>
      </w:r>
    </w:p>
    <w:p>
      <w:pPr>
        <w:pStyle w:val="BodyText"/>
        <w:rPr>
          <w:sz w:val="12"/>
        </w:rPr>
      </w:pPr>
    </w:p>
    <w:p>
      <w:pPr>
        <w:spacing w:before="79"/>
        <w:ind w:left="179" w:right="0" w:firstLine="0"/>
        <w:jc w:val="left"/>
        <w:rPr>
          <w:sz w:val="12"/>
        </w:rPr>
      </w:pPr>
      <w:r>
        <w:rPr>
          <w:sz w:val="12"/>
        </w:rPr>
        <w:t>Note: Pre-1992 figures interpolated from yearly observations.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88"/>
        <w:ind w:left="200"/>
      </w:pPr>
      <w:r>
        <w:rPr>
          <w:color w:val="0093C1"/>
        </w:rPr>
        <w:t>Chart 3.12</w:t>
      </w:r>
    </w:p>
    <w:p>
      <w:pPr>
        <w:pStyle w:val="Heading4"/>
        <w:ind w:left="200"/>
      </w:pPr>
      <w:r>
        <w:rPr>
          <w:color w:val="0093C1"/>
        </w:rPr>
        <w:t>Vacancy-unemployment ratios</w:t>
      </w:r>
    </w:p>
    <w:p>
      <w:pPr>
        <w:spacing w:line="47" w:lineRule="exact" w:before="0"/>
        <w:ind w:left="179" w:right="0" w:firstLine="0"/>
        <w:jc w:val="left"/>
        <w:rPr>
          <w:sz w:val="12"/>
        </w:rPr>
      </w:pPr>
      <w:r>
        <w:rPr/>
        <w:br w:type="column"/>
      </w:r>
      <w:r>
        <w:rPr>
          <w:sz w:val="12"/>
        </w:rPr>
        <w:t>1,000</w:t>
      </w:r>
    </w:p>
    <w:p>
      <w:pPr>
        <w:spacing w:line="242" w:lineRule="auto" w:before="4"/>
        <w:ind w:left="179" w:right="213" w:firstLine="0"/>
        <w:jc w:val="left"/>
        <w:rPr>
          <w:sz w:val="24"/>
        </w:rPr>
      </w:pPr>
      <w:r>
        <w:rPr/>
        <w:br w:type="column"/>
      </w:r>
      <w:r>
        <w:rPr>
          <w:sz w:val="24"/>
        </w:rPr>
        <w:t>downturns. So changes in unemployment have usually been rather smaller than changes in employment (see Chart 3.11). During the 1990s recovery, however, the normal cyclical pattern has been weakened by a trend rise in the number of students and long-term sick. The MPC has taken account of this in its inflation projections.</w:t>
      </w:r>
    </w:p>
    <w:p>
      <w:pPr>
        <w:spacing w:after="0" w:line="242" w:lineRule="auto"/>
        <w:jc w:val="left"/>
        <w:rPr>
          <w:sz w:val="24"/>
        </w:rPr>
        <w:sectPr>
          <w:type w:val="continuous"/>
          <w:pgSz w:w="11900" w:h="16840"/>
          <w:pgMar w:top="1220" w:bottom="280" w:left="640" w:right="640"/>
          <w:cols w:num="3" w:equalWidth="0">
            <w:col w:w="3434" w:space="61"/>
            <w:col w:w="490" w:space="790"/>
            <w:col w:w="5845"/>
          </w:cols>
        </w:sectPr>
      </w:pPr>
    </w:p>
    <w:p>
      <w:pPr>
        <w:pStyle w:val="BodyText"/>
        <w:spacing w:before="10"/>
        <w:rPr>
          <w:sz w:val="9"/>
        </w:rPr>
      </w:pPr>
    </w:p>
    <w:p>
      <w:pPr>
        <w:spacing w:before="0"/>
        <w:ind w:left="248" w:right="0" w:firstLine="0"/>
        <w:jc w:val="left"/>
        <w:rPr>
          <w:sz w:val="12"/>
        </w:rPr>
      </w:pPr>
      <w:r>
        <w:rPr>
          <w:sz w:val="12"/>
        </w:rPr>
        <w:t>0.12</w:t>
      </w:r>
    </w:p>
    <w:p>
      <w:pPr>
        <w:pStyle w:val="BodyText"/>
        <w:rPr>
          <w:sz w:val="12"/>
        </w:rPr>
      </w:pPr>
    </w:p>
    <w:p>
      <w:pPr>
        <w:pStyle w:val="BodyText"/>
        <w:rPr>
          <w:sz w:val="12"/>
        </w:rPr>
      </w:pPr>
    </w:p>
    <w:p>
      <w:pPr>
        <w:spacing w:before="79"/>
        <w:ind w:left="248" w:right="0" w:firstLine="0"/>
        <w:jc w:val="left"/>
        <w:rPr>
          <w:sz w:val="12"/>
        </w:rPr>
      </w:pPr>
      <w:r>
        <w:rPr>
          <w:sz w:val="12"/>
        </w:rPr>
        <w:t>0.10</w:t>
      </w:r>
    </w:p>
    <w:p>
      <w:pPr>
        <w:pStyle w:val="BodyText"/>
        <w:rPr>
          <w:sz w:val="12"/>
        </w:rPr>
      </w:pPr>
    </w:p>
    <w:p>
      <w:pPr>
        <w:pStyle w:val="BodyText"/>
        <w:rPr>
          <w:sz w:val="12"/>
        </w:rPr>
      </w:pPr>
    </w:p>
    <w:p>
      <w:pPr>
        <w:spacing w:before="78"/>
        <w:ind w:left="248" w:right="0" w:firstLine="0"/>
        <w:jc w:val="left"/>
        <w:rPr>
          <w:sz w:val="12"/>
        </w:rPr>
      </w:pPr>
      <w:r>
        <w:rPr>
          <w:sz w:val="12"/>
        </w:rPr>
        <w:t>0.08</w:t>
      </w:r>
    </w:p>
    <w:p>
      <w:pPr>
        <w:pStyle w:val="BodyText"/>
        <w:rPr>
          <w:sz w:val="12"/>
        </w:rPr>
      </w:pPr>
    </w:p>
    <w:p>
      <w:pPr>
        <w:pStyle w:val="BodyText"/>
        <w:rPr>
          <w:sz w:val="12"/>
        </w:rPr>
      </w:pPr>
    </w:p>
    <w:p>
      <w:pPr>
        <w:spacing w:before="76"/>
        <w:ind w:left="248" w:right="0" w:firstLine="0"/>
        <w:jc w:val="left"/>
        <w:rPr>
          <w:sz w:val="12"/>
        </w:rPr>
      </w:pPr>
      <w:r>
        <w:rPr>
          <w:sz w:val="12"/>
        </w:rPr>
        <w:t>0.06</w:t>
      </w:r>
    </w:p>
    <w:p>
      <w:pPr>
        <w:pStyle w:val="BodyText"/>
        <w:rPr>
          <w:sz w:val="12"/>
        </w:rPr>
      </w:pPr>
    </w:p>
    <w:p>
      <w:pPr>
        <w:pStyle w:val="BodyText"/>
        <w:rPr>
          <w:sz w:val="12"/>
        </w:rPr>
      </w:pPr>
    </w:p>
    <w:p>
      <w:pPr>
        <w:spacing w:before="76"/>
        <w:ind w:left="248" w:right="0" w:firstLine="0"/>
        <w:jc w:val="left"/>
        <w:rPr>
          <w:sz w:val="12"/>
        </w:rPr>
      </w:pPr>
      <w:r>
        <w:rPr>
          <w:sz w:val="12"/>
        </w:rPr>
        <w:t>0.04</w:t>
      </w:r>
    </w:p>
    <w:p>
      <w:pPr>
        <w:pStyle w:val="BodyText"/>
        <w:rPr>
          <w:sz w:val="12"/>
        </w:rPr>
      </w:pPr>
    </w:p>
    <w:p>
      <w:pPr>
        <w:pStyle w:val="BodyText"/>
        <w:rPr>
          <w:sz w:val="12"/>
        </w:rPr>
      </w:pPr>
    </w:p>
    <w:p>
      <w:pPr>
        <w:spacing w:before="79"/>
        <w:ind w:left="248" w:right="0" w:firstLine="0"/>
        <w:jc w:val="left"/>
        <w:rPr>
          <w:sz w:val="12"/>
        </w:rPr>
      </w:pPr>
      <w:r>
        <w:rPr>
          <w:sz w:val="12"/>
        </w:rPr>
        <w:t>0.02</w:t>
      </w:r>
    </w:p>
    <w:p>
      <w:pPr>
        <w:pStyle w:val="BodyText"/>
        <w:rPr>
          <w:sz w:val="12"/>
        </w:rPr>
      </w:pPr>
    </w:p>
    <w:p>
      <w:pPr>
        <w:pStyle w:val="BodyText"/>
        <w:rPr>
          <w:sz w:val="12"/>
        </w:rPr>
      </w:pPr>
    </w:p>
    <w:p>
      <w:pPr>
        <w:spacing w:line="58" w:lineRule="exact" w:before="76"/>
        <w:ind w:left="248" w:right="0" w:firstLine="0"/>
        <w:jc w:val="left"/>
        <w:rPr>
          <w:sz w:val="12"/>
        </w:rPr>
      </w:pPr>
      <w:r>
        <w:rPr>
          <w:sz w:val="12"/>
        </w:rPr>
        <w:t>0.00</w:t>
      </w:r>
    </w:p>
    <w:p>
      <w:pPr>
        <w:spacing w:before="35"/>
        <w:ind w:left="88" w:right="0" w:firstLine="0"/>
        <w:jc w:val="left"/>
        <w:rPr>
          <w:sz w:val="12"/>
        </w:rPr>
      </w:pPr>
      <w:r>
        <w:rPr/>
        <w:br w:type="column"/>
      </w:r>
      <w:r>
        <w:rPr>
          <w:color w:val="231F20"/>
          <w:sz w:val="12"/>
          <w:u w:val="single" w:color="000000"/>
        </w:rPr>
        <w:t>R</w:t>
      </w:r>
      <w:r>
        <w:rPr>
          <w:color w:val="231F20"/>
          <w:sz w:val="12"/>
        </w:rPr>
        <w:t>atio</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42" w:lineRule="auto" w:before="102"/>
        <w:ind w:left="247" w:right="-19" w:hanging="30"/>
        <w:jc w:val="left"/>
        <w:rPr>
          <w:sz w:val="12"/>
        </w:rPr>
      </w:pPr>
      <w:r>
        <w:rPr/>
        <w:pict>
          <v:group style="position:absolute;margin-left:60.404999pt;margin-top:-30.798437pt;width:164.5pt;height:108.65pt;mso-position-horizontal-relative:page;mso-position-vertical-relative:paragraph;z-index:-21151232" coordorigin="1208,-616" coordsize="3290,2173">
            <v:shape style="position:absolute;left:1370;top:-606;width:2955;height:2142" coordorigin="1371,-606" coordsize="2955,2142" path="m1371,1469l1386,1459,1401,1452,1416,1432,1433,1439,1448,1417,1463,1404,1478,1379,1493,1384,1508,1382,1523,1389,1538,1390,1553,1384,1571,1392,1586,1389,1601,1394,1616,1372,1631,1379,1646,1380,1661,1394,1676,1395,1691,1407,1708,1404,1723,1389,1753,1379,1783,1354,1798,1362,1813,1357,1828,1364,1843,1362,1858,1363,1873,1364,1888,1362,1903,1372,1918,1362,1933,1339,1948,1337,1963,1332,1981,1339,2011,1264,2026,1234,2056,1219,2071,1199,2086,1187,2101,1167,2118,1157,2133,1127,2148,1117,2163,1042,2178,1032,2208,972,2223,922,2238,859,2256,797,2271,812,2286,809,2301,802,2316,782,2331,732,2346,712,2361,697,2378,674,2393,689,2408,687,2423,639,2438,619,2453,592,2468,622,2483,609,2498,612,2513,584,2528,577,2543,519,2573,499,2588,457,2618,477,2633,569,2651,544,2666,577,2681,589,2696,549,2711,567,2726,637,2741,739,2756,789,2771,847,2788,972,2803,1069,2818,1177,2833,1119,2848,1169,2863,1244,2878,1344,2893,1414,2908,1457,2926,1467,2956,1457,2971,1477,2986,1474,3001,1457,3016,1464,3031,1467,3046,1474,3063,1484,3078,1482,3093,1479,3108,1482,3123,1499,3138,1527,3153,1532,3168,1534,3183,1535,3198,1524,3213,1517,3228,1499,3243,1502,3258,1492,3273,1494,3288,1474,3303,1469,3318,1467,3336,1444,3351,1427,3366,1412,3381,1404,3396,1384,3411,1377,3426,1357,3441,1339,3458,1307,3473,1284,3488,1244,3503,1234,3518,1174,3548,1134,3563,1137,3578,1132,3596,1109,3611,1057,3626,1054,3641,1064,3656,1067,3671,1057,3686,1034,3701,1047,3716,1022,3733,1012,3748,979,3763,982,3778,929,3793,922,3808,882,3823,837,3838,784,3853,774,3868,714,3883,652,3898,537,3913,512,3928,477,3943,397,3958,364,3973,317,3988,282,4006,197,4021,132,4036,42,4066,-128,4081,-181,4096,-286,4111,-228,4126,-333,4143,-383,4158,-418,4173,-486,4188,-493,4203,-533,4218,-532,4233,-553,4248,-606,4263,-596,4281,-595,4296,-578,4311,-528,4326,-518e" filled="false" stroked="true" strokeweight="1.0pt" strokecolor="#522e91">
              <v:path arrowok="t"/>
              <v:stroke dashstyle="solid"/>
            </v:shape>
            <v:shape style="position:absolute;left:1370;top:-464;width:2955;height:2010" coordorigin="1371,-463" coordsize="2955,2010" path="m1371,1547l1386,1544,1401,1542,1416,1527,1433,1524,1448,1514,1463,1499,1478,1517,1493,1527,1508,1509,1523,1514,1538,1499,1553,1482,1571,1479,1586,1477,1601,1457,1616,1452,1631,1442,1646,1427,1661,1452,1676,1467,1691,1457,1708,1464,1723,1457,1738,1444,1753,1449,1768,1447,1783,1439,1798,1434,1813,1422,1828,1412,1843,1439,1858,1452,1873,1444,1888,1447,1903,1442,1918,1429,1933,1432,1948,1442,1963,1429,1981,1427,1996,1414,2011,1404,2026,1417,2041,1418,2056,1397,2071,1389,2086,1364,2101,1337,2118,1319,2133,1297,2148,1277,2178,1212,2193,1177,2208,1174,2223,1159,2238,1119,2256,1087,2271,1052,2286,1002,2301,987,2316,964,2346,894,2361,847,2378,797,2408,799,2423,764,2438,727,2453,664,2468,607,2498,572,2513,537,2528,532,2543,499,2558,477,2573,469,2588,477,2603,489,2618,484,2633,482,2651,472,2666,524,2681,562,2696,602,2711,647,2726,672,2741,724,2756,794,2771,879,2788,959,2803,1004,2818,1059,2833,1089,2863,1234,2878,1279,2893,1314,2908,1327,2926,1349,2941,1364,2956,1384,2971,1407,2986,1408,3001,1409,3016,1412,3031,1429,3046,1439,3063,1459,3078,1467,3093,1459,3108,1467,3123,1469,3138,1479,3153,1497,3168,1484,3183,1492,3198,1477,3213,1474,3228,1469,3243,1474,3258,1464,3273,1439,3288,1427,3303,1409,3318,1397,3336,1392,3351,1354,3366,1329,3381,1314,3396,1307,3411,1302,3426,1287,3441,1274,3458,1254,3473,1239,3488,1212,3503,1199,3518,1177,3533,1152,3548,1124,3563,1107,3578,1104,3596,1102,3611,1092,3626,1093,3641,1074,3656,1069,3671,1037,3686,1017,3701,1002,3716,972,3733,949,3748,912,3763,913,3778,882,3808,842,3823,802,3838,772,3853,717,3868,677,3883,619,3898,504,3913,432,3928,339,3943,277,3973,167,3988,132,4006,57,4021,-28,4036,-156,4051,-213,4066,-258,4081,-351,4096,-423,4111,-463,4126,-448,4143,-433,4158,-421,4173,-356,4188,-361,4203,-383,4218,-433,4248,-373,4263,-378,4281,-396,4296,-398,4311,-313,4326,-251e" filled="false" stroked="true" strokeweight="1pt" strokecolor="#00a995">
              <v:path arrowok="t"/>
              <v:stroke dashstyle="solid"/>
            </v:shape>
            <v:shape style="position:absolute;left:1208;top:-461;width:3290;height:1965" coordorigin="1208,-461" coordsize="3290,1965" path="m1216,-461l1306,-461m1213,29l1303,29m1208,519l1298,519m4403,814l4493,814m1213,1009l1303,1009m4408,1399l4498,1399m1213,1504l1303,1504m1811,409l2056,1069e" filled="false" stroked="true" strokeweight=".5pt" strokecolor="#000000">
              <v:path arrowok="t"/>
              <v:stroke dashstyle="solid"/>
            </v:shape>
            <v:shape style="position:absolute;left:2026;top:1044;width:54;height:89" coordorigin="2026,1044" coordsize="54,89" path="m2073,1044l2026,1062,2038,1075,2046,1084,2079,1133,2077,1124,2076,1113,2075,1101,2073,1088,2073,1076,2073,1044xe" filled="true" fillcolor="#000000" stroked="false">
              <v:path arrowok="t"/>
              <v:fill type="solid"/>
            </v:shape>
            <v:line style="position:absolute" from="3291,-451" to="3941,-151" stroked="true" strokeweight=".5pt" strokecolor="#231f20">
              <v:stroke dashstyle="solid"/>
            </v:line>
            <v:shape style="position:absolute;left:3914;top:-181;width:88;height:59" coordorigin="3915,-181" coordsize="88,59" path="m3936,-181l3915,-135,3932,-134,3945,-133,4002,-122,3995,-127,3986,-134,3977,-142,3966,-150,3958,-158,3936,-181xe" filled="true" fillcolor="#231f20" stroked="false">
              <v:path arrowok="t"/>
              <v:fill type="solid"/>
            </v:shape>
            <w10:wrap type="none"/>
          </v:group>
        </w:pict>
      </w:r>
      <w:r>
        <w:rPr>
          <w:color w:val="231F20"/>
          <w:sz w:val="12"/>
        </w:rPr>
        <w:t>Jobcentre vacancies (a)/ unemployment (right-hand scale)</w:t>
      </w:r>
    </w:p>
    <w:p>
      <w:pPr>
        <w:pStyle w:val="BodyText"/>
        <w:rPr>
          <w:sz w:val="12"/>
        </w:rPr>
      </w:pPr>
      <w:r>
        <w:rPr/>
        <w:br w:type="column"/>
      </w:r>
      <w:r>
        <w:rPr>
          <w:sz w:val="12"/>
        </w:rPr>
      </w:r>
    </w:p>
    <w:p>
      <w:pPr>
        <w:pStyle w:val="BodyText"/>
        <w:spacing w:before="7"/>
        <w:rPr>
          <w:sz w:val="11"/>
        </w:rPr>
      </w:pPr>
    </w:p>
    <w:p>
      <w:pPr>
        <w:spacing w:line="242" w:lineRule="auto" w:before="0"/>
        <w:ind w:left="25" w:right="-19" w:hanging="30"/>
        <w:jc w:val="left"/>
        <w:rPr>
          <w:sz w:val="12"/>
        </w:rPr>
      </w:pPr>
      <w:r>
        <w:rPr>
          <w:color w:val="231F20"/>
          <w:sz w:val="12"/>
        </w:rPr>
        <w:t>Press Recruitment Advertising Index/ unemployment (left-hand scale)</w:t>
      </w:r>
    </w:p>
    <w:p>
      <w:pPr>
        <w:spacing w:before="46"/>
        <w:ind w:left="237" w:right="0" w:firstLine="0"/>
        <w:jc w:val="left"/>
        <w:rPr>
          <w:sz w:val="12"/>
        </w:rPr>
      </w:pPr>
      <w:r>
        <w:rPr/>
        <w:br w:type="column"/>
      </w:r>
      <w:r>
        <w:rPr>
          <w:sz w:val="12"/>
        </w:rPr>
        <w:t>Ra</w:t>
      </w:r>
      <w:r>
        <w:rPr>
          <w:sz w:val="12"/>
          <w:u w:val="single"/>
        </w:rPr>
        <w:t>tio</w:t>
      </w:r>
      <w:r>
        <w:rPr>
          <w:sz w:val="12"/>
        </w:rPr>
        <w:t>  </w:t>
      </w:r>
      <w:r>
        <w:rPr>
          <w:position w:val="-6"/>
          <w:sz w:val="12"/>
        </w:rPr>
        <w:t>0.25</w:t>
      </w:r>
    </w:p>
    <w:p>
      <w:pPr>
        <w:pStyle w:val="BodyText"/>
        <w:rPr>
          <w:sz w:val="20"/>
        </w:rPr>
      </w:pPr>
    </w:p>
    <w:p>
      <w:pPr>
        <w:pStyle w:val="BodyText"/>
        <w:spacing w:before="5"/>
        <w:rPr>
          <w:sz w:val="17"/>
        </w:rPr>
      </w:pPr>
    </w:p>
    <w:p>
      <w:pPr>
        <w:spacing w:before="1"/>
        <w:ind w:left="0" w:right="38" w:firstLine="0"/>
        <w:jc w:val="right"/>
        <w:rPr>
          <w:sz w:val="12"/>
        </w:rPr>
      </w:pPr>
      <w:r>
        <w:rPr/>
        <w:pict>
          <v:line style="position:absolute;mso-position-horizontal-relative:page;mso-position-vertical-relative:paragraph;z-index:15983616" from="220.529999pt,4.21417pt" to="225.029999pt,4.21417pt" stroked="true" strokeweight=".5pt" strokecolor="#000000">
            <v:stroke dashstyle="solid"/>
            <w10:wrap type="none"/>
          </v:line>
        </w:pict>
      </w:r>
      <w:r>
        <w:rPr>
          <w:sz w:val="12"/>
        </w:rPr>
        <w:t>0.20</w:t>
      </w:r>
    </w:p>
    <w:p>
      <w:pPr>
        <w:pStyle w:val="BodyText"/>
        <w:rPr>
          <w:sz w:val="12"/>
        </w:rPr>
      </w:pPr>
    </w:p>
    <w:p>
      <w:pPr>
        <w:pStyle w:val="BodyText"/>
        <w:rPr>
          <w:sz w:val="12"/>
        </w:rPr>
      </w:pPr>
    </w:p>
    <w:p>
      <w:pPr>
        <w:pStyle w:val="BodyText"/>
        <w:spacing w:before="2"/>
        <w:rPr>
          <w:sz w:val="17"/>
        </w:rPr>
      </w:pPr>
    </w:p>
    <w:p>
      <w:pPr>
        <w:spacing w:before="1"/>
        <w:ind w:left="0" w:right="38" w:firstLine="0"/>
        <w:jc w:val="right"/>
        <w:rPr>
          <w:sz w:val="12"/>
        </w:rPr>
      </w:pPr>
      <w:r>
        <w:rPr/>
        <w:pict>
          <v:line style="position:absolute;mso-position-horizontal-relative:page;mso-position-vertical-relative:paragraph;z-index:15984128" from="220.404999pt,3.338956pt" to="224.904999pt,3.338956pt" stroked="true" strokeweight=".5pt" strokecolor="#000000">
            <v:stroke dashstyle="solid"/>
            <w10:wrap type="none"/>
          </v:line>
        </w:pict>
      </w:r>
      <w:r>
        <w:rPr>
          <w:sz w:val="12"/>
        </w:rPr>
        <w:t>0.15</w:t>
      </w: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sz w:val="12"/>
        </w:rPr>
        <w:t>0.10</w:t>
      </w:r>
    </w:p>
    <w:p>
      <w:pPr>
        <w:pStyle w:val="BodyText"/>
        <w:rPr>
          <w:sz w:val="12"/>
        </w:rPr>
      </w:pPr>
    </w:p>
    <w:p>
      <w:pPr>
        <w:pStyle w:val="BodyText"/>
        <w:rPr>
          <w:sz w:val="12"/>
        </w:rPr>
      </w:pPr>
    </w:p>
    <w:p>
      <w:pPr>
        <w:pStyle w:val="BodyText"/>
        <w:spacing w:before="7"/>
        <w:rPr>
          <w:sz w:val="15"/>
        </w:rPr>
      </w:pPr>
    </w:p>
    <w:p>
      <w:pPr>
        <w:spacing w:before="0"/>
        <w:ind w:left="0" w:right="38" w:firstLine="0"/>
        <w:jc w:val="right"/>
        <w:rPr>
          <w:sz w:val="12"/>
        </w:rPr>
      </w:pPr>
      <w:r>
        <w:rPr>
          <w:sz w:val="12"/>
        </w:rPr>
        <w:t>0.05</w:t>
      </w:r>
    </w:p>
    <w:p>
      <w:pPr>
        <w:pStyle w:val="BodyText"/>
        <w:rPr>
          <w:sz w:val="12"/>
        </w:rPr>
      </w:pPr>
    </w:p>
    <w:p>
      <w:pPr>
        <w:pStyle w:val="BodyText"/>
        <w:rPr>
          <w:sz w:val="12"/>
        </w:rPr>
      </w:pPr>
    </w:p>
    <w:p>
      <w:pPr>
        <w:pStyle w:val="BodyText"/>
        <w:spacing w:before="6"/>
        <w:rPr>
          <w:sz w:val="15"/>
        </w:rPr>
      </w:pPr>
    </w:p>
    <w:p>
      <w:pPr>
        <w:spacing w:line="58" w:lineRule="exact" w:before="0"/>
        <w:ind w:left="0" w:right="38" w:firstLine="0"/>
        <w:jc w:val="right"/>
        <w:rPr>
          <w:sz w:val="12"/>
        </w:rPr>
      </w:pPr>
      <w:r>
        <w:rPr/>
        <w:pict>
          <v:shape style="position:absolute;margin-left:60.154999pt;margin-top:.101563pt;width:164.25pt;height:4.150pt;mso-position-horizontal-relative:page;mso-position-vertical-relative:paragraph;z-index:15982592" coordorigin="1203,2" coordsize="3285,83" path="m1363,75l4333,77m1203,72l1293,72m4398,72l4488,72m1361,82l1361,20m1911,72l1911,10m1726,72l1726,10m1541,72l1541,10m2091,75l2091,12m2641,75l2641,12m2461,70l2461,7m2271,77l2271,15m2828,72l2828,10m3378,82l3378,20m3193,82l3193,20m3008,82l3008,20m3556,75l3556,12m4106,65l4106,2m3921,85l3921,22m3736,80l3736,17m4286,70l4286,7e" filled="false" stroked="true" strokeweight=".5pt" strokecolor="#000000">
            <v:path arrowok="t"/>
            <v:stroke dashstyle="solid"/>
            <w10:wrap type="none"/>
          </v:shape>
        </w:pict>
      </w:r>
      <w:r>
        <w:rPr>
          <w:sz w:val="12"/>
        </w:rPr>
        <w:t>0.00</w:t>
      </w:r>
    </w:p>
    <w:p>
      <w:pPr>
        <w:pStyle w:val="BodyText"/>
        <w:spacing w:before="10"/>
        <w:rPr>
          <w:sz w:val="26"/>
        </w:rPr>
      </w:pPr>
      <w:r>
        <w:rPr/>
        <w:br w:type="column"/>
      </w:r>
      <w:r>
        <w:rPr>
          <w:sz w:val="26"/>
        </w:rPr>
      </w:r>
    </w:p>
    <w:p>
      <w:pPr>
        <w:spacing w:line="242" w:lineRule="auto" w:before="0"/>
        <w:ind w:left="248" w:right="140" w:firstLine="0"/>
        <w:jc w:val="left"/>
        <w:rPr>
          <w:sz w:val="24"/>
        </w:rPr>
      </w:pPr>
      <w:r>
        <w:rPr>
          <w:sz w:val="24"/>
        </w:rPr>
        <w:t>Indicators of job vacancies and skill shortages provide an alternative way of assessing the relationship between the supply of, and unsatisfied demand for, labour. Vacancy measures have fallen: in March, the official number of Jobcentre vacancies was 12,400 below its peak in November last year, and the NTC Press Recruitment Advertising Index was at its lowest level since</w:t>
      </w:r>
    </w:p>
    <w:p>
      <w:pPr>
        <w:spacing w:line="242" w:lineRule="auto" w:before="9"/>
        <w:ind w:left="248" w:right="293" w:firstLine="0"/>
        <w:jc w:val="left"/>
        <w:rPr>
          <w:sz w:val="24"/>
        </w:rPr>
      </w:pPr>
      <w:r>
        <w:rPr>
          <w:sz w:val="24"/>
        </w:rPr>
        <w:t>December 1996. Recent Jobcentre data have been distorted by reporting problems in Northern Ireland and the West Midlands, the net effect of which is that the</w:t>
      </w:r>
    </w:p>
    <w:p>
      <w:pPr>
        <w:spacing w:after="0" w:line="242" w:lineRule="auto"/>
        <w:jc w:val="left"/>
        <w:rPr>
          <w:sz w:val="24"/>
        </w:rPr>
        <w:sectPr>
          <w:type w:val="continuous"/>
          <w:pgSz w:w="11900" w:h="16840"/>
          <w:pgMar w:top="1220" w:bottom="280" w:left="640" w:right="640"/>
          <w:cols w:num="5" w:equalWidth="0">
            <w:col w:w="459" w:space="40"/>
            <w:col w:w="1538" w:space="39"/>
            <w:col w:w="1249" w:space="39"/>
            <w:col w:w="808" w:space="535"/>
            <w:col w:w="5913"/>
          </w:cols>
        </w:sectPr>
      </w:pPr>
    </w:p>
    <w:p>
      <w:pPr>
        <w:tabs>
          <w:tab w:pos="1100" w:val="left" w:leader="none"/>
          <w:tab w:pos="1465" w:val="left" w:leader="none"/>
          <w:tab w:pos="1830" w:val="left" w:leader="none"/>
          <w:tab w:pos="2195" w:val="left" w:leader="none"/>
          <w:tab w:pos="2563" w:val="left" w:leader="none"/>
          <w:tab w:pos="2928" w:val="left" w:leader="none"/>
          <w:tab w:pos="3293" w:val="left" w:leader="none"/>
        </w:tabs>
        <w:spacing w:before="33"/>
        <w:ind w:left="645" w:right="0" w:firstLine="0"/>
        <w:jc w:val="left"/>
        <w:rPr>
          <w:sz w:val="12"/>
        </w:rPr>
      </w:pPr>
      <w:r>
        <w:rPr>
          <w:sz w:val="12"/>
        </w:rPr>
        <w:t>1983</w:t>
        <w:tab/>
        <w:t>85</w:t>
        <w:tab/>
        <w:t>87</w:t>
        <w:tab/>
        <w:t>89</w:t>
        <w:tab/>
        <w:t>91</w:t>
        <w:tab/>
        <w:t>93</w:t>
        <w:tab/>
        <w:t>95</w:t>
        <w:tab/>
        <w:t>97</w:t>
      </w:r>
      <w:r>
        <w:rPr>
          <w:spacing w:val="15"/>
          <w:sz w:val="12"/>
        </w:rPr>
        <w:t> </w:t>
      </w:r>
      <w:r>
        <w:rPr>
          <w:sz w:val="12"/>
        </w:rPr>
        <w:t>99</w:t>
      </w:r>
    </w:p>
    <w:p>
      <w:pPr>
        <w:pStyle w:val="BodyText"/>
        <w:spacing w:before="9"/>
        <w:rPr>
          <w:sz w:val="9"/>
        </w:rPr>
      </w:pPr>
    </w:p>
    <w:p>
      <w:pPr>
        <w:spacing w:before="1"/>
        <w:ind w:left="185" w:right="0" w:firstLine="0"/>
        <w:jc w:val="left"/>
        <w:rPr>
          <w:sz w:val="12"/>
        </w:rPr>
      </w:pPr>
      <w:r>
        <w:rPr>
          <w:sz w:val="12"/>
        </w:rPr>
        <w:t>Sources: ONS and NTC Research.</w:t>
      </w:r>
    </w:p>
    <w:p>
      <w:pPr>
        <w:pStyle w:val="BodyText"/>
        <w:spacing w:before="1"/>
        <w:rPr>
          <w:sz w:val="10"/>
        </w:rPr>
      </w:pPr>
    </w:p>
    <w:p>
      <w:pPr>
        <w:spacing w:line="208" w:lineRule="auto" w:before="0"/>
        <w:ind w:left="425" w:right="0" w:hanging="240"/>
        <w:jc w:val="left"/>
        <w:rPr>
          <w:sz w:val="12"/>
        </w:rPr>
      </w:pPr>
      <w:r>
        <w:rPr>
          <w:sz w:val="12"/>
        </w:rPr>
        <w:t>(a) UK data, projected forward using a measure excluding Northern Ireland and West Midlands from the start of 1998. Data are also adjusted for an overstated stock of vacancies from 1996 Q2 onwards caused by difficulties with the Jobcentre computer system.</w:t>
      </w:r>
    </w:p>
    <w:p>
      <w:pPr>
        <w:spacing w:line="242" w:lineRule="auto" w:before="0"/>
        <w:ind w:left="185" w:right="167" w:firstLine="0"/>
        <w:jc w:val="left"/>
        <w:rPr>
          <w:sz w:val="24"/>
        </w:rPr>
      </w:pPr>
      <w:r>
        <w:rPr/>
        <w:br w:type="column"/>
      </w:r>
      <w:r>
        <w:rPr>
          <w:sz w:val="24"/>
        </w:rPr>
        <w:t>official vacancy data probably overstate the true rise in vacancies since early 1998. But even excluding these factors, vacancies remain high relative to unemployment when compared with the previous cycle (see Chart 3.12).</w:t>
      </w:r>
    </w:p>
    <w:p>
      <w:pPr>
        <w:spacing w:after="0" w:line="242" w:lineRule="auto"/>
        <w:jc w:val="left"/>
        <w:rPr>
          <w:sz w:val="24"/>
        </w:rPr>
        <w:sectPr>
          <w:type w:val="continuous"/>
          <w:pgSz w:w="11900" w:h="16840"/>
          <w:pgMar w:top="1220" w:bottom="280" w:left="640" w:right="640"/>
          <w:cols w:num="2" w:equalWidth="0">
            <w:col w:w="4405" w:space="364"/>
            <w:col w:w="5851"/>
          </w:cols>
        </w:sectPr>
      </w:pPr>
    </w:p>
    <w:p>
      <w:pPr>
        <w:pStyle w:val="BodyText"/>
        <w:rPr>
          <w:sz w:val="20"/>
        </w:rPr>
      </w:pPr>
    </w:p>
    <w:p>
      <w:pPr>
        <w:spacing w:after="0"/>
        <w:rPr>
          <w:sz w:val="20"/>
        </w:rPr>
        <w:sectPr>
          <w:pgSz w:w="11900" w:h="16840"/>
          <w:pgMar w:header="584" w:footer="617" w:top="780" w:bottom="800" w:left="640" w:right="640"/>
        </w:sectPr>
      </w:pPr>
    </w:p>
    <w:p>
      <w:pPr>
        <w:pStyle w:val="BodyText"/>
        <w:spacing w:before="7"/>
        <w:rPr>
          <w:sz w:val="19"/>
        </w:rPr>
      </w:pPr>
    </w:p>
    <w:p>
      <w:pPr>
        <w:pStyle w:val="Heading4"/>
        <w:spacing w:before="0"/>
        <w:ind w:left="165"/>
      </w:pPr>
      <w:bookmarkStart w:name="Summary" w:id="55"/>
      <w:bookmarkEnd w:id="55"/>
      <w:r>
        <w:rPr>
          <w:b w:val="0"/>
        </w:rPr>
      </w:r>
      <w:bookmarkStart w:name="_bookmark22" w:id="56"/>
      <w:bookmarkEnd w:id="56"/>
      <w:r>
        <w:rPr>
          <w:b w:val="0"/>
        </w:rPr>
      </w:r>
      <w:r>
        <w:rPr>
          <w:color w:val="0093C1"/>
        </w:rPr>
        <w:t>Chart 3.13</w:t>
      </w:r>
    </w:p>
    <w:p>
      <w:pPr>
        <w:pStyle w:val="Heading4"/>
        <w:ind w:left="165"/>
      </w:pPr>
      <w:r>
        <w:rPr>
          <w:color w:val="0093C1"/>
        </w:rPr>
        <w:t>Skill shortages and recruitment difficulties</w:t>
      </w:r>
    </w:p>
    <w:p>
      <w:pPr>
        <w:tabs>
          <w:tab w:pos="2758" w:val="left" w:leader="none"/>
          <w:tab w:pos="3824" w:val="right" w:leader="none"/>
        </w:tabs>
        <w:spacing w:line="156" w:lineRule="auto" w:before="194"/>
        <w:ind w:left="224" w:right="481" w:firstLine="167"/>
        <w:jc w:val="left"/>
        <w:rPr>
          <w:sz w:val="12"/>
        </w:rPr>
      </w:pPr>
      <w:r>
        <w:rPr/>
        <w:pict>
          <v:line style="position:absolute;mso-position-horizontal-relative:page;mso-position-vertical-relative:paragraph;z-index:-21148672" from="51.612999pt,16.341007pt" to="55.946999pt,16.341007pt" stroked="true" strokeweight=".5pt" strokecolor="#000000">
            <v:stroke dashstyle="solid"/>
            <w10:wrap type="none"/>
          </v:line>
        </w:pict>
      </w:r>
      <w:r>
        <w:rPr/>
        <w:pict>
          <v:line style="position:absolute;mso-position-horizontal-relative:page;mso-position-vertical-relative:paragraph;z-index:-21148160" from="211.738007pt,16.123009pt" to="216.072007pt,16.123009pt" stroked="true" strokeweight=".5pt" strokecolor="#000000">
            <v:stroke dashstyle="solid"/>
            <w10:wrap type="none"/>
          </v:line>
        </w:pict>
      </w:r>
      <w:r>
        <w:rPr>
          <w:color w:val="231F20"/>
          <w:sz w:val="12"/>
        </w:rPr>
        <w:t>Percentage balance</w:t>
        <w:tab/>
        <w:t>Percentage balance </w:t>
      </w:r>
      <w:r>
        <w:rPr>
          <w:sz w:val="12"/>
        </w:rPr>
        <w:t>60</w:t>
        <w:tab/>
        <w:tab/>
      </w:r>
      <w:r>
        <w:rPr>
          <w:position w:val="1"/>
          <w:sz w:val="12"/>
        </w:rPr>
        <w:t>90</w:t>
      </w:r>
    </w:p>
    <w:p>
      <w:pPr>
        <w:spacing w:line="87" w:lineRule="exact" w:before="0"/>
        <w:ind w:left="1966" w:right="0" w:firstLine="0"/>
        <w:jc w:val="left"/>
        <w:rPr>
          <w:sz w:val="12"/>
        </w:rPr>
      </w:pPr>
      <w:r>
        <w:rPr>
          <w:sz w:val="12"/>
        </w:rPr>
        <w:t>BCC manufacturing</w:t>
      </w:r>
    </w:p>
    <w:p>
      <w:pPr>
        <w:spacing w:line="208" w:lineRule="auto" w:before="6"/>
        <w:ind w:left="2026" w:right="1013" w:firstLine="0"/>
        <w:jc w:val="left"/>
        <w:rPr>
          <w:sz w:val="12"/>
        </w:rPr>
      </w:pPr>
      <w:r>
        <w:rPr/>
        <w:pict>
          <v:group style="position:absolute;margin-left:51.612999pt;margin-top:12.69925pt;width:164.5pt;height:129.4500pt;mso-position-horizontal-relative:page;mso-position-vertical-relative:paragraph;z-index:-21149184" coordorigin="1032,254" coordsize="3290,2589">
            <v:line style="position:absolute" from="1179,2161" to="4166,2161" stroked="true" strokeweight=".5pt" strokecolor="#0066a5">
              <v:stroke dashstyle="dash"/>
            </v:line>
            <v:shape style="position:absolute;left:3065;top:410;width:213;height:553" type="#_x0000_t75" stroked="false">
              <v:imagedata r:id="rId97" o:title=""/>
            </v:shape>
            <v:shape style="position:absolute;left:3268;top:952;width:110;height:990" coordorigin="3268,953" coordsize="110,990" path="m3268,953l3296,1778m3296,1778l3323,1710m3323,1710l3351,1943m3351,1943l3378,1743e" filled="false" stroked="true" strokeweight="1pt" strokecolor="#0099d8">
              <v:path arrowok="t"/>
              <v:stroke dashstyle="solid"/>
            </v:shape>
            <v:line style="position:absolute" from="3392,1733" to="3392,2050" stroked="true" strokeweight="2.375pt" strokecolor="#0099d8">
              <v:stroke dashstyle="solid"/>
            </v:line>
            <v:shape style="position:absolute;left:3405;top:1710;width:110;height:365" coordorigin="3406,1710" coordsize="110,365" path="m3406,2040l3433,2075m3433,2075l3461,1910m3461,1910l3488,1710m3488,1710l3516,1778e" filled="false" stroked="true" strokeweight="1pt" strokecolor="#0099d8">
              <v:path arrowok="t"/>
              <v:stroke dashstyle="solid"/>
            </v:shape>
            <v:line style="position:absolute" from="3506,1779" to="3553,1779" stroked="true" strokeweight="1.125pt" strokecolor="#0099d8">
              <v:stroke dashstyle="solid"/>
            </v:line>
            <v:shape style="position:absolute;left:3543;top:1447;width:80;height:330" coordorigin="3543,1448" coordsize="80,330" path="m3543,1778l3571,1578m3571,1578l3598,1448m3598,1448l3623,1610e" filled="false" stroked="true" strokeweight="1pt" strokecolor="#0099d8">
              <v:path arrowok="t"/>
              <v:stroke dashstyle="solid"/>
            </v:shape>
            <v:line style="position:absolute" from="3637,1338" to="3637,1620" stroked="true" strokeweight="2.375pt" strokecolor="#0099d8">
              <v:stroke dashstyle="solid"/>
            </v:line>
            <v:line style="position:absolute" from="3651,1348" to="3681,1313" stroked="true" strokeweight="1pt" strokecolor="#0099d8">
              <v:stroke dashstyle="solid"/>
            </v:line>
            <v:line style="position:absolute" from="3693,1040" to="3693,1323" stroked="true" strokeweight="2.25pt" strokecolor="#0099d8">
              <v:stroke dashstyle="solid"/>
            </v:line>
            <v:shape style="position:absolute;left:3705;top:1050;width:58;height:198" coordorigin="3706,1050" coordsize="58,198" path="m3706,1050l3733,1248m3733,1248l3763,1148e" filled="false" stroked="true" strokeweight="1pt" strokecolor="#0099d8">
              <v:path arrowok="t"/>
              <v:stroke dashstyle="solid"/>
            </v:shape>
            <v:line style="position:absolute" from="3776,873" to="3776,1158" stroked="true" strokeweight="2.25pt" strokecolor="#0099d8">
              <v:stroke dashstyle="solid"/>
            </v:line>
            <v:shape style="position:absolute;left:3788;top:720;width:110;height:163" coordorigin="3788,720" coordsize="110,163" path="m3788,883l3816,753m3816,753l3846,883m3846,883l3871,753m3871,753l3898,720e" filled="false" stroked="true" strokeweight="1pt" strokecolor="#0099d8">
              <v:path arrowok="t"/>
              <v:stroke dashstyle="solid"/>
            </v:shape>
            <v:line style="position:absolute" from="3913,345" to="3913,730" stroked="true" strokeweight="2.5pt" strokecolor="#0099d8">
              <v:stroke dashstyle="solid"/>
            </v:line>
            <v:shape style="position:absolute;left:3928;top:355;width:53;height:265" coordorigin="3928,355" coordsize="53,265" path="m3928,355l3953,453m3953,453l3981,620e" filled="false" stroked="true" strokeweight="1pt" strokecolor="#0099d8">
              <v:path arrowok="t"/>
              <v:stroke dashstyle="solid"/>
            </v:shape>
            <v:line style="position:absolute" from="3971,621" to="4018,621" stroked="true" strokeweight="1.125pt" strokecolor="#0099d8">
              <v:stroke dashstyle="solid"/>
            </v:line>
            <v:line style="position:absolute" from="4008,620" to="4036,388" stroked="true" strokeweight="1pt" strokecolor="#0099d8">
              <v:stroke dashstyle="solid"/>
            </v:line>
            <v:line style="position:absolute" from="4026,389" to="4073,389" stroked="true" strokeweight="1.125pt" strokecolor="#0099d8">
              <v:stroke dashstyle="solid"/>
            </v:line>
            <v:shape style="position:absolute;left:4063;top:290;width:110;height:363" coordorigin="4063,290" coordsize="110,363" path="m4063,388l4091,290m4091,290l4118,523m4118,523l4146,653m4146,653l4173,555e" filled="false" stroked="true" strokeweight="1pt" strokecolor="#0099d8">
              <v:path arrowok="t"/>
              <v:stroke dashstyle="solid"/>
            </v:shape>
            <v:shape style="position:absolute;left:3075;top:785;width:55;height:200" coordorigin="3076,785" coordsize="55,200" path="m3076,915l3103,985m3103,985l3131,785e" filled="false" stroked="true" strokeweight="1pt" strokecolor="#faab54">
              <v:path arrowok="t"/>
              <v:stroke dashstyle="solid"/>
            </v:shape>
            <v:line style="position:absolute" from="3144,775" to="3144,1093" stroked="true" strokeweight="2.375pt" strokecolor="#faab54">
              <v:stroke dashstyle="solid"/>
            </v:line>
            <v:line style="position:absolute" from="3158,1083" to="3186,850" stroked="true" strokeweight="1pt" strokecolor="#faab54">
              <v:stroke dashstyle="solid"/>
            </v:line>
            <v:line style="position:absolute" from="3176,851" to="3223,851" stroked="true" strokeweight="1.125pt" strokecolor="#faab54">
              <v:stroke dashstyle="solid"/>
            </v:line>
            <v:line style="position:absolute" from="3213,850" to="3241,1018" stroked="true" strokeweight="1pt" strokecolor="#faab54">
              <v:stroke dashstyle="solid"/>
            </v:line>
            <v:shape style="position:absolute;left:3254;top:1007;width:28;height:648" coordorigin="3254,1008" coordsize="28,648" path="m3254,1008l3254,1290m3282,1270l3282,1655e" filled="false" stroked="true" strokeweight="2.375pt" strokecolor="#faab54">
              <v:path arrowok="t"/>
              <v:stroke dashstyle="solid"/>
            </v:shape>
            <v:line style="position:absolute" from="3296,1645" to="3323,1878" stroked="true" strokeweight="1pt" strokecolor="#faab54">
              <v:stroke dashstyle="solid"/>
            </v:line>
            <v:shape style="position:absolute;left:3336;top:1732;width:28;height:450" coordorigin="3337,1733" coordsize="28,450" path="m3337,1868l3337,2183m3364,1733l3364,2183e" filled="false" stroked="true" strokeweight="2.375pt" strokecolor="#faab54">
              <v:path arrowok="t"/>
              <v:stroke dashstyle="solid"/>
            </v:shape>
            <v:shape style="position:absolute;left:3368;top:1567;width:265;height:550" type="#_x0000_t75" stroked="false">
              <v:imagedata r:id="rId98" o:title=""/>
            </v:shape>
            <v:line style="position:absolute" from="3637,1370" to="3637,1788" stroked="true" strokeweight="2.375pt" strokecolor="#faab54">
              <v:stroke dashstyle="solid"/>
            </v:line>
            <v:shape style="position:absolute;left:3650;top:522;width:495;height:990" coordorigin="3651,523" coordsize="495,990" path="m3651,1380l3681,1448m3681,1448l3706,1513m3706,1513l3733,1415m3733,1415l3763,1380m3763,1380l3788,1313m3788,1313l3816,1148m3816,1148l3846,1050m3846,1050l3871,1018m3871,1018l3898,953m3898,953l3928,785m3928,785l3953,653m3953,653l3981,785m3981,785l4008,818m4008,818l4036,720m4036,720l4063,653m4063,653l4091,523m4091,523l4118,685m4118,685l4146,720e" filled="false" stroked="true" strokeweight="1pt" strokecolor="#faab54">
              <v:path arrowok="t"/>
              <v:stroke dashstyle="solid"/>
            </v:shape>
            <v:line style="position:absolute" from="4136,721" to="4183,721" stroked="true" strokeweight="1.125pt" strokecolor="#faab54">
              <v:stroke dashstyle="solid"/>
            </v:line>
            <v:shape style="position:absolute;left:1183;top:2190;width:83;height:150" coordorigin="1183,2190" coordsize="83,150" path="m1183,2340l1211,2190m1211,2190l1238,2240m1238,2240l1266,2190e" filled="false" stroked="true" strokeweight="1pt" strokecolor="#0066a5">
              <v:path arrowok="t"/>
              <v:stroke dashstyle="solid"/>
            </v:shape>
            <v:shape style="position:absolute;left:1279;top:1337;width:28;height:863" coordorigin="1279,1338" coordsize="28,863" path="m1279,1733l1279,2200m1307,1338l1307,1753e" filled="false" stroked="true" strokeweight="2.375pt" strokecolor="#0066a5">
              <v:path arrowok="t"/>
              <v:stroke dashstyle="solid"/>
            </v:shape>
            <v:line style="position:absolute" from="1321,1348" to="1348,700" stroked="true" strokeweight="1pt" strokecolor="#0066a5">
              <v:stroke dashstyle="solid"/>
            </v:line>
            <v:line style="position:absolute" from="1362,298" to="1362,710" stroked="true" strokeweight="2.375pt" strokecolor="#0066a5">
              <v:stroke dashstyle="solid"/>
            </v:line>
            <v:shape style="position:absolute;left:1375;top:307;width:83;height:1188" coordorigin="1376,308" coordsize="83,1188" path="m1376,308l1403,1495m1403,1495l1428,850m1428,850l1458,803e" filled="false" stroked="true" strokeweight="1pt" strokecolor="#0066a5">
              <v:path arrowok="t"/>
              <v:stroke dashstyle="solid"/>
            </v:shape>
            <v:line style="position:absolute" from="1472,793" to="1472,1158" stroked="true" strokeweight="2.375pt" strokecolor="#0066a5">
              <v:stroke dashstyle="solid"/>
            </v:line>
            <v:line style="position:absolute" from="1486,1148" to="1511,1695" stroked="true" strokeweight="1pt" strokecolor="#0066a5">
              <v:stroke dashstyle="solid"/>
            </v:line>
            <v:shape style="position:absolute;left:1500;top:1685;width:243;height:713" type="#_x0000_t75" stroked="false">
              <v:imagedata r:id="rId99" o:title=""/>
            </v:shape>
            <v:line style="position:absolute" from="1746,1685" to="1746,2103" stroked="true" strokeweight="2.25pt" strokecolor="#0066a5">
              <v:stroke dashstyle="solid"/>
            </v:line>
            <v:shape style="position:absolute;left:1758;top:1495;width:165;height:448" coordorigin="1758,1495" coordsize="165,448" path="m1758,1695l1786,1793m1786,1793l1813,1893m1813,1893l1841,1943m1841,1943l1896,1743m1896,1743l1923,1495e" filled="false" stroked="true" strokeweight="1pt" strokecolor="#0066a5">
              <v:path arrowok="t"/>
              <v:stroke dashstyle="solid"/>
            </v:shape>
            <v:line style="position:absolute" from="1937,1485" to="1937,1853" stroked="true" strokeweight="2.375pt" strokecolor="#0066a5">
              <v:stroke dashstyle="solid"/>
            </v:line>
            <v:shape style="position:absolute;left:1950;top:1695;width:83;height:148" coordorigin="1951,1695" coordsize="83,148" path="m1951,1843l1978,1695m1978,1695l2006,1793m2006,1793l2033,1843e" filled="false" stroked="true" strokeweight="1pt" strokecolor="#0066a5">
              <v:path arrowok="t"/>
              <v:stroke dashstyle="solid"/>
            </v:shape>
            <v:line style="position:absolute" from="2047,1833" to="2047,2200" stroked="true" strokeweight="2.375pt" strokecolor="#0066a5">
              <v:stroke dashstyle="solid"/>
            </v:line>
            <v:shape style="position:absolute;left:2060;top:2190;width:110;height:545" coordorigin="2061,2190" coordsize="110,545" path="m2061,2190l2088,2340m2088,2340l2116,2588m2116,2588l2143,2638m2143,2638l2171,2735e" filled="false" stroked="true" strokeweight="1pt" strokecolor="#0066a5">
              <v:path arrowok="t"/>
              <v:stroke dashstyle="solid"/>
            </v:shape>
            <v:line style="position:absolute" from="2161,2736" to="2208,2736" stroked="true" strokeweight="1.125pt" strokecolor="#0066a5">
              <v:stroke dashstyle="solid"/>
            </v:line>
            <v:line style="position:absolute" from="2198,2735" to="2226,2685" stroked="true" strokeweight="1pt" strokecolor="#0066a5">
              <v:stroke dashstyle="solid"/>
            </v:line>
            <v:shape style="position:absolute;left:2215;top:2686;width:75;height:2" coordorigin="2216,2686" coordsize="75,0" path="m2216,2686l2263,2686m2243,2686l2291,2686e" filled="false" stroked="true" strokeweight="1.125pt" strokecolor="#0066a5">
              <v:path arrowok="t"/>
              <v:stroke dashstyle="solid"/>
            </v:shape>
            <v:shape style="position:absolute;left:2280;top:2537;width:165;height:198" coordorigin="2281,2538" coordsize="165,198" path="m2281,2685l2308,2735m2308,2735l2336,2638m2336,2638l2363,2685m2363,2685l2391,2735m2391,2735l2418,2638m2418,2638l2446,2538e" filled="false" stroked="true" strokeweight="1pt" strokecolor="#0066a5">
              <v:path arrowok="t"/>
              <v:stroke dashstyle="solid"/>
            </v:shape>
            <v:line style="position:absolute" from="2436,2539" to="2483,2539" stroked="true" strokeweight="1.125pt" strokecolor="#0066a5">
              <v:stroke dashstyle="solid"/>
            </v:line>
            <v:shape style="position:absolute;left:2473;top:2092;width:190;height:445" coordorigin="2473,2093" coordsize="190,445" path="m2473,2538l2498,2488m2498,2488l2528,2438m2528,2438l2556,2388m2556,2388l2581,2390m2581,2388l2611,2288m2611,2288l2638,2240m2638,2240l2663,2093e" filled="false" stroked="true" strokeweight="1pt" strokecolor="#0066a5">
              <v:path arrowok="t"/>
              <v:stroke dashstyle="solid"/>
            </v:shape>
            <v:line style="position:absolute" from="2653,2094" to="2703,2094" stroked="true" strokeweight="1.125pt" strokecolor="#0066a5">
              <v:stroke dashstyle="solid"/>
            </v:line>
            <v:line style="position:absolute" from="2706,2083" to="2706,2350" stroked="true" strokeweight="2.25pt" strokecolor="#0066a5">
              <v:stroke dashstyle="solid"/>
            </v:line>
            <v:shape style="position:absolute;left:2718;top:2190;width:140;height:198" coordorigin="2718,2190" coordsize="140,198" path="m2718,2340l2746,2190m2746,2190l2776,2240m2776,2240l2801,2243m2801,2240l2828,2388m2828,2388l2858,2240e" filled="false" stroked="true" strokeweight="1pt" strokecolor="#0066a5">
              <v:path arrowok="t"/>
              <v:stroke dashstyle="solid"/>
            </v:shape>
            <v:line style="position:absolute" from="2871,1933" to="2871,2250" stroked="true" strokeweight="2.25pt" strokecolor="#0066a5">
              <v:stroke dashstyle="solid"/>
            </v:line>
            <v:shape style="position:absolute;left:2883;top:1742;width:110;height:200" coordorigin="2883,1743" coordsize="110,200" path="m2883,1943l2938,1843m2938,1843l2966,1893m2966,1893l2993,1743e" filled="false" stroked="true" strokeweight="1pt" strokecolor="#0066a5">
              <v:path arrowok="t"/>
              <v:stroke dashstyle="solid"/>
            </v:shape>
            <v:line style="position:absolute" from="3007,1438" to="3007,1753" stroked="true" strokeweight="2.375pt" strokecolor="#0066a5">
              <v:stroke dashstyle="solid"/>
            </v:line>
            <v:shape style="position:absolute;left:3020;top:1447;width:248;height:1090" coordorigin="3021,1448" coordsize="248,1090" path="m3021,1448l3076,1743m3076,1743l3103,1645m3103,1645l3131,1893m3131,1893l3158,1943m3158,1943l3186,2190m3186,2190l3213,2093m3213,2093l3241,2340m3241,2340l3268,2538e" filled="false" stroked="true" strokeweight="1pt" strokecolor="#0066a5">
              <v:path arrowok="t"/>
              <v:stroke dashstyle="solid"/>
            </v:shape>
            <v:line style="position:absolute" from="3258,2539" to="3306,2539" stroked="true" strokeweight="1.125pt" strokecolor="#0066a5">
              <v:stroke dashstyle="solid"/>
            </v:line>
            <v:line style="position:absolute" from="3296,2538" to="3323,2588" stroked="true" strokeweight="1pt" strokecolor="#0066a5">
              <v:stroke dashstyle="solid"/>
            </v:line>
            <v:line style="position:absolute" from="3313,2589" to="3361,2589" stroked="true" strokeweight="1.125pt" strokecolor="#0066a5">
              <v:stroke dashstyle="solid"/>
            </v:line>
            <v:shape style="position:absolute;left:3350;top:2587;width:110;height:98" coordorigin="3351,2588" coordsize="110,98" path="m3351,2588l3378,2638m3378,2638l3406,2588m3406,2588l3433,2638m3433,2638l3461,2685e" filled="false" stroked="true" strokeweight="1pt" strokecolor="#0066a5">
              <v:path arrowok="t"/>
              <v:stroke dashstyle="solid"/>
            </v:shape>
            <v:line style="position:absolute" from="3451,2686" to="3498,2686" stroked="true" strokeweight="1.125pt" strokecolor="#0066a5">
              <v:stroke dashstyle="solid"/>
            </v:line>
            <v:shape style="position:absolute;left:3488;top:2287;width:328;height:398" coordorigin="3488,2288" coordsize="328,398" path="m3488,2685l3516,2538m3516,2538l3543,2588m3543,2588l3571,2438m3571,2438l3598,2588m3598,2588l3623,2488m3623,2488l3651,2388m3651,2388l3681,2340m3681,2340l3706,2343m3706,2340l3733,2288m3733,2288l3763,2340m3763,2340l3788,2343m3788,2340l3816,2388e" filled="false" stroked="true" strokeweight="1pt" strokecolor="#0066a5">
              <v:path arrowok="t"/>
              <v:stroke dashstyle="solid"/>
            </v:shape>
            <v:line style="position:absolute" from="3806,2389" to="3856,2389" stroked="true" strokeweight="1.125pt" strokecolor="#0066a5">
              <v:stroke dashstyle="solid"/>
            </v:line>
            <v:shape style="position:absolute;left:3845;top:2287;width:53;height:100" coordorigin="3846,2288" coordsize="53,100" path="m3846,2388l3871,2288m3871,2288l3898,2340e" filled="false" stroked="true" strokeweight="1pt" strokecolor="#0066a5">
              <v:path arrowok="t"/>
              <v:stroke dashstyle="solid"/>
            </v:shape>
            <v:line style="position:absolute" from="3888,2341" to="3938,2341" stroked="true" strokeweight="1.125pt" strokecolor="#0066a5">
              <v:stroke dashstyle="solid"/>
            </v:line>
            <v:shape style="position:absolute;left:3928;top:1992;width:218;height:445" coordorigin="3928,1993" coordsize="218,445" path="m3928,2340l3953,2288m3953,2288l3981,2190m3981,2190l4008,1993m4008,1993l4036,2140m4036,2140l4063,2093m4063,2093l4091,2240m4091,2240l4118,2438m4118,2438l4146,2240e" filled="false" stroked="true" strokeweight="1pt" strokecolor="#0066a5">
              <v:path arrowok="t"/>
              <v:stroke dashstyle="solid"/>
            </v:shape>
            <v:line style="position:absolute" from="4159,2230" to="4159,2548" stroked="true" strokeweight="2.375pt" strokecolor="#0066a5">
              <v:stroke dashstyle="solid"/>
            </v:line>
            <v:line style="position:absolute" from="3072,1093" to="4179,1093" stroked="true" strokeweight=".5pt" strokecolor="#0099d8">
              <v:stroke dashstyle="dash"/>
            </v:line>
            <v:line style="position:absolute" from="3069,1276" to="4169,1276" stroked="true" strokeweight=".5pt" strokecolor="#faab54">
              <v:stroke dashstyle="dash"/>
            </v:line>
            <v:shape style="position:absolute;left:1032;top:258;width:3290;height:2082" coordorigin="1032,259" coordsize="3290,2082" path="m1032,354l1119,354m1032,1347l1119,1347m1032,1844l1119,1844m1032,2341l1119,2341m1032,850l1119,850m4235,349l4321,349m4235,1343l4321,1343m4235,1839l4321,1839m4235,2336l4321,2336m4235,846l4321,846m3442,259l3835,392e" filled="false" stroked="true" strokeweight=".5pt" strokecolor="#000000">
              <v:path arrowok="t"/>
              <v:stroke dashstyle="solid"/>
            </v:shape>
            <v:shape style="position:absolute;left:3811;top:362;width:89;height:52" coordorigin="3811,363" coordsize="89,52" path="m3827,363l3811,411,3828,410,3841,409,3899,414,3891,410,3882,404,3872,398,3861,390,3851,383,3827,363xe" filled="true" fillcolor="#000000" stroked="false">
              <v:path arrowok="t"/>
              <v:fill type="solid"/>
            </v:shape>
            <v:line style="position:absolute" from="2568,792" to="2975,892" stroked="true" strokeweight=".5pt" strokecolor="#000000">
              <v:stroke dashstyle="solid"/>
            </v:line>
            <v:shape style="position:absolute;left:2952;top:863;width:89;height:49" coordorigin="2952,864" coordsize="89,49" path="m2964,864l2952,913,2969,910,2982,909,2995,908,3009,908,3021,907,3032,908,3041,909,3032,905,3023,900,3012,895,3000,888,2990,882,2964,864xe" filled="true" fillcolor="#000000" stroked="false">
              <v:path arrowok="t"/>
              <v:fill type="solid"/>
            </v:shape>
            <v:shape style="position:absolute;left:1032;top:2765;width:3290;height:73" coordorigin="1032,2765" coordsize="3290,73" path="m1032,2837l1119,2837m4235,2833l4321,2833m1182,2838l4202,2838m1182,2765l1182,2837m1291,2765l1291,2837m1401,2765l1401,2837m1510,2765l1510,2837m1619,2765l1619,2837m1728,2765l1728,2837m1837,2765l1837,2837m1947,2765l1947,2837m2056,2765l2056,2837m2384,2765l2384,2837m2165,2765l2165,2837m2274,2765l2274,2837m2493,2765l2493,2837m2602,2765l2602,2837m2711,2765l2711,2837m2820,2765l2820,2837m2930,2765l2930,2837m3039,2765l3039,2837m3148,2765l3148,2837m3257,2765l3257,2837m3367,2765l3367,2837m3476,2765l3476,2837m3585,2765l3585,2837m3694,2765l3694,2837m3804,2765l3804,2837m4022,2765l4022,2837m3913,2765l3913,2837m4131,2765l4131,2837e" filled="false" stroked="true" strokeweight=".5pt" strokecolor="#000000">
              <v:path arrowok="t"/>
              <v:stroke dashstyle="solid"/>
            </v:shape>
            <v:shape style="position:absolute;left:1032;top:253;width:3290;height:2589" type="#_x0000_t202" filled="false" stroked="false">
              <v:textbox inset="0,0,0,0">
                <w:txbxContent>
                  <w:p>
                    <w:pPr>
                      <w:spacing w:line="240" w:lineRule="auto" w:before="11"/>
                      <w:rPr>
                        <w:sz w:val="14"/>
                      </w:rPr>
                    </w:pPr>
                  </w:p>
                  <w:p>
                    <w:pPr>
                      <w:spacing w:line="208" w:lineRule="auto" w:before="0"/>
                      <w:ind w:left="755" w:right="1335" w:hanging="60"/>
                      <w:jc w:val="left"/>
                      <w:rPr>
                        <w:sz w:val="12"/>
                      </w:rPr>
                    </w:pPr>
                    <w:r>
                      <w:rPr>
                        <w:sz w:val="12"/>
                      </w:rPr>
                      <w:t>BCC services recruitment difficulties (a)</w:t>
                    </w:r>
                  </w:p>
                  <w:p>
                    <w:pPr>
                      <w:spacing w:line="123" w:lineRule="exact" w:before="0"/>
                      <w:ind w:left="755" w:right="0" w:firstLine="0"/>
                      <w:jc w:val="left"/>
                      <w:rPr>
                        <w:sz w:val="12"/>
                      </w:rPr>
                    </w:pPr>
                    <w:r>
                      <w:rPr>
                        <w:sz w:val="12"/>
                      </w:rPr>
                      <w:t>(right-hand scale)</w:t>
                    </w:r>
                  </w:p>
                  <w:p>
                    <w:pPr>
                      <w:spacing w:line="240" w:lineRule="auto" w:before="0"/>
                      <w:rPr>
                        <w:sz w:val="12"/>
                      </w:rPr>
                    </w:pPr>
                  </w:p>
                  <w:p>
                    <w:pPr>
                      <w:spacing w:line="240" w:lineRule="auto" w:before="7"/>
                      <w:rPr>
                        <w:sz w:val="16"/>
                      </w:rPr>
                    </w:pPr>
                  </w:p>
                  <w:p>
                    <w:pPr>
                      <w:spacing w:line="129" w:lineRule="exact" w:before="0"/>
                      <w:ind w:left="471" w:right="0" w:firstLine="0"/>
                      <w:jc w:val="left"/>
                      <w:rPr>
                        <w:sz w:val="12"/>
                      </w:rPr>
                    </w:pPr>
                    <w:r>
                      <w:rPr>
                        <w:sz w:val="12"/>
                      </w:rPr>
                      <w:t>CBI manufacturing</w:t>
                    </w:r>
                  </w:p>
                  <w:p>
                    <w:pPr>
                      <w:spacing w:line="208" w:lineRule="auto" w:before="6"/>
                      <w:ind w:left="561" w:right="1445" w:hanging="30"/>
                      <w:jc w:val="left"/>
                      <w:rPr>
                        <w:sz w:val="12"/>
                      </w:rPr>
                    </w:pPr>
                    <w:r>
                      <w:rPr>
                        <w:sz w:val="12"/>
                      </w:rPr>
                      <w:t>skilled labour shortages </w:t>
                    </w:r>
                    <w:r>
                      <w:rPr>
                        <w:spacing w:val="-6"/>
                        <w:sz w:val="12"/>
                      </w:rPr>
                      <w:t>(b) </w:t>
                    </w:r>
                    <w:r>
                      <w:rPr>
                        <w:sz w:val="12"/>
                      </w:rPr>
                      <w:t>(left-hand scale)</w:t>
                    </w:r>
                  </w:p>
                </w:txbxContent>
              </v:textbox>
              <w10:wrap type="none"/>
            </v:shape>
            <w10:wrap type="none"/>
          </v:group>
        </w:pict>
      </w:r>
      <w:r>
        <w:rPr>
          <w:sz w:val="12"/>
        </w:rPr>
        <w:t>recruitment difficulties (a) (right-hand scale)</w:t>
      </w:r>
    </w:p>
    <w:p>
      <w:pPr>
        <w:tabs>
          <w:tab w:pos="3704" w:val="left" w:leader="none"/>
        </w:tabs>
        <w:spacing w:before="22"/>
        <w:ind w:left="224" w:right="0" w:firstLine="0"/>
        <w:jc w:val="left"/>
        <w:rPr>
          <w:sz w:val="12"/>
        </w:rPr>
      </w:pPr>
      <w:r>
        <w:rPr>
          <w:sz w:val="12"/>
        </w:rPr>
        <w:t>50</w:t>
        <w:tab/>
      </w:r>
      <w:r>
        <w:rPr>
          <w:position w:val="1"/>
          <w:sz w:val="12"/>
        </w:rPr>
        <w:t>75</w:t>
      </w:r>
    </w:p>
    <w:p>
      <w:pPr>
        <w:pStyle w:val="BodyText"/>
        <w:rPr>
          <w:sz w:val="14"/>
        </w:rPr>
      </w:pPr>
    </w:p>
    <w:p>
      <w:pPr>
        <w:pStyle w:val="BodyText"/>
        <w:spacing w:before="2"/>
        <w:rPr>
          <w:sz w:val="16"/>
        </w:rPr>
      </w:pPr>
    </w:p>
    <w:p>
      <w:pPr>
        <w:tabs>
          <w:tab w:pos="3704" w:val="left" w:leader="none"/>
        </w:tabs>
        <w:spacing w:before="0"/>
        <w:ind w:left="224" w:right="0" w:firstLine="0"/>
        <w:jc w:val="left"/>
        <w:rPr>
          <w:sz w:val="12"/>
        </w:rPr>
      </w:pPr>
      <w:r>
        <w:rPr>
          <w:sz w:val="12"/>
        </w:rPr>
        <w:t>40</w:t>
        <w:tab/>
      </w:r>
      <w:r>
        <w:rPr>
          <w:position w:val="1"/>
          <w:sz w:val="12"/>
        </w:rPr>
        <w:t>60</w:t>
      </w:r>
    </w:p>
    <w:p>
      <w:pPr>
        <w:pStyle w:val="BodyText"/>
        <w:rPr>
          <w:sz w:val="14"/>
        </w:rPr>
      </w:pPr>
    </w:p>
    <w:p>
      <w:pPr>
        <w:pStyle w:val="BodyText"/>
        <w:spacing w:before="4"/>
        <w:rPr>
          <w:sz w:val="16"/>
        </w:rPr>
      </w:pPr>
    </w:p>
    <w:p>
      <w:pPr>
        <w:tabs>
          <w:tab w:pos="3704" w:val="left" w:leader="none"/>
        </w:tabs>
        <w:spacing w:before="1"/>
        <w:ind w:left="224" w:right="0" w:firstLine="0"/>
        <w:jc w:val="left"/>
        <w:rPr>
          <w:sz w:val="12"/>
        </w:rPr>
      </w:pPr>
      <w:r>
        <w:rPr>
          <w:sz w:val="12"/>
        </w:rPr>
        <w:t>30</w:t>
        <w:tab/>
      </w:r>
      <w:r>
        <w:rPr>
          <w:position w:val="1"/>
          <w:sz w:val="12"/>
        </w:rPr>
        <w:t>45</w:t>
      </w:r>
    </w:p>
    <w:p>
      <w:pPr>
        <w:pStyle w:val="BodyText"/>
        <w:rPr>
          <w:sz w:val="14"/>
        </w:rPr>
      </w:pPr>
    </w:p>
    <w:p>
      <w:pPr>
        <w:pStyle w:val="BodyText"/>
        <w:spacing w:before="1"/>
        <w:rPr>
          <w:sz w:val="16"/>
        </w:rPr>
      </w:pPr>
    </w:p>
    <w:p>
      <w:pPr>
        <w:tabs>
          <w:tab w:pos="3704" w:val="left" w:leader="none"/>
        </w:tabs>
        <w:spacing w:before="1"/>
        <w:ind w:left="224" w:right="0" w:firstLine="0"/>
        <w:jc w:val="left"/>
        <w:rPr>
          <w:sz w:val="12"/>
        </w:rPr>
      </w:pPr>
      <w:r>
        <w:rPr>
          <w:sz w:val="12"/>
        </w:rPr>
        <w:t>20</w:t>
        <w:tab/>
      </w:r>
      <w:r>
        <w:rPr>
          <w:position w:val="1"/>
          <w:sz w:val="12"/>
        </w:rPr>
        <w:t>30</w:t>
      </w:r>
    </w:p>
    <w:p>
      <w:pPr>
        <w:pStyle w:val="BodyText"/>
        <w:rPr>
          <w:sz w:val="14"/>
        </w:rPr>
      </w:pPr>
    </w:p>
    <w:p>
      <w:pPr>
        <w:pStyle w:val="BodyText"/>
        <w:spacing w:before="2"/>
        <w:rPr>
          <w:sz w:val="16"/>
        </w:rPr>
      </w:pPr>
    </w:p>
    <w:p>
      <w:pPr>
        <w:tabs>
          <w:tab w:pos="3704" w:val="left" w:leader="none"/>
        </w:tabs>
        <w:spacing w:before="0"/>
        <w:ind w:left="224" w:right="0" w:firstLine="0"/>
        <w:jc w:val="left"/>
        <w:rPr>
          <w:sz w:val="12"/>
        </w:rPr>
      </w:pPr>
      <w:r>
        <w:rPr>
          <w:sz w:val="12"/>
        </w:rPr>
        <w:t>10</w:t>
        <w:tab/>
      </w:r>
      <w:r>
        <w:rPr>
          <w:position w:val="1"/>
          <w:sz w:val="12"/>
        </w:rPr>
        <w:t>15</w:t>
      </w:r>
    </w:p>
    <w:p>
      <w:pPr>
        <w:pStyle w:val="BodyText"/>
        <w:rPr>
          <w:sz w:val="14"/>
        </w:rPr>
      </w:pPr>
    </w:p>
    <w:p>
      <w:pPr>
        <w:pStyle w:val="BodyText"/>
        <w:spacing w:before="2"/>
        <w:rPr>
          <w:sz w:val="16"/>
        </w:rPr>
      </w:pPr>
    </w:p>
    <w:p>
      <w:pPr>
        <w:tabs>
          <w:tab w:pos="3479" w:val="left" w:leader="none"/>
        </w:tabs>
        <w:spacing w:line="125" w:lineRule="exact" w:before="0"/>
        <w:ind w:left="0" w:right="196" w:firstLine="0"/>
        <w:jc w:val="center"/>
        <w:rPr>
          <w:sz w:val="12"/>
        </w:rPr>
      </w:pPr>
      <w:r>
        <w:rPr>
          <w:sz w:val="12"/>
        </w:rPr>
        <w:t>0</w:t>
        <w:tab/>
      </w:r>
      <w:r>
        <w:rPr>
          <w:position w:val="1"/>
          <w:sz w:val="12"/>
        </w:rPr>
        <w:t>0</w:t>
      </w:r>
    </w:p>
    <w:p>
      <w:pPr>
        <w:tabs>
          <w:tab w:pos="1087" w:val="left" w:leader="none"/>
          <w:tab w:pos="1737" w:val="left" w:leader="none"/>
          <w:tab w:pos="2069" w:val="left" w:leader="none"/>
          <w:tab w:pos="2397" w:val="left" w:leader="none"/>
          <w:tab w:pos="3048" w:val="left" w:leader="none"/>
        </w:tabs>
        <w:spacing w:line="115" w:lineRule="exact" w:before="0"/>
        <w:ind w:left="0" w:right="248" w:firstLine="0"/>
        <w:jc w:val="center"/>
        <w:rPr>
          <w:sz w:val="12"/>
        </w:rPr>
      </w:pPr>
      <w:r>
        <w:rPr>
          <w:sz w:val="12"/>
        </w:rPr>
        <w:t>1971     </w:t>
      </w:r>
      <w:r>
        <w:rPr>
          <w:spacing w:val="7"/>
          <w:sz w:val="12"/>
        </w:rPr>
        <w:t> </w:t>
      </w:r>
      <w:r>
        <w:rPr>
          <w:sz w:val="12"/>
        </w:rPr>
        <w:t>74     </w:t>
      </w:r>
      <w:r>
        <w:rPr>
          <w:spacing w:val="17"/>
          <w:sz w:val="12"/>
        </w:rPr>
        <w:t> </w:t>
      </w:r>
      <w:r>
        <w:rPr>
          <w:sz w:val="12"/>
        </w:rPr>
        <w:t>77</w:t>
        <w:tab/>
        <w:t>80     </w:t>
      </w:r>
      <w:r>
        <w:rPr>
          <w:spacing w:val="20"/>
          <w:sz w:val="12"/>
        </w:rPr>
        <w:t> </w:t>
      </w:r>
      <w:r>
        <w:rPr>
          <w:sz w:val="12"/>
        </w:rPr>
        <w:t>83</w:t>
        <w:tab/>
        <w:t>86</w:t>
        <w:tab/>
        <w:t>89</w:t>
        <w:tab/>
        <w:t>92     </w:t>
      </w:r>
      <w:r>
        <w:rPr>
          <w:spacing w:val="20"/>
          <w:sz w:val="12"/>
        </w:rPr>
        <w:t> </w:t>
      </w:r>
      <w:r>
        <w:rPr>
          <w:sz w:val="12"/>
        </w:rPr>
        <w:t>95</w:t>
        <w:tab/>
        <w:t>98</w:t>
      </w:r>
    </w:p>
    <w:p>
      <w:pPr>
        <w:pStyle w:val="BodyText"/>
        <w:spacing w:before="7"/>
        <w:rPr>
          <w:sz w:val="11"/>
        </w:rPr>
      </w:pPr>
    </w:p>
    <w:p>
      <w:pPr>
        <w:spacing w:line="417" w:lineRule="auto" w:before="1"/>
        <w:ind w:left="165" w:right="481" w:firstLine="0"/>
        <w:jc w:val="left"/>
        <w:rPr>
          <w:sz w:val="12"/>
        </w:rPr>
      </w:pPr>
      <w:r>
        <w:rPr>
          <w:sz w:val="12"/>
        </w:rPr>
        <w:t>Note: Dashed lines indicate average balances over life of respective series. Sources: BCC and CBI.</w:t>
      </w:r>
    </w:p>
    <w:p>
      <w:pPr>
        <w:pStyle w:val="ListParagraph"/>
        <w:numPr>
          <w:ilvl w:val="0"/>
          <w:numId w:val="18"/>
        </w:numPr>
        <w:tabs>
          <w:tab w:pos="406" w:val="left" w:leader="none"/>
        </w:tabs>
        <w:spacing w:line="208" w:lineRule="auto" w:before="14" w:after="0"/>
        <w:ind w:left="405" w:right="38" w:hanging="240"/>
        <w:jc w:val="left"/>
        <w:rPr>
          <w:sz w:val="12"/>
        </w:rPr>
      </w:pPr>
      <w:r>
        <w:rPr>
          <w:sz w:val="12"/>
        </w:rPr>
        <w:t>Based on question asking if employers experienced any difficulties over the </w:t>
      </w:r>
      <w:r>
        <w:rPr>
          <w:spacing w:val="-5"/>
          <w:sz w:val="12"/>
        </w:rPr>
        <w:t>past </w:t>
      </w:r>
      <w:r>
        <w:rPr>
          <w:sz w:val="12"/>
        </w:rPr>
        <w:t>three months in finding staff in the following categories: skilled manual, technical/professional, managerial/clerical and un/semi-skilled.</w:t>
      </w:r>
    </w:p>
    <w:p>
      <w:pPr>
        <w:pStyle w:val="ListParagraph"/>
        <w:numPr>
          <w:ilvl w:val="0"/>
          <w:numId w:val="18"/>
        </w:numPr>
        <w:tabs>
          <w:tab w:pos="406" w:val="left" w:leader="none"/>
        </w:tabs>
        <w:spacing w:line="208" w:lineRule="auto" w:before="0" w:after="0"/>
        <w:ind w:left="405" w:right="77" w:hanging="240"/>
        <w:jc w:val="left"/>
        <w:rPr>
          <w:sz w:val="12"/>
        </w:rPr>
      </w:pPr>
      <w:r>
        <w:rPr>
          <w:sz w:val="12"/>
        </w:rPr>
        <w:t>Based on question asking if shortages of skilled labour are likely to limit </w:t>
      </w:r>
      <w:r>
        <w:rPr>
          <w:spacing w:val="-3"/>
          <w:sz w:val="12"/>
        </w:rPr>
        <w:t>output </w:t>
      </w:r>
      <w:r>
        <w:rPr>
          <w:sz w:val="12"/>
        </w:rPr>
        <w:t>during the next four months.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4"/>
        <w:spacing w:before="85"/>
        <w:ind w:left="160"/>
      </w:pPr>
      <w:r>
        <w:rPr>
          <w:color w:val="0093C1"/>
        </w:rPr>
        <w:t>Table 3.E</w:t>
      </w:r>
    </w:p>
    <w:p>
      <w:pPr>
        <w:pStyle w:val="Heading4"/>
        <w:ind w:left="160"/>
        <w:rPr>
          <w:b w:val="0"/>
          <w:sz w:val="12"/>
        </w:rPr>
      </w:pPr>
      <w:r>
        <w:rPr>
          <w:color w:val="0093C1"/>
        </w:rPr>
        <w:t>Surveys of employment intentions</w:t>
      </w:r>
      <w:r>
        <w:rPr>
          <w:b w:val="0"/>
          <w:position w:val="4"/>
          <w:sz w:val="12"/>
        </w:rPr>
        <w:t>(a)</w:t>
      </w:r>
    </w:p>
    <w:p>
      <w:pPr>
        <w:spacing w:before="106"/>
        <w:ind w:left="160" w:right="0" w:firstLine="0"/>
        <w:jc w:val="left"/>
        <w:rPr>
          <w:sz w:val="14"/>
        </w:rPr>
      </w:pPr>
      <w:r>
        <w:rPr>
          <w:sz w:val="14"/>
        </w:rPr>
        <w:t>Percentage balance of employers planning to recruit staff</w:t>
      </w:r>
    </w:p>
    <w:p>
      <w:pPr>
        <w:tabs>
          <w:tab w:pos="2110" w:val="left" w:leader="none"/>
          <w:tab w:pos="3359" w:val="left" w:leader="none"/>
          <w:tab w:pos="3660" w:val="left" w:leader="none"/>
        </w:tabs>
        <w:spacing w:before="119"/>
        <w:ind w:left="1270" w:right="0" w:firstLine="0"/>
        <w:jc w:val="left"/>
        <w:rPr>
          <w:sz w:val="14"/>
        </w:rPr>
      </w:pPr>
      <w:r>
        <w:rPr>
          <w:sz w:val="14"/>
        </w:rPr>
        <w:t>Series</w:t>
        <w:tab/>
      </w:r>
      <w:r>
        <w:rPr>
          <w:sz w:val="14"/>
          <w:u w:val="single"/>
        </w:rPr>
        <w:t>1998</w:t>
        <w:tab/>
      </w:r>
      <w:r>
        <w:rPr>
          <w:sz w:val="14"/>
        </w:rPr>
        <w:tab/>
      </w:r>
      <w:r>
        <w:rPr>
          <w:sz w:val="14"/>
          <w:u w:val="single"/>
        </w:rPr>
        <w:t>1999</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9"/>
        <w:gridCol w:w="630"/>
        <w:gridCol w:w="221"/>
        <w:gridCol w:w="231"/>
        <w:gridCol w:w="314"/>
        <w:gridCol w:w="221"/>
        <w:gridCol w:w="269"/>
        <w:gridCol w:w="201"/>
        <w:gridCol w:w="580"/>
      </w:tblGrid>
      <w:tr>
        <w:trPr>
          <w:trHeight w:val="170" w:hRule="atLeast"/>
        </w:trPr>
        <w:tc>
          <w:tcPr>
            <w:tcW w:w="1149" w:type="dxa"/>
          </w:tcPr>
          <w:p>
            <w:pPr>
              <w:pStyle w:val="TableParagraph"/>
              <w:rPr>
                <w:sz w:val="10"/>
              </w:rPr>
            </w:pPr>
          </w:p>
        </w:tc>
        <w:tc>
          <w:tcPr>
            <w:tcW w:w="630" w:type="dxa"/>
            <w:tcBorders>
              <w:bottom w:val="single" w:sz="2" w:space="0" w:color="000000"/>
            </w:tcBorders>
          </w:tcPr>
          <w:p>
            <w:pPr>
              <w:pStyle w:val="TableParagraph"/>
              <w:spacing w:line="145" w:lineRule="exact"/>
              <w:ind w:left="1"/>
              <w:jc w:val="center"/>
              <w:rPr>
                <w:sz w:val="12"/>
              </w:rPr>
            </w:pPr>
            <w:r>
              <w:rPr>
                <w:sz w:val="14"/>
              </w:rPr>
              <w:t>average </w:t>
            </w:r>
            <w:r>
              <w:rPr>
                <w:sz w:val="12"/>
              </w:rPr>
              <w:t>(b)</w:t>
            </w:r>
          </w:p>
        </w:tc>
        <w:tc>
          <w:tcPr>
            <w:tcW w:w="221" w:type="dxa"/>
          </w:tcPr>
          <w:p>
            <w:pPr>
              <w:pStyle w:val="TableParagraph"/>
              <w:rPr>
                <w:sz w:val="10"/>
              </w:rPr>
            </w:pPr>
          </w:p>
        </w:tc>
        <w:tc>
          <w:tcPr>
            <w:tcW w:w="231" w:type="dxa"/>
            <w:tcBorders>
              <w:bottom w:val="single" w:sz="2" w:space="0" w:color="000000"/>
            </w:tcBorders>
          </w:tcPr>
          <w:p>
            <w:pPr>
              <w:pStyle w:val="TableParagraph"/>
              <w:spacing w:line="145" w:lineRule="exact"/>
              <w:ind w:right="58"/>
              <w:jc w:val="right"/>
              <w:rPr>
                <w:sz w:val="14"/>
              </w:rPr>
            </w:pPr>
            <w:r>
              <w:rPr>
                <w:sz w:val="14"/>
              </w:rPr>
              <w:t>Q2</w:t>
            </w:r>
          </w:p>
        </w:tc>
        <w:tc>
          <w:tcPr>
            <w:tcW w:w="314" w:type="dxa"/>
          </w:tcPr>
          <w:p>
            <w:pPr>
              <w:pStyle w:val="TableParagraph"/>
              <w:rPr>
                <w:sz w:val="10"/>
              </w:rPr>
            </w:pPr>
          </w:p>
        </w:tc>
        <w:tc>
          <w:tcPr>
            <w:tcW w:w="221" w:type="dxa"/>
            <w:tcBorders>
              <w:bottom w:val="single" w:sz="2" w:space="0" w:color="000000"/>
            </w:tcBorders>
          </w:tcPr>
          <w:p>
            <w:pPr>
              <w:pStyle w:val="TableParagraph"/>
              <w:spacing w:line="150" w:lineRule="exact"/>
              <w:ind w:left="4" w:right="4"/>
              <w:jc w:val="center"/>
              <w:rPr>
                <w:sz w:val="14"/>
              </w:rPr>
            </w:pPr>
            <w:r>
              <w:rPr>
                <w:sz w:val="14"/>
              </w:rPr>
              <w:t>Q3</w:t>
            </w:r>
          </w:p>
        </w:tc>
        <w:tc>
          <w:tcPr>
            <w:tcW w:w="269" w:type="dxa"/>
          </w:tcPr>
          <w:p>
            <w:pPr>
              <w:pStyle w:val="TableParagraph"/>
              <w:rPr>
                <w:sz w:val="10"/>
              </w:rPr>
            </w:pPr>
          </w:p>
        </w:tc>
        <w:tc>
          <w:tcPr>
            <w:tcW w:w="201" w:type="dxa"/>
            <w:tcBorders>
              <w:bottom w:val="single" w:sz="2" w:space="0" w:color="000000"/>
            </w:tcBorders>
          </w:tcPr>
          <w:p>
            <w:pPr>
              <w:pStyle w:val="TableParagraph"/>
              <w:spacing w:line="145" w:lineRule="exact"/>
              <w:ind w:left="-2" w:right="13"/>
              <w:jc w:val="right"/>
              <w:rPr>
                <w:sz w:val="14"/>
              </w:rPr>
            </w:pPr>
            <w:r>
              <w:rPr>
                <w:sz w:val="14"/>
              </w:rPr>
              <w:t>Q4</w:t>
            </w:r>
          </w:p>
        </w:tc>
        <w:tc>
          <w:tcPr>
            <w:tcW w:w="580" w:type="dxa"/>
            <w:tcBorders>
              <w:bottom w:val="single" w:sz="2" w:space="0" w:color="000000"/>
            </w:tcBorders>
          </w:tcPr>
          <w:p>
            <w:pPr>
              <w:pStyle w:val="TableParagraph"/>
              <w:spacing w:line="150" w:lineRule="exact"/>
              <w:ind w:right="93"/>
              <w:jc w:val="right"/>
              <w:rPr>
                <w:sz w:val="14"/>
              </w:rPr>
            </w:pPr>
            <w:r>
              <w:rPr>
                <w:sz w:val="14"/>
              </w:rPr>
              <w:t>Q1</w:t>
            </w:r>
          </w:p>
        </w:tc>
      </w:tr>
      <w:tr>
        <w:trPr>
          <w:trHeight w:val="252" w:hRule="atLeast"/>
        </w:trPr>
        <w:tc>
          <w:tcPr>
            <w:tcW w:w="1149" w:type="dxa"/>
          </w:tcPr>
          <w:p>
            <w:pPr>
              <w:pStyle w:val="TableParagraph"/>
              <w:spacing w:line="133" w:lineRule="exact" w:before="98"/>
              <w:ind w:left="50"/>
              <w:rPr>
                <w:sz w:val="12"/>
              </w:rPr>
            </w:pPr>
            <w:r>
              <w:rPr>
                <w:b/>
                <w:sz w:val="14"/>
              </w:rPr>
              <w:t>BCC </w:t>
            </w:r>
            <w:r>
              <w:rPr>
                <w:sz w:val="12"/>
              </w:rPr>
              <w:t>(c)</w:t>
            </w:r>
          </w:p>
        </w:tc>
        <w:tc>
          <w:tcPr>
            <w:tcW w:w="630" w:type="dxa"/>
            <w:tcBorders>
              <w:top w:val="single" w:sz="2" w:space="0" w:color="000000"/>
            </w:tcBorders>
          </w:tcPr>
          <w:p>
            <w:pPr>
              <w:pStyle w:val="TableParagraph"/>
              <w:rPr>
                <w:sz w:val="18"/>
              </w:rPr>
            </w:pPr>
          </w:p>
        </w:tc>
        <w:tc>
          <w:tcPr>
            <w:tcW w:w="221" w:type="dxa"/>
          </w:tcPr>
          <w:p>
            <w:pPr>
              <w:pStyle w:val="TableParagraph"/>
              <w:rPr>
                <w:sz w:val="18"/>
              </w:rPr>
            </w:pPr>
          </w:p>
        </w:tc>
        <w:tc>
          <w:tcPr>
            <w:tcW w:w="231" w:type="dxa"/>
            <w:tcBorders>
              <w:top w:val="single" w:sz="2" w:space="0" w:color="000000"/>
            </w:tcBorders>
          </w:tcPr>
          <w:p>
            <w:pPr>
              <w:pStyle w:val="TableParagraph"/>
              <w:rPr>
                <w:sz w:val="18"/>
              </w:rPr>
            </w:pPr>
          </w:p>
        </w:tc>
        <w:tc>
          <w:tcPr>
            <w:tcW w:w="314" w:type="dxa"/>
          </w:tcPr>
          <w:p>
            <w:pPr>
              <w:pStyle w:val="TableParagraph"/>
              <w:rPr>
                <w:sz w:val="18"/>
              </w:rPr>
            </w:pPr>
          </w:p>
        </w:tc>
        <w:tc>
          <w:tcPr>
            <w:tcW w:w="221" w:type="dxa"/>
            <w:tcBorders>
              <w:top w:val="single" w:sz="2" w:space="0" w:color="000000"/>
            </w:tcBorders>
          </w:tcPr>
          <w:p>
            <w:pPr>
              <w:pStyle w:val="TableParagraph"/>
              <w:rPr>
                <w:sz w:val="18"/>
              </w:rPr>
            </w:pPr>
          </w:p>
        </w:tc>
        <w:tc>
          <w:tcPr>
            <w:tcW w:w="269" w:type="dxa"/>
          </w:tcPr>
          <w:p>
            <w:pPr>
              <w:pStyle w:val="TableParagraph"/>
              <w:rPr>
                <w:sz w:val="18"/>
              </w:rPr>
            </w:pPr>
          </w:p>
        </w:tc>
        <w:tc>
          <w:tcPr>
            <w:tcW w:w="201" w:type="dxa"/>
            <w:tcBorders>
              <w:top w:val="single" w:sz="2" w:space="0" w:color="000000"/>
            </w:tcBorders>
          </w:tcPr>
          <w:p>
            <w:pPr>
              <w:pStyle w:val="TableParagraph"/>
              <w:rPr>
                <w:sz w:val="18"/>
              </w:rPr>
            </w:pPr>
          </w:p>
        </w:tc>
        <w:tc>
          <w:tcPr>
            <w:tcW w:w="580" w:type="dxa"/>
            <w:tcBorders>
              <w:top w:val="single" w:sz="2" w:space="0" w:color="000000"/>
            </w:tcBorders>
          </w:tcPr>
          <w:p>
            <w:pPr>
              <w:pStyle w:val="TableParagraph"/>
              <w:rPr>
                <w:sz w:val="18"/>
              </w:rPr>
            </w:pPr>
          </w:p>
        </w:tc>
      </w:tr>
      <w:tr>
        <w:trPr>
          <w:trHeight w:val="140" w:hRule="atLeast"/>
        </w:trPr>
        <w:tc>
          <w:tcPr>
            <w:tcW w:w="1149" w:type="dxa"/>
          </w:tcPr>
          <w:p>
            <w:pPr>
              <w:pStyle w:val="TableParagraph"/>
              <w:spacing w:line="120" w:lineRule="exact"/>
              <w:ind w:left="50"/>
              <w:rPr>
                <w:sz w:val="14"/>
              </w:rPr>
            </w:pPr>
            <w:r>
              <w:rPr>
                <w:sz w:val="14"/>
              </w:rPr>
              <w:t>Services</w:t>
            </w:r>
          </w:p>
        </w:tc>
        <w:tc>
          <w:tcPr>
            <w:tcW w:w="630" w:type="dxa"/>
          </w:tcPr>
          <w:p>
            <w:pPr>
              <w:pStyle w:val="TableParagraph"/>
              <w:spacing w:line="120" w:lineRule="exact"/>
              <w:ind w:left="1" w:right="106"/>
              <w:jc w:val="center"/>
              <w:rPr>
                <w:sz w:val="14"/>
              </w:rPr>
            </w:pPr>
            <w:r>
              <w:rPr>
                <w:sz w:val="14"/>
              </w:rPr>
              <w:t>12</w:t>
            </w:r>
          </w:p>
        </w:tc>
        <w:tc>
          <w:tcPr>
            <w:tcW w:w="221" w:type="dxa"/>
          </w:tcPr>
          <w:p>
            <w:pPr>
              <w:pStyle w:val="TableParagraph"/>
              <w:rPr>
                <w:sz w:val="8"/>
              </w:rPr>
            </w:pPr>
          </w:p>
        </w:tc>
        <w:tc>
          <w:tcPr>
            <w:tcW w:w="231" w:type="dxa"/>
          </w:tcPr>
          <w:p>
            <w:pPr>
              <w:pStyle w:val="TableParagraph"/>
              <w:spacing w:line="120" w:lineRule="exact"/>
              <w:jc w:val="right"/>
              <w:rPr>
                <w:sz w:val="14"/>
              </w:rPr>
            </w:pPr>
            <w:r>
              <w:rPr>
                <w:sz w:val="14"/>
              </w:rPr>
              <w:t>20</w:t>
            </w:r>
          </w:p>
        </w:tc>
        <w:tc>
          <w:tcPr>
            <w:tcW w:w="314" w:type="dxa"/>
          </w:tcPr>
          <w:p>
            <w:pPr>
              <w:pStyle w:val="TableParagraph"/>
              <w:rPr>
                <w:sz w:val="8"/>
              </w:rPr>
            </w:pPr>
          </w:p>
        </w:tc>
        <w:tc>
          <w:tcPr>
            <w:tcW w:w="221" w:type="dxa"/>
          </w:tcPr>
          <w:p>
            <w:pPr>
              <w:pStyle w:val="TableParagraph"/>
              <w:spacing w:line="120" w:lineRule="exact"/>
              <w:ind w:left="12" w:right="4"/>
              <w:jc w:val="center"/>
              <w:rPr>
                <w:sz w:val="14"/>
              </w:rPr>
            </w:pPr>
            <w:r>
              <w:rPr>
                <w:sz w:val="14"/>
              </w:rPr>
              <w:t>14</w:t>
            </w:r>
          </w:p>
        </w:tc>
        <w:tc>
          <w:tcPr>
            <w:tcW w:w="269" w:type="dxa"/>
          </w:tcPr>
          <w:p>
            <w:pPr>
              <w:pStyle w:val="TableParagraph"/>
              <w:rPr>
                <w:sz w:val="8"/>
              </w:rPr>
            </w:pPr>
          </w:p>
        </w:tc>
        <w:tc>
          <w:tcPr>
            <w:tcW w:w="201" w:type="dxa"/>
          </w:tcPr>
          <w:p>
            <w:pPr>
              <w:pStyle w:val="TableParagraph"/>
              <w:spacing w:line="120" w:lineRule="exact"/>
              <w:ind w:left="-2" w:right="14"/>
              <w:jc w:val="right"/>
              <w:rPr>
                <w:sz w:val="14"/>
              </w:rPr>
            </w:pPr>
            <w:r>
              <w:rPr>
                <w:sz w:val="14"/>
              </w:rPr>
              <w:t>15</w:t>
            </w:r>
          </w:p>
        </w:tc>
        <w:tc>
          <w:tcPr>
            <w:tcW w:w="580" w:type="dxa"/>
          </w:tcPr>
          <w:p>
            <w:pPr>
              <w:pStyle w:val="TableParagraph"/>
              <w:spacing w:line="120" w:lineRule="exact"/>
              <w:ind w:right="113"/>
              <w:jc w:val="right"/>
              <w:rPr>
                <w:sz w:val="14"/>
              </w:rPr>
            </w:pPr>
            <w:r>
              <w:rPr>
                <w:sz w:val="14"/>
              </w:rPr>
              <w:t>11</w:t>
            </w:r>
          </w:p>
        </w:tc>
      </w:tr>
      <w:tr>
        <w:trPr>
          <w:trHeight w:val="140" w:hRule="atLeast"/>
        </w:trPr>
        <w:tc>
          <w:tcPr>
            <w:tcW w:w="1149" w:type="dxa"/>
          </w:tcPr>
          <w:p>
            <w:pPr>
              <w:pStyle w:val="TableParagraph"/>
              <w:spacing w:line="120" w:lineRule="exact"/>
              <w:ind w:left="50"/>
              <w:rPr>
                <w:sz w:val="14"/>
              </w:rPr>
            </w:pPr>
            <w:r>
              <w:rPr>
                <w:sz w:val="14"/>
              </w:rPr>
              <w:t>Manufacturing</w:t>
            </w:r>
          </w:p>
        </w:tc>
        <w:tc>
          <w:tcPr>
            <w:tcW w:w="630" w:type="dxa"/>
          </w:tcPr>
          <w:p>
            <w:pPr>
              <w:pStyle w:val="TableParagraph"/>
              <w:spacing w:line="120" w:lineRule="exact"/>
              <w:ind w:right="35"/>
              <w:jc w:val="center"/>
              <w:rPr>
                <w:sz w:val="14"/>
              </w:rPr>
            </w:pPr>
            <w:r>
              <w:rPr>
                <w:sz w:val="14"/>
              </w:rPr>
              <w:t>3</w:t>
            </w:r>
          </w:p>
        </w:tc>
        <w:tc>
          <w:tcPr>
            <w:tcW w:w="221" w:type="dxa"/>
          </w:tcPr>
          <w:p>
            <w:pPr>
              <w:pStyle w:val="TableParagraph"/>
              <w:rPr>
                <w:sz w:val="8"/>
              </w:rPr>
            </w:pPr>
          </w:p>
        </w:tc>
        <w:tc>
          <w:tcPr>
            <w:tcW w:w="231" w:type="dxa"/>
          </w:tcPr>
          <w:p>
            <w:pPr>
              <w:pStyle w:val="TableParagraph"/>
              <w:spacing w:line="120" w:lineRule="exact"/>
              <w:jc w:val="right"/>
              <w:rPr>
                <w:sz w:val="14"/>
              </w:rPr>
            </w:pPr>
            <w:r>
              <w:rPr>
                <w:sz w:val="14"/>
              </w:rPr>
              <w:t>9</w:t>
            </w:r>
          </w:p>
        </w:tc>
        <w:tc>
          <w:tcPr>
            <w:tcW w:w="314" w:type="dxa"/>
          </w:tcPr>
          <w:p>
            <w:pPr>
              <w:pStyle w:val="TableParagraph"/>
              <w:rPr>
                <w:sz w:val="8"/>
              </w:rPr>
            </w:pPr>
          </w:p>
        </w:tc>
        <w:tc>
          <w:tcPr>
            <w:tcW w:w="221" w:type="dxa"/>
          </w:tcPr>
          <w:p>
            <w:pPr>
              <w:pStyle w:val="TableParagraph"/>
              <w:spacing w:line="120" w:lineRule="exact"/>
              <w:ind w:left="36" w:right="4"/>
              <w:jc w:val="center"/>
              <w:rPr>
                <w:sz w:val="14"/>
              </w:rPr>
            </w:pPr>
            <w:r>
              <w:rPr>
                <w:sz w:val="14"/>
              </w:rPr>
              <w:t>-1</w:t>
            </w:r>
          </w:p>
        </w:tc>
        <w:tc>
          <w:tcPr>
            <w:tcW w:w="269" w:type="dxa"/>
          </w:tcPr>
          <w:p>
            <w:pPr>
              <w:pStyle w:val="TableParagraph"/>
              <w:rPr>
                <w:sz w:val="8"/>
              </w:rPr>
            </w:pPr>
          </w:p>
        </w:tc>
        <w:tc>
          <w:tcPr>
            <w:tcW w:w="201" w:type="dxa"/>
          </w:tcPr>
          <w:p>
            <w:pPr>
              <w:pStyle w:val="TableParagraph"/>
              <w:spacing w:line="120" w:lineRule="exact"/>
              <w:ind w:left="-2" w:right="13"/>
              <w:jc w:val="right"/>
              <w:rPr>
                <w:sz w:val="14"/>
              </w:rPr>
            </w:pPr>
            <w:r>
              <w:rPr>
                <w:sz w:val="14"/>
              </w:rPr>
              <w:t>-6</w:t>
            </w:r>
          </w:p>
        </w:tc>
        <w:tc>
          <w:tcPr>
            <w:tcW w:w="580" w:type="dxa"/>
          </w:tcPr>
          <w:p>
            <w:pPr>
              <w:pStyle w:val="TableParagraph"/>
              <w:spacing w:line="120" w:lineRule="exact"/>
              <w:ind w:right="113"/>
              <w:jc w:val="right"/>
              <w:rPr>
                <w:sz w:val="14"/>
              </w:rPr>
            </w:pPr>
            <w:r>
              <w:rPr>
                <w:sz w:val="14"/>
              </w:rPr>
              <w:t>-6</w:t>
            </w:r>
          </w:p>
        </w:tc>
      </w:tr>
      <w:tr>
        <w:trPr>
          <w:trHeight w:val="140" w:hRule="atLeast"/>
        </w:trPr>
        <w:tc>
          <w:tcPr>
            <w:tcW w:w="1149" w:type="dxa"/>
          </w:tcPr>
          <w:p>
            <w:pPr>
              <w:pStyle w:val="TableParagraph"/>
              <w:spacing w:line="120" w:lineRule="exact"/>
              <w:ind w:left="50"/>
              <w:rPr>
                <w:sz w:val="12"/>
              </w:rPr>
            </w:pPr>
            <w:r>
              <w:rPr>
                <w:b/>
                <w:sz w:val="14"/>
              </w:rPr>
              <w:t>CBI </w:t>
            </w:r>
            <w:r>
              <w:rPr>
                <w:sz w:val="12"/>
              </w:rPr>
              <w:t>(d)</w:t>
            </w:r>
          </w:p>
        </w:tc>
        <w:tc>
          <w:tcPr>
            <w:tcW w:w="630" w:type="dxa"/>
          </w:tcPr>
          <w:p>
            <w:pPr>
              <w:pStyle w:val="TableParagraph"/>
              <w:rPr>
                <w:sz w:val="8"/>
              </w:rPr>
            </w:pPr>
          </w:p>
        </w:tc>
        <w:tc>
          <w:tcPr>
            <w:tcW w:w="221" w:type="dxa"/>
          </w:tcPr>
          <w:p>
            <w:pPr>
              <w:pStyle w:val="TableParagraph"/>
              <w:rPr>
                <w:sz w:val="8"/>
              </w:rPr>
            </w:pPr>
          </w:p>
        </w:tc>
        <w:tc>
          <w:tcPr>
            <w:tcW w:w="231" w:type="dxa"/>
          </w:tcPr>
          <w:p>
            <w:pPr>
              <w:pStyle w:val="TableParagraph"/>
              <w:rPr>
                <w:sz w:val="8"/>
              </w:rPr>
            </w:pPr>
          </w:p>
        </w:tc>
        <w:tc>
          <w:tcPr>
            <w:tcW w:w="314" w:type="dxa"/>
          </w:tcPr>
          <w:p>
            <w:pPr>
              <w:pStyle w:val="TableParagraph"/>
              <w:rPr>
                <w:sz w:val="8"/>
              </w:rPr>
            </w:pPr>
          </w:p>
        </w:tc>
        <w:tc>
          <w:tcPr>
            <w:tcW w:w="221" w:type="dxa"/>
          </w:tcPr>
          <w:p>
            <w:pPr>
              <w:pStyle w:val="TableParagraph"/>
              <w:rPr>
                <w:sz w:val="8"/>
              </w:rPr>
            </w:pPr>
          </w:p>
        </w:tc>
        <w:tc>
          <w:tcPr>
            <w:tcW w:w="269" w:type="dxa"/>
          </w:tcPr>
          <w:p>
            <w:pPr>
              <w:pStyle w:val="TableParagraph"/>
              <w:rPr>
                <w:sz w:val="8"/>
              </w:rPr>
            </w:pPr>
          </w:p>
        </w:tc>
        <w:tc>
          <w:tcPr>
            <w:tcW w:w="201" w:type="dxa"/>
          </w:tcPr>
          <w:p>
            <w:pPr>
              <w:pStyle w:val="TableParagraph"/>
              <w:rPr>
                <w:sz w:val="8"/>
              </w:rPr>
            </w:pPr>
          </w:p>
        </w:tc>
        <w:tc>
          <w:tcPr>
            <w:tcW w:w="580" w:type="dxa"/>
          </w:tcPr>
          <w:p>
            <w:pPr>
              <w:pStyle w:val="TableParagraph"/>
              <w:rPr>
                <w:sz w:val="8"/>
              </w:rPr>
            </w:pPr>
          </w:p>
        </w:tc>
      </w:tr>
      <w:tr>
        <w:trPr>
          <w:trHeight w:val="140" w:hRule="atLeast"/>
        </w:trPr>
        <w:tc>
          <w:tcPr>
            <w:tcW w:w="1149" w:type="dxa"/>
          </w:tcPr>
          <w:p>
            <w:pPr>
              <w:pStyle w:val="TableParagraph"/>
              <w:spacing w:line="120" w:lineRule="exact"/>
              <w:ind w:left="50"/>
              <w:rPr>
                <w:sz w:val="14"/>
              </w:rPr>
            </w:pPr>
            <w:r>
              <w:rPr>
                <w:sz w:val="14"/>
              </w:rPr>
              <w:t>Manufacturing</w:t>
            </w:r>
          </w:p>
        </w:tc>
        <w:tc>
          <w:tcPr>
            <w:tcW w:w="630" w:type="dxa"/>
          </w:tcPr>
          <w:p>
            <w:pPr>
              <w:pStyle w:val="TableParagraph"/>
              <w:spacing w:line="120" w:lineRule="exact"/>
              <w:ind w:left="1" w:right="153"/>
              <w:jc w:val="center"/>
              <w:rPr>
                <w:sz w:val="14"/>
              </w:rPr>
            </w:pPr>
            <w:r>
              <w:rPr>
                <w:sz w:val="14"/>
              </w:rPr>
              <w:t>-21</w:t>
            </w:r>
          </w:p>
        </w:tc>
        <w:tc>
          <w:tcPr>
            <w:tcW w:w="221" w:type="dxa"/>
          </w:tcPr>
          <w:p>
            <w:pPr>
              <w:pStyle w:val="TableParagraph"/>
              <w:rPr>
                <w:sz w:val="8"/>
              </w:rPr>
            </w:pPr>
          </w:p>
        </w:tc>
        <w:tc>
          <w:tcPr>
            <w:tcW w:w="231" w:type="dxa"/>
          </w:tcPr>
          <w:p>
            <w:pPr>
              <w:pStyle w:val="TableParagraph"/>
              <w:spacing w:line="120" w:lineRule="exact"/>
              <w:jc w:val="right"/>
              <w:rPr>
                <w:sz w:val="14"/>
              </w:rPr>
            </w:pPr>
            <w:r>
              <w:rPr>
                <w:sz w:val="14"/>
              </w:rPr>
              <w:t>-18</w:t>
            </w:r>
          </w:p>
        </w:tc>
        <w:tc>
          <w:tcPr>
            <w:tcW w:w="314" w:type="dxa"/>
          </w:tcPr>
          <w:p>
            <w:pPr>
              <w:pStyle w:val="TableParagraph"/>
              <w:rPr>
                <w:sz w:val="8"/>
              </w:rPr>
            </w:pPr>
          </w:p>
        </w:tc>
        <w:tc>
          <w:tcPr>
            <w:tcW w:w="221" w:type="dxa"/>
          </w:tcPr>
          <w:p>
            <w:pPr>
              <w:pStyle w:val="TableParagraph"/>
              <w:spacing w:line="120" w:lineRule="exact"/>
              <w:ind w:left="-2" w:right="33"/>
              <w:jc w:val="center"/>
              <w:rPr>
                <w:sz w:val="14"/>
              </w:rPr>
            </w:pPr>
            <w:r>
              <w:rPr>
                <w:sz w:val="14"/>
              </w:rPr>
              <w:t>-26</w:t>
            </w:r>
          </w:p>
        </w:tc>
        <w:tc>
          <w:tcPr>
            <w:tcW w:w="269" w:type="dxa"/>
          </w:tcPr>
          <w:p>
            <w:pPr>
              <w:pStyle w:val="TableParagraph"/>
              <w:rPr>
                <w:sz w:val="8"/>
              </w:rPr>
            </w:pPr>
          </w:p>
        </w:tc>
        <w:tc>
          <w:tcPr>
            <w:tcW w:w="201" w:type="dxa"/>
          </w:tcPr>
          <w:p>
            <w:pPr>
              <w:pStyle w:val="TableParagraph"/>
              <w:spacing w:line="120" w:lineRule="exact"/>
              <w:ind w:left="-2" w:right="13"/>
              <w:jc w:val="right"/>
              <w:rPr>
                <w:sz w:val="14"/>
              </w:rPr>
            </w:pPr>
            <w:r>
              <w:rPr>
                <w:sz w:val="14"/>
              </w:rPr>
              <w:t>-34</w:t>
            </w:r>
          </w:p>
        </w:tc>
        <w:tc>
          <w:tcPr>
            <w:tcW w:w="580" w:type="dxa"/>
          </w:tcPr>
          <w:p>
            <w:pPr>
              <w:pStyle w:val="TableParagraph"/>
              <w:spacing w:line="120" w:lineRule="exact"/>
              <w:ind w:right="113"/>
              <w:jc w:val="right"/>
              <w:rPr>
                <w:sz w:val="14"/>
              </w:rPr>
            </w:pPr>
            <w:r>
              <w:rPr>
                <w:sz w:val="14"/>
              </w:rPr>
              <w:t>-30</w:t>
            </w:r>
          </w:p>
        </w:tc>
      </w:tr>
      <w:tr>
        <w:trPr>
          <w:trHeight w:val="140" w:hRule="atLeast"/>
        </w:trPr>
        <w:tc>
          <w:tcPr>
            <w:tcW w:w="1149" w:type="dxa"/>
          </w:tcPr>
          <w:p>
            <w:pPr>
              <w:pStyle w:val="TableParagraph"/>
              <w:spacing w:line="120" w:lineRule="exact"/>
              <w:ind w:left="50"/>
              <w:rPr>
                <w:b/>
                <w:sz w:val="14"/>
              </w:rPr>
            </w:pPr>
            <w:r>
              <w:rPr>
                <w:b/>
                <w:sz w:val="14"/>
              </w:rPr>
              <w:t>Manpower</w:t>
            </w:r>
          </w:p>
        </w:tc>
        <w:tc>
          <w:tcPr>
            <w:tcW w:w="630" w:type="dxa"/>
          </w:tcPr>
          <w:p>
            <w:pPr>
              <w:pStyle w:val="TableParagraph"/>
              <w:rPr>
                <w:sz w:val="8"/>
              </w:rPr>
            </w:pPr>
          </w:p>
        </w:tc>
        <w:tc>
          <w:tcPr>
            <w:tcW w:w="221" w:type="dxa"/>
          </w:tcPr>
          <w:p>
            <w:pPr>
              <w:pStyle w:val="TableParagraph"/>
              <w:rPr>
                <w:sz w:val="8"/>
              </w:rPr>
            </w:pPr>
          </w:p>
        </w:tc>
        <w:tc>
          <w:tcPr>
            <w:tcW w:w="231" w:type="dxa"/>
          </w:tcPr>
          <w:p>
            <w:pPr>
              <w:pStyle w:val="TableParagraph"/>
              <w:rPr>
                <w:sz w:val="8"/>
              </w:rPr>
            </w:pPr>
          </w:p>
        </w:tc>
        <w:tc>
          <w:tcPr>
            <w:tcW w:w="314" w:type="dxa"/>
          </w:tcPr>
          <w:p>
            <w:pPr>
              <w:pStyle w:val="TableParagraph"/>
              <w:rPr>
                <w:sz w:val="8"/>
              </w:rPr>
            </w:pPr>
          </w:p>
        </w:tc>
        <w:tc>
          <w:tcPr>
            <w:tcW w:w="221" w:type="dxa"/>
          </w:tcPr>
          <w:p>
            <w:pPr>
              <w:pStyle w:val="TableParagraph"/>
              <w:rPr>
                <w:sz w:val="8"/>
              </w:rPr>
            </w:pPr>
          </w:p>
        </w:tc>
        <w:tc>
          <w:tcPr>
            <w:tcW w:w="269" w:type="dxa"/>
          </w:tcPr>
          <w:p>
            <w:pPr>
              <w:pStyle w:val="TableParagraph"/>
              <w:rPr>
                <w:sz w:val="8"/>
              </w:rPr>
            </w:pPr>
          </w:p>
        </w:tc>
        <w:tc>
          <w:tcPr>
            <w:tcW w:w="201" w:type="dxa"/>
          </w:tcPr>
          <w:p>
            <w:pPr>
              <w:pStyle w:val="TableParagraph"/>
              <w:rPr>
                <w:sz w:val="8"/>
              </w:rPr>
            </w:pPr>
          </w:p>
        </w:tc>
        <w:tc>
          <w:tcPr>
            <w:tcW w:w="580" w:type="dxa"/>
          </w:tcPr>
          <w:p>
            <w:pPr>
              <w:pStyle w:val="TableParagraph"/>
              <w:rPr>
                <w:sz w:val="8"/>
              </w:rPr>
            </w:pPr>
          </w:p>
        </w:tc>
      </w:tr>
      <w:tr>
        <w:trPr>
          <w:trHeight w:val="140" w:hRule="atLeast"/>
        </w:trPr>
        <w:tc>
          <w:tcPr>
            <w:tcW w:w="1149" w:type="dxa"/>
          </w:tcPr>
          <w:p>
            <w:pPr>
              <w:pStyle w:val="TableParagraph"/>
              <w:spacing w:line="120" w:lineRule="exact"/>
              <w:ind w:left="50"/>
              <w:rPr>
                <w:sz w:val="14"/>
              </w:rPr>
            </w:pPr>
            <w:r>
              <w:rPr>
                <w:sz w:val="14"/>
              </w:rPr>
              <w:t>Total</w:t>
            </w:r>
          </w:p>
        </w:tc>
        <w:tc>
          <w:tcPr>
            <w:tcW w:w="630" w:type="dxa"/>
          </w:tcPr>
          <w:p>
            <w:pPr>
              <w:pStyle w:val="TableParagraph"/>
              <w:spacing w:line="120" w:lineRule="exact"/>
              <w:ind w:left="1" w:right="106"/>
              <w:jc w:val="center"/>
              <w:rPr>
                <w:sz w:val="14"/>
              </w:rPr>
            </w:pPr>
            <w:r>
              <w:rPr>
                <w:sz w:val="14"/>
              </w:rPr>
              <w:t>10</w:t>
            </w:r>
          </w:p>
        </w:tc>
        <w:tc>
          <w:tcPr>
            <w:tcW w:w="221" w:type="dxa"/>
          </w:tcPr>
          <w:p>
            <w:pPr>
              <w:pStyle w:val="TableParagraph"/>
              <w:rPr>
                <w:sz w:val="8"/>
              </w:rPr>
            </w:pPr>
          </w:p>
        </w:tc>
        <w:tc>
          <w:tcPr>
            <w:tcW w:w="231" w:type="dxa"/>
          </w:tcPr>
          <w:p>
            <w:pPr>
              <w:pStyle w:val="TableParagraph"/>
              <w:spacing w:line="120" w:lineRule="exact"/>
              <w:ind w:right="1"/>
              <w:jc w:val="right"/>
              <w:rPr>
                <w:sz w:val="14"/>
              </w:rPr>
            </w:pPr>
            <w:r>
              <w:rPr>
                <w:sz w:val="14"/>
              </w:rPr>
              <w:t>16</w:t>
            </w:r>
          </w:p>
        </w:tc>
        <w:tc>
          <w:tcPr>
            <w:tcW w:w="314" w:type="dxa"/>
          </w:tcPr>
          <w:p>
            <w:pPr>
              <w:pStyle w:val="TableParagraph"/>
              <w:rPr>
                <w:sz w:val="8"/>
              </w:rPr>
            </w:pPr>
          </w:p>
        </w:tc>
        <w:tc>
          <w:tcPr>
            <w:tcW w:w="221" w:type="dxa"/>
          </w:tcPr>
          <w:p>
            <w:pPr>
              <w:pStyle w:val="TableParagraph"/>
              <w:spacing w:line="120" w:lineRule="exact"/>
              <w:ind w:left="12" w:right="4"/>
              <w:jc w:val="center"/>
              <w:rPr>
                <w:sz w:val="14"/>
              </w:rPr>
            </w:pPr>
            <w:r>
              <w:rPr>
                <w:sz w:val="14"/>
              </w:rPr>
              <w:t>14</w:t>
            </w:r>
          </w:p>
        </w:tc>
        <w:tc>
          <w:tcPr>
            <w:tcW w:w="269" w:type="dxa"/>
          </w:tcPr>
          <w:p>
            <w:pPr>
              <w:pStyle w:val="TableParagraph"/>
              <w:rPr>
                <w:sz w:val="8"/>
              </w:rPr>
            </w:pPr>
          </w:p>
        </w:tc>
        <w:tc>
          <w:tcPr>
            <w:tcW w:w="201" w:type="dxa"/>
          </w:tcPr>
          <w:p>
            <w:pPr>
              <w:pStyle w:val="TableParagraph"/>
              <w:spacing w:line="120" w:lineRule="exact"/>
              <w:ind w:right="14"/>
              <w:jc w:val="right"/>
              <w:rPr>
                <w:sz w:val="14"/>
              </w:rPr>
            </w:pPr>
            <w:r>
              <w:rPr>
                <w:sz w:val="14"/>
              </w:rPr>
              <w:t>9</w:t>
            </w:r>
          </w:p>
        </w:tc>
        <w:tc>
          <w:tcPr>
            <w:tcW w:w="580" w:type="dxa"/>
          </w:tcPr>
          <w:p>
            <w:pPr>
              <w:pStyle w:val="TableParagraph"/>
              <w:spacing w:line="120" w:lineRule="exact"/>
              <w:ind w:right="114"/>
              <w:jc w:val="right"/>
              <w:rPr>
                <w:sz w:val="14"/>
              </w:rPr>
            </w:pPr>
            <w:r>
              <w:rPr>
                <w:sz w:val="14"/>
              </w:rPr>
              <w:t>8</w:t>
            </w:r>
          </w:p>
        </w:tc>
      </w:tr>
      <w:tr>
        <w:trPr>
          <w:trHeight w:val="140" w:hRule="atLeast"/>
        </w:trPr>
        <w:tc>
          <w:tcPr>
            <w:tcW w:w="1149" w:type="dxa"/>
          </w:tcPr>
          <w:p>
            <w:pPr>
              <w:pStyle w:val="TableParagraph"/>
              <w:spacing w:line="120" w:lineRule="exact"/>
              <w:ind w:left="50"/>
              <w:rPr>
                <w:sz w:val="14"/>
              </w:rPr>
            </w:pPr>
            <w:r>
              <w:rPr>
                <w:sz w:val="14"/>
              </w:rPr>
              <w:t>Services</w:t>
            </w:r>
          </w:p>
        </w:tc>
        <w:tc>
          <w:tcPr>
            <w:tcW w:w="630" w:type="dxa"/>
          </w:tcPr>
          <w:p>
            <w:pPr>
              <w:pStyle w:val="TableParagraph"/>
              <w:spacing w:line="120" w:lineRule="exact"/>
              <w:ind w:left="1" w:right="106"/>
              <w:jc w:val="center"/>
              <w:rPr>
                <w:sz w:val="14"/>
              </w:rPr>
            </w:pPr>
            <w:r>
              <w:rPr>
                <w:sz w:val="14"/>
              </w:rPr>
              <w:t>12</w:t>
            </w:r>
          </w:p>
        </w:tc>
        <w:tc>
          <w:tcPr>
            <w:tcW w:w="221" w:type="dxa"/>
          </w:tcPr>
          <w:p>
            <w:pPr>
              <w:pStyle w:val="TableParagraph"/>
              <w:rPr>
                <w:sz w:val="8"/>
              </w:rPr>
            </w:pPr>
          </w:p>
        </w:tc>
        <w:tc>
          <w:tcPr>
            <w:tcW w:w="231" w:type="dxa"/>
          </w:tcPr>
          <w:p>
            <w:pPr>
              <w:pStyle w:val="TableParagraph"/>
              <w:spacing w:line="120" w:lineRule="exact"/>
              <w:jc w:val="right"/>
              <w:rPr>
                <w:sz w:val="14"/>
              </w:rPr>
            </w:pPr>
            <w:r>
              <w:rPr>
                <w:sz w:val="14"/>
              </w:rPr>
              <w:t>17</w:t>
            </w:r>
          </w:p>
        </w:tc>
        <w:tc>
          <w:tcPr>
            <w:tcW w:w="314" w:type="dxa"/>
          </w:tcPr>
          <w:p>
            <w:pPr>
              <w:pStyle w:val="TableParagraph"/>
              <w:rPr>
                <w:sz w:val="8"/>
              </w:rPr>
            </w:pPr>
          </w:p>
        </w:tc>
        <w:tc>
          <w:tcPr>
            <w:tcW w:w="221" w:type="dxa"/>
          </w:tcPr>
          <w:p>
            <w:pPr>
              <w:pStyle w:val="TableParagraph"/>
              <w:spacing w:line="120" w:lineRule="exact"/>
              <w:ind w:left="12" w:right="4"/>
              <w:jc w:val="center"/>
              <w:rPr>
                <w:sz w:val="14"/>
              </w:rPr>
            </w:pPr>
            <w:r>
              <w:rPr>
                <w:sz w:val="14"/>
              </w:rPr>
              <w:t>17</w:t>
            </w:r>
          </w:p>
        </w:tc>
        <w:tc>
          <w:tcPr>
            <w:tcW w:w="269" w:type="dxa"/>
          </w:tcPr>
          <w:p>
            <w:pPr>
              <w:pStyle w:val="TableParagraph"/>
              <w:rPr>
                <w:sz w:val="8"/>
              </w:rPr>
            </w:pPr>
          </w:p>
        </w:tc>
        <w:tc>
          <w:tcPr>
            <w:tcW w:w="201" w:type="dxa"/>
          </w:tcPr>
          <w:p>
            <w:pPr>
              <w:pStyle w:val="TableParagraph"/>
              <w:spacing w:line="120" w:lineRule="exact"/>
              <w:ind w:left="-2" w:right="14"/>
              <w:jc w:val="right"/>
              <w:rPr>
                <w:sz w:val="14"/>
              </w:rPr>
            </w:pPr>
            <w:r>
              <w:rPr>
                <w:sz w:val="14"/>
              </w:rPr>
              <w:t>13</w:t>
            </w:r>
          </w:p>
        </w:tc>
        <w:tc>
          <w:tcPr>
            <w:tcW w:w="580" w:type="dxa"/>
          </w:tcPr>
          <w:p>
            <w:pPr>
              <w:pStyle w:val="TableParagraph"/>
              <w:spacing w:line="120" w:lineRule="exact"/>
              <w:ind w:right="113"/>
              <w:jc w:val="right"/>
              <w:rPr>
                <w:sz w:val="14"/>
              </w:rPr>
            </w:pPr>
            <w:r>
              <w:rPr>
                <w:sz w:val="14"/>
              </w:rPr>
              <w:t>13</w:t>
            </w:r>
          </w:p>
        </w:tc>
      </w:tr>
      <w:tr>
        <w:trPr>
          <w:trHeight w:val="147" w:hRule="atLeast"/>
        </w:trPr>
        <w:tc>
          <w:tcPr>
            <w:tcW w:w="1149" w:type="dxa"/>
          </w:tcPr>
          <w:p>
            <w:pPr>
              <w:pStyle w:val="TableParagraph"/>
              <w:spacing w:line="128" w:lineRule="exact"/>
              <w:ind w:left="50"/>
              <w:rPr>
                <w:sz w:val="14"/>
              </w:rPr>
            </w:pPr>
            <w:r>
              <w:rPr>
                <w:sz w:val="14"/>
              </w:rPr>
              <w:t>Manufacturing</w:t>
            </w:r>
          </w:p>
        </w:tc>
        <w:tc>
          <w:tcPr>
            <w:tcW w:w="630" w:type="dxa"/>
          </w:tcPr>
          <w:p>
            <w:pPr>
              <w:pStyle w:val="TableParagraph"/>
              <w:spacing w:line="128" w:lineRule="exact"/>
              <w:ind w:left="1" w:right="106"/>
              <w:jc w:val="center"/>
              <w:rPr>
                <w:sz w:val="14"/>
              </w:rPr>
            </w:pPr>
            <w:r>
              <w:rPr>
                <w:sz w:val="14"/>
              </w:rPr>
              <w:t>14</w:t>
            </w:r>
          </w:p>
        </w:tc>
        <w:tc>
          <w:tcPr>
            <w:tcW w:w="221" w:type="dxa"/>
          </w:tcPr>
          <w:p>
            <w:pPr>
              <w:pStyle w:val="TableParagraph"/>
              <w:rPr>
                <w:sz w:val="8"/>
              </w:rPr>
            </w:pPr>
          </w:p>
        </w:tc>
        <w:tc>
          <w:tcPr>
            <w:tcW w:w="231" w:type="dxa"/>
          </w:tcPr>
          <w:p>
            <w:pPr>
              <w:pStyle w:val="TableParagraph"/>
              <w:spacing w:line="128" w:lineRule="exact"/>
              <w:jc w:val="right"/>
              <w:rPr>
                <w:sz w:val="14"/>
              </w:rPr>
            </w:pPr>
            <w:r>
              <w:rPr>
                <w:sz w:val="14"/>
              </w:rPr>
              <w:t>17</w:t>
            </w:r>
          </w:p>
        </w:tc>
        <w:tc>
          <w:tcPr>
            <w:tcW w:w="314" w:type="dxa"/>
          </w:tcPr>
          <w:p>
            <w:pPr>
              <w:pStyle w:val="TableParagraph"/>
              <w:rPr>
                <w:sz w:val="8"/>
              </w:rPr>
            </w:pPr>
          </w:p>
        </w:tc>
        <w:tc>
          <w:tcPr>
            <w:tcW w:w="221" w:type="dxa"/>
          </w:tcPr>
          <w:p>
            <w:pPr>
              <w:pStyle w:val="TableParagraph"/>
              <w:spacing w:line="128" w:lineRule="exact"/>
              <w:ind w:left="13" w:right="4"/>
              <w:jc w:val="center"/>
              <w:rPr>
                <w:sz w:val="14"/>
              </w:rPr>
            </w:pPr>
            <w:r>
              <w:rPr>
                <w:sz w:val="14"/>
              </w:rPr>
              <w:t>13</w:t>
            </w:r>
          </w:p>
        </w:tc>
        <w:tc>
          <w:tcPr>
            <w:tcW w:w="269" w:type="dxa"/>
          </w:tcPr>
          <w:p>
            <w:pPr>
              <w:pStyle w:val="TableParagraph"/>
              <w:rPr>
                <w:sz w:val="8"/>
              </w:rPr>
            </w:pPr>
          </w:p>
        </w:tc>
        <w:tc>
          <w:tcPr>
            <w:tcW w:w="201" w:type="dxa"/>
          </w:tcPr>
          <w:p>
            <w:pPr>
              <w:pStyle w:val="TableParagraph"/>
              <w:spacing w:line="128" w:lineRule="exact"/>
              <w:ind w:right="13"/>
              <w:jc w:val="right"/>
              <w:rPr>
                <w:sz w:val="14"/>
              </w:rPr>
            </w:pPr>
            <w:r>
              <w:rPr>
                <w:sz w:val="14"/>
              </w:rPr>
              <w:t>8</w:t>
            </w:r>
          </w:p>
        </w:tc>
        <w:tc>
          <w:tcPr>
            <w:tcW w:w="580" w:type="dxa"/>
          </w:tcPr>
          <w:p>
            <w:pPr>
              <w:pStyle w:val="TableParagraph"/>
              <w:spacing w:line="128" w:lineRule="exact"/>
              <w:ind w:right="113"/>
              <w:jc w:val="right"/>
              <w:rPr>
                <w:sz w:val="14"/>
              </w:rPr>
            </w:pPr>
            <w:r>
              <w:rPr>
                <w:sz w:val="14"/>
              </w:rPr>
              <w:t>5</w:t>
            </w:r>
          </w:p>
        </w:tc>
      </w:tr>
    </w:tbl>
    <w:p>
      <w:pPr>
        <w:spacing w:before="123"/>
        <w:ind w:left="160" w:right="0" w:firstLine="0"/>
        <w:jc w:val="left"/>
        <w:rPr>
          <w:sz w:val="12"/>
        </w:rPr>
      </w:pPr>
      <w:r>
        <w:rPr>
          <w:sz w:val="12"/>
        </w:rPr>
        <w:t>Sources: BCC, CBI and Manpower.</w:t>
      </w:r>
    </w:p>
    <w:p>
      <w:pPr>
        <w:pStyle w:val="ListParagraph"/>
        <w:numPr>
          <w:ilvl w:val="0"/>
          <w:numId w:val="19"/>
        </w:numPr>
        <w:tabs>
          <w:tab w:pos="401" w:val="left" w:leader="none"/>
        </w:tabs>
        <w:spacing w:line="129" w:lineRule="exact" w:before="102" w:after="0"/>
        <w:ind w:left="400" w:right="0" w:hanging="241"/>
        <w:jc w:val="left"/>
        <w:rPr>
          <w:sz w:val="12"/>
        </w:rPr>
      </w:pPr>
      <w:r>
        <w:rPr>
          <w:sz w:val="12"/>
        </w:rPr>
        <w:t>Seasonally adjusted by the Bank.</w:t>
      </w:r>
    </w:p>
    <w:p>
      <w:pPr>
        <w:pStyle w:val="ListParagraph"/>
        <w:numPr>
          <w:ilvl w:val="0"/>
          <w:numId w:val="19"/>
        </w:numPr>
        <w:tabs>
          <w:tab w:pos="401" w:val="left" w:leader="none"/>
        </w:tabs>
        <w:spacing w:line="208" w:lineRule="auto" w:before="6" w:after="0"/>
        <w:ind w:left="400" w:right="432" w:hanging="240"/>
        <w:jc w:val="left"/>
        <w:rPr>
          <w:sz w:val="12"/>
        </w:rPr>
      </w:pPr>
      <w:r>
        <w:rPr>
          <w:sz w:val="12"/>
        </w:rPr>
        <w:t>CBI averages from 1979; BCC from 1989; Manpower total from </w:t>
      </w:r>
      <w:r>
        <w:rPr>
          <w:spacing w:val="-4"/>
          <w:sz w:val="12"/>
        </w:rPr>
        <w:t>1981; </w:t>
      </w:r>
      <w:r>
        <w:rPr>
          <w:sz w:val="12"/>
        </w:rPr>
        <w:t>Manpower sectoral measures from 1988.</w:t>
      </w:r>
    </w:p>
    <w:p>
      <w:pPr>
        <w:pStyle w:val="ListParagraph"/>
        <w:numPr>
          <w:ilvl w:val="0"/>
          <w:numId w:val="19"/>
        </w:numPr>
        <w:tabs>
          <w:tab w:pos="401" w:val="left" w:leader="none"/>
        </w:tabs>
        <w:spacing w:line="114" w:lineRule="exact" w:before="0" w:after="0"/>
        <w:ind w:left="400" w:right="0" w:hanging="241"/>
        <w:jc w:val="left"/>
        <w:rPr>
          <w:sz w:val="12"/>
        </w:rPr>
      </w:pPr>
      <w:r>
        <w:rPr>
          <w:sz w:val="12"/>
        </w:rPr>
        <w:t>Next three months.</w:t>
      </w:r>
    </w:p>
    <w:p>
      <w:pPr>
        <w:pStyle w:val="ListParagraph"/>
        <w:numPr>
          <w:ilvl w:val="0"/>
          <w:numId w:val="19"/>
        </w:numPr>
        <w:tabs>
          <w:tab w:pos="401" w:val="left" w:leader="none"/>
        </w:tabs>
        <w:spacing w:line="129" w:lineRule="exact" w:before="0" w:after="0"/>
        <w:ind w:left="400" w:right="0" w:hanging="241"/>
        <w:jc w:val="left"/>
        <w:rPr>
          <w:sz w:val="12"/>
        </w:rPr>
      </w:pPr>
      <w:r>
        <w:rPr>
          <w:sz w:val="12"/>
        </w:rPr>
        <w:t>Next four months.</w:t>
      </w:r>
    </w:p>
    <w:p>
      <w:pPr>
        <w:spacing w:line="242" w:lineRule="auto" w:before="206"/>
        <w:ind w:left="160" w:right="298" w:firstLine="0"/>
        <w:jc w:val="left"/>
        <w:rPr>
          <w:sz w:val="24"/>
        </w:rPr>
      </w:pPr>
      <w:r>
        <w:rPr/>
        <w:br w:type="column"/>
      </w:r>
      <w:r>
        <w:rPr>
          <w:sz w:val="24"/>
        </w:rPr>
        <w:t>Alternative measures of the relationship between vacancies and unemployment, based on Jobcentre vacancy and unemployment inflows, suggest a similar picture. Skill shortages and recruitment difficulties have also eased since last year, according to business surveys (see Chart 3.13). The CBI survey suggests that the constraint on output posed by skill shortages is now well below average in manufacturing. But, despite recent falls, BCC measures of recruitment </w:t>
      </w:r>
      <w:r>
        <w:rPr>
          <w:spacing w:val="-3"/>
          <w:sz w:val="24"/>
        </w:rPr>
        <w:t>difficulties— </w:t>
      </w:r>
      <w:r>
        <w:rPr>
          <w:sz w:val="24"/>
        </w:rPr>
        <w:t>which cover both skilled and unskilled labour—remain well above average in both services and manufacturing, consistent with continued labour market tightness.</w:t>
      </w:r>
    </w:p>
    <w:p>
      <w:pPr>
        <w:pStyle w:val="BodyText"/>
        <w:spacing w:before="1"/>
        <w:rPr>
          <w:sz w:val="29"/>
        </w:rPr>
      </w:pPr>
    </w:p>
    <w:p>
      <w:pPr>
        <w:spacing w:line="242" w:lineRule="auto" w:before="1"/>
        <w:ind w:left="160" w:right="490" w:firstLine="0"/>
        <w:jc w:val="left"/>
        <w:rPr>
          <w:sz w:val="24"/>
        </w:rPr>
      </w:pPr>
      <w:r>
        <w:rPr>
          <w:sz w:val="24"/>
        </w:rPr>
        <w:t>Business surveys suggest that employment intentions have weakened since the middle of last year (see Table 3.E). After seasonal adjustment, the Manpower whole-economy survey balance stayed below its</w:t>
      </w:r>
    </w:p>
    <w:p>
      <w:pPr>
        <w:spacing w:line="242" w:lineRule="auto" w:before="5"/>
        <w:ind w:left="160" w:right="193" w:firstLine="0"/>
        <w:jc w:val="left"/>
        <w:rPr>
          <w:sz w:val="24"/>
        </w:rPr>
      </w:pPr>
      <w:r>
        <w:rPr>
          <w:sz w:val="24"/>
        </w:rPr>
        <w:t>long-run average in 1999 Q1. The outlook for manufacturing employment is still weak on all measures, although the BCC and CBI surveys suggest that the rate of decline in employment intentions may have slowed in Q1. Employment intentions in the service sector— which accounts for a much larger share of total employment—remain rather stronger, according to the BCC and Manpower measures. The survey of contacts carried out by the </w:t>
      </w:r>
      <w:r>
        <w:rPr>
          <w:spacing w:val="-3"/>
          <w:sz w:val="24"/>
        </w:rPr>
        <w:t>Bank’s </w:t>
      </w:r>
      <w:r>
        <w:rPr>
          <w:sz w:val="24"/>
        </w:rPr>
        <w:t>regional Agents in March found a similar picture, with more than half of manufacturers reporting that employment levels were expected to be lower over the next six months, but more than three quarters of service sector firms expecting to maintain or raise employment.</w:t>
      </w:r>
    </w:p>
    <w:p>
      <w:pPr>
        <w:pStyle w:val="BodyText"/>
        <w:spacing w:before="4"/>
        <w:rPr>
          <w:sz w:val="29"/>
        </w:rPr>
      </w:pPr>
    </w:p>
    <w:p>
      <w:pPr>
        <w:spacing w:line="242" w:lineRule="auto" w:before="0"/>
        <w:ind w:left="160" w:right="464" w:firstLine="0"/>
        <w:jc w:val="left"/>
        <w:rPr>
          <w:sz w:val="24"/>
        </w:rPr>
      </w:pPr>
      <w:r>
        <w:rPr>
          <w:sz w:val="24"/>
        </w:rPr>
        <w:t>Previous </w:t>
      </w:r>
      <w:r>
        <w:rPr>
          <w:i/>
          <w:sz w:val="24"/>
        </w:rPr>
        <w:t>Reports </w:t>
      </w:r>
      <w:r>
        <w:rPr>
          <w:sz w:val="24"/>
        </w:rPr>
        <w:t>have set out the </w:t>
      </w:r>
      <w:r>
        <w:rPr>
          <w:spacing w:val="-3"/>
          <w:sz w:val="24"/>
        </w:rPr>
        <w:t>MPC’s </w:t>
      </w:r>
      <w:r>
        <w:rPr>
          <w:sz w:val="24"/>
        </w:rPr>
        <w:t>analysis </w:t>
      </w:r>
      <w:r>
        <w:rPr>
          <w:spacing w:val="-8"/>
          <w:sz w:val="24"/>
        </w:rPr>
        <w:t>of </w:t>
      </w:r>
      <w:r>
        <w:rPr>
          <w:sz w:val="24"/>
        </w:rPr>
        <w:t>the implications for inflation of recent Government</w:t>
      </w:r>
    </w:p>
    <w:p>
      <w:pPr>
        <w:spacing w:line="242" w:lineRule="auto" w:before="3"/>
        <w:ind w:left="160" w:right="281" w:firstLine="0"/>
        <w:jc w:val="left"/>
        <w:rPr>
          <w:sz w:val="24"/>
        </w:rPr>
      </w:pPr>
      <w:r>
        <w:rPr>
          <w:sz w:val="24"/>
        </w:rPr>
        <w:t>policies designed to affect the supply of and demand </w:t>
      </w:r>
      <w:r>
        <w:rPr>
          <w:spacing w:val="-6"/>
          <w:sz w:val="24"/>
        </w:rPr>
        <w:t>for </w:t>
      </w:r>
      <w:r>
        <w:rPr>
          <w:sz w:val="24"/>
        </w:rPr>
        <w:t>labour, including the New Deal and the </w:t>
      </w:r>
      <w:r>
        <w:rPr>
          <w:spacing w:val="-3"/>
          <w:sz w:val="24"/>
        </w:rPr>
        <w:t>Working </w:t>
      </w:r>
      <w:r>
        <w:rPr>
          <w:sz w:val="24"/>
        </w:rPr>
        <w:t>Families </w:t>
      </w:r>
      <w:r>
        <w:rPr>
          <w:spacing w:val="-6"/>
          <w:sz w:val="24"/>
        </w:rPr>
        <w:t>Tax </w:t>
      </w:r>
      <w:r>
        <w:rPr>
          <w:sz w:val="24"/>
        </w:rPr>
        <w:t>Credit. The March Budget</w:t>
      </w:r>
      <w:r>
        <w:rPr>
          <w:spacing w:val="6"/>
          <w:sz w:val="24"/>
        </w:rPr>
        <w:t> </w:t>
      </w:r>
      <w:r>
        <w:rPr>
          <w:sz w:val="24"/>
        </w:rPr>
        <w:t>contained</w:t>
      </w:r>
    </w:p>
    <w:p>
      <w:pPr>
        <w:spacing w:line="242" w:lineRule="auto" w:before="3"/>
        <w:ind w:left="160" w:right="169" w:firstLine="0"/>
        <w:jc w:val="left"/>
        <w:rPr>
          <w:sz w:val="24"/>
        </w:rPr>
      </w:pPr>
      <w:r>
        <w:rPr>
          <w:sz w:val="24"/>
        </w:rPr>
        <w:t>a number of further measures. In forming its latest inflation projection the MPC has decided not to adjust its assumptions. But these assumptions will be kept under regular review as further data and research become available.</w:t>
      </w:r>
    </w:p>
    <w:p>
      <w:pPr>
        <w:spacing w:after="0" w:line="242" w:lineRule="auto"/>
        <w:jc w:val="left"/>
        <w:rPr>
          <w:sz w:val="24"/>
        </w:rPr>
        <w:sectPr>
          <w:type w:val="continuous"/>
          <w:pgSz w:w="11900" w:h="16840"/>
          <w:pgMar w:top="1220" w:bottom="280" w:left="640" w:right="640"/>
          <w:cols w:num="2" w:equalWidth="0">
            <w:col w:w="4308" w:space="477"/>
            <w:col w:w="5835"/>
          </w:cols>
        </w:sectPr>
      </w:pPr>
    </w:p>
    <w:p>
      <w:pPr>
        <w:pStyle w:val="BodyText"/>
        <w:spacing w:before="11"/>
        <w:rPr>
          <w:sz w:val="20"/>
        </w:rPr>
      </w:pPr>
    </w:p>
    <w:p>
      <w:pPr>
        <w:pStyle w:val="ListParagraph"/>
        <w:numPr>
          <w:ilvl w:val="1"/>
          <w:numId w:val="17"/>
        </w:numPr>
        <w:tabs>
          <w:tab w:pos="9043" w:val="left" w:leader="none"/>
          <w:tab w:pos="9044" w:val="left" w:leader="none"/>
          <w:tab w:pos="10444" w:val="left" w:leader="none"/>
        </w:tabs>
        <w:spacing w:line="240" w:lineRule="auto" w:before="88" w:after="0"/>
        <w:ind w:left="9043" w:right="0" w:hanging="4099"/>
        <w:jc w:val="left"/>
        <w:rPr>
          <w:b/>
          <w:sz w:val="28"/>
        </w:rPr>
      </w:pPr>
      <w:r>
        <w:rPr>
          <w:b/>
          <w:color w:val="009483"/>
          <w:sz w:val="28"/>
          <w:u w:val="thick" w:color="0093C1"/>
        </w:rPr>
        <w:t>Summary</w:t>
        <w:tab/>
      </w:r>
    </w:p>
    <w:p>
      <w:pPr>
        <w:spacing w:line="242" w:lineRule="auto" w:before="260"/>
        <w:ind w:left="4945" w:right="176" w:firstLine="0"/>
        <w:jc w:val="left"/>
        <w:rPr>
          <w:sz w:val="24"/>
        </w:rPr>
      </w:pPr>
      <w:r>
        <w:rPr>
          <w:sz w:val="24"/>
        </w:rPr>
        <w:t>The labour market remains tight.  Unemployment is close to 20-year lows, employment has continued to </w:t>
      </w:r>
      <w:r>
        <w:rPr>
          <w:spacing w:val="-4"/>
          <w:sz w:val="24"/>
        </w:rPr>
        <w:t>grow, </w:t>
      </w:r>
      <w:r>
        <w:rPr>
          <w:sz w:val="24"/>
        </w:rPr>
        <w:t>inactivity has fallen, and the stock of job vacancies remains high relative to the level of unemployment.</w:t>
      </w:r>
    </w:p>
    <w:p>
      <w:pPr>
        <w:spacing w:line="242" w:lineRule="auto" w:before="5"/>
        <w:ind w:left="4945" w:right="443" w:firstLine="0"/>
        <w:jc w:val="left"/>
        <w:rPr>
          <w:sz w:val="24"/>
        </w:rPr>
      </w:pPr>
      <w:r>
        <w:rPr>
          <w:sz w:val="24"/>
        </w:rPr>
        <w:t>These factors, together with the implementation of the public sector pay review body agreements and the</w:t>
      </w:r>
    </w:p>
    <w:p>
      <w:pPr>
        <w:spacing w:after="0" w:line="242" w:lineRule="auto"/>
        <w:jc w:val="left"/>
        <w:rPr>
          <w:sz w:val="24"/>
        </w:rPr>
        <w:sectPr>
          <w:type w:val="continuous"/>
          <w:pgSz w:w="11900" w:h="16840"/>
          <w:pgMar w:top="1220" w:bottom="280" w:left="640" w:right="640"/>
        </w:sectPr>
      </w:pPr>
    </w:p>
    <w:p>
      <w:pPr>
        <w:pStyle w:val="BodyText"/>
        <w:rPr>
          <w:sz w:val="20"/>
        </w:rPr>
      </w:pPr>
    </w:p>
    <w:p>
      <w:pPr>
        <w:spacing w:line="242" w:lineRule="auto" w:before="206"/>
        <w:ind w:left="4974" w:right="95" w:firstLine="0"/>
        <w:jc w:val="left"/>
        <w:rPr>
          <w:sz w:val="24"/>
        </w:rPr>
      </w:pPr>
      <w:r>
        <w:rPr>
          <w:sz w:val="24"/>
        </w:rPr>
        <w:t>National Minimum Wage in April, are likely to continue to underpin earnings growth in the next few months.</w:t>
      </w:r>
    </w:p>
    <w:p>
      <w:pPr>
        <w:pStyle w:val="BodyText"/>
        <w:spacing w:before="6"/>
        <w:rPr>
          <w:sz w:val="24"/>
        </w:rPr>
      </w:pPr>
    </w:p>
    <w:p>
      <w:pPr>
        <w:spacing w:line="242" w:lineRule="auto" w:before="0"/>
        <w:ind w:left="4974" w:right="184" w:firstLine="0"/>
        <w:jc w:val="left"/>
        <w:rPr>
          <w:sz w:val="24"/>
        </w:rPr>
      </w:pPr>
      <w:r>
        <w:rPr>
          <w:sz w:val="24"/>
        </w:rPr>
        <w:t>Nevertheless, there have been signs of an easing in labour market conditions since the February </w:t>
      </w:r>
      <w:r>
        <w:rPr>
          <w:i/>
          <w:sz w:val="24"/>
        </w:rPr>
        <w:t>Report</w:t>
      </w:r>
      <w:r>
        <w:rPr>
          <w:sz w:val="24"/>
        </w:rPr>
        <w:t>. Nominal earnings growth has moderated since last summer, according to the newly reinstated Average Earnings Index and other measures, and wage settlements have begun to fall, consistent with the slowdown in the growth of output and profits, and a reduction in inflation expectations. Unemployment has risen slightly, the number of hours worked has been flat, skill shortages have abated, and surveys of employment intentions suggest that employment growth may decline in the coming months. Taken together, and compared with the February </w:t>
      </w:r>
      <w:r>
        <w:rPr>
          <w:i/>
          <w:sz w:val="24"/>
        </w:rPr>
        <w:t>Report</w:t>
      </w:r>
      <w:r>
        <w:rPr>
          <w:sz w:val="24"/>
        </w:rPr>
        <w:t>, these factors point to somewhat weaker inflationary pressures from the labour market over the forecast period.</w:t>
      </w:r>
    </w:p>
    <w:p>
      <w:pPr>
        <w:spacing w:after="0" w:line="242" w:lineRule="auto"/>
        <w:jc w:val="left"/>
        <w:rPr>
          <w:sz w:val="24"/>
        </w:rPr>
        <w:sectPr>
          <w:pgSz w:w="11900" w:h="16840"/>
          <w:pgMar w:header="584" w:footer="597" w:top="780" w:bottom="78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70080;mso-wrap-distance-left:0;mso-wrap-distance-right:0" type="#_x0000_t202" filled="true" fillcolor="#b5dad6" stroked="false">
            <v:textbox inset="0,0,0,0">
              <w:txbxContent>
                <w:p>
                  <w:pPr>
                    <w:tabs>
                      <w:tab w:pos="10099" w:val="right" w:leader="none"/>
                    </w:tabs>
                    <w:spacing w:before="51"/>
                    <w:ind w:left="260" w:right="0" w:firstLine="0"/>
                    <w:jc w:val="left"/>
                    <w:rPr>
                      <w:b/>
                      <w:sz w:val="72"/>
                    </w:rPr>
                  </w:pPr>
                  <w:bookmarkStart w:name="Costs and prices" w:id="57"/>
                  <w:bookmarkEnd w:id="57"/>
                  <w:r>
                    <w:rPr/>
                  </w:r>
                  <w:bookmarkStart w:name="Raw materials and commodity prices" w:id="58"/>
                  <w:bookmarkEnd w:id="58"/>
                  <w:r>
                    <w:rPr/>
                  </w:r>
                  <w:bookmarkStart w:name="_bookmark23" w:id="59"/>
                  <w:bookmarkEnd w:id="59"/>
                  <w:r>
                    <w:rPr/>
                  </w:r>
                  <w:r>
                    <w:rPr>
                      <w:b/>
                      <w:color w:val="009483"/>
                      <w:sz w:val="48"/>
                    </w:rPr>
                    <w:t>Costs and prices</w:t>
                    <w:tab/>
                  </w:r>
                  <w:r>
                    <w:rPr>
                      <w:b/>
                      <w:color w:val="009483"/>
                      <w:sz w:val="72"/>
                    </w:rPr>
                    <w:t>4</w:t>
                  </w:r>
                </w:p>
              </w:txbxContent>
            </v:textbox>
            <v:fill type="solid"/>
            <w10:wrap type="topAndBottom"/>
          </v:shape>
        </w:pict>
      </w:r>
    </w:p>
    <w:p>
      <w:pPr>
        <w:pStyle w:val="BodyText"/>
        <w:rPr>
          <w:sz w:val="20"/>
        </w:rPr>
      </w:pPr>
    </w:p>
    <w:p>
      <w:pPr>
        <w:pStyle w:val="BodyText"/>
        <w:rPr>
          <w:sz w:val="20"/>
        </w:rPr>
      </w:pPr>
    </w:p>
    <w:p>
      <w:pPr>
        <w:spacing w:line="242" w:lineRule="auto" w:before="208"/>
        <w:ind w:left="4960" w:right="261" w:firstLine="0"/>
        <w:jc w:val="left"/>
        <w:rPr>
          <w:sz w:val="24"/>
        </w:rPr>
      </w:pPr>
      <w:r>
        <w:rPr>
          <w:sz w:val="24"/>
        </w:rPr>
        <w:t>RPIX inflation has remained stable and close to target since July 1998. The oil price has risen since the February </w:t>
      </w:r>
      <w:r>
        <w:rPr>
          <w:i/>
          <w:color w:val="231F20"/>
          <w:sz w:val="24"/>
        </w:rPr>
        <w:t>Report</w:t>
      </w:r>
      <w:r>
        <w:rPr>
          <w:color w:val="231F20"/>
          <w:sz w:val="24"/>
        </w:rPr>
        <w:t>, though prices of other commodities </w:t>
      </w:r>
      <w:r>
        <w:rPr>
          <w:color w:val="231F20"/>
          <w:spacing w:val="-3"/>
          <w:sz w:val="24"/>
        </w:rPr>
        <w:t>have </w:t>
      </w:r>
      <w:r>
        <w:rPr>
          <w:color w:val="231F20"/>
          <w:sz w:val="24"/>
        </w:rPr>
        <w:t>generally continued to fall.  And the appreciation of sterling’s effective exchange rate since February is likely to place further downward pressure on imported goods prices. UK producer prices </w:t>
      </w:r>
      <w:r>
        <w:rPr>
          <w:color w:val="231F20"/>
          <w:spacing w:val="-3"/>
          <w:sz w:val="24"/>
        </w:rPr>
        <w:t>have </w:t>
      </w:r>
      <w:r>
        <w:rPr>
          <w:color w:val="231F20"/>
          <w:sz w:val="24"/>
        </w:rPr>
        <w:t>reflected the </w:t>
      </w:r>
      <w:r>
        <w:rPr>
          <w:color w:val="231F20"/>
          <w:spacing w:val="-5"/>
          <w:sz w:val="24"/>
        </w:rPr>
        <w:t>rise </w:t>
      </w:r>
      <w:r>
        <w:rPr>
          <w:color w:val="231F20"/>
          <w:sz w:val="24"/>
        </w:rPr>
        <w:t>in the oil price, but overall cost pressures in the manufacturing sector remain subdued. Inflation has remained higher for services than for goods, though business surveys suggest that cost pressures in the service sector </w:t>
      </w:r>
      <w:r>
        <w:rPr>
          <w:color w:val="231F20"/>
          <w:spacing w:val="-3"/>
          <w:sz w:val="24"/>
        </w:rPr>
        <w:t>have</w:t>
      </w:r>
      <w:r>
        <w:rPr>
          <w:color w:val="231F20"/>
          <w:sz w:val="24"/>
        </w:rPr>
        <w:t> eased.</w:t>
      </w:r>
    </w:p>
    <w:p>
      <w:pPr>
        <w:pStyle w:val="BodyText"/>
        <w:spacing w:before="9"/>
        <w:rPr>
          <w:sz w:val="21"/>
        </w:rPr>
      </w:pPr>
    </w:p>
    <w:p>
      <w:pPr>
        <w:pStyle w:val="ListParagraph"/>
        <w:numPr>
          <w:ilvl w:val="1"/>
          <w:numId w:val="20"/>
        </w:numPr>
        <w:tabs>
          <w:tab w:pos="5792" w:val="left" w:leader="none"/>
          <w:tab w:pos="5793" w:val="left" w:leader="none"/>
        </w:tabs>
        <w:spacing w:line="240" w:lineRule="auto" w:before="88" w:after="0"/>
        <w:ind w:left="5792" w:right="0" w:hanging="833"/>
        <w:jc w:val="left"/>
        <w:rPr>
          <w:b/>
          <w:sz w:val="28"/>
        </w:rPr>
      </w:pPr>
      <w:r>
        <w:rPr>
          <w:b/>
          <w:color w:val="009483"/>
          <w:sz w:val="28"/>
          <w:u w:val="thick" w:color="0093C1"/>
        </w:rPr>
        <w:t>Raw materials and commodity prices</w:t>
      </w:r>
      <w:r>
        <w:rPr>
          <w:b/>
          <w:color w:val="009483"/>
          <w:spacing w:val="-11"/>
          <w:sz w:val="28"/>
          <w:u w:val="thick" w:color="0093C1"/>
        </w:rPr>
        <w:t> </w:t>
      </w:r>
    </w:p>
    <w:p>
      <w:pPr>
        <w:pStyle w:val="BodyText"/>
        <w:spacing w:before="1"/>
        <w:rPr>
          <w:b/>
          <w:sz w:val="16"/>
        </w:rPr>
      </w:pPr>
    </w:p>
    <w:p>
      <w:pPr>
        <w:spacing w:after="0"/>
        <w:rPr>
          <w:sz w:val="16"/>
        </w:rPr>
        <w:sectPr>
          <w:headerReference w:type="default" r:id="rId100"/>
          <w:footerReference w:type="default" r:id="rId101"/>
          <w:footerReference w:type="even" r:id="rId102"/>
          <w:pgSz w:w="11900" w:h="16840"/>
          <w:pgMar w:header="0" w:footer="617" w:top="780" w:bottom="800" w:left="640" w:right="640"/>
          <w:pgNumType w:start="33"/>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0"/>
        <w:rPr>
          <w:b/>
        </w:rPr>
      </w:pPr>
    </w:p>
    <w:p>
      <w:pPr>
        <w:pStyle w:val="Heading4"/>
        <w:spacing w:before="0"/>
        <w:ind w:left="150"/>
      </w:pPr>
      <w:r>
        <w:rPr>
          <w:color w:val="0093C1"/>
        </w:rPr>
        <w:t>Table 4.A</w:t>
      </w:r>
    </w:p>
    <w:p>
      <w:pPr>
        <w:pStyle w:val="Heading4"/>
        <w:spacing w:line="249" w:lineRule="auto"/>
        <w:ind w:left="150" w:right="20"/>
      </w:pPr>
      <w:r>
        <w:rPr>
          <w:color w:val="0093C1"/>
        </w:rPr>
        <w:t>Non-oil commodity prices in US dollars: forecasts for 1999 and 2000</w:t>
      </w:r>
    </w:p>
    <w:p>
      <w:pPr>
        <w:tabs>
          <w:tab w:pos="3085" w:val="right" w:leader="none"/>
        </w:tabs>
        <w:spacing w:line="280" w:lineRule="exact" w:before="4"/>
        <w:ind w:left="929" w:right="515" w:hanging="780"/>
        <w:jc w:val="left"/>
        <w:rPr>
          <w:sz w:val="14"/>
        </w:rPr>
      </w:pPr>
      <w:r>
        <w:rPr>
          <w:sz w:val="14"/>
        </w:rPr>
        <w:t>Annual average percentage changes on a year </w:t>
      </w:r>
      <w:r>
        <w:rPr>
          <w:spacing w:val="-3"/>
          <w:sz w:val="14"/>
        </w:rPr>
        <w:t>earlier </w:t>
      </w:r>
      <w:r>
        <w:rPr>
          <w:sz w:val="14"/>
          <w:u w:val="single"/>
        </w:rPr>
        <w:t>1998 Outturn </w:t>
      </w:r>
      <w:r>
        <w:rPr>
          <w:sz w:val="12"/>
          <w:u w:val="single"/>
        </w:rPr>
        <w:t>(a</w:t>
      </w:r>
      <w:r>
        <w:rPr>
          <w:sz w:val="12"/>
        </w:rPr>
        <w:t>)    </w:t>
      </w:r>
      <w:r>
        <w:rPr>
          <w:spacing w:val="8"/>
          <w:sz w:val="12"/>
        </w:rPr>
        <w:t> </w:t>
      </w:r>
      <w:r>
        <w:rPr>
          <w:sz w:val="14"/>
          <w:u w:val="single"/>
        </w:rPr>
        <w:t>1999 </w:t>
      </w:r>
      <w:r>
        <w:rPr>
          <w:sz w:val="12"/>
          <w:u w:val="single"/>
        </w:rPr>
        <w:t>(b)</w:t>
      </w:r>
      <w:r>
        <w:rPr>
          <w:sz w:val="12"/>
        </w:rPr>
        <w:tab/>
      </w:r>
      <w:r>
        <w:rPr>
          <w:sz w:val="14"/>
          <w:u w:val="single"/>
        </w:rPr>
        <w:t>2000</w:t>
      </w:r>
    </w:p>
    <w:p>
      <w:pPr>
        <w:tabs>
          <w:tab w:pos="1221" w:val="left" w:leader="none"/>
          <w:tab w:pos="2084" w:val="left" w:leader="none"/>
          <w:tab w:pos="3042" w:val="right" w:leader="none"/>
        </w:tabs>
        <w:spacing w:line="150" w:lineRule="exact" w:before="53"/>
        <w:ind w:left="150" w:right="0" w:firstLine="0"/>
        <w:jc w:val="left"/>
        <w:rPr>
          <w:sz w:val="14"/>
        </w:rPr>
      </w:pPr>
      <w:r>
        <w:rPr>
          <w:sz w:val="14"/>
        </w:rPr>
        <w:t>EIU</w:t>
        <w:tab/>
        <w:t>-16.1</w:t>
        <w:tab/>
        <w:t>-8.6</w:t>
        <w:tab/>
        <w:t>6.8</w:t>
      </w:r>
    </w:p>
    <w:p>
      <w:pPr>
        <w:tabs>
          <w:tab w:pos="1221" w:val="left" w:leader="none"/>
          <w:tab w:pos="2084" w:val="left" w:leader="none"/>
          <w:tab w:pos="3042" w:val="right" w:leader="none"/>
        </w:tabs>
        <w:spacing w:line="140" w:lineRule="exact" w:before="0"/>
        <w:ind w:left="150" w:right="0" w:firstLine="0"/>
        <w:jc w:val="left"/>
        <w:rPr>
          <w:sz w:val="14"/>
        </w:rPr>
      </w:pPr>
      <w:r>
        <w:rPr>
          <w:sz w:val="14"/>
        </w:rPr>
        <w:t>IMF</w:t>
        <w:tab/>
        <w:t>-14.8</w:t>
        <w:tab/>
        <w:t>-4.0</w:t>
        <w:tab/>
        <w:t>1.8</w:t>
      </w:r>
    </w:p>
    <w:p>
      <w:pPr>
        <w:tabs>
          <w:tab w:pos="1221" w:val="left" w:leader="none"/>
          <w:tab w:pos="2084" w:val="left" w:leader="none"/>
          <w:tab w:pos="3042" w:val="right" w:leader="none"/>
        </w:tabs>
        <w:spacing w:line="140" w:lineRule="exact" w:before="0"/>
        <w:ind w:left="150" w:right="0" w:firstLine="0"/>
        <w:jc w:val="left"/>
        <w:rPr>
          <w:sz w:val="14"/>
        </w:rPr>
      </w:pPr>
      <w:r>
        <w:rPr>
          <w:sz w:val="14"/>
        </w:rPr>
        <w:t>OECD</w:t>
        <w:tab/>
        <w:t>-14.0</w:t>
        <w:tab/>
        <w:t>-6.2</w:t>
        <w:tab/>
        <w:t>0.3</w:t>
      </w:r>
    </w:p>
    <w:p>
      <w:pPr>
        <w:tabs>
          <w:tab w:pos="1221" w:val="left" w:leader="none"/>
          <w:tab w:pos="2014" w:val="left" w:leader="none"/>
          <w:tab w:pos="2867" w:val="left" w:leader="none"/>
        </w:tabs>
        <w:spacing w:line="150" w:lineRule="exact" w:before="0"/>
        <w:ind w:left="150" w:right="0" w:firstLine="0"/>
        <w:jc w:val="left"/>
        <w:rPr>
          <w:sz w:val="14"/>
        </w:rPr>
      </w:pPr>
      <w:r>
        <w:rPr>
          <w:sz w:val="14"/>
        </w:rPr>
        <w:t>World Bank</w:t>
        <w:tab/>
        <w:t>-15.6</w:t>
        <w:tab/>
        <w:t>-10.6</w:t>
        <w:tab/>
        <w:t>3.0</w:t>
      </w:r>
    </w:p>
    <w:p>
      <w:pPr>
        <w:pStyle w:val="ListParagraph"/>
        <w:numPr>
          <w:ilvl w:val="0"/>
          <w:numId w:val="21"/>
        </w:numPr>
        <w:tabs>
          <w:tab w:pos="390" w:val="left" w:leader="none"/>
        </w:tabs>
        <w:spacing w:line="208" w:lineRule="auto" w:before="133" w:after="0"/>
        <w:ind w:left="390" w:right="229" w:hanging="240"/>
        <w:jc w:val="left"/>
        <w:rPr>
          <w:sz w:val="12"/>
        </w:rPr>
      </w:pPr>
      <w:r>
        <w:rPr>
          <w:sz w:val="12"/>
        </w:rPr>
        <w:t>1998 outturns vary because of the different composition of </w:t>
      </w:r>
      <w:r>
        <w:rPr>
          <w:spacing w:val="-6"/>
          <w:sz w:val="12"/>
        </w:rPr>
        <w:t>the </w:t>
      </w:r>
      <w:r>
        <w:rPr>
          <w:sz w:val="12"/>
        </w:rPr>
        <w:t>basket of goods used in the indices.</w:t>
      </w:r>
    </w:p>
    <w:p>
      <w:pPr>
        <w:pStyle w:val="ListParagraph"/>
        <w:numPr>
          <w:ilvl w:val="0"/>
          <w:numId w:val="21"/>
        </w:numPr>
        <w:tabs>
          <w:tab w:pos="391" w:val="left" w:leader="none"/>
        </w:tabs>
        <w:spacing w:line="123" w:lineRule="exact" w:before="0" w:after="0"/>
        <w:ind w:left="390" w:right="0" w:hanging="241"/>
        <w:jc w:val="left"/>
        <w:rPr>
          <w:sz w:val="12"/>
        </w:rPr>
      </w:pPr>
      <w:r>
        <w:rPr>
          <w:sz w:val="12"/>
        </w:rPr>
        <w:t>All forecasts were published in April/May 1999.</w:t>
      </w:r>
    </w:p>
    <w:p>
      <w:pPr>
        <w:spacing w:line="242" w:lineRule="auto" w:before="90"/>
        <w:ind w:left="150" w:right="216" w:firstLine="0"/>
        <w:jc w:val="left"/>
        <w:rPr>
          <w:sz w:val="24"/>
        </w:rPr>
      </w:pPr>
      <w:r>
        <w:rPr/>
        <w:br w:type="column"/>
      </w:r>
      <w:r>
        <w:rPr>
          <w:sz w:val="24"/>
        </w:rPr>
        <w:t>Brent crude oil prices rose to around $15 per barrel at the end of March, following a twelve-year low of less than $10 per barrel at the end of 1998. The rise in oil prices was prompted by production cuts by O</w:t>
      </w:r>
      <w:r>
        <w:rPr>
          <w:sz w:val="20"/>
        </w:rPr>
        <w:t>PEC</w:t>
      </w:r>
      <w:r>
        <w:rPr>
          <w:sz w:val="24"/>
        </w:rPr>
        <w:t>. </w:t>
      </w:r>
      <w:r>
        <w:rPr>
          <w:spacing w:val="-4"/>
          <w:sz w:val="24"/>
        </w:rPr>
        <w:t>Since </w:t>
      </w:r>
      <w:r>
        <w:rPr>
          <w:sz w:val="24"/>
        </w:rPr>
        <w:t>these were introduced in April, prices </w:t>
      </w:r>
      <w:r>
        <w:rPr>
          <w:spacing w:val="-3"/>
          <w:sz w:val="24"/>
        </w:rPr>
        <w:t>have </w:t>
      </w:r>
      <w:r>
        <w:rPr>
          <w:sz w:val="24"/>
        </w:rPr>
        <w:t>risen further, and averaged $16 per barrel over the two weeks</w:t>
      </w:r>
      <w:r>
        <w:rPr>
          <w:spacing w:val="-10"/>
          <w:sz w:val="24"/>
        </w:rPr>
        <w:t> </w:t>
      </w:r>
      <w:r>
        <w:rPr>
          <w:sz w:val="24"/>
        </w:rPr>
        <w:t>to</w:t>
      </w:r>
    </w:p>
    <w:p>
      <w:pPr>
        <w:spacing w:line="242" w:lineRule="auto" w:before="8"/>
        <w:ind w:left="150" w:right="238" w:firstLine="0"/>
        <w:jc w:val="left"/>
        <w:rPr>
          <w:sz w:val="24"/>
        </w:rPr>
      </w:pPr>
      <w:r>
        <w:rPr>
          <w:sz w:val="24"/>
        </w:rPr>
        <w:t>5 May, similar to the prices prevailing at the end of 1997. The MPC has assumed that oil prices will remain around current levels over the forecast period.</w:t>
      </w:r>
    </w:p>
    <w:p>
      <w:pPr>
        <w:pStyle w:val="BodyText"/>
        <w:spacing w:before="7"/>
        <w:rPr>
          <w:sz w:val="24"/>
        </w:rPr>
      </w:pPr>
    </w:p>
    <w:p>
      <w:pPr>
        <w:spacing w:line="242" w:lineRule="auto" w:before="1"/>
        <w:ind w:left="150" w:right="308" w:firstLine="0"/>
        <w:jc w:val="left"/>
        <w:rPr>
          <w:sz w:val="24"/>
        </w:rPr>
      </w:pPr>
      <w:r>
        <w:rPr>
          <w:sz w:val="24"/>
        </w:rPr>
        <w:t>In contrast to oil prices, world prices of raw materials and non-oil commodities have generally continued to fall. The </w:t>
      </w:r>
      <w:r>
        <w:rPr>
          <w:i/>
          <w:sz w:val="24"/>
        </w:rPr>
        <w:t>Economist </w:t>
      </w:r>
      <w:r>
        <w:rPr>
          <w:sz w:val="24"/>
        </w:rPr>
        <w:t>index of non-oil commodity prices measured in US dollars was around 5% lower in the three months to April compared with the previous three months, and some 17% lower than a year earlier. The IMF, World Bank, O</w:t>
      </w:r>
      <w:r>
        <w:rPr>
          <w:sz w:val="20"/>
        </w:rPr>
        <w:t>ECD </w:t>
      </w:r>
      <w:r>
        <w:rPr>
          <w:sz w:val="24"/>
        </w:rPr>
        <w:t>and Economist Intelligence Unit (EIU) project lower average prices in 1999 than in 1998. That is largely a result of the further broadly based price falls seen in early 1999. Higher prices are forecast for 2000 than in 1999 (see Table 4.A).</w:t>
      </w:r>
    </w:p>
    <w:p>
      <w:pPr>
        <w:pStyle w:val="BodyText"/>
        <w:spacing w:before="6"/>
        <w:rPr>
          <w:sz w:val="25"/>
        </w:rPr>
      </w:pPr>
    </w:p>
    <w:p>
      <w:pPr>
        <w:spacing w:line="242" w:lineRule="auto" w:before="0"/>
        <w:ind w:left="150" w:right="189" w:firstLine="0"/>
        <w:jc w:val="left"/>
        <w:rPr>
          <w:sz w:val="24"/>
        </w:rPr>
      </w:pPr>
      <w:r>
        <w:rPr>
          <w:sz w:val="24"/>
        </w:rPr>
        <w:t>The Bank’s sterling non-oil commodity price index is weighted by UK demand and has a higher weight for wholesale food, including UK produce, than the </w:t>
      </w:r>
      <w:r>
        <w:rPr>
          <w:i/>
          <w:sz w:val="24"/>
        </w:rPr>
        <w:t>Economist </w:t>
      </w:r>
      <w:r>
        <w:rPr>
          <w:sz w:val="24"/>
        </w:rPr>
        <w:t>index.</w:t>
      </w:r>
      <w:r>
        <w:rPr>
          <w:position w:val="5"/>
          <w:sz w:val="16"/>
        </w:rPr>
        <w:t>(1) </w:t>
      </w:r>
      <w:r>
        <w:rPr>
          <w:sz w:val="24"/>
        </w:rPr>
        <w:t>Prices of some of the non-oil</w:t>
      </w:r>
    </w:p>
    <w:p>
      <w:pPr>
        <w:spacing w:after="0" w:line="242" w:lineRule="auto"/>
        <w:jc w:val="left"/>
        <w:rPr>
          <w:sz w:val="24"/>
        </w:rPr>
        <w:sectPr>
          <w:type w:val="continuous"/>
          <w:pgSz w:w="11900" w:h="16840"/>
          <w:pgMar w:top="1220" w:bottom="280" w:left="640" w:right="640"/>
          <w:cols w:num="2" w:equalWidth="0">
            <w:col w:w="3618" w:space="1192"/>
            <w:col w:w="5810"/>
          </w:cols>
        </w:sectPr>
      </w:pPr>
    </w:p>
    <w:p>
      <w:pPr>
        <w:pStyle w:val="BodyText"/>
        <w:rPr>
          <w:sz w:val="20"/>
        </w:rPr>
      </w:pPr>
    </w:p>
    <w:p>
      <w:pPr>
        <w:pStyle w:val="BodyText"/>
        <w:spacing w:before="10"/>
      </w:pPr>
    </w:p>
    <w:p>
      <w:pPr>
        <w:pStyle w:val="BodyText"/>
        <w:spacing w:line="20" w:lineRule="exact"/>
        <w:ind w:left="4938"/>
        <w:rPr>
          <w:sz w:val="2"/>
        </w:rPr>
      </w:pPr>
      <w:r>
        <w:rPr>
          <w:sz w:val="2"/>
        </w:rPr>
        <w:pict>
          <v:group style="width:277pt;height:.15pt;mso-position-horizontal-relative:char;mso-position-vertical-relative:line" coordorigin="0,0" coordsize="5540,3">
            <v:line style="position:absolute" from="0,1" to="5540,1" stroked="true" strokeweight=".125pt" strokecolor="#000000">
              <v:stroke dashstyle="solid"/>
            </v:line>
          </v:group>
        </w:pict>
      </w:r>
      <w:r>
        <w:rPr>
          <w:sz w:val="2"/>
        </w:rPr>
      </w:r>
    </w:p>
    <w:p>
      <w:pPr>
        <w:pStyle w:val="ListParagraph"/>
        <w:numPr>
          <w:ilvl w:val="0"/>
          <w:numId w:val="22"/>
        </w:numPr>
        <w:tabs>
          <w:tab w:pos="5201" w:val="left" w:leader="none"/>
        </w:tabs>
        <w:spacing w:line="208" w:lineRule="auto" w:before="43" w:after="0"/>
        <w:ind w:left="5200" w:right="858" w:hanging="240"/>
        <w:jc w:val="left"/>
        <w:rPr>
          <w:sz w:val="16"/>
        </w:rPr>
      </w:pPr>
      <w:r>
        <w:rPr>
          <w:sz w:val="16"/>
        </w:rPr>
        <w:t>The Bank’s index is available on a monthly basis and is compared </w:t>
      </w:r>
      <w:r>
        <w:rPr>
          <w:spacing w:val="-5"/>
          <w:sz w:val="16"/>
        </w:rPr>
        <w:t>with </w:t>
      </w:r>
      <w:r>
        <w:rPr>
          <w:sz w:val="16"/>
        </w:rPr>
        <w:t>the </w:t>
      </w:r>
      <w:r>
        <w:rPr>
          <w:i/>
          <w:sz w:val="16"/>
        </w:rPr>
        <w:t>Economist </w:t>
      </w:r>
      <w:r>
        <w:rPr>
          <w:sz w:val="16"/>
        </w:rPr>
        <w:t>index because it is also updated frequently. The other indices which are shown in Table 4.A are available only on a quarterly basis, though are based on broader weights than the </w:t>
      </w:r>
      <w:r>
        <w:rPr>
          <w:i/>
          <w:sz w:val="16"/>
        </w:rPr>
        <w:t>Economist</w:t>
      </w:r>
      <w:r>
        <w:rPr>
          <w:i/>
          <w:spacing w:val="-2"/>
          <w:sz w:val="16"/>
        </w:rPr>
        <w:t> </w:t>
      </w:r>
      <w:r>
        <w:rPr>
          <w:sz w:val="16"/>
        </w:rPr>
        <w:t>index.</w:t>
      </w:r>
    </w:p>
    <w:p>
      <w:pPr>
        <w:spacing w:after="0" w:line="208" w:lineRule="auto"/>
        <w:jc w:val="left"/>
        <w:rPr>
          <w:sz w:val="16"/>
        </w:rPr>
        <w:sectPr>
          <w:type w:val="continuous"/>
          <w:pgSz w:w="11900" w:h="16840"/>
          <w:pgMar w:top="1220" w:bottom="280" w:left="640" w:right="640"/>
        </w:sectPr>
      </w:pPr>
    </w:p>
    <w:p>
      <w:pPr>
        <w:pStyle w:val="BodyText"/>
        <w:rPr>
          <w:sz w:val="20"/>
        </w:rPr>
      </w:pPr>
    </w:p>
    <w:p>
      <w:pPr>
        <w:spacing w:after="0"/>
        <w:rPr>
          <w:sz w:val="20"/>
        </w:rPr>
        <w:sectPr>
          <w:headerReference w:type="default" r:id="rId103"/>
          <w:headerReference w:type="even" r:id="rId104"/>
          <w:pgSz w:w="11900" w:h="16840"/>
          <w:pgMar w:header="586" w:footer="617" w:top="780" w:bottom="780" w:left="640" w:right="640"/>
        </w:sectPr>
      </w:pPr>
    </w:p>
    <w:p>
      <w:pPr>
        <w:pStyle w:val="BodyText"/>
        <w:spacing w:before="1"/>
        <w:rPr>
          <w:sz w:val="21"/>
        </w:rPr>
      </w:pPr>
    </w:p>
    <w:p>
      <w:pPr>
        <w:pStyle w:val="Heading4"/>
        <w:spacing w:before="1"/>
        <w:ind w:left="148"/>
      </w:pPr>
      <w:bookmarkStart w:name="Import prices and the exchange rate" w:id="60"/>
      <w:bookmarkEnd w:id="60"/>
      <w:r>
        <w:rPr>
          <w:b w:val="0"/>
        </w:rPr>
      </w:r>
      <w:bookmarkStart w:name="_bookmark24" w:id="61"/>
      <w:bookmarkEnd w:id="61"/>
      <w:r>
        <w:rPr>
          <w:b w:val="0"/>
        </w:rPr>
      </w:r>
      <w:r>
        <w:rPr>
          <w:color w:val="0093C1"/>
        </w:rPr>
        <w:t>Chart 4.1</w:t>
      </w:r>
    </w:p>
    <w:p>
      <w:pPr>
        <w:pStyle w:val="Heading4"/>
        <w:ind w:left="148"/>
        <w:rPr>
          <w:b w:val="0"/>
          <w:sz w:val="12"/>
        </w:rPr>
      </w:pPr>
      <w:r>
        <w:rPr>
          <w:color w:val="0093C1"/>
        </w:rPr>
        <w:t>Bank’s commodity price index</w:t>
      </w:r>
      <w:r>
        <w:rPr>
          <w:b w:val="0"/>
          <w:position w:val="4"/>
          <w:sz w:val="12"/>
        </w:rPr>
        <w:t>(a)</w:t>
      </w:r>
    </w:p>
    <w:p>
      <w:pPr>
        <w:spacing w:line="121" w:lineRule="exact" w:before="81"/>
        <w:ind w:left="1729" w:right="0" w:firstLine="0"/>
        <w:jc w:val="left"/>
        <w:rPr>
          <w:sz w:val="12"/>
        </w:rPr>
      </w:pPr>
      <w:r>
        <w:rPr>
          <w:sz w:val="12"/>
        </w:rPr>
        <w:t>Percentage changes on a year earlier</w:t>
      </w:r>
    </w:p>
    <w:p>
      <w:pPr>
        <w:spacing w:line="121" w:lineRule="exact" w:before="0"/>
        <w:ind w:left="3528" w:right="0" w:firstLine="0"/>
        <w:jc w:val="left"/>
        <w:rPr>
          <w:sz w:val="12"/>
        </w:rPr>
      </w:pPr>
      <w:r>
        <w:rPr/>
        <w:pict>
          <v:line style="position:absolute;mso-position-horizontal-relative:page;mso-position-vertical-relative:paragraph;z-index:15989760" from="40.744999pt,3.132468pt" to="45.077999pt,3.132468pt" stroked="true" strokeweight=".5pt" strokecolor="#000000">
            <v:stroke dashstyle="solid"/>
            <w10:wrap type="none"/>
          </v:line>
        </w:pict>
      </w:r>
      <w:r>
        <w:rPr/>
        <w:pict>
          <v:line style="position:absolute;mso-position-horizontal-relative:page;mso-position-vertical-relative:paragraph;z-index:15990784" from="201.619995pt,3.179467pt" to="205.952995pt,3.179467pt" stroked="true" strokeweight=".5pt" strokecolor="#000000">
            <v:stroke dashstyle="solid"/>
            <w10:wrap type="none"/>
          </v:line>
        </w:pict>
      </w:r>
      <w:r>
        <w:rPr>
          <w:sz w:val="12"/>
        </w:rPr>
        <w:t>15</w:t>
      </w:r>
    </w:p>
    <w:p>
      <w:pPr>
        <w:pStyle w:val="BodyText"/>
        <w:rPr>
          <w:sz w:val="12"/>
        </w:rPr>
      </w:pPr>
    </w:p>
    <w:p>
      <w:pPr>
        <w:pStyle w:val="BodyText"/>
        <w:spacing w:before="2"/>
        <w:rPr>
          <w:sz w:val="13"/>
        </w:rPr>
      </w:pPr>
    </w:p>
    <w:p>
      <w:pPr>
        <w:spacing w:before="1"/>
        <w:ind w:left="0" w:right="799" w:firstLine="0"/>
        <w:jc w:val="right"/>
        <w:rPr>
          <w:sz w:val="12"/>
        </w:rPr>
      </w:pPr>
      <w:r>
        <w:rPr/>
        <w:pict>
          <v:group style="position:absolute;margin-left:40.744999pt;margin-top:.110366pt;width:165.25pt;height:117.65pt;mso-position-horizontal-relative:page;mso-position-vertical-relative:paragraph;z-index:15989248" coordorigin="815,2" coordsize="3305,2353">
            <v:shape style="position:absolute;left:979;top:674;width:305;height:473" coordorigin="980,675" coordsize="305,473" path="m980,690l1010,675m1010,675l1042,752m1042,752l1075,832m1075,832l1117,880m1117,880l1147,1147m1147,1147l1180,957m1180,957l1222,925m1222,925l1255,880m1255,880l1285,895e" filled="false" stroked="true" strokeweight="1pt" strokecolor="#522e91">
              <v:path arrowok="t"/>
              <v:stroke dashstyle="solid"/>
            </v:shape>
            <v:line style="position:absolute" from="1275,896" to="1327,896" stroked="true" strokeweight="1.125pt" strokecolor="#522e91">
              <v:stroke dashstyle="solid"/>
            </v:line>
            <v:line style="position:absolute" from="1317,895" to="1360,880" stroked="true" strokeweight="1pt" strokecolor="#522e91">
              <v:stroke dashstyle="solid"/>
            </v:line>
            <v:line style="position:absolute" from="1350,881" to="1402,881" stroked="true" strokeweight="1.125pt" strokecolor="#522e91">
              <v:stroke dashstyle="solid"/>
            </v:line>
            <v:shape style="position:absolute;left:1392;top:752;width:485;height:663" coordorigin="1392,752" coordsize="485,663" path="m1392,880l1422,832m1422,832l1465,752m1465,752l1497,1005m1497,1005l1530,1037m1530,1037l1560,910m1560,910l1602,972m1602,972l1635,1037m1635,1037l1667,1130m1667,1130l1697,1210m1697,1210l1740,1242m1740,1242l1772,1210m1772,1210l1805,1352m1805,1352l1847,1400m1847,1400l1877,1415e" filled="false" stroked="true" strokeweight="1pt" strokecolor="#522e91">
              <v:path arrowok="t"/>
              <v:stroke dashstyle="solid"/>
            </v:shape>
            <v:line style="position:absolute" from="1894,1090" to="1894,1425" stroked="true" strokeweight="2.625pt" strokecolor="#522e91">
              <v:stroke dashstyle="solid"/>
            </v:line>
            <v:line style="position:absolute" from="1910,1100" to="1942,832" stroked="true" strokeweight="1pt" strokecolor="#522e91">
              <v:stroke dashstyle="solid"/>
            </v:line>
            <v:line style="position:absolute" from="1932,833" to="1995,833" stroked="true" strokeweight="1.125pt" strokecolor="#522e91">
              <v:stroke dashstyle="solid"/>
            </v:line>
            <v:shape style="position:absolute;left:1984;top:152;width:275;height:743" coordorigin="1985,152" coordsize="275,743" path="m1985,832l2015,895m2015,895l2047,785m2047,785l2080,562m2080,562l2122,657m2122,657l2152,422m2152,422l2185,357m2185,357l2227,152m2227,152l2260,170e" filled="false" stroked="true" strokeweight="1pt" strokecolor="#522e91">
              <v:path arrowok="t"/>
              <v:stroke dashstyle="solid"/>
            </v:shape>
            <v:line style="position:absolute" from="2250,171" to="2300,171" stroked="true" strokeweight="1.125pt" strokecolor="#522e91">
              <v:stroke dashstyle="solid"/>
            </v:line>
            <v:shape style="position:absolute;left:2289;top:169;width:108;height:458" coordorigin="2290,170" coordsize="108,458" path="m2290,170l2322,265m2322,265l2365,437m2365,437l2397,627e" filled="false" stroked="true" strokeweight="1pt" strokecolor="#522e91">
              <v:path arrowok="t"/>
              <v:stroke dashstyle="solid"/>
            </v:shape>
            <v:line style="position:absolute" from="2387,628" to="2437,628" stroked="true" strokeweight="1.125pt" strokecolor="#522e91">
              <v:stroke dashstyle="solid"/>
            </v:line>
            <v:line style="position:absolute" from="2427,627" to="2470,532" stroked="true" strokeweight="1pt" strokecolor="#522e91">
              <v:stroke dashstyle="solid"/>
            </v:line>
            <v:line style="position:absolute" from="2460,533" to="2512,533" stroked="true" strokeweight="1.125pt" strokecolor="#522e91">
              <v:stroke dashstyle="solid"/>
            </v:line>
            <v:shape style="position:absolute;left:2502;top:452;width:655;height:1183" coordorigin="2502,452" coordsize="655,1183" path="m2502,532l2535,452m2535,452l2565,610m2565,610l2607,690m2607,690l2640,847m2640,847l2672,925m2672,925l2702,910m2702,910l2745,925m2745,925l2777,972m2777,972l2810,862m2810,862l2850,942m2850,942l2882,1162m2882,1162l2915,1320m2915,1320l2947,1382m2947,1382l2987,1430m2987,1430l3020,1400m3020,1400l3052,1367m3052,1367l3082,1462m3082,1462l3125,1477m3125,1477l3157,1635e" filled="false" stroked="true" strokeweight="1pt" strokecolor="#522e91">
              <v:path arrowok="t"/>
              <v:stroke dashstyle="solid"/>
            </v:shape>
            <v:line style="position:absolute" from="3147,1636" to="3200,1636" stroked="true" strokeweight="1.125pt" strokecolor="#522e91">
              <v:stroke dashstyle="solid"/>
            </v:line>
            <v:shape style="position:absolute;left:3189;top:1382;width:73;height:253" coordorigin="3190,1382" coordsize="73,253" path="m3190,1635l3232,1447m3232,1447l3262,1382e" filled="false" stroked="true" strokeweight="1pt" strokecolor="#522e91">
              <v:path arrowok="t"/>
              <v:stroke dashstyle="solid"/>
            </v:shape>
            <v:shape style="position:absolute;left:3252;top:1383;width:128;height:2" coordorigin="3252,1383" coordsize="128,0" path="m3252,1383l3305,1383m3285,1383l3337,1383m3317,1383l3380,1383e" filled="false" stroked="true" strokeweight="1.125pt" strokecolor="#522e91">
              <v:path arrowok="t"/>
              <v:stroke dashstyle="solid"/>
            </v:shape>
            <v:shape style="position:absolute;left:3369;top:1382;width:305;height:395" coordorigin="3370,1382" coordsize="305,395" path="m3370,1382l3400,1525m3400,1525l3432,1605m3432,1605l3475,1730m3475,1730l3507,1682m3507,1682l3537,1745m3537,1745l3570,1777m3570,1777l3612,1667m3612,1667l3645,1730m3645,1730l3675,1715e" filled="false" stroked="true" strokeweight="1pt" strokecolor="#522e91">
              <v:path arrowok="t"/>
              <v:stroke dashstyle="solid"/>
            </v:shape>
            <v:line style="position:absolute" from="3665,1716" to="3717,1716" stroked="true" strokeweight="1.125pt" strokecolor="#522e91">
              <v:stroke dashstyle="solid"/>
            </v:line>
            <v:shape style="position:absolute;left:3707;top:1209;width:243;height:568" coordorigin="3707,1210" coordsize="243,568" path="m3707,1715l3750,1777m3750,1777l3782,1730m3782,1730l3812,1572m3812,1572l3855,1587m3855,1587l3887,1462m3887,1462l3920,1400m3920,1400l3950,1210e" filled="false" stroked="true" strokeweight="1pt" strokecolor="#522e91">
              <v:path arrowok="t"/>
              <v:stroke dashstyle="solid"/>
            </v:shape>
            <v:shape style="position:absolute;left:979;top:342;width:485;height:853" coordorigin="980,342" coordsize="485,853" path="m980,1052l1010,562m1010,562l1042,767m1042,767l1075,895m1075,895l1117,942m1117,942l1147,1085m1147,1085l1180,1162m1180,1162l1222,1195m1222,1195l1255,1067m1255,1067l1285,990m1285,990l1317,800m1317,800l1360,562m1360,562l1392,610m1392,610l1422,390m1422,390l1465,342e" filled="false" stroked="true" strokeweight="1pt" strokecolor="#a790c4">
              <v:path arrowok="t"/>
              <v:stroke dashstyle="solid"/>
            </v:shape>
            <v:line style="position:absolute" from="1481,332" to="1481,747" stroked="true" strokeweight="2.625pt" strokecolor="#a790c4">
              <v:stroke dashstyle="solid"/>
            </v:line>
            <v:shape style="position:absolute;left:1497;top:737;width:138;height:143" coordorigin="1497,737" coordsize="138,143" path="m1497,737l1530,832m1530,832l1560,847m1560,847l1602,880m1602,880l1635,815e" filled="false" stroked="true" strokeweight="1pt" strokecolor="#a790c4">
              <v:path arrowok="t"/>
              <v:stroke dashstyle="solid"/>
            </v:shape>
            <v:line style="position:absolute" from="1651,805" to="1651,1157" stroked="true" strokeweight="2.625pt" strokecolor="#a790c4">
              <v:stroke dashstyle="solid"/>
            </v:line>
            <v:shape style="position:absolute;left:1667;top:1147;width:210;height:755" coordorigin="1667,1147" coordsize="210,755" path="m1667,1147l1697,1320m1697,1320l1740,1525m1740,1525l1772,1605m1772,1605l1805,1620m1805,1620l1847,1857m1847,1857l1877,1902e" filled="false" stroked="true" strokeweight="1pt" strokecolor="#a790c4">
              <v:path arrowok="t"/>
              <v:stroke dashstyle="solid"/>
            </v:shape>
            <v:line style="position:absolute" from="1894,1405" to="1894,1912" stroked="true" strokeweight="2.625pt" strokecolor="#a790c4">
              <v:stroke dashstyle="solid"/>
            </v:line>
            <v:shape style="position:absolute;left:1899;top:664;width:233;height:760" type="#_x0000_t75" stroked="false">
              <v:imagedata r:id="rId105" o:title=""/>
            </v:shape>
            <v:line style="position:absolute" from="2137,442" to="2137,890" stroked="true" strokeweight="2.5pt" strokecolor="#a790c4">
              <v:stroke dashstyle="solid"/>
            </v:line>
            <v:shape style="position:absolute;left:2152;top:12;width:213;height:440" coordorigin="2152,12" coordsize="213,440" path="m2152,452l2185,265m2185,265l2227,122m2227,122l2260,12m2260,12l2290,75m2290,75l2322,170m2322,170l2365,437e" filled="false" stroked="true" strokeweight="1pt" strokecolor="#a790c4">
              <v:path arrowok="t"/>
              <v:stroke dashstyle="solid"/>
            </v:shape>
            <v:line style="position:absolute" from="2381,427" to="2381,762" stroked="true" strokeweight="2.625pt" strokecolor="#a790c4">
              <v:stroke dashstyle="solid"/>
            </v:line>
            <v:shape style="position:absolute;left:2397;top:422;width:550;height:550" coordorigin="2397,422" coordsize="550,550" path="m2397,752l2427,972m2427,972l2470,720m2470,720l2502,610m2502,610l2535,595m2535,595l2565,705m2565,705l2607,532m2607,532l2640,720m2640,720l2672,910m2672,910l2702,642m2702,642l2745,675m2745,675l2777,847m2777,847l2810,705m2810,705l2850,515m2850,515l2882,642m2882,642l2915,547m2915,547l2947,422e" filled="false" stroked="true" strokeweight="1pt" strokecolor="#a790c4">
              <v:path arrowok="t"/>
              <v:stroke dashstyle="solid"/>
            </v:shape>
            <v:line style="position:absolute" from="2967,412" to="2967,825" stroked="true" strokeweight="3pt" strokecolor="#a790c4">
              <v:stroke dashstyle="solid"/>
            </v:line>
            <v:shape style="position:absolute;left:2987;top:814;width:65;height:48" coordorigin="2987,815" coordsize="65,48" path="m2987,815l3020,862m3020,862l3052,847e" filled="false" stroked="true" strokeweight="1pt" strokecolor="#a790c4">
              <v:path arrowok="t"/>
              <v:stroke dashstyle="solid"/>
            </v:shape>
            <v:line style="position:absolute" from="3067,837" to="3067,1157" stroked="true" strokeweight="2.5pt" strokecolor="#a790c4">
              <v:stroke dashstyle="solid"/>
            </v:line>
            <v:line style="position:absolute" from="3082,1147" to="3125,1352" stroked="true" strokeweight="1pt" strokecolor="#a790c4">
              <v:stroke dashstyle="solid"/>
            </v:line>
            <v:line style="position:absolute" from="3141,1342" to="3141,1787" stroked="true" strokeweight="2.625pt" strokecolor="#a790c4">
              <v:stroke dashstyle="solid"/>
            </v:line>
            <v:shape style="position:absolute;left:3157;top:1494;width:698;height:850" coordorigin="3157,1495" coordsize="698,850" path="m3157,1777l3190,1540m3190,1540l3232,1510m3232,1510l3262,1525m3262,1525l3295,1495m3295,1495l3327,1730m3327,1730l3370,1697m3370,1697l3400,1745m3400,1745l3432,1997m3432,1997l3475,2235m3475,2235l3507,2077m3507,2077l3537,2220m3537,2220l3570,2030m3570,2030l3612,2015m3612,2015l3645,2030m3645,2030l3675,2077m3675,2077l3707,2250m3707,2250l3750,2202m3750,2202l3782,2345m3782,2345l3812,2202m3812,2202l3855,2297e" filled="false" stroked="true" strokeweight="1pt" strokecolor="#a790c4">
              <v:path arrowok="t"/>
              <v:stroke dashstyle="solid"/>
            </v:shape>
            <v:line style="position:absolute" from="3871,1862" to="3871,2307" stroked="true" strokeweight="2.625pt" strokecolor="#a790c4">
              <v:stroke dashstyle="solid"/>
            </v:line>
            <v:shape style="position:absolute;left:3887;top:1224;width:63;height:648" coordorigin="3887,1225" coordsize="63,648" path="m3887,1872l3920,1792m3920,1792l3950,1225e" filled="false" stroked="true" strokeweight="1pt" strokecolor="#a790c4">
              <v:path arrowok="t"/>
              <v:stroke dashstyle="solid"/>
            </v:shape>
            <v:shape style="position:absolute;left:814;top:82;width:3305;height:2143" coordorigin="815,82" coordsize="3305,2143" path="m815,82l902,82m815,511l902,511m815,939l902,939m815,1368l902,1368m815,1796l902,1796m815,2225l902,2225m4032,940l4119,940e" filled="false" stroked="true" strokeweight=".5pt" strokecolor="#000000">
              <v:path arrowok="t"/>
              <v:stroke dashstyle="solid"/>
            </v:shape>
            <v:line style="position:absolute" from="956,940" to="3969,940" stroked="true" strokeweight=".5pt" strokecolor="#000000">
              <v:stroke dashstyle="solid"/>
            </v:line>
            <v:shape style="position:absolute;left:2994;top:353;width:647;height:133" type="#_x0000_t202" filled="false" stroked="false">
              <v:textbox inset="0,0,0,0">
                <w:txbxContent>
                  <w:p>
                    <w:pPr>
                      <w:spacing w:line="133" w:lineRule="exact" w:before="0"/>
                      <w:ind w:left="0" w:right="0" w:firstLine="0"/>
                      <w:jc w:val="left"/>
                      <w:rPr>
                        <w:sz w:val="12"/>
                      </w:rPr>
                    </w:pPr>
                    <w:r>
                      <w:rPr>
                        <w:sz w:val="12"/>
                      </w:rPr>
                      <w:t>Oil-inclusive</w:t>
                    </w:r>
                  </w:p>
                </w:txbxContent>
              </v:textbox>
              <w10:wrap type="none"/>
            </v:shape>
            <v:shape style="position:absolute;left:2499;top:1217;width:394;height:133" type="#_x0000_t202" filled="false" stroked="false">
              <v:textbox inset="0,0,0,0">
                <w:txbxContent>
                  <w:p>
                    <w:pPr>
                      <w:spacing w:line="133" w:lineRule="exact" w:before="0"/>
                      <w:ind w:left="0" w:right="0" w:firstLine="0"/>
                      <w:jc w:val="left"/>
                      <w:rPr>
                        <w:sz w:val="12"/>
                      </w:rPr>
                    </w:pPr>
                    <w:r>
                      <w:rPr>
                        <w:sz w:val="12"/>
                      </w:rPr>
                      <w:t>Non-oil</w:t>
                    </w:r>
                  </w:p>
                </w:txbxContent>
              </v:textbox>
              <w10:wrap type="none"/>
            </v:shape>
            <w10:wrap type="none"/>
          </v:group>
        </w:pict>
      </w:r>
      <w:r>
        <w:rPr/>
        <w:pict>
          <v:line style="position:absolute;mso-position-horizontal-relative:page;mso-position-vertical-relative:paragraph;z-index:15991296" from="201.619995pt,4.146366pt" to="205.952995pt,4.146366pt" stroked="true" strokeweight=".5pt" strokecolor="#000000">
            <v:stroke dashstyle="solid"/>
            <w10:wrap type="none"/>
          </v:line>
        </w:pict>
      </w:r>
      <w:r>
        <w:rPr>
          <w:sz w:val="12"/>
        </w:rPr>
        <w:t>10</w:t>
      </w:r>
    </w:p>
    <w:p>
      <w:pPr>
        <w:pStyle w:val="BodyText"/>
        <w:rPr>
          <w:sz w:val="12"/>
        </w:rPr>
      </w:pPr>
    </w:p>
    <w:p>
      <w:pPr>
        <w:pStyle w:val="BodyText"/>
        <w:spacing w:before="2"/>
        <w:rPr>
          <w:sz w:val="14"/>
        </w:rPr>
      </w:pPr>
    </w:p>
    <w:p>
      <w:pPr>
        <w:spacing w:before="1"/>
        <w:ind w:left="0" w:right="799" w:firstLine="0"/>
        <w:jc w:val="right"/>
        <w:rPr>
          <w:sz w:val="12"/>
        </w:rPr>
      </w:pPr>
      <w:r>
        <w:rPr/>
        <w:pict>
          <v:line style="position:absolute;mso-position-horizontal-relative:page;mso-position-vertical-relative:paragraph;z-index:15991808" from="201.619995pt,3.574061pt" to="205.952995pt,3.574061pt" stroked="true" strokeweight=".5pt" strokecolor="#000000">
            <v:stroke dashstyle="solid"/>
            <w10:wrap type="none"/>
          </v:line>
        </w:pict>
      </w:r>
      <w:r>
        <w:rPr>
          <w:sz w:val="12"/>
        </w:rPr>
        <w:t>5</w:t>
      </w:r>
    </w:p>
    <w:p>
      <w:pPr>
        <w:spacing w:before="99"/>
        <w:ind w:left="3484" w:right="0" w:firstLine="0"/>
        <w:jc w:val="left"/>
        <w:rPr>
          <w:sz w:val="16"/>
        </w:rPr>
      </w:pPr>
      <w:r>
        <w:rPr>
          <w:sz w:val="16"/>
        </w:rPr>
        <w:t>+</w:t>
      </w:r>
    </w:p>
    <w:p>
      <w:pPr>
        <w:spacing w:line="130" w:lineRule="exact" w:before="5"/>
        <w:ind w:left="3588" w:right="0" w:firstLine="0"/>
        <w:jc w:val="left"/>
        <w:rPr>
          <w:sz w:val="12"/>
        </w:rPr>
      </w:pPr>
      <w:r>
        <w:rPr>
          <w:color w:val="231F20"/>
          <w:sz w:val="12"/>
        </w:rPr>
        <w:t>0</w:t>
      </w:r>
    </w:p>
    <w:p>
      <w:pPr>
        <w:spacing w:line="176" w:lineRule="exact" w:before="0"/>
        <w:ind w:left="3494" w:right="0" w:firstLine="0"/>
        <w:jc w:val="left"/>
        <w:rPr>
          <w:sz w:val="16"/>
        </w:rPr>
      </w:pPr>
      <w:r>
        <w:rPr>
          <w:color w:val="231F20"/>
          <w:sz w:val="16"/>
        </w:rPr>
        <w:t>–</w:t>
      </w:r>
    </w:p>
    <w:p>
      <w:pPr>
        <w:spacing w:before="119"/>
        <w:ind w:left="0" w:right="799" w:firstLine="0"/>
        <w:jc w:val="right"/>
        <w:rPr>
          <w:sz w:val="12"/>
        </w:rPr>
      </w:pPr>
      <w:r>
        <w:rPr/>
        <w:pict>
          <v:line style="position:absolute;mso-position-horizontal-relative:page;mso-position-vertical-relative:paragraph;z-index:15992320" from="201.619995pt,9.702878pt" to="205.952995pt,9.702878pt" stroked="true" strokeweight=".5pt" strokecolor="#000000">
            <v:stroke dashstyle="solid"/>
            <w10:wrap type="none"/>
          </v:line>
        </w:pict>
      </w:r>
      <w:r>
        <w:rPr>
          <w:sz w:val="12"/>
        </w:rPr>
        <w:t>5</w:t>
      </w:r>
    </w:p>
    <w:p>
      <w:pPr>
        <w:pStyle w:val="BodyText"/>
        <w:rPr>
          <w:sz w:val="12"/>
        </w:rPr>
      </w:pPr>
    </w:p>
    <w:p>
      <w:pPr>
        <w:pStyle w:val="BodyText"/>
        <w:rPr>
          <w:sz w:val="13"/>
        </w:rPr>
      </w:pPr>
    </w:p>
    <w:p>
      <w:pPr>
        <w:spacing w:before="0"/>
        <w:ind w:left="0" w:right="799" w:firstLine="0"/>
        <w:jc w:val="right"/>
        <w:rPr>
          <w:sz w:val="12"/>
        </w:rPr>
      </w:pPr>
      <w:r>
        <w:rPr/>
        <w:pict>
          <v:line style="position:absolute;mso-position-horizontal-relative:page;mso-position-vertical-relative:paragraph;z-index:15992832" from="201.619995pt,3.929756pt" to="205.952995pt,3.929756pt" stroked="true" strokeweight=".5pt" strokecolor="#000000">
            <v:stroke dashstyle="solid"/>
            <w10:wrap type="none"/>
          </v:line>
        </w:pict>
      </w:r>
      <w:r>
        <w:rPr>
          <w:sz w:val="12"/>
        </w:rPr>
        <w:t>10</w:t>
      </w:r>
    </w:p>
    <w:p>
      <w:pPr>
        <w:pStyle w:val="BodyText"/>
        <w:rPr>
          <w:sz w:val="12"/>
        </w:rPr>
      </w:pPr>
    </w:p>
    <w:p>
      <w:pPr>
        <w:pStyle w:val="BodyText"/>
        <w:spacing w:before="5"/>
        <w:rPr>
          <w:sz w:val="14"/>
        </w:rPr>
      </w:pPr>
    </w:p>
    <w:p>
      <w:pPr>
        <w:spacing w:before="1"/>
        <w:ind w:left="0" w:right="799" w:firstLine="0"/>
        <w:jc w:val="right"/>
        <w:rPr>
          <w:sz w:val="12"/>
        </w:rPr>
      </w:pPr>
      <w:r>
        <w:rPr/>
        <w:pict>
          <v:line style="position:absolute;mso-position-horizontal-relative:page;mso-position-vertical-relative:paragraph;z-index:15993344" from="201.619995pt,3.281756pt" to="205.952995pt,3.281756pt" stroked="true" strokeweight=".5pt" strokecolor="#000000">
            <v:stroke dashstyle="solid"/>
            <w10:wrap type="none"/>
          </v:line>
        </w:pict>
      </w:r>
      <w:r>
        <w:rPr>
          <w:sz w:val="12"/>
        </w:rPr>
        <w:t>15</w:t>
      </w:r>
    </w:p>
    <w:p>
      <w:pPr>
        <w:pStyle w:val="BodyText"/>
        <w:rPr>
          <w:sz w:val="12"/>
        </w:rPr>
      </w:pPr>
    </w:p>
    <w:p>
      <w:pPr>
        <w:pStyle w:val="BodyText"/>
        <w:spacing w:before="10"/>
        <w:rPr>
          <w:sz w:val="12"/>
        </w:rPr>
      </w:pPr>
    </w:p>
    <w:p>
      <w:pPr>
        <w:spacing w:line="118" w:lineRule="exact" w:before="1"/>
        <w:ind w:left="3528" w:right="0" w:firstLine="0"/>
        <w:jc w:val="left"/>
        <w:rPr>
          <w:sz w:val="12"/>
        </w:rPr>
      </w:pPr>
      <w:r>
        <w:rPr/>
        <w:pict>
          <v:group style="position:absolute;margin-left:40.744999pt;margin-top:-.244427pt;width:165.25pt;height:4pt;mso-position-horizontal-relative:page;mso-position-vertical-relative:paragraph;z-index:15990272" coordorigin="815,-5" coordsize="3305,80">
            <v:shape style="position:absolute;left:814;top:68;width:3305;height:2" coordorigin="815,68" coordsize="3305,1" path="m815,68l902,68m4032,69l4119,69e" filled="false" stroked="true" strokeweight=".5pt" strokecolor="#000000">
              <v:path arrowok="t"/>
              <v:stroke dashstyle="solid"/>
            </v:shape>
            <v:shape style="position:absolute;left:955;top:-5;width:3014;height:74" coordorigin="956,-5" coordsize="3014,74" path="m956,68l3969,68m956,-5l956,67m3856,-5l3856,67m1370,-5l1370,67m1784,-5l1784,67m2199,-5l2199,67m2613,-5l2613,67m3027,-5l3027,67m3441,-5l3441,67e" filled="false" stroked="true" strokeweight=".5pt" strokecolor="#000000">
              <v:path arrowok="t"/>
              <v:stroke dashstyle="solid"/>
            </v:shape>
            <w10:wrap type="none"/>
          </v:group>
        </w:pict>
      </w:r>
      <w:r>
        <w:rPr>
          <w:sz w:val="12"/>
        </w:rPr>
        <w:t>20</w:t>
      </w:r>
    </w:p>
    <w:p>
      <w:pPr>
        <w:tabs>
          <w:tab w:pos="879" w:val="left" w:leader="none"/>
          <w:tab w:pos="1292" w:val="left" w:leader="none"/>
          <w:tab w:pos="1714" w:val="left" w:leader="none"/>
          <w:tab w:pos="2127" w:val="left" w:leader="none"/>
          <w:tab w:pos="2539" w:val="left" w:leader="none"/>
          <w:tab w:pos="2962" w:val="left" w:leader="none"/>
        </w:tabs>
        <w:spacing w:line="118" w:lineRule="exact" w:before="0"/>
        <w:ind w:left="379" w:right="0" w:firstLine="0"/>
        <w:jc w:val="left"/>
        <w:rPr>
          <w:sz w:val="12"/>
        </w:rPr>
      </w:pPr>
      <w:r>
        <w:rPr>
          <w:sz w:val="12"/>
        </w:rPr>
        <w:t>1992</w:t>
        <w:tab/>
        <w:t>93</w:t>
        <w:tab/>
        <w:t>94</w:t>
        <w:tab/>
        <w:t>95</w:t>
        <w:tab/>
        <w:t>96</w:t>
        <w:tab/>
        <w:t>97</w:t>
        <w:tab/>
        <w:t>98</w:t>
      </w:r>
      <w:r>
        <w:rPr>
          <w:spacing w:val="25"/>
          <w:sz w:val="12"/>
        </w:rPr>
        <w:t> </w:t>
      </w:r>
      <w:r>
        <w:rPr>
          <w:sz w:val="12"/>
        </w:rPr>
        <w:t>99</w:t>
      </w:r>
    </w:p>
    <w:p>
      <w:pPr>
        <w:pStyle w:val="BodyText"/>
        <w:spacing w:before="6"/>
        <w:rPr>
          <w:sz w:val="10"/>
        </w:rPr>
      </w:pPr>
    </w:p>
    <w:p>
      <w:pPr>
        <w:spacing w:line="208" w:lineRule="auto" w:before="1"/>
        <w:ind w:left="384" w:right="870" w:hanging="240"/>
        <w:jc w:val="left"/>
        <w:rPr>
          <w:sz w:val="12"/>
        </w:rPr>
      </w:pPr>
      <w:r>
        <w:rPr>
          <w:sz w:val="12"/>
        </w:rPr>
        <w:t>(a) Monthly average of prices of primary commodities weighted by their share in UK demand.</w:t>
      </w:r>
    </w:p>
    <w:p>
      <w:pPr>
        <w:pStyle w:val="BodyText"/>
        <w:rPr>
          <w:sz w:val="12"/>
        </w:rPr>
      </w:pPr>
    </w:p>
    <w:p>
      <w:pPr>
        <w:pStyle w:val="BodyText"/>
        <w:rPr>
          <w:sz w:val="12"/>
        </w:rPr>
      </w:pPr>
    </w:p>
    <w:p>
      <w:pPr>
        <w:pStyle w:val="BodyText"/>
        <w:rPr>
          <w:sz w:val="12"/>
        </w:rPr>
      </w:pPr>
    </w:p>
    <w:p>
      <w:pPr>
        <w:pStyle w:val="BodyText"/>
        <w:spacing w:before="11"/>
        <w:rPr>
          <w:sz w:val="13"/>
        </w:rPr>
      </w:pPr>
    </w:p>
    <w:p>
      <w:pPr>
        <w:pStyle w:val="Heading4"/>
        <w:spacing w:before="0"/>
      </w:pPr>
      <w:r>
        <w:rPr>
          <w:color w:val="0093C1"/>
        </w:rPr>
        <w:t>Table 4.B</w:t>
      </w:r>
    </w:p>
    <w:p>
      <w:pPr>
        <w:pStyle w:val="Heading4"/>
        <w:spacing w:line="249" w:lineRule="auto"/>
        <w:ind w:right="242"/>
      </w:pPr>
      <w:r>
        <w:rPr>
          <w:color w:val="0093C1"/>
        </w:rPr>
        <w:t>Contributions of sub-components to changes in the Bank’s non-oil commodity price index</w:t>
      </w:r>
    </w:p>
    <w:p>
      <w:pPr>
        <w:spacing w:line="150" w:lineRule="exact" w:before="97"/>
        <w:ind w:left="2090" w:right="0" w:firstLine="0"/>
        <w:jc w:val="left"/>
        <w:rPr>
          <w:sz w:val="14"/>
        </w:rPr>
      </w:pPr>
      <w:r>
        <w:rPr>
          <w:sz w:val="14"/>
        </w:rPr>
        <w:t>Contributions to change in index</w:t>
      </w:r>
    </w:p>
    <w:p>
      <w:pPr>
        <w:tabs>
          <w:tab w:pos="4409" w:val="left" w:leader="none"/>
        </w:tabs>
        <w:spacing w:line="150" w:lineRule="exact" w:before="0"/>
        <w:ind w:left="2095" w:right="0" w:firstLine="0"/>
        <w:jc w:val="left"/>
        <w:rPr>
          <w:sz w:val="12"/>
        </w:rPr>
      </w:pPr>
      <w:r>
        <w:rPr>
          <w:sz w:val="14"/>
          <w:u w:val="single"/>
        </w:rPr>
        <w:t> </w:t>
      </w:r>
      <w:r>
        <w:rPr>
          <w:spacing w:val="-5"/>
          <w:sz w:val="14"/>
          <w:u w:val="single"/>
        </w:rPr>
        <w:t> </w:t>
      </w:r>
      <w:r>
        <w:rPr>
          <w:sz w:val="14"/>
          <w:u w:val="single"/>
        </w:rPr>
        <w:t>(percentage</w:t>
      </w:r>
      <w:r>
        <w:rPr>
          <w:spacing w:val="-1"/>
          <w:sz w:val="14"/>
          <w:u w:val="single"/>
        </w:rPr>
        <w:t> </w:t>
      </w:r>
      <w:r>
        <w:rPr>
          <w:sz w:val="14"/>
          <w:u w:val="single"/>
        </w:rPr>
        <w:t>points)</w:t>
      </w:r>
      <w:r>
        <w:rPr>
          <w:sz w:val="12"/>
          <w:u w:val="single"/>
        </w:rPr>
        <w:t>:(a)</w:t>
        <w:tab/>
      </w:r>
    </w:p>
    <w:p>
      <w:pPr>
        <w:tabs>
          <w:tab w:pos="2829" w:val="left" w:leader="none"/>
        </w:tabs>
        <w:spacing w:line="150" w:lineRule="exact" w:before="20"/>
        <w:ind w:left="1390" w:right="0" w:firstLine="0"/>
        <w:jc w:val="left"/>
        <w:rPr>
          <w:sz w:val="14"/>
        </w:rPr>
      </w:pPr>
      <w:r>
        <w:rPr>
          <w:sz w:val="14"/>
        </w:rPr>
        <w:t>Weight in   </w:t>
      </w:r>
      <w:r>
        <w:rPr>
          <w:spacing w:val="14"/>
          <w:sz w:val="14"/>
        </w:rPr>
        <w:t> </w:t>
      </w:r>
      <w:r>
        <w:rPr>
          <w:sz w:val="14"/>
        </w:rPr>
        <w:t>Since</w:t>
        <w:tab/>
        <w:t>Three months on</w:t>
      </w:r>
    </w:p>
    <w:p>
      <w:pPr>
        <w:spacing w:line="150" w:lineRule="exact" w:before="0"/>
        <w:ind w:left="1390" w:right="0" w:firstLine="0"/>
        <w:jc w:val="left"/>
        <w:rPr>
          <w:sz w:val="14"/>
        </w:rPr>
      </w:pPr>
      <w:r>
        <w:rPr>
          <w:sz w:val="14"/>
        </w:rPr>
        <w:t>the index Dec. 1995 previous three months</w:t>
      </w:r>
    </w:p>
    <w:p>
      <w:pPr>
        <w:pStyle w:val="BodyText"/>
        <w:spacing w:before="5"/>
        <w:rPr>
          <w:sz w:val="2"/>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637"/>
        <w:gridCol w:w="793"/>
        <w:gridCol w:w="597"/>
        <w:gridCol w:w="345"/>
        <w:gridCol w:w="245"/>
        <w:gridCol w:w="369"/>
      </w:tblGrid>
      <w:tr>
        <w:trPr>
          <w:trHeight w:val="162" w:hRule="atLeast"/>
        </w:trPr>
        <w:tc>
          <w:tcPr>
            <w:tcW w:w="1278" w:type="dxa"/>
          </w:tcPr>
          <w:p>
            <w:pPr>
              <w:pStyle w:val="TableParagraph"/>
              <w:rPr>
                <w:sz w:val="10"/>
              </w:rPr>
            </w:pPr>
          </w:p>
        </w:tc>
        <w:tc>
          <w:tcPr>
            <w:tcW w:w="637" w:type="dxa"/>
          </w:tcPr>
          <w:p>
            <w:pPr>
              <w:pStyle w:val="TableParagraph"/>
              <w:tabs>
                <w:tab w:pos="572" w:val="left" w:leader="none"/>
              </w:tabs>
              <w:spacing w:line="142" w:lineRule="exact"/>
              <w:ind w:right="38"/>
              <w:jc w:val="center"/>
              <w:rPr>
                <w:sz w:val="14"/>
              </w:rPr>
            </w:pPr>
            <w:r>
              <w:rPr>
                <w:sz w:val="14"/>
                <w:u w:val="single"/>
              </w:rPr>
              <w:t> </w:t>
              <w:tab/>
            </w:r>
          </w:p>
        </w:tc>
        <w:tc>
          <w:tcPr>
            <w:tcW w:w="793" w:type="dxa"/>
          </w:tcPr>
          <w:p>
            <w:pPr>
              <w:pStyle w:val="TableParagraph"/>
              <w:tabs>
                <w:tab w:pos="589" w:val="left" w:leader="none"/>
              </w:tabs>
              <w:spacing w:line="142" w:lineRule="exact"/>
              <w:ind w:right="92"/>
              <w:jc w:val="center"/>
              <w:rPr>
                <w:sz w:val="14"/>
              </w:rPr>
            </w:pPr>
            <w:r>
              <w:rPr>
                <w:sz w:val="14"/>
                <w:u w:val="single"/>
              </w:rPr>
              <w:t> </w:t>
              <w:tab/>
            </w:r>
          </w:p>
        </w:tc>
        <w:tc>
          <w:tcPr>
            <w:tcW w:w="597" w:type="dxa"/>
            <w:tcBorders>
              <w:top w:val="single" w:sz="2" w:space="0" w:color="000000"/>
            </w:tcBorders>
          </w:tcPr>
          <w:p>
            <w:pPr>
              <w:pStyle w:val="TableParagraph"/>
              <w:spacing w:line="142" w:lineRule="exact"/>
              <w:ind w:left="2"/>
              <w:rPr>
                <w:sz w:val="14"/>
              </w:rPr>
            </w:pPr>
            <w:r>
              <w:rPr>
                <w:sz w:val="14"/>
                <w:u w:val="single"/>
              </w:rPr>
              <w:t> Sept. </w:t>
            </w:r>
          </w:p>
        </w:tc>
        <w:tc>
          <w:tcPr>
            <w:tcW w:w="345" w:type="dxa"/>
            <w:tcBorders>
              <w:top w:val="single" w:sz="2" w:space="0" w:color="000000"/>
              <w:bottom w:val="single" w:sz="2" w:space="0" w:color="000000"/>
            </w:tcBorders>
          </w:tcPr>
          <w:p>
            <w:pPr>
              <w:pStyle w:val="TableParagraph"/>
              <w:spacing w:line="142" w:lineRule="exact"/>
              <w:ind w:left="25"/>
              <w:rPr>
                <w:sz w:val="14"/>
              </w:rPr>
            </w:pPr>
            <w:r>
              <w:rPr>
                <w:sz w:val="14"/>
              </w:rPr>
              <w:t>Dec.</w:t>
            </w:r>
          </w:p>
        </w:tc>
        <w:tc>
          <w:tcPr>
            <w:tcW w:w="245" w:type="dxa"/>
            <w:tcBorders>
              <w:top w:val="single" w:sz="2" w:space="0" w:color="000000"/>
            </w:tcBorders>
          </w:tcPr>
          <w:p>
            <w:pPr>
              <w:pStyle w:val="TableParagraph"/>
              <w:rPr>
                <w:sz w:val="10"/>
              </w:rPr>
            </w:pPr>
          </w:p>
        </w:tc>
        <w:tc>
          <w:tcPr>
            <w:tcW w:w="369" w:type="dxa"/>
            <w:tcBorders>
              <w:top w:val="single" w:sz="2" w:space="0" w:color="000000"/>
              <w:bottom w:val="single" w:sz="2" w:space="0" w:color="000000"/>
            </w:tcBorders>
          </w:tcPr>
          <w:p>
            <w:pPr>
              <w:pStyle w:val="TableParagraph"/>
              <w:spacing w:line="142" w:lineRule="exact"/>
              <w:ind w:left="34"/>
              <w:rPr>
                <w:sz w:val="14"/>
              </w:rPr>
            </w:pPr>
            <w:r>
              <w:rPr>
                <w:sz w:val="14"/>
              </w:rPr>
              <w:t>Mar.</w:t>
            </w:r>
          </w:p>
        </w:tc>
      </w:tr>
      <w:tr>
        <w:trPr>
          <w:trHeight w:val="314" w:hRule="atLeast"/>
        </w:trPr>
        <w:tc>
          <w:tcPr>
            <w:tcW w:w="1278" w:type="dxa"/>
          </w:tcPr>
          <w:p>
            <w:pPr>
              <w:pStyle w:val="TableParagraph"/>
              <w:spacing w:line="140" w:lineRule="exact" w:before="39"/>
              <w:ind w:left="120" w:right="-9" w:hanging="70"/>
              <w:rPr>
                <w:sz w:val="14"/>
              </w:rPr>
            </w:pPr>
            <w:r>
              <w:rPr>
                <w:sz w:val="14"/>
              </w:rPr>
              <w:t>Indigenous wholesale food</w:t>
            </w:r>
          </w:p>
        </w:tc>
        <w:tc>
          <w:tcPr>
            <w:tcW w:w="637" w:type="dxa"/>
          </w:tcPr>
          <w:p>
            <w:pPr>
              <w:pStyle w:val="TableParagraph"/>
              <w:spacing w:before="11"/>
              <w:rPr>
                <w:sz w:val="13"/>
              </w:rPr>
            </w:pPr>
          </w:p>
          <w:p>
            <w:pPr>
              <w:pStyle w:val="TableParagraph"/>
              <w:spacing w:line="133" w:lineRule="exact"/>
              <w:ind w:right="75"/>
              <w:jc w:val="center"/>
              <w:rPr>
                <w:sz w:val="14"/>
              </w:rPr>
            </w:pPr>
            <w:r>
              <w:rPr>
                <w:sz w:val="14"/>
              </w:rPr>
              <w:t>44.4</w:t>
            </w:r>
          </w:p>
        </w:tc>
        <w:tc>
          <w:tcPr>
            <w:tcW w:w="793" w:type="dxa"/>
          </w:tcPr>
          <w:p>
            <w:pPr>
              <w:pStyle w:val="TableParagraph"/>
              <w:spacing w:before="11"/>
              <w:rPr>
                <w:sz w:val="13"/>
              </w:rPr>
            </w:pPr>
          </w:p>
          <w:p>
            <w:pPr>
              <w:pStyle w:val="TableParagraph"/>
              <w:spacing w:line="133" w:lineRule="exact"/>
              <w:ind w:right="132"/>
              <w:jc w:val="center"/>
              <w:rPr>
                <w:sz w:val="14"/>
              </w:rPr>
            </w:pPr>
            <w:r>
              <w:rPr>
                <w:sz w:val="14"/>
              </w:rPr>
              <w:t>-10.1</w:t>
            </w:r>
          </w:p>
        </w:tc>
        <w:tc>
          <w:tcPr>
            <w:tcW w:w="597" w:type="dxa"/>
          </w:tcPr>
          <w:p>
            <w:pPr>
              <w:pStyle w:val="TableParagraph"/>
              <w:spacing w:before="11"/>
              <w:rPr>
                <w:sz w:val="13"/>
              </w:rPr>
            </w:pPr>
          </w:p>
          <w:p>
            <w:pPr>
              <w:pStyle w:val="TableParagraph"/>
              <w:spacing w:line="133" w:lineRule="exact"/>
              <w:ind w:left="50"/>
              <w:rPr>
                <w:sz w:val="14"/>
              </w:rPr>
            </w:pPr>
            <w:r>
              <w:rPr>
                <w:sz w:val="14"/>
              </w:rPr>
              <w:t>-0.5</w:t>
            </w:r>
          </w:p>
        </w:tc>
        <w:tc>
          <w:tcPr>
            <w:tcW w:w="345" w:type="dxa"/>
            <w:tcBorders>
              <w:top w:val="single" w:sz="2" w:space="0" w:color="000000"/>
            </w:tcBorders>
          </w:tcPr>
          <w:p>
            <w:pPr>
              <w:pStyle w:val="TableParagraph"/>
              <w:spacing w:before="11"/>
              <w:rPr>
                <w:sz w:val="13"/>
              </w:rPr>
            </w:pPr>
          </w:p>
          <w:p>
            <w:pPr>
              <w:pStyle w:val="TableParagraph"/>
              <w:spacing w:line="133" w:lineRule="exact"/>
              <w:ind w:left="43"/>
              <w:rPr>
                <w:sz w:val="14"/>
              </w:rPr>
            </w:pPr>
            <w:r>
              <w:rPr>
                <w:sz w:val="14"/>
              </w:rPr>
              <w:t>-0.5</w:t>
            </w:r>
          </w:p>
        </w:tc>
        <w:tc>
          <w:tcPr>
            <w:tcW w:w="245" w:type="dxa"/>
          </w:tcPr>
          <w:p>
            <w:pPr>
              <w:pStyle w:val="TableParagraph"/>
              <w:rPr>
                <w:sz w:val="20"/>
              </w:rPr>
            </w:pPr>
          </w:p>
        </w:tc>
        <w:tc>
          <w:tcPr>
            <w:tcW w:w="369" w:type="dxa"/>
            <w:tcBorders>
              <w:top w:val="single" w:sz="2" w:space="0" w:color="000000"/>
            </w:tcBorders>
          </w:tcPr>
          <w:p>
            <w:pPr>
              <w:pStyle w:val="TableParagraph"/>
              <w:spacing w:before="11"/>
              <w:rPr>
                <w:sz w:val="13"/>
              </w:rPr>
            </w:pPr>
          </w:p>
          <w:p>
            <w:pPr>
              <w:pStyle w:val="TableParagraph"/>
              <w:spacing w:line="133" w:lineRule="exact"/>
              <w:ind w:left="80"/>
              <w:rPr>
                <w:sz w:val="14"/>
              </w:rPr>
            </w:pPr>
            <w:r>
              <w:rPr>
                <w:sz w:val="14"/>
              </w:rPr>
              <w:t>1.3</w:t>
            </w:r>
          </w:p>
        </w:tc>
      </w:tr>
      <w:tr>
        <w:trPr>
          <w:trHeight w:val="275" w:hRule="atLeast"/>
        </w:trPr>
        <w:tc>
          <w:tcPr>
            <w:tcW w:w="1278" w:type="dxa"/>
          </w:tcPr>
          <w:p>
            <w:pPr>
              <w:pStyle w:val="TableParagraph"/>
              <w:spacing w:line="140" w:lineRule="exact"/>
              <w:ind w:left="120" w:right="286" w:hanging="70"/>
              <w:rPr>
                <w:sz w:val="14"/>
              </w:rPr>
            </w:pPr>
            <w:r>
              <w:rPr>
                <w:sz w:val="14"/>
              </w:rPr>
              <w:t>Non-indigenous wholesale food</w:t>
            </w:r>
          </w:p>
        </w:tc>
        <w:tc>
          <w:tcPr>
            <w:tcW w:w="637" w:type="dxa"/>
          </w:tcPr>
          <w:p>
            <w:pPr>
              <w:pStyle w:val="TableParagraph"/>
              <w:spacing w:line="133" w:lineRule="exact" w:before="121"/>
              <w:ind w:right="6"/>
              <w:jc w:val="center"/>
              <w:rPr>
                <w:sz w:val="14"/>
              </w:rPr>
            </w:pPr>
            <w:r>
              <w:rPr>
                <w:sz w:val="14"/>
              </w:rPr>
              <w:t>2.8</w:t>
            </w:r>
          </w:p>
        </w:tc>
        <w:tc>
          <w:tcPr>
            <w:tcW w:w="793" w:type="dxa"/>
          </w:tcPr>
          <w:p>
            <w:pPr>
              <w:pStyle w:val="TableParagraph"/>
              <w:spacing w:line="133" w:lineRule="exact" w:before="121"/>
              <w:ind w:right="16"/>
              <w:jc w:val="center"/>
              <w:rPr>
                <w:sz w:val="14"/>
              </w:rPr>
            </w:pPr>
            <w:r>
              <w:rPr>
                <w:sz w:val="14"/>
              </w:rPr>
              <w:t>0.0</w:t>
            </w:r>
          </w:p>
        </w:tc>
        <w:tc>
          <w:tcPr>
            <w:tcW w:w="597" w:type="dxa"/>
          </w:tcPr>
          <w:p>
            <w:pPr>
              <w:pStyle w:val="TableParagraph"/>
              <w:spacing w:line="133" w:lineRule="exact" w:before="121"/>
              <w:ind w:left="50"/>
              <w:rPr>
                <w:sz w:val="14"/>
              </w:rPr>
            </w:pPr>
            <w:r>
              <w:rPr>
                <w:sz w:val="14"/>
              </w:rPr>
              <w:t>-0.3</w:t>
            </w:r>
          </w:p>
        </w:tc>
        <w:tc>
          <w:tcPr>
            <w:tcW w:w="345" w:type="dxa"/>
          </w:tcPr>
          <w:p>
            <w:pPr>
              <w:pStyle w:val="TableParagraph"/>
              <w:spacing w:line="133" w:lineRule="exact" w:before="121"/>
              <w:ind w:left="43"/>
              <w:rPr>
                <w:sz w:val="14"/>
              </w:rPr>
            </w:pPr>
            <w:r>
              <w:rPr>
                <w:sz w:val="14"/>
              </w:rPr>
              <w:t>-0.2</w:t>
            </w:r>
          </w:p>
        </w:tc>
        <w:tc>
          <w:tcPr>
            <w:tcW w:w="245" w:type="dxa"/>
          </w:tcPr>
          <w:p>
            <w:pPr>
              <w:pStyle w:val="TableParagraph"/>
              <w:rPr>
                <w:sz w:val="20"/>
              </w:rPr>
            </w:pPr>
          </w:p>
        </w:tc>
        <w:tc>
          <w:tcPr>
            <w:tcW w:w="369" w:type="dxa"/>
          </w:tcPr>
          <w:p>
            <w:pPr>
              <w:pStyle w:val="TableParagraph"/>
              <w:spacing w:line="133" w:lineRule="exact" w:before="121"/>
              <w:ind w:left="80"/>
              <w:rPr>
                <w:sz w:val="14"/>
              </w:rPr>
            </w:pPr>
            <w:r>
              <w:rPr>
                <w:sz w:val="14"/>
              </w:rPr>
              <w:t>0.1</w:t>
            </w:r>
          </w:p>
        </w:tc>
      </w:tr>
      <w:tr>
        <w:trPr>
          <w:trHeight w:val="135" w:hRule="atLeast"/>
        </w:trPr>
        <w:tc>
          <w:tcPr>
            <w:tcW w:w="1278" w:type="dxa"/>
          </w:tcPr>
          <w:p>
            <w:pPr>
              <w:pStyle w:val="TableParagraph"/>
              <w:spacing w:line="115" w:lineRule="exact"/>
              <w:ind w:left="50"/>
              <w:rPr>
                <w:sz w:val="14"/>
              </w:rPr>
            </w:pPr>
            <w:r>
              <w:rPr>
                <w:sz w:val="14"/>
              </w:rPr>
              <w:t>Non-food agriculture</w:t>
            </w:r>
          </w:p>
        </w:tc>
        <w:tc>
          <w:tcPr>
            <w:tcW w:w="637" w:type="dxa"/>
          </w:tcPr>
          <w:p>
            <w:pPr>
              <w:pStyle w:val="TableParagraph"/>
              <w:spacing w:line="115" w:lineRule="exact"/>
              <w:ind w:right="5"/>
              <w:jc w:val="center"/>
              <w:rPr>
                <w:sz w:val="14"/>
              </w:rPr>
            </w:pPr>
            <w:r>
              <w:rPr>
                <w:sz w:val="14"/>
              </w:rPr>
              <w:t>6.9</w:t>
            </w:r>
          </w:p>
        </w:tc>
        <w:tc>
          <w:tcPr>
            <w:tcW w:w="793" w:type="dxa"/>
          </w:tcPr>
          <w:p>
            <w:pPr>
              <w:pStyle w:val="TableParagraph"/>
              <w:spacing w:line="115" w:lineRule="exact"/>
              <w:ind w:right="62"/>
              <w:jc w:val="center"/>
              <w:rPr>
                <w:sz w:val="14"/>
              </w:rPr>
            </w:pPr>
            <w:r>
              <w:rPr>
                <w:sz w:val="14"/>
              </w:rPr>
              <w:t>-0.7</w:t>
            </w:r>
          </w:p>
        </w:tc>
        <w:tc>
          <w:tcPr>
            <w:tcW w:w="597" w:type="dxa"/>
          </w:tcPr>
          <w:p>
            <w:pPr>
              <w:pStyle w:val="TableParagraph"/>
              <w:spacing w:line="115" w:lineRule="exact"/>
              <w:ind w:left="50"/>
              <w:rPr>
                <w:sz w:val="14"/>
              </w:rPr>
            </w:pPr>
            <w:r>
              <w:rPr>
                <w:sz w:val="14"/>
              </w:rPr>
              <w:t>-0.1</w:t>
            </w:r>
          </w:p>
        </w:tc>
        <w:tc>
          <w:tcPr>
            <w:tcW w:w="345" w:type="dxa"/>
          </w:tcPr>
          <w:p>
            <w:pPr>
              <w:pStyle w:val="TableParagraph"/>
              <w:spacing w:line="115" w:lineRule="exact"/>
              <w:ind w:left="43"/>
              <w:rPr>
                <w:sz w:val="14"/>
              </w:rPr>
            </w:pPr>
            <w:r>
              <w:rPr>
                <w:sz w:val="14"/>
              </w:rPr>
              <w:t>-0.1</w:t>
            </w:r>
          </w:p>
        </w:tc>
        <w:tc>
          <w:tcPr>
            <w:tcW w:w="245" w:type="dxa"/>
          </w:tcPr>
          <w:p>
            <w:pPr>
              <w:pStyle w:val="TableParagraph"/>
              <w:rPr>
                <w:sz w:val="8"/>
              </w:rPr>
            </w:pPr>
          </w:p>
        </w:tc>
        <w:tc>
          <w:tcPr>
            <w:tcW w:w="369" w:type="dxa"/>
          </w:tcPr>
          <w:p>
            <w:pPr>
              <w:pStyle w:val="TableParagraph"/>
              <w:spacing w:line="115" w:lineRule="exact"/>
              <w:ind w:left="80"/>
              <w:rPr>
                <w:sz w:val="14"/>
              </w:rPr>
            </w:pPr>
            <w:r>
              <w:rPr>
                <w:sz w:val="14"/>
              </w:rPr>
              <w:t>0.0</w:t>
            </w:r>
          </w:p>
        </w:tc>
      </w:tr>
      <w:tr>
        <w:trPr>
          <w:trHeight w:val="140" w:hRule="atLeast"/>
        </w:trPr>
        <w:tc>
          <w:tcPr>
            <w:tcW w:w="1278" w:type="dxa"/>
          </w:tcPr>
          <w:p>
            <w:pPr>
              <w:pStyle w:val="TableParagraph"/>
              <w:spacing w:line="120" w:lineRule="exact"/>
              <w:ind w:left="50"/>
              <w:rPr>
                <w:sz w:val="14"/>
              </w:rPr>
            </w:pPr>
            <w:r>
              <w:rPr>
                <w:sz w:val="14"/>
              </w:rPr>
              <w:t>Metals</w:t>
            </w:r>
          </w:p>
        </w:tc>
        <w:tc>
          <w:tcPr>
            <w:tcW w:w="637" w:type="dxa"/>
          </w:tcPr>
          <w:p>
            <w:pPr>
              <w:pStyle w:val="TableParagraph"/>
              <w:spacing w:line="120" w:lineRule="exact"/>
              <w:ind w:right="6"/>
              <w:jc w:val="center"/>
              <w:rPr>
                <w:sz w:val="14"/>
              </w:rPr>
            </w:pPr>
            <w:r>
              <w:rPr>
                <w:sz w:val="14"/>
              </w:rPr>
              <w:t>7.1</w:t>
            </w:r>
          </w:p>
        </w:tc>
        <w:tc>
          <w:tcPr>
            <w:tcW w:w="793" w:type="dxa"/>
          </w:tcPr>
          <w:p>
            <w:pPr>
              <w:pStyle w:val="TableParagraph"/>
              <w:spacing w:line="120" w:lineRule="exact"/>
              <w:ind w:right="62"/>
              <w:jc w:val="center"/>
              <w:rPr>
                <w:sz w:val="14"/>
              </w:rPr>
            </w:pPr>
            <w:r>
              <w:rPr>
                <w:sz w:val="14"/>
              </w:rPr>
              <w:t>-2.6</w:t>
            </w:r>
          </w:p>
        </w:tc>
        <w:tc>
          <w:tcPr>
            <w:tcW w:w="597" w:type="dxa"/>
          </w:tcPr>
          <w:p>
            <w:pPr>
              <w:pStyle w:val="TableParagraph"/>
              <w:spacing w:line="120" w:lineRule="exact"/>
              <w:ind w:left="50"/>
              <w:rPr>
                <w:sz w:val="14"/>
              </w:rPr>
            </w:pPr>
            <w:r>
              <w:rPr>
                <w:sz w:val="14"/>
              </w:rPr>
              <w:t>-0.3</w:t>
            </w:r>
          </w:p>
        </w:tc>
        <w:tc>
          <w:tcPr>
            <w:tcW w:w="345" w:type="dxa"/>
          </w:tcPr>
          <w:p>
            <w:pPr>
              <w:pStyle w:val="TableParagraph"/>
              <w:spacing w:line="120" w:lineRule="exact"/>
              <w:ind w:left="43"/>
              <w:rPr>
                <w:sz w:val="14"/>
              </w:rPr>
            </w:pPr>
            <w:r>
              <w:rPr>
                <w:sz w:val="14"/>
              </w:rPr>
              <w:t>-0.5</w:t>
            </w:r>
          </w:p>
        </w:tc>
        <w:tc>
          <w:tcPr>
            <w:tcW w:w="245" w:type="dxa"/>
          </w:tcPr>
          <w:p>
            <w:pPr>
              <w:pStyle w:val="TableParagraph"/>
              <w:rPr>
                <w:sz w:val="8"/>
              </w:rPr>
            </w:pPr>
          </w:p>
        </w:tc>
        <w:tc>
          <w:tcPr>
            <w:tcW w:w="369" w:type="dxa"/>
          </w:tcPr>
          <w:p>
            <w:pPr>
              <w:pStyle w:val="TableParagraph"/>
              <w:spacing w:line="120" w:lineRule="exact"/>
              <w:ind w:left="34"/>
              <w:rPr>
                <w:sz w:val="14"/>
              </w:rPr>
            </w:pPr>
            <w:r>
              <w:rPr>
                <w:sz w:val="14"/>
              </w:rPr>
              <w:t>-0.1</w:t>
            </w:r>
          </w:p>
        </w:tc>
      </w:tr>
      <w:tr>
        <w:trPr>
          <w:trHeight w:val="159" w:hRule="atLeast"/>
        </w:trPr>
        <w:tc>
          <w:tcPr>
            <w:tcW w:w="1278" w:type="dxa"/>
          </w:tcPr>
          <w:p>
            <w:pPr>
              <w:pStyle w:val="TableParagraph"/>
              <w:spacing w:line="140" w:lineRule="exact"/>
              <w:ind w:left="50"/>
              <w:rPr>
                <w:sz w:val="14"/>
              </w:rPr>
            </w:pPr>
            <w:r>
              <w:rPr>
                <w:sz w:val="14"/>
              </w:rPr>
              <w:t>Non-oil fuels</w:t>
            </w:r>
          </w:p>
        </w:tc>
        <w:tc>
          <w:tcPr>
            <w:tcW w:w="637" w:type="dxa"/>
          </w:tcPr>
          <w:p>
            <w:pPr>
              <w:pStyle w:val="TableParagraph"/>
              <w:spacing w:line="140" w:lineRule="exact"/>
              <w:ind w:right="75"/>
              <w:jc w:val="center"/>
              <w:rPr>
                <w:sz w:val="14"/>
              </w:rPr>
            </w:pPr>
            <w:r>
              <w:rPr>
                <w:sz w:val="14"/>
              </w:rPr>
              <w:t>38.8</w:t>
            </w:r>
          </w:p>
        </w:tc>
        <w:tc>
          <w:tcPr>
            <w:tcW w:w="793" w:type="dxa"/>
          </w:tcPr>
          <w:p>
            <w:pPr>
              <w:pStyle w:val="TableParagraph"/>
              <w:spacing w:line="140" w:lineRule="exact"/>
              <w:ind w:right="62"/>
              <w:jc w:val="center"/>
              <w:rPr>
                <w:sz w:val="14"/>
              </w:rPr>
            </w:pPr>
            <w:r>
              <w:rPr>
                <w:sz w:val="14"/>
              </w:rPr>
              <w:t>-3.5</w:t>
            </w:r>
          </w:p>
        </w:tc>
        <w:tc>
          <w:tcPr>
            <w:tcW w:w="597" w:type="dxa"/>
          </w:tcPr>
          <w:p>
            <w:pPr>
              <w:pStyle w:val="TableParagraph"/>
              <w:spacing w:line="140" w:lineRule="exact"/>
              <w:ind w:left="97"/>
              <w:rPr>
                <w:sz w:val="14"/>
              </w:rPr>
            </w:pPr>
            <w:r>
              <w:rPr>
                <w:sz w:val="14"/>
              </w:rPr>
              <w:t>0.1</w:t>
            </w:r>
          </w:p>
        </w:tc>
        <w:tc>
          <w:tcPr>
            <w:tcW w:w="345" w:type="dxa"/>
          </w:tcPr>
          <w:p>
            <w:pPr>
              <w:pStyle w:val="TableParagraph"/>
              <w:spacing w:line="140" w:lineRule="exact"/>
              <w:ind w:left="43"/>
              <w:rPr>
                <w:sz w:val="14"/>
              </w:rPr>
            </w:pPr>
            <w:r>
              <w:rPr>
                <w:sz w:val="14"/>
              </w:rPr>
              <w:t>-1.1</w:t>
            </w:r>
          </w:p>
        </w:tc>
        <w:tc>
          <w:tcPr>
            <w:tcW w:w="245" w:type="dxa"/>
          </w:tcPr>
          <w:p>
            <w:pPr>
              <w:pStyle w:val="TableParagraph"/>
              <w:rPr>
                <w:sz w:val="10"/>
              </w:rPr>
            </w:pPr>
          </w:p>
        </w:tc>
        <w:tc>
          <w:tcPr>
            <w:tcW w:w="369" w:type="dxa"/>
          </w:tcPr>
          <w:p>
            <w:pPr>
              <w:pStyle w:val="TableParagraph"/>
              <w:spacing w:line="140" w:lineRule="exact"/>
              <w:ind w:left="34"/>
              <w:rPr>
                <w:sz w:val="14"/>
              </w:rPr>
            </w:pPr>
            <w:r>
              <w:rPr>
                <w:sz w:val="14"/>
              </w:rPr>
              <w:t>-0.1</w:t>
            </w:r>
          </w:p>
        </w:tc>
      </w:tr>
      <w:tr>
        <w:trPr>
          <w:trHeight w:val="167" w:hRule="atLeast"/>
        </w:trPr>
        <w:tc>
          <w:tcPr>
            <w:tcW w:w="1278" w:type="dxa"/>
          </w:tcPr>
          <w:p>
            <w:pPr>
              <w:pStyle w:val="TableParagraph"/>
              <w:spacing w:line="141" w:lineRule="exact" w:before="6"/>
              <w:ind w:left="50"/>
              <w:rPr>
                <w:b/>
                <w:sz w:val="14"/>
              </w:rPr>
            </w:pPr>
            <w:r>
              <w:rPr>
                <w:b/>
                <w:sz w:val="14"/>
              </w:rPr>
              <w:t>Total index</w:t>
            </w:r>
          </w:p>
        </w:tc>
        <w:tc>
          <w:tcPr>
            <w:tcW w:w="637" w:type="dxa"/>
          </w:tcPr>
          <w:p>
            <w:pPr>
              <w:pStyle w:val="TableParagraph"/>
              <w:spacing w:line="141" w:lineRule="exact" w:before="6"/>
              <w:ind w:right="41"/>
              <w:jc w:val="center"/>
              <w:rPr>
                <w:b/>
                <w:sz w:val="14"/>
              </w:rPr>
            </w:pPr>
            <w:r>
              <w:rPr>
                <w:b/>
                <w:sz w:val="14"/>
              </w:rPr>
              <w:t>100</w:t>
            </w:r>
          </w:p>
        </w:tc>
        <w:tc>
          <w:tcPr>
            <w:tcW w:w="793" w:type="dxa"/>
          </w:tcPr>
          <w:p>
            <w:pPr>
              <w:pStyle w:val="TableParagraph"/>
              <w:spacing w:line="141" w:lineRule="exact" w:before="6"/>
              <w:ind w:right="132"/>
              <w:jc w:val="center"/>
              <w:rPr>
                <w:b/>
                <w:sz w:val="14"/>
              </w:rPr>
            </w:pPr>
            <w:r>
              <w:rPr>
                <w:b/>
                <w:sz w:val="14"/>
              </w:rPr>
              <w:t>-17.0</w:t>
            </w:r>
          </w:p>
        </w:tc>
        <w:tc>
          <w:tcPr>
            <w:tcW w:w="597" w:type="dxa"/>
          </w:tcPr>
          <w:p>
            <w:pPr>
              <w:pStyle w:val="TableParagraph"/>
              <w:spacing w:line="141" w:lineRule="exact" w:before="6"/>
              <w:ind w:left="50"/>
              <w:rPr>
                <w:b/>
                <w:sz w:val="14"/>
              </w:rPr>
            </w:pPr>
            <w:r>
              <w:rPr>
                <w:b/>
                <w:sz w:val="14"/>
              </w:rPr>
              <w:t>-1.1</w:t>
            </w:r>
          </w:p>
        </w:tc>
        <w:tc>
          <w:tcPr>
            <w:tcW w:w="345" w:type="dxa"/>
          </w:tcPr>
          <w:p>
            <w:pPr>
              <w:pStyle w:val="TableParagraph"/>
              <w:spacing w:line="141" w:lineRule="exact" w:before="6"/>
              <w:ind w:left="43"/>
              <w:rPr>
                <w:b/>
                <w:sz w:val="14"/>
              </w:rPr>
            </w:pPr>
            <w:r>
              <w:rPr>
                <w:b/>
                <w:sz w:val="14"/>
              </w:rPr>
              <w:t>-2.3</w:t>
            </w:r>
          </w:p>
        </w:tc>
        <w:tc>
          <w:tcPr>
            <w:tcW w:w="245" w:type="dxa"/>
          </w:tcPr>
          <w:p>
            <w:pPr>
              <w:pStyle w:val="TableParagraph"/>
              <w:rPr>
                <w:sz w:val="10"/>
              </w:rPr>
            </w:pPr>
          </w:p>
        </w:tc>
        <w:tc>
          <w:tcPr>
            <w:tcW w:w="369" w:type="dxa"/>
          </w:tcPr>
          <w:p>
            <w:pPr>
              <w:pStyle w:val="TableParagraph"/>
              <w:spacing w:line="141" w:lineRule="exact" w:before="6"/>
              <w:ind w:left="80"/>
              <w:rPr>
                <w:b/>
                <w:sz w:val="14"/>
              </w:rPr>
            </w:pPr>
            <w:r>
              <w:rPr>
                <w:b/>
                <w:sz w:val="14"/>
              </w:rPr>
              <w:t>1.2</w:t>
            </w:r>
          </w:p>
        </w:tc>
      </w:tr>
    </w:tbl>
    <w:p>
      <w:pPr>
        <w:spacing w:before="118"/>
        <w:ind w:left="170" w:right="0" w:firstLine="0"/>
        <w:jc w:val="left"/>
        <w:rPr>
          <w:sz w:val="12"/>
        </w:rPr>
      </w:pPr>
      <w:r>
        <w:rPr>
          <w:sz w:val="12"/>
        </w:rPr>
        <w:t>(a) Figures may not sum to totals because of rounding.</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pStyle w:val="Heading4"/>
        <w:spacing w:before="1"/>
        <w:ind w:left="175"/>
      </w:pPr>
      <w:r>
        <w:rPr>
          <w:color w:val="0093C1"/>
        </w:rPr>
        <w:t>Chart 4.2</w:t>
      </w:r>
    </w:p>
    <w:p>
      <w:pPr>
        <w:pStyle w:val="Heading4"/>
        <w:spacing w:line="240" w:lineRule="atLeast" w:before="0"/>
        <w:ind w:left="175" w:right="549"/>
      </w:pPr>
      <w:r>
        <w:rPr>
          <w:color w:val="0093C1"/>
        </w:rPr>
        <w:t>Import prices of goods and services and the exchange rate</w:t>
      </w:r>
    </w:p>
    <w:p>
      <w:pPr>
        <w:spacing w:line="242" w:lineRule="auto" w:before="207"/>
        <w:ind w:left="144" w:right="163" w:firstLine="0"/>
        <w:jc w:val="left"/>
        <w:rPr>
          <w:sz w:val="24"/>
        </w:rPr>
      </w:pPr>
      <w:r>
        <w:rPr/>
        <w:br w:type="column"/>
      </w:r>
      <w:r>
        <w:rPr>
          <w:sz w:val="24"/>
        </w:rPr>
        <w:t>commodities measured by the Bank index have risen since the beginning of the year and the annual rate of deflation of the index has declined (see Chart 4.1). The fall in wholesale food prices has accounted for more than half of the fall in the Bank’s non-oil commodity price index since its peak in December 1995 (see Table 4.B).</w:t>
      </w:r>
    </w:p>
    <w:p>
      <w:pPr>
        <w:spacing w:line="242" w:lineRule="auto" w:before="8"/>
        <w:ind w:left="144" w:right="662" w:firstLine="0"/>
        <w:jc w:val="left"/>
        <w:rPr>
          <w:sz w:val="24"/>
        </w:rPr>
      </w:pPr>
      <w:r>
        <w:rPr>
          <w:sz w:val="24"/>
        </w:rPr>
        <w:t>This partly reflects the impact of changes in sterling intervention prices under the Common Agricultural Policy (CAP), and falling livestock prices. But wholesale food prices have risen since January.</w:t>
      </w:r>
    </w:p>
    <w:p>
      <w:pPr>
        <w:pStyle w:val="BodyText"/>
        <w:spacing w:before="9"/>
        <w:rPr>
          <w:sz w:val="24"/>
        </w:rPr>
      </w:pPr>
    </w:p>
    <w:p>
      <w:pPr>
        <w:spacing w:line="242" w:lineRule="auto" w:before="0"/>
        <w:ind w:left="144" w:right="222" w:firstLine="0"/>
        <w:jc w:val="left"/>
        <w:rPr>
          <w:sz w:val="24"/>
        </w:rPr>
      </w:pPr>
      <w:r>
        <w:rPr>
          <w:sz w:val="24"/>
        </w:rPr>
        <w:t>The February </w:t>
      </w:r>
      <w:r>
        <w:rPr>
          <w:i/>
          <w:sz w:val="24"/>
        </w:rPr>
        <w:t>Report </w:t>
      </w:r>
      <w:r>
        <w:rPr>
          <w:sz w:val="24"/>
        </w:rPr>
        <w:t>noted that, since 1 January 1999, intervention prices under the CAP have been calculated in euros and translated into sterling using the market exchange rate. Intervention prices in sterling fell during 1999 Q1 as sterling appreciated against the euro. The ‘Agenda 2000’ package, which includes further changes to the CAP, was agreed by EU Member States at the end of March. The agreed cuts to intervention prices are less than those originally proposed by the European Commission. Price reductions are to be phased in over a few years for cereals and beef, and the reduction in milk prices will not be implemented until 2005–06. The impact on the inflation rate is therefore likely to be negligible over the forecast period.</w:t>
      </w:r>
    </w:p>
    <w:p>
      <w:pPr>
        <w:pStyle w:val="BodyText"/>
        <w:spacing w:before="10"/>
        <w:rPr>
          <w:sz w:val="25"/>
        </w:rPr>
      </w:pPr>
    </w:p>
    <w:p>
      <w:pPr>
        <w:spacing w:line="242" w:lineRule="auto" w:before="0"/>
        <w:ind w:left="144" w:right="332" w:firstLine="0"/>
        <w:jc w:val="left"/>
        <w:rPr>
          <w:sz w:val="24"/>
        </w:rPr>
      </w:pPr>
      <w:r>
        <w:rPr>
          <w:sz w:val="24"/>
        </w:rPr>
        <w:t>The MPC’s central projection assumes that the fall in non-oil commodity prices comes to an end in 1999 and, in line with other forecasts, that dollar prices of commodities increase in 2000.</w:t>
      </w:r>
    </w:p>
    <w:p>
      <w:pPr>
        <w:pStyle w:val="BodyText"/>
        <w:spacing w:before="5"/>
        <w:rPr>
          <w:sz w:val="28"/>
        </w:rPr>
      </w:pPr>
    </w:p>
    <w:p>
      <w:pPr>
        <w:pStyle w:val="ListParagraph"/>
        <w:numPr>
          <w:ilvl w:val="1"/>
          <w:numId w:val="20"/>
        </w:numPr>
        <w:tabs>
          <w:tab w:pos="1093" w:val="left" w:leader="none"/>
          <w:tab w:pos="1094" w:val="left" w:leader="none"/>
          <w:tab w:pos="5664" w:val="left" w:leader="none"/>
        </w:tabs>
        <w:spacing w:line="240" w:lineRule="auto" w:before="1" w:after="0"/>
        <w:ind w:left="1093" w:right="0" w:hanging="950"/>
        <w:jc w:val="left"/>
        <w:rPr>
          <w:b/>
          <w:sz w:val="28"/>
        </w:rPr>
      </w:pPr>
      <w:r>
        <w:rPr>
          <w:b/>
          <w:color w:val="009483"/>
          <w:sz w:val="28"/>
          <w:u w:val="thick" w:color="0093C1"/>
        </w:rPr>
        <w:t>Import prices and the exchange rate</w:t>
        <w:tab/>
      </w:r>
    </w:p>
    <w:p>
      <w:pPr>
        <w:spacing w:after="0" w:line="240" w:lineRule="auto"/>
        <w:jc w:val="left"/>
        <w:rPr>
          <w:sz w:val="28"/>
        </w:rPr>
        <w:sectPr>
          <w:type w:val="continuous"/>
          <w:pgSz w:w="11900" w:h="16840"/>
          <w:pgMar w:top="1220" w:bottom="280" w:left="640" w:right="640"/>
          <w:cols w:num="2" w:equalWidth="0">
            <w:col w:w="4450" w:space="345"/>
            <w:col w:w="5825"/>
          </w:cols>
        </w:sectPr>
      </w:pPr>
    </w:p>
    <w:p>
      <w:pPr>
        <w:pStyle w:val="BodyText"/>
        <w:rPr>
          <w:b/>
          <w:sz w:val="12"/>
        </w:rPr>
      </w:pPr>
    </w:p>
    <w:p>
      <w:pPr>
        <w:spacing w:before="72"/>
        <w:ind w:left="206" w:right="0" w:firstLine="0"/>
        <w:jc w:val="left"/>
        <w:rPr>
          <w:sz w:val="12"/>
        </w:rPr>
      </w:pPr>
      <w:r>
        <w:rPr>
          <w:sz w:val="12"/>
        </w:rPr>
        <w:t>95</w:t>
      </w:r>
    </w:p>
    <w:p>
      <w:pPr>
        <w:pStyle w:val="BodyText"/>
        <w:rPr>
          <w:sz w:val="12"/>
        </w:rPr>
      </w:pPr>
    </w:p>
    <w:p>
      <w:pPr>
        <w:pStyle w:val="BodyText"/>
        <w:spacing w:before="10"/>
        <w:rPr>
          <w:sz w:val="13"/>
        </w:rPr>
      </w:pPr>
    </w:p>
    <w:p>
      <w:pPr>
        <w:spacing w:before="0"/>
        <w:ind w:left="146" w:right="0" w:firstLine="0"/>
        <w:jc w:val="left"/>
        <w:rPr>
          <w:sz w:val="12"/>
        </w:rPr>
      </w:pPr>
      <w:r>
        <w:rPr>
          <w:sz w:val="12"/>
        </w:rPr>
        <w:t>100</w:t>
      </w:r>
    </w:p>
    <w:p>
      <w:pPr>
        <w:pStyle w:val="BodyText"/>
        <w:rPr>
          <w:sz w:val="12"/>
        </w:rPr>
      </w:pPr>
    </w:p>
    <w:p>
      <w:pPr>
        <w:pStyle w:val="BodyText"/>
        <w:spacing w:before="6"/>
        <w:rPr>
          <w:sz w:val="12"/>
        </w:rPr>
      </w:pPr>
    </w:p>
    <w:p>
      <w:pPr>
        <w:spacing w:before="0"/>
        <w:ind w:left="146" w:right="0" w:firstLine="0"/>
        <w:jc w:val="left"/>
        <w:rPr>
          <w:sz w:val="12"/>
        </w:rPr>
      </w:pPr>
      <w:r>
        <w:rPr>
          <w:sz w:val="12"/>
        </w:rPr>
        <w:t>105</w:t>
      </w:r>
    </w:p>
    <w:p>
      <w:pPr>
        <w:pStyle w:val="BodyText"/>
        <w:rPr>
          <w:sz w:val="12"/>
        </w:rPr>
      </w:pPr>
    </w:p>
    <w:p>
      <w:pPr>
        <w:pStyle w:val="BodyText"/>
        <w:spacing w:before="9"/>
        <w:rPr>
          <w:sz w:val="13"/>
        </w:rPr>
      </w:pPr>
    </w:p>
    <w:p>
      <w:pPr>
        <w:spacing w:before="0"/>
        <w:ind w:left="146" w:right="0" w:firstLine="0"/>
        <w:jc w:val="left"/>
        <w:rPr>
          <w:sz w:val="12"/>
        </w:rPr>
      </w:pPr>
      <w:r>
        <w:rPr>
          <w:sz w:val="12"/>
        </w:rPr>
        <w:t>110</w:t>
      </w:r>
    </w:p>
    <w:p>
      <w:pPr>
        <w:pStyle w:val="BodyText"/>
        <w:rPr>
          <w:sz w:val="12"/>
        </w:rPr>
      </w:pPr>
    </w:p>
    <w:p>
      <w:pPr>
        <w:pStyle w:val="BodyText"/>
        <w:spacing w:before="10"/>
        <w:rPr>
          <w:sz w:val="13"/>
        </w:rPr>
      </w:pPr>
    </w:p>
    <w:p>
      <w:pPr>
        <w:spacing w:before="0"/>
        <w:ind w:left="146" w:right="0" w:firstLine="0"/>
        <w:jc w:val="left"/>
        <w:rPr>
          <w:sz w:val="12"/>
        </w:rPr>
      </w:pPr>
      <w:r>
        <w:rPr>
          <w:sz w:val="12"/>
        </w:rPr>
        <w:t>115</w:t>
      </w:r>
    </w:p>
    <w:p>
      <w:pPr>
        <w:pStyle w:val="BodyText"/>
        <w:rPr>
          <w:sz w:val="12"/>
        </w:rPr>
      </w:pPr>
    </w:p>
    <w:p>
      <w:pPr>
        <w:pStyle w:val="BodyText"/>
        <w:spacing w:before="9"/>
        <w:rPr>
          <w:sz w:val="13"/>
        </w:rPr>
      </w:pPr>
    </w:p>
    <w:p>
      <w:pPr>
        <w:spacing w:before="0"/>
        <w:ind w:left="146" w:right="0" w:firstLine="0"/>
        <w:jc w:val="left"/>
        <w:rPr>
          <w:sz w:val="12"/>
        </w:rPr>
      </w:pPr>
      <w:r>
        <w:rPr>
          <w:sz w:val="12"/>
        </w:rPr>
        <w:t>120</w:t>
      </w:r>
    </w:p>
    <w:p>
      <w:pPr>
        <w:pStyle w:val="BodyText"/>
        <w:rPr>
          <w:sz w:val="12"/>
        </w:rPr>
      </w:pPr>
    </w:p>
    <w:p>
      <w:pPr>
        <w:pStyle w:val="BodyText"/>
        <w:spacing w:before="6"/>
        <w:rPr>
          <w:sz w:val="12"/>
        </w:rPr>
      </w:pPr>
    </w:p>
    <w:p>
      <w:pPr>
        <w:spacing w:before="0"/>
        <w:ind w:left="146" w:right="0" w:firstLine="0"/>
        <w:jc w:val="left"/>
        <w:rPr>
          <w:sz w:val="12"/>
        </w:rPr>
      </w:pPr>
      <w:r>
        <w:rPr>
          <w:sz w:val="12"/>
        </w:rPr>
        <w:t>125</w:t>
      </w:r>
    </w:p>
    <w:p>
      <w:pPr>
        <w:pStyle w:val="BodyText"/>
        <w:rPr>
          <w:sz w:val="12"/>
        </w:rPr>
      </w:pPr>
    </w:p>
    <w:p>
      <w:pPr>
        <w:pStyle w:val="BodyText"/>
        <w:spacing w:before="10"/>
        <w:rPr>
          <w:sz w:val="13"/>
        </w:rPr>
      </w:pPr>
    </w:p>
    <w:p>
      <w:pPr>
        <w:spacing w:line="82" w:lineRule="exact" w:before="0"/>
        <w:ind w:left="146" w:right="0" w:firstLine="0"/>
        <w:jc w:val="left"/>
        <w:rPr>
          <w:sz w:val="12"/>
        </w:rPr>
      </w:pPr>
      <w:r>
        <w:rPr>
          <w:sz w:val="12"/>
        </w:rPr>
        <w:t>130</w:t>
      </w:r>
    </w:p>
    <w:p>
      <w:pPr>
        <w:pStyle w:val="BodyText"/>
        <w:spacing w:before="8"/>
        <w:rPr>
          <w:sz w:val="9"/>
        </w:rPr>
      </w:pPr>
      <w:r>
        <w:rPr/>
        <w:br w:type="column"/>
      </w:r>
      <w:r>
        <w:rPr>
          <w:sz w:val="9"/>
        </w:rPr>
      </w:r>
    </w:p>
    <w:p>
      <w:pPr>
        <w:spacing w:before="0"/>
        <w:ind w:left="3" w:right="0" w:firstLine="0"/>
        <w:jc w:val="left"/>
        <w:rPr>
          <w:sz w:val="12"/>
        </w:rPr>
      </w:pPr>
      <w:r>
        <w:rPr>
          <w:sz w:val="12"/>
          <w:u w:val="single"/>
        </w:rPr>
        <w:t>1</w:t>
      </w:r>
      <w:r>
        <w:rPr>
          <w:sz w:val="12"/>
        </w:rPr>
        <w:t>995 = 100</w:t>
      </w:r>
    </w:p>
    <w:p>
      <w:pPr>
        <w:pStyle w:val="BodyText"/>
        <w:rPr>
          <w:sz w:val="12"/>
        </w:rPr>
      </w:pPr>
      <w:r>
        <w:rPr/>
        <w:br w:type="column"/>
      </w:r>
      <w:r>
        <w:rPr>
          <w:sz w:val="12"/>
        </w:rPr>
      </w:r>
    </w:p>
    <w:p>
      <w:pPr>
        <w:pStyle w:val="BodyText"/>
        <w:spacing w:before="4"/>
        <w:rPr>
          <w:sz w:val="16"/>
        </w:rPr>
      </w:pPr>
    </w:p>
    <w:p>
      <w:pPr>
        <w:spacing w:before="0"/>
        <w:ind w:left="146" w:right="0" w:firstLine="0"/>
        <w:jc w:val="left"/>
        <w:rPr>
          <w:sz w:val="12"/>
        </w:rPr>
      </w:pPr>
      <w:r>
        <w:rPr/>
        <w:pict>
          <v:group style="position:absolute;margin-left:50.487999pt;margin-top:4.521543pt;width:164pt;height:144.050pt;mso-position-horizontal-relative:page;mso-position-vertical-relative:paragraph;z-index:-21139968" coordorigin="1010,90" coordsize="3280,2881">
            <v:shape style="position:absolute;left:1315;top:255;width:403;height:293" coordorigin="1316,255" coordsize="403,293" path="m1316,548l1373,520m1373,520l1488,435m1488,435l1603,325m1603,325l1661,255m1661,255l1718,268e" filled="false" stroked="true" strokeweight="1pt" strokecolor="#522e91">
              <v:path arrowok="t"/>
              <v:stroke dashstyle="solid"/>
            </v:shape>
            <v:shape style="position:absolute;left:1708;top:269;width:250;height:2" coordorigin="1708,269" coordsize="250,0" path="m1708,269l1786,269m1766,269l1843,269m1823,269l1901,269m1881,269l1958,269e" filled="false" stroked="true" strokeweight="1.125pt" strokecolor="#522e91">
              <v:path arrowok="t"/>
              <v:stroke dashstyle="solid"/>
            </v:shape>
            <v:line style="position:absolute" from="1948,268" to="2006,255" stroked="true" strokeweight="1pt" strokecolor="#522e91">
              <v:stroke dashstyle="solid"/>
            </v:line>
            <v:shape style="position:absolute;left:1995;top:256;width:135;height:2" coordorigin="1996,257" coordsize="135,0" path="m1996,257l2073,257m2053,257l2131,257e" filled="false" stroked="true" strokeweight="1.125pt" strokecolor="#522e91">
              <v:path arrowok="t"/>
              <v:stroke dashstyle="solid"/>
            </v:shape>
            <v:shape style="position:absolute;left:2120;top:240;width:1785;height:1445" coordorigin="2121,240" coordsize="1785,1445" path="m2121,255l2178,240m2178,240l2236,325m2236,325l2351,465m2351,465l2408,478m2408,478l2466,508m2466,508l2523,520m2523,520l2581,605m2581,605l2638,688m2638,688l2698,760m2698,760l2756,830m2756,830l2813,885m2813,885l2871,955m2871,955l2928,970m2928,970l2986,983m2986,983l3043,998m3043,998l3158,1053m3158,1053l3216,1083m3216,1083l3273,1165m3273,1165l3331,1263m3331,1263l3388,1363m3388,1363l3446,1390m3446,1390l3503,1433m3503,1433l3561,1460m3561,1460l3676,1545m3676,1545l3733,1573m3733,1573l3848,1658m3848,1658l3906,1685e" filled="false" stroked="true" strokeweight="1pt" strokecolor="#522e91">
              <v:path arrowok="t"/>
              <v:stroke dashstyle="solid"/>
            </v:shape>
            <v:shape style="position:absolute;left:1315;top:295;width:345;height:225" coordorigin="1316,295" coordsize="345,225" path="m1316,520l1373,478m1373,478l1431,423m1431,423l1488,380m1488,380l1603,325m1603,325l1661,295e" filled="false" stroked="true" strokeweight="1pt" strokecolor="#a6af49">
              <v:path arrowok="t"/>
              <v:stroke dashstyle="solid"/>
            </v:shape>
            <v:line style="position:absolute" from="1651,297" to="1728,297" stroked="true" strokeweight="1.125pt" strokecolor="#a6af49">
              <v:stroke dashstyle="solid"/>
            </v:line>
            <v:shape style="position:absolute;left:1718;top:100;width:1268;height:785" coordorigin="1718,100" coordsize="1268,785" path="m1718,295l1833,325m1833,325l1891,240m1891,240l2006,100m2006,100l2063,113m2063,113l2178,143m2178,143l2236,155m2236,155l2293,183m2293,183l2351,213m2351,213l2466,493m2466,493l2523,648m2523,648l2581,660m2581,660l2638,688m2638,688l2698,703m2698,703l2756,760m2756,760l2813,815m2813,815l2871,858m2871,858l2928,870m2928,870l2986,885e" filled="false" stroked="true" strokeweight="1pt" strokecolor="#a6af49">
              <v:path arrowok="t"/>
              <v:stroke dashstyle="solid"/>
            </v:shape>
            <v:line style="position:absolute" from="2976,887" to="3053,887" stroked="true" strokeweight="1.125pt" strokecolor="#a6af49">
              <v:stroke dashstyle="solid"/>
            </v:line>
            <v:shape style="position:absolute;left:3043;top:870;width:863;height:268" coordorigin="3043,870" coordsize="863,268" path="m3043,885l3101,940m3101,940l3158,983m3158,983l3216,1040m3216,1040l3331,1095m3331,1095l3388,1138m3388,1138l3503,1083m3503,1083l3561,1068m3561,1068l3618,1040m3618,1040l3676,1010m3676,1010l3733,998m3733,998l3906,870e" filled="false" stroked="true" strokeweight="1pt" strokecolor="#a6af49">
              <v:path arrowok="t"/>
              <v:stroke dashstyle="solid"/>
            </v:shape>
            <v:shape style="position:absolute;left:1200;top:182;width:1438;height:1475" coordorigin="1201,183" coordsize="1438,1475" path="m1661,380l1718,325m1718,325l1776,225m1201,745l1258,633m1258,633l1316,450m1316,450l1373,338m1373,338l1431,325m1431,325l1488,310m1488,310l1546,255m1546,255l1603,338m1603,338l1661,380m1776,225l1833,183m1833,183l1891,213m1891,213l1948,268m1948,268l2006,240m2006,240l2063,268m2063,268l2121,353m2121,353l2178,493m2178,493l2236,465m2236,465l2293,365m2293,365l2351,508m2351,508l2408,745m2408,745l2466,1110m2466,1110l2523,1293m2523,1293l2581,1503m2581,1503l2638,1658e" filled="false" stroked="true" strokeweight="1pt" strokecolor="#f7a08b">
              <v:path arrowok="t"/>
              <v:stroke dashstyle="solid"/>
            </v:shape>
            <v:line style="position:absolute" from="2628,1659" to="2708,1659" stroked="true" strokeweight="1.125pt" strokecolor="#f7a08b">
              <v:stroke dashstyle="solid"/>
            </v:line>
            <v:shape style="position:absolute;left:2698;top:1657;width:575;height:743" coordorigin="2698,1658" coordsize="575,743" path="m2698,1658l2756,1868m2756,1868l2813,1825m2813,1825l2871,1965m2871,1965l2928,2373m2928,2373l2986,2175m2986,2175l3043,1965m3043,1965l3101,2035m3101,2035l3158,2303m3158,2303l3216,2373m3216,2373l3273,2400e" filled="false" stroked="true" strokeweight="1pt" strokecolor="#f7a08b">
              <v:path arrowok="t"/>
              <v:stroke dashstyle="solid"/>
            </v:shape>
            <v:line style="position:absolute" from="3263,2402" to="3341,2402" stroked="true" strokeweight="1.125pt" strokecolor="#f7a08b">
              <v:stroke dashstyle="solid"/>
            </v:line>
            <v:shape style="position:absolute;left:3330;top:1880;width:805;height:758" coordorigin="3331,1880" coordsize="805,758" path="m3331,2400l3388,2610m3388,2610l3446,2638m3446,2638l3503,2260m3503,2260l3561,2470m3561,2470l3618,2455m3618,2455l3676,2385m3676,2385l3733,2260m3733,2260l3791,1993m3791,1993l3848,1980m3848,1980l3906,1965m3906,1965l3963,1880m3963,1880l4021,2008m4021,2008l4078,2203m4078,2203l4136,2120e" filled="false" stroked="true" strokeweight="1pt" strokecolor="#f7a08b">
              <v:path arrowok="t"/>
              <v:stroke dashstyle="solid"/>
            </v:shape>
            <v:shape style="position:absolute;left:1200;top:295;width:230;height:393" coordorigin="1201,295" coordsize="230,393" path="m1201,688l1258,590m1258,590l1316,450m1316,450l1373,338m1373,338l1431,295e" filled="false" stroked="true" strokeweight="1pt" strokecolor="#0099d8">
              <v:path arrowok="t"/>
              <v:stroke dashstyle="solid"/>
            </v:shape>
            <v:line style="position:absolute" from="1421,297" to="1498,297" stroked="true" strokeweight="1.125pt" strokecolor="#0099d8">
              <v:stroke dashstyle="solid"/>
            </v:line>
            <v:shape style="position:absolute;left:1488;top:240;width:690;height:280" coordorigin="1488,240" coordsize="690,280" path="m1488,295l1546,268m1546,268l1603,338m1603,338l1661,380m1661,380l1718,353m1718,353l1776,268m1776,268l1833,240m1833,240l1891,255m1891,255l1948,310m1948,310l2006,283m2006,283l2063,295m2063,295l2121,365m2121,365l2178,520e" filled="false" stroked="true" strokeweight="1pt" strokecolor="#0099d8">
              <v:path arrowok="t"/>
              <v:stroke dashstyle="solid"/>
            </v:shape>
            <v:line style="position:absolute" from="2168,522" to="2246,522" stroked="true" strokeweight="1.125pt" strokecolor="#0099d8">
              <v:stroke dashstyle="solid"/>
            </v:line>
            <v:shape style="position:absolute;left:2235;top:435;width:1843;height:2413" coordorigin="2236,435" coordsize="1843,2413" path="m2236,520l2293,435m2293,435l2351,563m2351,563l2408,800m2408,800l2466,1180m2466,1180l2523,1348m2523,1348l2581,1530m2581,1530l2638,1643m2638,1643l2698,1628m2698,1628l2756,1838m2756,1838l2813,1810m2813,1810l2871,1938m2871,1938l2928,2330m2928,2330l2986,2133m2986,2133l3043,1980m3043,1980l3101,2105m3101,2105l3158,2443m3158,2443l3216,2525m3216,2525l3273,2653m3273,2653l3331,2625m3331,2625l3388,2808m3388,2808l3446,2848m3446,2848l3503,2513m3503,2513l3561,2750m3561,2750l3618,2738m3618,2738l3676,2680m3676,2680l3733,2625m3733,2625l3791,2358m3791,2358l3848,2315m3848,2315l3906,2303m3906,2303l3963,2218m3963,2218l4021,2343m4021,2343l4078,2525e" filled="false" stroked="true" strokeweight="1pt" strokecolor="#0099d8">
              <v:path arrowok="t"/>
              <v:stroke dashstyle="solid"/>
            </v:shape>
            <v:line style="position:absolute" from="4068,2527" to="4146,2527" stroked="true" strokeweight="1.125pt" strokecolor="#0099d8">
              <v:stroke dashstyle="solid"/>
            </v:line>
            <v:shape style="position:absolute;left:1165;top:2884;width:2970;height:87" coordorigin="1166,2884" coordsize="2970,87" path="m1166,2964l4136,2964m1166,2884l1166,2971m3939,2884l3939,2971m3246,2884l3246,2971m2552,2884l2552,2971m1859,2884l1859,2971e" filled="false" stroked="true" strokeweight=".5pt" strokecolor="#231f20">
              <v:path arrowok="t"/>
              <v:stroke dashstyle="solid"/>
            </v:shape>
            <v:shape style="position:absolute;left:1009;top:375;width:3280;height:2589" coordorigin="1010,376" coordsize="3280,2589" path="m1010,376l1096,376m1010,808l1096,808m1010,1239l1096,1239m1010,1670l1096,1670m1010,2102l1096,2102m1010,2533l1096,2533m1010,2965l1096,2965m4202,376l4289,376m4202,807l4289,807m4202,1239l4289,1239m4202,1670l4289,1670m4202,2102l4289,2102m4202,2533l4289,2533m4202,2965l4289,2965e" filled="false" stroked="true" strokeweight=".5pt" strokecolor="#000000">
              <v:path arrowok="t"/>
              <v:stroke dashstyle="solid"/>
            </v:shape>
            <v:shape style="position:absolute;left:2418;top:1888;width:319;height:170" type="#_x0000_t75" stroked="false">
              <v:imagedata r:id="rId106" o:title=""/>
            </v:shape>
            <v:shape style="position:absolute;left:1009;top:90;width:3280;height:2881"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08" w:lineRule="auto" w:before="107"/>
                      <w:ind w:left="1935" w:right="741" w:hanging="60"/>
                      <w:jc w:val="left"/>
                      <w:rPr>
                        <w:sz w:val="12"/>
                      </w:rPr>
                    </w:pPr>
                    <w:r>
                      <w:rPr>
                        <w:sz w:val="12"/>
                      </w:rPr>
                      <w:t>Import prices of goods (a)</w:t>
                    </w:r>
                  </w:p>
                  <w:p>
                    <w:pPr>
                      <w:spacing w:line="240" w:lineRule="auto" w:before="0"/>
                      <w:rPr>
                        <w:sz w:val="12"/>
                      </w:rPr>
                    </w:pPr>
                  </w:p>
                  <w:p>
                    <w:pPr>
                      <w:spacing w:line="240" w:lineRule="auto" w:before="0"/>
                      <w:rPr>
                        <w:sz w:val="12"/>
                      </w:rPr>
                    </w:pPr>
                  </w:p>
                  <w:p>
                    <w:pPr>
                      <w:spacing w:line="208" w:lineRule="auto" w:before="106"/>
                      <w:ind w:left="493" w:right="1530" w:hanging="60"/>
                      <w:jc w:val="left"/>
                      <w:rPr>
                        <w:sz w:val="12"/>
                      </w:rPr>
                    </w:pPr>
                    <w:r>
                      <w:rPr>
                        <w:sz w:val="12"/>
                      </w:rPr>
                      <w:t>Sterling effective index (b) (inverted, left-hand scale)</w:t>
                    </w:r>
                  </w:p>
                  <w:p>
                    <w:pPr>
                      <w:spacing w:line="240" w:lineRule="auto" w:before="10"/>
                      <w:rPr>
                        <w:sz w:val="11"/>
                      </w:rPr>
                    </w:pPr>
                  </w:p>
                  <w:p>
                    <w:pPr>
                      <w:spacing w:line="129" w:lineRule="exact" w:before="0"/>
                      <w:ind w:left="920" w:right="0" w:firstLine="0"/>
                      <w:jc w:val="left"/>
                      <w:rPr>
                        <w:sz w:val="12"/>
                      </w:rPr>
                    </w:pPr>
                    <w:r>
                      <w:rPr>
                        <w:sz w:val="12"/>
                      </w:rPr>
                      <w:t>Broad ERI (b)</w:t>
                    </w:r>
                  </w:p>
                  <w:p>
                    <w:pPr>
                      <w:spacing w:line="129" w:lineRule="exact" w:before="0"/>
                      <w:ind w:left="980" w:right="0" w:firstLine="0"/>
                      <w:jc w:val="left"/>
                      <w:rPr>
                        <w:sz w:val="12"/>
                      </w:rPr>
                    </w:pPr>
                    <w:r>
                      <w:rPr>
                        <w:sz w:val="12"/>
                      </w:rPr>
                      <w:t>(inverted, left-hand scale)</w:t>
                    </w:r>
                  </w:p>
                </w:txbxContent>
              </v:textbox>
              <w10:wrap type="none"/>
            </v:shape>
            <w10:wrap type="none"/>
          </v:group>
        </w:pict>
      </w:r>
      <w:r>
        <w:rPr>
          <w:sz w:val="12"/>
        </w:rPr>
        <w:t>Import prices of services (a)</w:t>
      </w:r>
    </w:p>
    <w:p>
      <w:pPr>
        <w:pStyle w:val="BodyText"/>
        <w:spacing w:before="8"/>
        <w:rPr>
          <w:sz w:val="9"/>
        </w:rPr>
      </w:pPr>
      <w:r>
        <w:rPr/>
        <w:br w:type="column"/>
      </w:r>
      <w:r>
        <w:rPr>
          <w:sz w:val="9"/>
        </w:rPr>
      </w:r>
    </w:p>
    <w:p>
      <w:pPr>
        <w:spacing w:before="0"/>
        <w:ind w:left="135" w:right="0" w:firstLine="0"/>
        <w:jc w:val="left"/>
        <w:rPr>
          <w:sz w:val="12"/>
        </w:rPr>
      </w:pPr>
      <w:r>
        <w:rPr>
          <w:sz w:val="12"/>
        </w:rPr>
        <w:t>1995 = 1</w:t>
      </w:r>
      <w:r>
        <w:rPr>
          <w:sz w:val="12"/>
          <w:u w:val="single"/>
        </w:rPr>
        <w:t>00</w:t>
      </w:r>
    </w:p>
    <w:p>
      <w:pPr>
        <w:pStyle w:val="BodyText"/>
        <w:spacing w:before="8"/>
        <w:rPr>
          <w:sz w:val="17"/>
        </w:rPr>
      </w:pPr>
      <w:r>
        <w:rPr/>
        <w:br w:type="column"/>
      </w:r>
      <w:r>
        <w:rPr>
          <w:sz w:val="17"/>
        </w:rPr>
      </w:r>
    </w:p>
    <w:p>
      <w:pPr>
        <w:spacing w:before="0"/>
        <w:ind w:left="10" w:right="0" w:firstLine="0"/>
        <w:jc w:val="left"/>
        <w:rPr>
          <w:sz w:val="12"/>
        </w:rPr>
      </w:pPr>
      <w:r>
        <w:rPr>
          <w:sz w:val="12"/>
        </w:rPr>
        <w:t>105</w:t>
      </w:r>
    </w:p>
    <w:p>
      <w:pPr>
        <w:pStyle w:val="BodyText"/>
        <w:rPr>
          <w:sz w:val="12"/>
        </w:rPr>
      </w:pPr>
    </w:p>
    <w:p>
      <w:pPr>
        <w:pStyle w:val="BodyText"/>
        <w:spacing w:before="10"/>
        <w:rPr>
          <w:sz w:val="13"/>
        </w:rPr>
      </w:pPr>
    </w:p>
    <w:p>
      <w:pPr>
        <w:spacing w:before="0"/>
        <w:ind w:left="10" w:right="0" w:firstLine="0"/>
        <w:jc w:val="left"/>
        <w:rPr>
          <w:sz w:val="12"/>
        </w:rPr>
      </w:pPr>
      <w:r>
        <w:rPr>
          <w:sz w:val="12"/>
        </w:rPr>
        <w:t>100</w:t>
      </w:r>
    </w:p>
    <w:p>
      <w:pPr>
        <w:pStyle w:val="BodyText"/>
        <w:rPr>
          <w:sz w:val="12"/>
        </w:rPr>
      </w:pPr>
    </w:p>
    <w:p>
      <w:pPr>
        <w:pStyle w:val="BodyText"/>
        <w:spacing w:before="6"/>
        <w:rPr>
          <w:sz w:val="12"/>
        </w:rPr>
      </w:pPr>
    </w:p>
    <w:p>
      <w:pPr>
        <w:spacing w:before="0"/>
        <w:ind w:left="70" w:right="0" w:firstLine="0"/>
        <w:jc w:val="left"/>
        <w:rPr>
          <w:sz w:val="12"/>
        </w:rPr>
      </w:pPr>
      <w:r>
        <w:rPr>
          <w:sz w:val="12"/>
        </w:rPr>
        <w:t>95</w:t>
      </w:r>
    </w:p>
    <w:p>
      <w:pPr>
        <w:pStyle w:val="BodyText"/>
        <w:rPr>
          <w:sz w:val="12"/>
        </w:rPr>
      </w:pPr>
    </w:p>
    <w:p>
      <w:pPr>
        <w:pStyle w:val="BodyText"/>
        <w:spacing w:before="9"/>
        <w:rPr>
          <w:sz w:val="13"/>
        </w:rPr>
      </w:pPr>
    </w:p>
    <w:p>
      <w:pPr>
        <w:spacing w:before="0"/>
        <w:ind w:left="70" w:right="0" w:firstLine="0"/>
        <w:jc w:val="left"/>
        <w:rPr>
          <w:sz w:val="12"/>
        </w:rPr>
      </w:pPr>
      <w:r>
        <w:rPr>
          <w:sz w:val="12"/>
        </w:rPr>
        <w:t>90</w:t>
      </w:r>
    </w:p>
    <w:p>
      <w:pPr>
        <w:pStyle w:val="BodyText"/>
        <w:rPr>
          <w:sz w:val="12"/>
        </w:rPr>
      </w:pPr>
    </w:p>
    <w:p>
      <w:pPr>
        <w:pStyle w:val="BodyText"/>
        <w:spacing w:before="10"/>
        <w:rPr>
          <w:sz w:val="13"/>
        </w:rPr>
      </w:pPr>
    </w:p>
    <w:p>
      <w:pPr>
        <w:spacing w:before="0"/>
        <w:ind w:left="70" w:right="0" w:firstLine="0"/>
        <w:jc w:val="left"/>
        <w:rPr>
          <w:sz w:val="12"/>
        </w:rPr>
      </w:pPr>
      <w:r>
        <w:rPr>
          <w:sz w:val="12"/>
        </w:rPr>
        <w:t>85</w:t>
      </w:r>
    </w:p>
    <w:p>
      <w:pPr>
        <w:pStyle w:val="BodyText"/>
        <w:rPr>
          <w:sz w:val="12"/>
        </w:rPr>
      </w:pPr>
    </w:p>
    <w:p>
      <w:pPr>
        <w:pStyle w:val="BodyText"/>
        <w:spacing w:before="9"/>
        <w:rPr>
          <w:sz w:val="13"/>
        </w:rPr>
      </w:pPr>
    </w:p>
    <w:p>
      <w:pPr>
        <w:spacing w:before="0"/>
        <w:ind w:left="70" w:right="0" w:firstLine="0"/>
        <w:jc w:val="left"/>
        <w:rPr>
          <w:sz w:val="12"/>
        </w:rPr>
      </w:pPr>
      <w:r>
        <w:rPr>
          <w:sz w:val="12"/>
        </w:rPr>
        <w:t>80</w:t>
      </w:r>
    </w:p>
    <w:p>
      <w:pPr>
        <w:pStyle w:val="BodyText"/>
        <w:rPr>
          <w:sz w:val="12"/>
        </w:rPr>
      </w:pPr>
    </w:p>
    <w:p>
      <w:pPr>
        <w:pStyle w:val="BodyText"/>
        <w:spacing w:before="6"/>
        <w:rPr>
          <w:sz w:val="12"/>
        </w:rPr>
      </w:pPr>
    </w:p>
    <w:p>
      <w:pPr>
        <w:spacing w:before="0"/>
        <w:ind w:left="70" w:right="0" w:firstLine="0"/>
        <w:jc w:val="left"/>
        <w:rPr>
          <w:sz w:val="12"/>
        </w:rPr>
      </w:pPr>
      <w:r>
        <w:rPr>
          <w:sz w:val="12"/>
        </w:rPr>
        <w:t>75</w:t>
      </w:r>
    </w:p>
    <w:p>
      <w:pPr>
        <w:pStyle w:val="BodyText"/>
        <w:rPr>
          <w:sz w:val="12"/>
        </w:rPr>
      </w:pPr>
    </w:p>
    <w:p>
      <w:pPr>
        <w:pStyle w:val="BodyText"/>
        <w:spacing w:before="10"/>
        <w:rPr>
          <w:sz w:val="13"/>
        </w:rPr>
      </w:pPr>
    </w:p>
    <w:p>
      <w:pPr>
        <w:spacing w:line="88" w:lineRule="exact" w:before="0"/>
        <w:ind w:left="70" w:right="0" w:firstLine="0"/>
        <w:jc w:val="left"/>
        <w:rPr>
          <w:sz w:val="12"/>
        </w:rPr>
      </w:pPr>
      <w:r>
        <w:rPr>
          <w:sz w:val="12"/>
        </w:rPr>
        <w:t>70</w:t>
      </w:r>
    </w:p>
    <w:p>
      <w:pPr>
        <w:spacing w:line="213" w:lineRule="exact" w:before="0"/>
        <w:ind w:left="146" w:right="0" w:firstLine="0"/>
        <w:jc w:val="left"/>
        <w:rPr>
          <w:sz w:val="24"/>
        </w:rPr>
      </w:pPr>
      <w:r>
        <w:rPr/>
        <w:br w:type="column"/>
      </w:r>
      <w:r>
        <w:rPr>
          <w:sz w:val="24"/>
        </w:rPr>
        <w:t>Sterling prices of imported goods and services fell by</w:t>
      </w:r>
    </w:p>
    <w:p>
      <w:pPr>
        <w:spacing w:line="242" w:lineRule="auto" w:before="4"/>
        <w:ind w:left="146" w:right="215" w:firstLine="0"/>
        <w:jc w:val="left"/>
        <w:rPr>
          <w:sz w:val="24"/>
        </w:rPr>
      </w:pPr>
      <w:r>
        <w:rPr>
          <w:sz w:val="24"/>
        </w:rPr>
        <w:t>5.7% in the year to 1998 Q4, and were 14.8% lower </w:t>
      </w:r>
      <w:r>
        <w:rPr>
          <w:spacing w:val="-5"/>
          <w:sz w:val="24"/>
        </w:rPr>
        <w:t>than </w:t>
      </w:r>
      <w:r>
        <w:rPr>
          <w:sz w:val="24"/>
        </w:rPr>
        <w:t>in 1996 Q2, just prior to sterling’s marked appreciation. Goods account for around 80% of total UK imports and services 20%. Since 1996 Q2, the prices of imported goods </w:t>
      </w:r>
      <w:r>
        <w:rPr>
          <w:spacing w:val="-3"/>
          <w:sz w:val="24"/>
        </w:rPr>
        <w:t>have </w:t>
      </w:r>
      <w:r>
        <w:rPr>
          <w:sz w:val="24"/>
        </w:rPr>
        <w:t>fallen much more than those of</w:t>
      </w:r>
      <w:r>
        <w:rPr>
          <w:spacing w:val="3"/>
          <w:sz w:val="24"/>
        </w:rPr>
        <w:t> </w:t>
      </w:r>
      <w:r>
        <w:rPr>
          <w:sz w:val="24"/>
        </w:rPr>
        <w:t>services.</w:t>
      </w:r>
    </w:p>
    <w:p>
      <w:pPr>
        <w:spacing w:line="242" w:lineRule="auto" w:before="6"/>
        <w:ind w:left="146" w:right="228" w:firstLine="0"/>
        <w:jc w:val="left"/>
        <w:rPr>
          <w:sz w:val="24"/>
        </w:rPr>
      </w:pPr>
      <w:r>
        <w:rPr>
          <w:sz w:val="24"/>
        </w:rPr>
        <w:t>Prices in sterling of imported goods have fallen by 16.5% since 1996 Q2, but those for services have fallen by 8.3%. Over the past twelve months the prices of imported services have risen.</w:t>
      </w:r>
    </w:p>
    <w:p>
      <w:pPr>
        <w:pStyle w:val="BodyText"/>
        <w:spacing w:before="9"/>
        <w:rPr>
          <w:sz w:val="24"/>
        </w:rPr>
      </w:pPr>
    </w:p>
    <w:p>
      <w:pPr>
        <w:spacing w:before="0"/>
        <w:ind w:left="146" w:right="0" w:firstLine="0"/>
        <w:jc w:val="left"/>
        <w:rPr>
          <w:sz w:val="24"/>
        </w:rPr>
      </w:pPr>
      <w:r>
        <w:rPr>
          <w:sz w:val="24"/>
        </w:rPr>
        <w:t>Import prices both of goods and services were initially</w:t>
      </w:r>
    </w:p>
    <w:p>
      <w:pPr>
        <w:spacing w:after="0"/>
        <w:jc w:val="left"/>
        <w:rPr>
          <w:sz w:val="24"/>
        </w:rPr>
        <w:sectPr>
          <w:type w:val="continuous"/>
          <w:pgSz w:w="11900" w:h="16840"/>
          <w:pgMar w:top="1220" w:bottom="280" w:left="640" w:right="640"/>
          <w:cols w:num="6" w:equalWidth="0">
            <w:col w:w="327" w:space="40"/>
            <w:col w:w="591" w:space="468"/>
            <w:col w:w="1500" w:space="40"/>
            <w:col w:w="684" w:space="39"/>
            <w:col w:w="231" w:space="873"/>
            <w:col w:w="5827"/>
          </w:cols>
        </w:sectPr>
      </w:pPr>
    </w:p>
    <w:p>
      <w:pPr>
        <w:tabs>
          <w:tab w:pos="1502" w:val="left" w:leader="none"/>
          <w:tab w:pos="2195" w:val="left" w:leader="none"/>
          <w:tab w:pos="2885" w:val="left" w:leader="none"/>
          <w:tab w:pos="3372" w:val="left" w:leader="none"/>
        </w:tabs>
        <w:spacing w:before="20"/>
        <w:ind w:left="717" w:right="0" w:firstLine="0"/>
        <w:jc w:val="left"/>
        <w:rPr>
          <w:sz w:val="12"/>
        </w:rPr>
      </w:pPr>
      <w:r>
        <w:rPr>
          <w:sz w:val="12"/>
        </w:rPr>
        <w:t>1995</w:t>
        <w:tab/>
        <w:t>96</w:t>
        <w:tab/>
        <w:t>97</w:t>
        <w:tab/>
        <w:t>98</w:t>
        <w:tab/>
        <w:t>99</w:t>
      </w:r>
    </w:p>
    <w:p>
      <w:pPr>
        <w:pStyle w:val="BodyText"/>
        <w:spacing w:before="2"/>
        <w:rPr>
          <w:sz w:val="11"/>
        </w:rPr>
      </w:pPr>
    </w:p>
    <w:p>
      <w:pPr>
        <w:spacing w:line="208" w:lineRule="auto" w:before="0"/>
        <w:ind w:left="535" w:right="38" w:hanging="360"/>
        <w:jc w:val="both"/>
        <w:rPr>
          <w:sz w:val="12"/>
        </w:rPr>
      </w:pPr>
      <w:r>
        <w:rPr>
          <w:sz w:val="12"/>
        </w:rPr>
        <w:t>Note: The ERI is measured against 20 industrialised countries. The broad ERI is measured against 49 countries. The import price index covers imports from all countries.</w:t>
      </w:r>
    </w:p>
    <w:p>
      <w:pPr>
        <w:pStyle w:val="ListParagraph"/>
        <w:numPr>
          <w:ilvl w:val="0"/>
          <w:numId w:val="23"/>
        </w:numPr>
        <w:tabs>
          <w:tab w:pos="416" w:val="left" w:leader="none"/>
        </w:tabs>
        <w:spacing w:line="129" w:lineRule="exact" w:before="105" w:after="0"/>
        <w:ind w:left="415" w:right="0" w:hanging="241"/>
        <w:jc w:val="left"/>
        <w:rPr>
          <w:sz w:val="12"/>
        </w:rPr>
      </w:pPr>
      <w:r>
        <w:rPr>
          <w:sz w:val="12"/>
        </w:rPr>
        <w:t>Based on quarterly National Accounts data.</w:t>
      </w:r>
    </w:p>
    <w:p>
      <w:pPr>
        <w:pStyle w:val="ListParagraph"/>
        <w:numPr>
          <w:ilvl w:val="0"/>
          <w:numId w:val="23"/>
        </w:numPr>
        <w:tabs>
          <w:tab w:pos="416" w:val="left" w:leader="none"/>
        </w:tabs>
        <w:spacing w:line="129" w:lineRule="exact" w:before="0" w:after="0"/>
        <w:ind w:left="415" w:right="0" w:hanging="241"/>
        <w:jc w:val="left"/>
        <w:rPr>
          <w:sz w:val="12"/>
        </w:rPr>
      </w:pPr>
      <w:r>
        <w:rPr>
          <w:sz w:val="12"/>
        </w:rPr>
        <w:t>A fall indicates an appreciation.</w:t>
      </w:r>
    </w:p>
    <w:p>
      <w:pPr>
        <w:spacing w:line="242" w:lineRule="auto" w:before="0"/>
        <w:ind w:left="175" w:right="176" w:firstLine="0"/>
        <w:jc w:val="left"/>
        <w:rPr>
          <w:sz w:val="24"/>
        </w:rPr>
      </w:pPr>
      <w:r>
        <w:rPr/>
        <w:br w:type="column"/>
      </w:r>
      <w:r>
        <w:rPr>
          <w:sz w:val="24"/>
        </w:rPr>
        <w:t>slow to respond to the appreciation of sterling. Despite falling world prices for manufactures during 1997–98, the decline in imported goods prices broadly matched </w:t>
      </w:r>
      <w:r>
        <w:rPr>
          <w:spacing w:val="-7"/>
          <w:sz w:val="24"/>
        </w:rPr>
        <w:t>the </w:t>
      </w:r>
      <w:r>
        <w:rPr>
          <w:sz w:val="24"/>
        </w:rPr>
        <w:t>extent of the appreciation only by 1998 Q4 as sterling fell back a little (see Chart 4.2). Overseas exporters to the United Kingdom may </w:t>
      </w:r>
      <w:r>
        <w:rPr>
          <w:spacing w:val="-3"/>
          <w:sz w:val="24"/>
        </w:rPr>
        <w:t>have </w:t>
      </w:r>
      <w:r>
        <w:rPr>
          <w:sz w:val="24"/>
        </w:rPr>
        <w:t>initially widened</w:t>
      </w:r>
      <w:r>
        <w:rPr>
          <w:spacing w:val="1"/>
          <w:sz w:val="24"/>
        </w:rPr>
        <w:t> </w:t>
      </w:r>
      <w:r>
        <w:rPr>
          <w:sz w:val="24"/>
        </w:rPr>
        <w:t>margins</w:t>
      </w:r>
    </w:p>
    <w:p>
      <w:pPr>
        <w:spacing w:after="0" w:line="242" w:lineRule="auto"/>
        <w:jc w:val="left"/>
        <w:rPr>
          <w:sz w:val="24"/>
        </w:rPr>
        <w:sectPr>
          <w:type w:val="continuous"/>
          <w:pgSz w:w="11900" w:h="16840"/>
          <w:pgMar w:top="1220" w:bottom="280" w:left="640" w:right="640"/>
          <w:cols w:num="2" w:equalWidth="0">
            <w:col w:w="3559" w:space="1206"/>
            <w:col w:w="5855"/>
          </w:cols>
        </w:sectPr>
      </w:pPr>
    </w:p>
    <w:p>
      <w:pPr>
        <w:pStyle w:val="BodyText"/>
        <w:rPr>
          <w:sz w:val="20"/>
        </w:rPr>
      </w:pPr>
    </w:p>
    <w:p>
      <w:pPr>
        <w:spacing w:after="0"/>
        <w:rPr>
          <w:sz w:val="20"/>
        </w:rPr>
        <w:sectPr>
          <w:footerReference w:type="default" r:id="rId107"/>
          <w:footerReference w:type="even" r:id="rId108"/>
          <w:pgSz w:w="11900" w:h="16840"/>
          <w:pgMar w:footer="617" w:header="586" w:top="780" w:bottom="800" w:left="640" w:right="640"/>
          <w:pgNumType w:start="35"/>
        </w:sectPr>
      </w:pPr>
    </w:p>
    <w:p>
      <w:pPr>
        <w:pStyle w:val="BodyText"/>
        <w:rPr>
          <w:sz w:val="22"/>
        </w:rPr>
      </w:pPr>
    </w:p>
    <w:p>
      <w:pPr>
        <w:pStyle w:val="BodyText"/>
        <w:rPr>
          <w:sz w:val="22"/>
        </w:rPr>
      </w:pPr>
    </w:p>
    <w:p>
      <w:pPr>
        <w:pStyle w:val="BodyText"/>
        <w:spacing w:before="10"/>
        <w:rPr>
          <w:sz w:val="19"/>
        </w:rPr>
      </w:pPr>
    </w:p>
    <w:p>
      <w:pPr>
        <w:pStyle w:val="Heading4"/>
        <w:spacing w:before="1"/>
        <w:ind w:left="220"/>
      </w:pPr>
      <w:bookmarkStart w:name="Costs and prices in manufacturing" w:id="62"/>
      <w:bookmarkEnd w:id="62"/>
      <w:r>
        <w:rPr>
          <w:b w:val="0"/>
        </w:rPr>
      </w:r>
      <w:bookmarkStart w:name="Costs and prices in the service sector" w:id="63"/>
      <w:bookmarkEnd w:id="63"/>
      <w:r>
        <w:rPr>
          <w:b w:val="0"/>
        </w:rPr>
      </w:r>
      <w:bookmarkStart w:name="_bookmark25" w:id="64"/>
      <w:bookmarkEnd w:id="64"/>
      <w:r>
        <w:rPr>
          <w:b w:val="0"/>
        </w:rPr>
      </w:r>
      <w:r>
        <w:rPr>
          <w:color w:val="0093C1"/>
        </w:rPr>
        <w:t>Chart 4.3</w:t>
      </w:r>
    </w:p>
    <w:p>
      <w:pPr>
        <w:pStyle w:val="Heading4"/>
        <w:spacing w:line="249" w:lineRule="auto"/>
        <w:ind w:left="220" w:right="-20"/>
        <w:rPr>
          <w:b w:val="0"/>
          <w:sz w:val="12"/>
        </w:rPr>
      </w:pPr>
      <w:r>
        <w:rPr>
          <w:color w:val="0093C1"/>
        </w:rPr>
        <w:t>Ratio of UK import prices to major six overseas economies’ export prices</w:t>
      </w:r>
      <w:r>
        <w:rPr>
          <w:b w:val="0"/>
          <w:position w:val="4"/>
          <w:sz w:val="12"/>
        </w:rPr>
        <w:t>(a)</w:t>
      </w:r>
    </w:p>
    <w:p>
      <w:pPr>
        <w:spacing w:before="115"/>
        <w:ind w:left="0" w:right="32" w:firstLine="0"/>
        <w:jc w:val="right"/>
        <w:rPr>
          <w:sz w:val="12"/>
        </w:rPr>
      </w:pPr>
      <w:r>
        <w:rPr>
          <w:sz w:val="12"/>
        </w:rPr>
        <w:t>1995 = 100</w:t>
      </w:r>
    </w:p>
    <w:p>
      <w:pPr>
        <w:pStyle w:val="BodyText"/>
        <w:spacing w:before="5"/>
        <w:rPr>
          <w:sz w:val="2"/>
        </w:rPr>
      </w:pPr>
    </w:p>
    <w:p>
      <w:pPr>
        <w:tabs>
          <w:tab w:pos="3398" w:val="left" w:leader="none"/>
        </w:tabs>
        <w:spacing w:line="20" w:lineRule="exact"/>
        <w:ind w:left="187" w:right="-29" w:firstLine="0"/>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r>
        <w:rPr>
          <w:sz w:val="2"/>
        </w:rPr>
        <w:tab/>
      </w: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spacing w:before="4"/>
        <w:rPr>
          <w:sz w:val="12"/>
        </w:rPr>
      </w:pPr>
      <w:r>
        <w:rPr/>
        <w:pict>
          <v:shape style="position:absolute;margin-left:41.625pt;margin-top:9.337252pt;width:4.350pt;height:.1pt;mso-position-horizontal-relative:page;mso-position-vertical-relative:paragraph;z-index:-15461376;mso-wrap-distance-left:0;mso-wrap-distance-right:0" coordorigin="833,187" coordsize="87,0" path="m833,187l919,187e" filled="false" stroked="true" strokeweight=".5pt" strokecolor="#000000">
            <v:path arrowok="t"/>
            <v:stroke dashstyle="solid"/>
            <w10:wrap type="topAndBottom"/>
          </v:shape>
        </w:pict>
      </w:r>
      <w:r>
        <w:rPr/>
        <w:pict>
          <v:shape style="position:absolute;margin-left:202.167007pt;margin-top:9.332252pt;width:4.350pt;height:.1pt;mso-position-horizontal-relative:page;mso-position-vertical-relative:paragraph;z-index:-15460864;mso-wrap-distance-left:0;mso-wrap-distance-right:0" coordorigin="4043,187" coordsize="87,0" path="m4043,187l4130,187e" filled="false" stroked="true" strokeweight=".5pt" strokecolor="#000000">
            <v:path arrowok="t"/>
            <v:stroke dashstyle="solid"/>
            <w10:wrap type="topAndBottom"/>
          </v:shape>
        </w:pict>
      </w:r>
      <w:r>
        <w:rPr/>
        <w:pict>
          <v:group style="position:absolute;margin-left:41.625pt;margin-top:18.769253pt;width:164.9pt;height:103.4pt;mso-position-horizontal-relative:page;mso-position-vertical-relative:paragraph;z-index:-15460352;mso-wrap-distance-left:0;mso-wrap-distance-right:0" coordorigin="833,375" coordsize="3298,2068">
            <v:line style="position:absolute" from="1011,1815" to="1011,2443" stroked="true" strokeweight="3.875pt" strokecolor="#ed1b2d">
              <v:stroke dashstyle="solid"/>
            </v:line>
            <v:shape style="position:absolute;left:1040;top:385;width:1830;height:1495" coordorigin="1040,385" coordsize="1830,1495" path="m1040,1825l1098,1528m1098,1528l1155,1598m1155,1598l1200,1810m1200,1810l1258,1598m1258,1598l1315,1713m1315,1713l1373,1880m1373,1880l1430,1528m1430,1528l1488,1275m1488,1275l1543,1318m1543,1318l1590,1048m1590,1048l1648,1063m1648,1063l1705,878m1705,878l1760,1218m1760,1218l1818,1190m1818,1190l1875,1105m1875,1105l1923,1260m1923,1260l1978,1275m1978,1275l2035,1443m2035,1443l2093,1105m2093,1105l2150,1005m2150,1005l2208,583m2208,583l2265,385m2265,385l2310,583m2310,583l2368,1005m2368,1005l2425,920m2425,920l2483,838m2483,838l2540,950m2540,950l2598,878m2598,878l2655,753m2655,753l2700,1628m2700,1628l2758,1713m2758,1713l2815,1400m2815,1400l2870,1458e" filled="false" stroked="true" strokeweight="1pt" strokecolor="#ed1b2d">
              <v:path arrowok="t"/>
              <v:stroke dashstyle="solid"/>
            </v:shape>
            <v:line style="position:absolute" from="2860,1459" to="2938,1459" stroked="true" strokeweight="1.125pt" strokecolor="#ed1b2d">
              <v:stroke dashstyle="solid"/>
            </v:line>
            <v:shape style="position:absolute;left:2927;top:567;width:665;height:890" coordorigin="2928,568" coordsize="665,890" path="m2928,1458l2985,1430m2985,1430l3043,1358m3043,1358l3088,1133m3088,1133l3145,1035m3145,1035l3203,1063m3203,1063l3260,1105m3260,1105l3318,993m3318,993l3375,1078m3375,1078l3420,1063m3420,1063l3478,963m3478,963l3535,978m3535,978l3593,568e" filled="false" stroked="true" strokeweight="1pt" strokecolor="#ed1b2d">
              <v:path arrowok="t"/>
              <v:stroke dashstyle="solid"/>
            </v:shape>
            <v:shape style="position:absolute;left:3582;top:487;width:410;height:400" type="#_x0000_t75" stroked="false">
              <v:imagedata r:id="rId109" o:title=""/>
            </v:shape>
            <v:shape style="position:absolute;left:832;top:617;width:3298;height:1725" coordorigin="833,618" coordsize="3298,1725" path="m833,1049l919,1049m833,1480l919,1480m833,1911l919,1911m833,2343l919,2343m833,618l919,618m4043,1049l4130,1049m4043,1480l4130,1480m4043,1911l4130,1911m4043,2342l4130,2342m4043,618l4130,618e" filled="false" stroked="true" strokeweight=".5pt" strokecolor="#000000">
              <v:path arrowok="t"/>
              <v:stroke dashstyle="solid"/>
            </v:shape>
            <w10:wrap type="topAndBottom"/>
          </v:group>
        </w:pict>
      </w:r>
      <w:r>
        <w:rPr/>
        <w:pict>
          <v:shape style="position:absolute;margin-left:41.625pt;margin-top:135.706253pt;width:164.9pt;height:3pt;mso-position-horizontal-relative:page;mso-position-vertical-relative:paragraph;z-index:-15459840;mso-wrap-distance-left:0;mso-wrap-distance-right:0" coordorigin="833,2714" coordsize="3298,60" path="m833,2774l919,2774m4043,2774l4130,2774m980,2774l3980,2774m980,2714l980,2767m2978,2714l2978,2767m3867,2714l3867,2767m3645,2714l3645,2767m3423,2714l3423,2767m3201,2714l3201,2767m2756,2714l2756,2767m2534,2714l2534,2767m2312,2714l2312,2767m2090,2714l2090,2767m1868,2714l1868,2767m1646,2714l1646,2767m1424,2714l1424,2767m1202,2714l1202,2767e" filled="false" stroked="true" strokeweight=".5pt" strokecolor="#000000">
            <v:path arrowok="t"/>
            <v:stroke dashstyle="solid"/>
            <w10:wrap type="topAndBottom"/>
          </v:shape>
        </w:pict>
      </w:r>
    </w:p>
    <w:p>
      <w:pPr>
        <w:pStyle w:val="BodyText"/>
        <w:rPr>
          <w:sz w:val="10"/>
        </w:rPr>
      </w:pPr>
    </w:p>
    <w:p>
      <w:pPr>
        <w:pStyle w:val="BodyText"/>
        <w:spacing w:before="8"/>
        <w:rPr>
          <w:sz w:val="14"/>
        </w:rPr>
      </w:pPr>
    </w:p>
    <w:p>
      <w:pPr>
        <w:tabs>
          <w:tab w:pos="814" w:val="left" w:leader="none"/>
          <w:tab w:pos="1279" w:val="left" w:leader="none"/>
          <w:tab w:pos="1733" w:val="left" w:leader="none"/>
          <w:tab w:pos="2175" w:val="left" w:leader="none"/>
          <w:tab w:pos="2611" w:val="left" w:leader="none"/>
          <w:tab w:pos="3055" w:val="left" w:leader="none"/>
        </w:tabs>
        <w:spacing w:before="0"/>
        <w:ind w:left="274" w:right="0" w:firstLine="0"/>
        <w:jc w:val="left"/>
        <w:rPr>
          <w:sz w:val="12"/>
        </w:rPr>
      </w:pPr>
      <w:r>
        <w:rPr>
          <w:sz w:val="12"/>
        </w:rPr>
        <w:t>1985</w:t>
        <w:tab/>
        <w:t>87</w:t>
        <w:tab/>
        <w:t>89</w:t>
        <w:tab/>
        <w:t>91</w:t>
        <w:tab/>
        <w:t>93</w:t>
        <w:tab/>
        <w:t>95</w:t>
        <w:tab/>
        <w:t>97</w:t>
      </w:r>
    </w:p>
    <w:p>
      <w:pPr>
        <w:spacing w:before="88"/>
        <w:ind w:left="200" w:right="0" w:firstLine="0"/>
        <w:jc w:val="left"/>
        <w:rPr>
          <w:sz w:val="12"/>
        </w:rPr>
      </w:pPr>
      <w:r>
        <w:rPr>
          <w:sz w:val="12"/>
        </w:rPr>
        <w:t>Sources: ONS and Bank for International Settlements.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3"/>
        </w:rPr>
      </w:pPr>
    </w:p>
    <w:p>
      <w:pPr>
        <w:spacing w:before="0"/>
        <w:ind w:left="-23" w:right="0" w:firstLine="0"/>
        <w:jc w:val="left"/>
        <w:rPr>
          <w:sz w:val="12"/>
        </w:rPr>
      </w:pPr>
      <w:r>
        <w:rPr>
          <w:sz w:val="12"/>
        </w:rPr>
        <w:t>115</w:t>
      </w:r>
    </w:p>
    <w:p>
      <w:pPr>
        <w:pStyle w:val="BodyText"/>
        <w:rPr>
          <w:sz w:val="12"/>
        </w:rPr>
      </w:pPr>
    </w:p>
    <w:p>
      <w:pPr>
        <w:pStyle w:val="BodyText"/>
        <w:spacing w:before="4"/>
        <w:rPr>
          <w:sz w:val="13"/>
        </w:rPr>
      </w:pPr>
    </w:p>
    <w:p>
      <w:pPr>
        <w:spacing w:before="1"/>
        <w:ind w:left="-23" w:right="0" w:firstLine="0"/>
        <w:jc w:val="left"/>
        <w:rPr>
          <w:sz w:val="12"/>
        </w:rPr>
      </w:pPr>
      <w:r>
        <w:rPr>
          <w:sz w:val="12"/>
        </w:rPr>
        <w:t>110</w:t>
      </w:r>
    </w:p>
    <w:p>
      <w:pPr>
        <w:pStyle w:val="BodyText"/>
        <w:rPr>
          <w:sz w:val="12"/>
        </w:rPr>
      </w:pPr>
    </w:p>
    <w:p>
      <w:pPr>
        <w:pStyle w:val="BodyText"/>
        <w:spacing w:before="4"/>
        <w:rPr>
          <w:sz w:val="13"/>
        </w:rPr>
      </w:pPr>
    </w:p>
    <w:p>
      <w:pPr>
        <w:spacing w:before="0"/>
        <w:ind w:left="-23" w:right="0" w:firstLine="0"/>
        <w:jc w:val="left"/>
        <w:rPr>
          <w:sz w:val="12"/>
        </w:rPr>
      </w:pPr>
      <w:r>
        <w:rPr>
          <w:sz w:val="12"/>
        </w:rPr>
        <w:t>105</w:t>
      </w:r>
    </w:p>
    <w:p>
      <w:pPr>
        <w:pStyle w:val="BodyText"/>
        <w:rPr>
          <w:sz w:val="12"/>
        </w:rPr>
      </w:pPr>
    </w:p>
    <w:p>
      <w:pPr>
        <w:pStyle w:val="BodyText"/>
        <w:spacing w:before="4"/>
        <w:rPr>
          <w:sz w:val="13"/>
        </w:rPr>
      </w:pPr>
    </w:p>
    <w:p>
      <w:pPr>
        <w:spacing w:before="0"/>
        <w:ind w:left="-23" w:right="0" w:firstLine="0"/>
        <w:jc w:val="left"/>
        <w:rPr>
          <w:sz w:val="12"/>
        </w:rPr>
      </w:pPr>
      <w:r>
        <w:rPr>
          <w:sz w:val="12"/>
        </w:rPr>
        <w:t>100</w:t>
      </w:r>
    </w:p>
    <w:p>
      <w:pPr>
        <w:pStyle w:val="BodyText"/>
        <w:rPr>
          <w:sz w:val="12"/>
        </w:rPr>
      </w:pPr>
    </w:p>
    <w:p>
      <w:pPr>
        <w:pStyle w:val="BodyText"/>
        <w:spacing w:before="4"/>
        <w:rPr>
          <w:sz w:val="13"/>
        </w:rPr>
      </w:pPr>
    </w:p>
    <w:p>
      <w:pPr>
        <w:spacing w:before="0"/>
        <w:ind w:left="37" w:right="0" w:firstLine="0"/>
        <w:jc w:val="left"/>
        <w:rPr>
          <w:sz w:val="12"/>
        </w:rPr>
      </w:pPr>
      <w:r>
        <w:rPr>
          <w:sz w:val="12"/>
        </w:rPr>
        <w:t>95</w:t>
      </w:r>
    </w:p>
    <w:p>
      <w:pPr>
        <w:pStyle w:val="BodyText"/>
        <w:rPr>
          <w:sz w:val="12"/>
        </w:rPr>
      </w:pPr>
    </w:p>
    <w:p>
      <w:pPr>
        <w:pStyle w:val="BodyText"/>
        <w:spacing w:before="4"/>
        <w:rPr>
          <w:sz w:val="13"/>
        </w:rPr>
      </w:pPr>
    </w:p>
    <w:p>
      <w:pPr>
        <w:spacing w:before="0"/>
        <w:ind w:left="37" w:right="0" w:firstLine="0"/>
        <w:jc w:val="left"/>
        <w:rPr>
          <w:sz w:val="12"/>
        </w:rPr>
      </w:pPr>
      <w:r>
        <w:rPr>
          <w:sz w:val="12"/>
        </w:rPr>
        <w:t>90</w:t>
      </w:r>
    </w:p>
    <w:p>
      <w:pPr>
        <w:pStyle w:val="BodyText"/>
        <w:rPr>
          <w:sz w:val="12"/>
        </w:rPr>
      </w:pPr>
    </w:p>
    <w:p>
      <w:pPr>
        <w:pStyle w:val="BodyText"/>
        <w:spacing w:before="4"/>
        <w:rPr>
          <w:sz w:val="13"/>
        </w:rPr>
      </w:pPr>
    </w:p>
    <w:p>
      <w:pPr>
        <w:spacing w:before="1"/>
        <w:ind w:left="37" w:right="0" w:firstLine="0"/>
        <w:jc w:val="left"/>
        <w:rPr>
          <w:sz w:val="12"/>
        </w:rPr>
      </w:pPr>
      <w:r>
        <w:rPr>
          <w:sz w:val="12"/>
        </w:rPr>
        <w:t>85</w:t>
      </w:r>
    </w:p>
    <w:p>
      <w:pPr>
        <w:pStyle w:val="BodyText"/>
        <w:rPr>
          <w:sz w:val="12"/>
        </w:rPr>
      </w:pPr>
    </w:p>
    <w:p>
      <w:pPr>
        <w:pStyle w:val="BodyText"/>
        <w:spacing w:before="4"/>
        <w:rPr>
          <w:sz w:val="13"/>
        </w:rPr>
      </w:pPr>
    </w:p>
    <w:p>
      <w:pPr>
        <w:spacing w:before="0"/>
        <w:ind w:left="37" w:right="0" w:firstLine="0"/>
        <w:jc w:val="left"/>
        <w:rPr>
          <w:sz w:val="12"/>
        </w:rPr>
      </w:pPr>
      <w:r>
        <w:rPr>
          <w:sz w:val="12"/>
        </w:rPr>
        <w:t>80</w:t>
      </w:r>
    </w:p>
    <w:p>
      <w:pPr>
        <w:spacing w:line="242" w:lineRule="auto" w:before="217"/>
        <w:ind w:left="200" w:right="151" w:firstLine="0"/>
        <w:jc w:val="left"/>
        <w:rPr>
          <w:sz w:val="24"/>
        </w:rPr>
      </w:pPr>
      <w:r>
        <w:rPr/>
        <w:br w:type="column"/>
      </w:r>
      <w:r>
        <w:rPr>
          <w:sz w:val="24"/>
        </w:rPr>
        <w:t>on UK sales, perhaps because they thought that the appreciation was temporary</w:t>
      </w:r>
      <w:hyperlink w:history="true" w:anchor="_bookmark2">
        <w:r>
          <w:rPr>
            <w:sz w:val="24"/>
          </w:rPr>
          <w:t>. Section 1</w:t>
        </w:r>
      </w:hyperlink>
      <w:r>
        <w:rPr>
          <w:sz w:val="24"/>
        </w:rPr>
        <w:t> discussed </w:t>
      </w:r>
      <w:r>
        <w:rPr>
          <w:spacing w:val="-6"/>
          <w:sz w:val="24"/>
        </w:rPr>
        <w:t>how, </w:t>
      </w:r>
      <w:r>
        <w:rPr>
          <w:sz w:val="24"/>
        </w:rPr>
        <w:t>in 1997 and 1998, Consensus Economics forecasts showed a sharper projected fall in the real exchange rate than actually occurred. The ratio of UK import prices of goods and services relative to average export prices of the United Kingdom’s major trading partners rose in 1997 (see Chart 4.3). But it fell back in 1998 as </w:t>
      </w:r>
      <w:r>
        <w:rPr>
          <w:spacing w:val="-4"/>
          <w:sz w:val="24"/>
        </w:rPr>
        <w:t>overseas </w:t>
      </w:r>
      <w:r>
        <w:rPr>
          <w:sz w:val="24"/>
        </w:rPr>
        <w:t>suppliers appear to </w:t>
      </w:r>
      <w:r>
        <w:rPr>
          <w:spacing w:val="-3"/>
          <w:sz w:val="24"/>
        </w:rPr>
        <w:t>have </w:t>
      </w:r>
      <w:r>
        <w:rPr>
          <w:sz w:val="24"/>
        </w:rPr>
        <w:t>narrowed their relative margins on UK sales. Falling world prices for semi-finished and finished manufactures suggest that excess global capacity and the increased competitiveness of Asian exports in world markets may </w:t>
      </w:r>
      <w:r>
        <w:rPr>
          <w:spacing w:val="-3"/>
          <w:sz w:val="24"/>
        </w:rPr>
        <w:t>have </w:t>
      </w:r>
      <w:r>
        <w:rPr>
          <w:sz w:val="24"/>
        </w:rPr>
        <w:t>had an</w:t>
      </w:r>
      <w:r>
        <w:rPr>
          <w:spacing w:val="-3"/>
          <w:sz w:val="24"/>
        </w:rPr>
        <w:t> </w:t>
      </w:r>
      <w:r>
        <w:rPr>
          <w:sz w:val="24"/>
        </w:rPr>
        <w:t>effect.</w:t>
      </w:r>
    </w:p>
    <w:p>
      <w:pPr>
        <w:pStyle w:val="BodyText"/>
        <w:spacing w:before="9"/>
        <w:rPr>
          <w:sz w:val="25"/>
        </w:rPr>
      </w:pPr>
    </w:p>
    <w:p>
      <w:pPr>
        <w:spacing w:line="242" w:lineRule="auto" w:before="0"/>
        <w:ind w:left="200" w:right="0" w:firstLine="0"/>
        <w:jc w:val="left"/>
        <w:rPr>
          <w:sz w:val="24"/>
        </w:rPr>
      </w:pPr>
      <w:r>
        <w:rPr>
          <w:sz w:val="24"/>
        </w:rPr>
        <w:t>Producer prices in local currencies in the major overseas economies, except the United States, continued to fall in January and February. That, combined with the recent appreciation of the exchange rate, suggests some further</w:t>
      </w:r>
    </w:p>
    <w:p>
      <w:pPr>
        <w:spacing w:after="0" w:line="242" w:lineRule="auto"/>
        <w:jc w:val="left"/>
        <w:rPr>
          <w:sz w:val="24"/>
        </w:rPr>
        <w:sectPr>
          <w:type w:val="continuous"/>
          <w:pgSz w:w="11900" w:h="16840"/>
          <w:pgMar w:top="1220" w:bottom="280" w:left="640" w:right="640"/>
          <w:cols w:num="3" w:equalWidth="0">
            <w:col w:w="3525" w:space="40"/>
            <w:col w:w="198" w:space="1037"/>
            <w:col w:w="5820"/>
          </w:cols>
        </w:sectPr>
      </w:pPr>
    </w:p>
    <w:p>
      <w:pPr>
        <w:spacing w:line="208" w:lineRule="auto" w:before="6"/>
        <w:ind w:left="440" w:right="0" w:hanging="240"/>
        <w:jc w:val="left"/>
        <w:rPr>
          <w:sz w:val="12"/>
        </w:rPr>
      </w:pPr>
      <w:r>
        <w:rPr>
          <w:sz w:val="12"/>
        </w:rPr>
        <w:t>(a) The major six economies are the G7 excluding the United Kingdom. Export prices of goods and services are denominated in sterling and are weighted by UK imports of goods and services. The data for Germany and Italy pre-date ESA95 changes.</w:t>
      </w:r>
    </w:p>
    <w:p>
      <w:pPr>
        <w:spacing w:line="242" w:lineRule="auto" w:before="5"/>
        <w:ind w:left="200" w:right="88" w:firstLine="0"/>
        <w:jc w:val="left"/>
        <w:rPr>
          <w:sz w:val="24"/>
        </w:rPr>
      </w:pPr>
      <w:r>
        <w:rPr/>
        <w:br w:type="column"/>
      </w:r>
      <w:r>
        <w:rPr>
          <w:sz w:val="24"/>
        </w:rPr>
        <w:t>falls in UK imported goods prices are likely. The MPC’s central projection assumes that sterling import prices will be weaker than expected at the time of the February </w:t>
      </w:r>
      <w:r>
        <w:rPr>
          <w:i/>
          <w:sz w:val="24"/>
        </w:rPr>
        <w:t>Report</w:t>
      </w:r>
      <w:r>
        <w:rPr>
          <w:sz w:val="24"/>
        </w:rPr>
        <w:t>. Import prices continue to fall in the first half of 1999 but rise thereafter, as the effects of sterling’s appreciation fade and world demand growth picks up.</w:t>
      </w:r>
    </w:p>
    <w:p>
      <w:pPr>
        <w:spacing w:after="0" w:line="242" w:lineRule="auto"/>
        <w:jc w:val="left"/>
        <w:rPr>
          <w:sz w:val="24"/>
        </w:rPr>
        <w:sectPr>
          <w:type w:val="continuous"/>
          <w:pgSz w:w="11900" w:h="16840"/>
          <w:pgMar w:top="1220" w:bottom="280" w:left="640" w:right="640"/>
          <w:cols w:num="2" w:equalWidth="0">
            <w:col w:w="3770" w:space="1030"/>
            <w:col w:w="5820"/>
          </w:cols>
        </w:sectPr>
      </w:pPr>
    </w:p>
    <w:p>
      <w:pPr>
        <w:pStyle w:val="BodyText"/>
        <w:spacing w:before="1"/>
        <w:rPr>
          <w:sz w:val="21"/>
        </w:rPr>
      </w:pPr>
    </w:p>
    <w:p>
      <w:pPr>
        <w:spacing w:after="0"/>
        <w:rPr>
          <w:sz w:val="21"/>
        </w:rPr>
        <w:sectPr>
          <w:type w:val="continuous"/>
          <w:pgSz w:w="11900" w:h="16840"/>
          <w:pgMar w:top="1220" w:bottom="280" w:left="640" w:right="640"/>
        </w:sectPr>
      </w:pPr>
    </w:p>
    <w:p>
      <w:pPr>
        <w:pStyle w:val="BodyText"/>
        <w:rPr>
          <w:sz w:val="22"/>
        </w:rPr>
      </w:pPr>
    </w:p>
    <w:p>
      <w:pPr>
        <w:pStyle w:val="BodyText"/>
        <w:spacing w:before="6"/>
        <w:rPr>
          <w:sz w:val="30"/>
        </w:rPr>
      </w:pPr>
    </w:p>
    <w:p>
      <w:pPr>
        <w:pStyle w:val="Heading4"/>
        <w:spacing w:before="1"/>
        <w:ind w:left="247"/>
      </w:pPr>
      <w:r>
        <w:rPr>
          <w:color w:val="0093C1"/>
        </w:rPr>
        <w:t>Chart 4.4</w:t>
      </w:r>
    </w:p>
    <w:p>
      <w:pPr>
        <w:pStyle w:val="Heading4"/>
        <w:spacing w:line="249" w:lineRule="auto"/>
        <w:ind w:left="247" w:right="141"/>
      </w:pPr>
      <w:r>
        <w:rPr>
          <w:color w:val="0093C1"/>
        </w:rPr>
        <w:t>Producer output price inflation and the CBI price expectations balance</w:t>
      </w:r>
    </w:p>
    <w:p>
      <w:pPr>
        <w:spacing w:line="125" w:lineRule="exact" w:before="70"/>
        <w:ind w:left="0" w:right="38" w:firstLine="0"/>
        <w:jc w:val="right"/>
        <w:rPr>
          <w:sz w:val="12"/>
        </w:rPr>
      </w:pPr>
      <w:r>
        <w:rPr>
          <w:sz w:val="12"/>
        </w:rPr>
        <w:t>Four-month annualised</w:t>
      </w:r>
    </w:p>
    <w:p>
      <w:pPr>
        <w:pStyle w:val="ListParagraph"/>
        <w:numPr>
          <w:ilvl w:val="1"/>
          <w:numId w:val="24"/>
        </w:numPr>
        <w:tabs>
          <w:tab w:pos="1406" w:val="left" w:leader="none"/>
          <w:tab w:pos="1407" w:val="left" w:leader="none"/>
          <w:tab w:pos="5767" w:val="left" w:leader="none"/>
        </w:tabs>
        <w:spacing w:line="240" w:lineRule="auto" w:before="88" w:after="0"/>
        <w:ind w:left="1406" w:right="0" w:hanging="1160"/>
        <w:jc w:val="left"/>
        <w:rPr>
          <w:b/>
          <w:sz w:val="28"/>
        </w:rPr>
      </w:pPr>
      <w:r>
        <w:rPr>
          <w:b/>
          <w:color w:val="009483"/>
          <w:sz w:val="28"/>
          <w:u w:val="thick" w:color="0093C1"/>
        </w:rPr>
        <w:br w:type="column"/>
        <w:t>Costs and prices in manufacturing</w:t>
        <w:tab/>
      </w:r>
    </w:p>
    <w:p>
      <w:pPr>
        <w:pStyle w:val="BodyText"/>
        <w:spacing w:before="11"/>
        <w:rPr>
          <w:b/>
          <w:sz w:val="23"/>
        </w:rPr>
      </w:pPr>
    </w:p>
    <w:p>
      <w:pPr>
        <w:spacing w:line="242" w:lineRule="auto" w:before="0"/>
        <w:ind w:left="247" w:right="175" w:firstLine="0"/>
        <w:jc w:val="left"/>
        <w:rPr>
          <w:sz w:val="24"/>
        </w:rPr>
      </w:pPr>
      <w:r>
        <w:rPr>
          <w:sz w:val="24"/>
        </w:rPr>
        <w:t>Inflation in the manufacturing sector has remained subdued. Recent increases in fuel prices have broadly offset continued falls in both input and output prices of</w:t>
      </w:r>
    </w:p>
    <w:p>
      <w:pPr>
        <w:spacing w:after="0" w:line="242" w:lineRule="auto"/>
        <w:jc w:val="left"/>
        <w:rPr>
          <w:sz w:val="24"/>
        </w:rPr>
        <w:sectPr>
          <w:type w:val="continuous"/>
          <w:pgSz w:w="11900" w:h="16840"/>
          <w:pgMar w:top="1220" w:bottom="280" w:left="640" w:right="640"/>
          <w:cols w:num="2" w:equalWidth="0">
            <w:col w:w="3770" w:space="982"/>
            <w:col w:w="5868"/>
          </w:cols>
        </w:sectPr>
      </w:pPr>
    </w:p>
    <w:p>
      <w:pPr>
        <w:spacing w:line="111" w:lineRule="exact" w:before="0"/>
        <w:ind w:left="438" w:right="0" w:firstLine="0"/>
        <w:jc w:val="left"/>
        <w:rPr>
          <w:sz w:val="12"/>
        </w:rPr>
      </w:pPr>
      <w:r>
        <w:rPr>
          <w:sz w:val="12"/>
        </w:rPr>
        <w:t>Percentage balance</w:t>
      </w:r>
    </w:p>
    <w:p>
      <w:pPr>
        <w:spacing w:line="106" w:lineRule="exact" w:before="0"/>
        <w:ind w:left="230" w:right="0" w:firstLine="0"/>
        <w:jc w:val="left"/>
        <w:rPr>
          <w:sz w:val="12"/>
        </w:rPr>
      </w:pPr>
      <w:r>
        <w:rPr/>
        <w:pict>
          <v:line style="position:absolute;mso-position-horizontal-relative:page;mso-position-vertical-relative:paragraph;z-index:15998464" from="53.931999pt,2.570756pt" to="58.264999pt,2.570756pt" stroked="true" strokeweight=".5pt" strokecolor="#000000">
            <v:stroke dashstyle="solid"/>
            <w10:wrap type="none"/>
          </v:line>
        </w:pict>
      </w:r>
      <w:r>
        <w:rPr>
          <w:sz w:val="12"/>
        </w:rPr>
        <w:t>40</w:t>
      </w:r>
    </w:p>
    <w:p>
      <w:pPr>
        <w:spacing w:line="208" w:lineRule="auto" w:before="2"/>
        <w:ind w:left="788" w:right="38" w:hanging="60"/>
        <w:jc w:val="left"/>
        <w:rPr>
          <w:sz w:val="12"/>
        </w:rPr>
      </w:pPr>
      <w:r>
        <w:rPr/>
        <w:pict>
          <v:group style="position:absolute;margin-left:53.931999pt;margin-top:10.394049pt;width:156.6pt;height:118.9pt;mso-position-horizontal-relative:page;mso-position-vertical-relative:paragraph;z-index:-21136384" coordorigin="1079,208" coordsize="3132,2378">
            <v:shape style="position:absolute;left:1217;top:217;width:2983;height:2358" coordorigin="1218,218" coordsize="2983,2358" path="m1218,1488l1248,1308,1280,1308,1313,1185,1345,1005,1378,1458,1408,1383,1440,1338,1473,1413,1505,1608,1535,1533,1568,1685,1615,1865,1648,1563,1680,1488,1713,1185,1743,1035,1775,1005,1808,1155,1840,1080,1870,1185,1903,1338,1935,1413,1968,1563,1998,1488,2030,1488,2063,1260,2095,1488,2125,1005,2158,1338,2190,1338,2238,1488,2270,1308,2303,1005,2333,1005,2365,883,2398,883,2430,703,2463,625,2493,625,2525,218,2558,293,2590,445,2620,778,2653,733,2685,778,2733,778,2765,958,2798,1185,2828,1035,2860,883,2893,883,2925,778,2955,928,2988,958,3020,1080,3053,1308,3083,1230,3115,1488,3148,1458,3180,1458,3228,1185,3243,1155,3275,1005,3323,853,3355,1308,3388,1110,3418,1458,3450,1308,3483,1488,3515,1563,3545,1563,3578,1608,3610,1383,3643,1488,3675,1338,3705,1413,3738,1563,3770,1715,3803,1760,3850,2018,3883,2290,3913,2018,3945,2093,3978,2093,4010,2138,4040,2575,4073,2395,4105,2243,4138,2290,4168,2243,4200,2063e" filled="false" stroked="true" strokeweight="1pt" strokecolor="#0093c0">
              <v:path arrowok="t"/>
              <v:stroke dashstyle="solid"/>
            </v:shape>
            <v:shape style="position:absolute;left:1217;top:325;width:2823;height:1465" coordorigin="1218,325" coordsize="2823,1465" path="m1218,1005l1248,1005,1280,943,1378,943,1408,1080,1473,1080,1505,958,1535,703,1568,565,1615,385,1680,385,1713,460,1743,658,1775,778,1808,913,1870,913,1903,1035,1968,1275,1998,1215,2030,1275,2063,1215,2095,1095,2125,1035,2158,913,2190,975,2238,913,2270,975,2303,975,2333,928,2365,928,2398,445,2430,445,2463,325,2493,340,2525,763,2558,643,2590,703,2620,703,2653,763,2685,883,2733,1065,2765,943,2798,943,2828,1005,2860,838,2893,1005,2925,1125,2955,1170,2988,1338,3020,1398,3053,1230,3083,1230,3115,1170,3148,1230,3180,1458,3228,1625,3243,1730,3275,1730,3323,1625,3355,1458,3388,1398,3418,1338,3515,1338,3545,1398,3578,1625,3610,1670,3643,1670,3675,1730,3705,1563,3738,1458,3770,1398,3803,1398,3850,1503,3883,1625,3913,1790,3945,1730,3978,1790,4010,1625,4040,1458e" filled="false" stroked="true" strokeweight="1pt" strokecolor="#faab54">
              <v:path arrowok="t"/>
              <v:stroke dashstyle="solid"/>
            </v:shape>
            <v:shape style="position:absolute;left:1078;top:321;width:87;height:2260" coordorigin="1079,321" coordsize="87,2260" path="m1079,321l1165,321m1079,698l1165,698m1079,1075l1165,1075m1079,1828l1165,1828m1079,2204l1165,2204m1079,2581l1165,2581e" filled="false" stroked="true" strokeweight=".5pt" strokecolor="#000000">
              <v:path arrowok="t"/>
              <v:stroke dashstyle="solid"/>
            </v:shape>
            <v:shape style="position:absolute;left:1764;top:245;width:112;height:311" type="#_x0000_t75" stroked="false">
              <v:imagedata r:id="rId110" o:title=""/>
            </v:shape>
            <w10:wrap type="none"/>
          </v:group>
        </w:pict>
      </w:r>
      <w:r>
        <w:rPr>
          <w:sz w:val="12"/>
        </w:rPr>
        <w:t>Output price inflation (a) (right-hand scale)</w:t>
      </w:r>
    </w:p>
    <w:p>
      <w:pPr>
        <w:spacing w:before="8"/>
        <w:ind w:left="230" w:right="0" w:firstLine="0"/>
        <w:jc w:val="left"/>
        <w:rPr>
          <w:sz w:val="12"/>
        </w:rPr>
      </w:pPr>
      <w:r>
        <w:rPr>
          <w:sz w:val="12"/>
        </w:rPr>
        <w:t>30</w:t>
      </w:r>
    </w:p>
    <w:p>
      <w:pPr>
        <w:pStyle w:val="BodyText"/>
        <w:rPr>
          <w:sz w:val="12"/>
        </w:rPr>
      </w:pPr>
    </w:p>
    <w:p>
      <w:pPr>
        <w:spacing w:before="100"/>
        <w:ind w:left="230" w:right="0" w:firstLine="0"/>
        <w:jc w:val="left"/>
        <w:rPr>
          <w:sz w:val="12"/>
        </w:rPr>
      </w:pPr>
      <w:r>
        <w:rPr>
          <w:sz w:val="12"/>
        </w:rPr>
        <w:t>20</w:t>
      </w:r>
    </w:p>
    <w:p>
      <w:pPr>
        <w:pStyle w:val="BodyText"/>
        <w:rPr>
          <w:sz w:val="12"/>
        </w:rPr>
      </w:pPr>
    </w:p>
    <w:p>
      <w:pPr>
        <w:spacing w:before="100"/>
        <w:ind w:left="230" w:right="0" w:firstLine="0"/>
        <w:jc w:val="left"/>
        <w:rPr>
          <w:sz w:val="12"/>
        </w:rPr>
      </w:pPr>
      <w:r>
        <w:rPr>
          <w:sz w:val="12"/>
        </w:rPr>
        <w:t>10</w:t>
      </w:r>
    </w:p>
    <w:p>
      <w:pPr>
        <w:spacing w:line="109" w:lineRule="exact" w:before="0"/>
        <w:ind w:left="230" w:right="0" w:firstLine="0"/>
        <w:jc w:val="left"/>
        <w:rPr>
          <w:sz w:val="12"/>
        </w:rPr>
      </w:pPr>
      <w:r>
        <w:rPr/>
        <w:br w:type="column"/>
      </w:r>
      <w:r>
        <w:rPr>
          <w:sz w:val="12"/>
        </w:rPr>
        <w:t>percentage changes</w:t>
      </w:r>
    </w:p>
    <w:p>
      <w:pPr>
        <w:spacing w:line="117" w:lineRule="exact" w:before="0"/>
        <w:ind w:left="1252" w:right="0" w:firstLine="0"/>
        <w:jc w:val="left"/>
        <w:rPr>
          <w:sz w:val="12"/>
        </w:rPr>
      </w:pPr>
      <w:r>
        <w:rPr/>
        <w:pict>
          <v:line style="position:absolute;mso-position-horizontal-relative:page;mso-position-vertical-relative:paragraph;z-index:15999488" from="214.139999pt,2.690993pt" to="218.472999pt,2.690993pt" stroked="true" strokeweight=".5pt" strokecolor="#000000">
            <v:stroke dashstyle="solid"/>
            <w10:wrap type="none"/>
          </v:line>
        </w:pict>
      </w:r>
      <w:r>
        <w:rPr>
          <w:sz w:val="12"/>
        </w:rPr>
        <w:t>8</w:t>
      </w:r>
    </w:p>
    <w:p>
      <w:pPr>
        <w:pStyle w:val="BodyText"/>
        <w:rPr>
          <w:sz w:val="12"/>
        </w:rPr>
      </w:pPr>
    </w:p>
    <w:p>
      <w:pPr>
        <w:spacing w:before="100"/>
        <w:ind w:left="0" w:right="38" w:firstLine="0"/>
        <w:jc w:val="right"/>
        <w:rPr>
          <w:sz w:val="12"/>
        </w:rPr>
      </w:pPr>
      <w:r>
        <w:rPr/>
        <w:pict>
          <v:line style="position:absolute;mso-position-horizontal-relative:page;mso-position-vertical-relative:paragraph;z-index:16000000" from="214.139999pt,8.759562pt" to="218.472999pt,8.759562pt" stroked="true" strokeweight=".5pt" strokecolor="#000000">
            <v:stroke dashstyle="solid"/>
            <w10:wrap type="none"/>
          </v:line>
        </w:pict>
      </w:r>
      <w:r>
        <w:rPr>
          <w:sz w:val="12"/>
        </w:rPr>
        <w:t>6</w:t>
      </w:r>
    </w:p>
    <w:p>
      <w:pPr>
        <w:pStyle w:val="BodyText"/>
        <w:rPr>
          <w:sz w:val="12"/>
        </w:rPr>
      </w:pPr>
    </w:p>
    <w:p>
      <w:pPr>
        <w:spacing w:before="100"/>
        <w:ind w:left="0" w:right="38" w:firstLine="0"/>
        <w:jc w:val="right"/>
        <w:rPr>
          <w:sz w:val="12"/>
        </w:rPr>
      </w:pPr>
      <w:r>
        <w:rPr/>
        <w:pict>
          <v:line style="position:absolute;mso-position-horizontal-relative:page;mso-position-vertical-relative:paragraph;z-index:16000512" from="214.139999pt,8.787748pt" to="218.472999pt,8.787748pt" stroked="true" strokeweight=".5pt" strokecolor="#000000">
            <v:stroke dashstyle="solid"/>
            <w10:wrap type="none"/>
          </v:line>
        </w:pict>
      </w:r>
      <w:r>
        <w:rPr>
          <w:sz w:val="12"/>
        </w:rPr>
        <w:t>4</w:t>
      </w:r>
    </w:p>
    <w:p>
      <w:pPr>
        <w:pStyle w:val="BodyText"/>
        <w:rPr>
          <w:sz w:val="12"/>
        </w:rPr>
      </w:pPr>
    </w:p>
    <w:p>
      <w:pPr>
        <w:spacing w:before="100"/>
        <w:ind w:left="0" w:right="38" w:firstLine="0"/>
        <w:jc w:val="right"/>
        <w:rPr>
          <w:sz w:val="12"/>
        </w:rPr>
      </w:pPr>
      <w:r>
        <w:rPr/>
        <w:pict>
          <v:line style="position:absolute;mso-position-horizontal-relative:page;mso-position-vertical-relative:paragraph;z-index:16001024" from="214.139999pt,8.816965pt" to="218.472999pt,8.816965pt" stroked="true" strokeweight=".5pt" strokecolor="#000000">
            <v:stroke dashstyle="solid"/>
            <w10:wrap type="none"/>
          </v:line>
        </w:pict>
      </w:r>
      <w:r>
        <w:rPr>
          <w:sz w:val="12"/>
        </w:rPr>
        <w:t>2</w:t>
      </w:r>
    </w:p>
    <w:p>
      <w:pPr>
        <w:spacing w:line="242" w:lineRule="auto" w:before="4"/>
        <w:ind w:left="230" w:right="72" w:firstLine="0"/>
        <w:jc w:val="left"/>
        <w:rPr>
          <w:sz w:val="24"/>
        </w:rPr>
      </w:pPr>
      <w:r>
        <w:rPr/>
        <w:br w:type="column"/>
      </w:r>
      <w:r>
        <w:rPr>
          <w:sz w:val="24"/>
        </w:rPr>
        <w:t>other manufactured goods. Input prices fell by 0.4% in 1999 Q1, the slowest rate of decline since 1997 Q3.</w:t>
      </w:r>
    </w:p>
    <w:p>
      <w:pPr>
        <w:spacing w:line="242" w:lineRule="auto" w:before="2"/>
        <w:ind w:left="230" w:right="72" w:firstLine="0"/>
        <w:jc w:val="left"/>
        <w:rPr>
          <w:sz w:val="24"/>
        </w:rPr>
      </w:pPr>
      <w:r>
        <w:rPr>
          <w:sz w:val="24"/>
        </w:rPr>
        <w:t>And the April Chartered Institute of Purchasing and Supply (C</w:t>
      </w:r>
      <w:r>
        <w:rPr>
          <w:sz w:val="20"/>
        </w:rPr>
        <w:t>IPS</w:t>
      </w:r>
      <w:r>
        <w:rPr>
          <w:sz w:val="24"/>
        </w:rPr>
        <w:t>) survey of manufacturing pointed to less steep falls in input prices than in the previous nine</w:t>
      </w:r>
    </w:p>
    <w:p>
      <w:pPr>
        <w:spacing w:after="0" w:line="242" w:lineRule="auto"/>
        <w:jc w:val="left"/>
        <w:rPr>
          <w:sz w:val="24"/>
        </w:rPr>
        <w:sectPr>
          <w:type w:val="continuous"/>
          <w:pgSz w:w="11900" w:h="16840"/>
          <w:pgMar w:top="1220" w:bottom="280" w:left="640" w:right="640"/>
          <w:cols w:num="3" w:equalWidth="0">
            <w:col w:w="1972" w:space="591"/>
            <w:col w:w="1353" w:space="854"/>
            <w:col w:w="5850"/>
          </w:cols>
        </w:sectPr>
      </w:pPr>
    </w:p>
    <w:p>
      <w:pPr>
        <w:tabs>
          <w:tab w:pos="3496" w:val="left" w:leader="none"/>
        </w:tabs>
        <w:spacing w:line="156" w:lineRule="exact" w:before="0"/>
        <w:ind w:left="262" w:right="0" w:firstLine="0"/>
        <w:jc w:val="center"/>
        <w:rPr>
          <w:sz w:val="16"/>
        </w:rPr>
      </w:pPr>
      <w:r>
        <w:rPr>
          <w:color w:val="231F20"/>
          <w:spacing w:val="7"/>
          <w:position w:val="1"/>
          <w:sz w:val="16"/>
        </w:rPr>
        <w:t>+</w:t>
      </w:r>
      <w:r>
        <w:rPr>
          <w:color w:val="231F20"/>
          <w:spacing w:val="7"/>
          <w:position w:val="1"/>
          <w:sz w:val="16"/>
          <w:u w:val="single" w:color="000000"/>
        </w:rPr>
        <w:t> </w:t>
        <w:tab/>
      </w:r>
      <w:r>
        <w:rPr>
          <w:color w:val="231F20"/>
          <w:sz w:val="16"/>
        </w:rPr>
        <w:t>+</w:t>
      </w:r>
    </w:p>
    <w:p>
      <w:pPr>
        <w:tabs>
          <w:tab w:pos="3775" w:val="left" w:leader="none"/>
        </w:tabs>
        <w:spacing w:line="129" w:lineRule="exact" w:before="39"/>
        <w:ind w:left="250" w:right="0" w:firstLine="0"/>
        <w:jc w:val="center"/>
        <w:rPr>
          <w:sz w:val="12"/>
        </w:rPr>
      </w:pPr>
      <w:r>
        <w:rPr/>
        <w:pict>
          <v:line style="position:absolute;mso-position-horizontal-relative:page;mso-position-vertical-relative:paragraph;z-index:-21132800" from="214.139999pt,5.65657pt" to="218.472999pt,5.65657pt" stroked="true" strokeweight=".5pt" strokecolor="#000000">
            <v:stroke dashstyle="solid"/>
            <w10:wrap type="none"/>
          </v:line>
        </w:pict>
      </w:r>
      <w:r>
        <w:rPr>
          <w:sz w:val="12"/>
        </w:rPr>
        <w:t>0</w:t>
        <w:tab/>
        <w:t>0</w:t>
      </w:r>
    </w:p>
    <w:p>
      <w:pPr>
        <w:tabs>
          <w:tab w:pos="3656" w:val="left" w:leader="none"/>
        </w:tabs>
        <w:spacing w:line="185" w:lineRule="exact" w:before="0"/>
        <w:ind w:left="251" w:right="0" w:firstLine="0"/>
        <w:jc w:val="center"/>
        <w:rPr>
          <w:sz w:val="16"/>
        </w:rPr>
      </w:pPr>
      <w:r>
        <w:rPr>
          <w:color w:val="231F20"/>
          <w:position w:val="1"/>
          <w:sz w:val="16"/>
        </w:rPr>
        <w:t>–</w:t>
        <w:tab/>
      </w:r>
      <w:r>
        <w:rPr>
          <w:color w:val="231F20"/>
          <w:sz w:val="16"/>
        </w:rPr>
        <w:t>–</w:t>
      </w:r>
    </w:p>
    <w:p>
      <w:pPr>
        <w:tabs>
          <w:tab w:pos="3775" w:val="left" w:leader="none"/>
        </w:tabs>
        <w:spacing w:before="62"/>
        <w:ind w:left="190" w:right="0" w:firstLine="0"/>
        <w:jc w:val="center"/>
        <w:rPr>
          <w:sz w:val="12"/>
        </w:rPr>
      </w:pPr>
      <w:r>
        <w:rPr/>
        <w:pict>
          <v:line style="position:absolute;mso-position-horizontal-relative:page;mso-position-vertical-relative:paragraph;z-index:-21132288" from="214.139999pt,6.835284pt" to="218.472999pt,6.835284pt" stroked="true" strokeweight=".5pt" strokecolor="#000000">
            <v:stroke dashstyle="solid"/>
            <w10:wrap type="none"/>
          </v:line>
        </w:pict>
      </w:r>
      <w:r>
        <w:rPr>
          <w:sz w:val="12"/>
        </w:rPr>
        <w:t>10</w:t>
        <w:tab/>
        <w:t>2</w:t>
      </w:r>
    </w:p>
    <w:p>
      <w:pPr>
        <w:tabs>
          <w:tab w:pos="1935" w:val="left" w:leader="none"/>
          <w:tab w:pos="3875" w:val="right" w:leader="none"/>
        </w:tabs>
        <w:spacing w:line="169" w:lineRule="exact" w:before="236"/>
        <w:ind w:left="230" w:right="0" w:firstLine="0"/>
        <w:jc w:val="left"/>
        <w:rPr>
          <w:sz w:val="12"/>
        </w:rPr>
      </w:pPr>
      <w:r>
        <w:rPr/>
        <w:pict>
          <v:line style="position:absolute;mso-position-horizontal-relative:page;mso-position-vertical-relative:paragraph;z-index:-21131776" from="214.139999pt,15.679116pt" to="218.472999pt,15.679116pt" stroked="true" strokeweight=".5pt" strokecolor="#000000">
            <v:stroke dashstyle="solid"/>
            <w10:wrap type="none"/>
          </v:line>
        </w:pict>
      </w:r>
      <w:r>
        <w:rPr>
          <w:position w:val="4"/>
          <w:sz w:val="12"/>
        </w:rPr>
        <w:t>20</w:t>
        <w:tab/>
      </w:r>
      <w:r>
        <w:rPr>
          <w:sz w:val="12"/>
        </w:rPr>
        <w:t>CBI price expectations (b)</w:t>
        <w:tab/>
      </w:r>
      <w:r>
        <w:rPr>
          <w:position w:val="4"/>
          <w:sz w:val="12"/>
        </w:rPr>
        <w:t>4</w:t>
      </w:r>
    </w:p>
    <w:p>
      <w:pPr>
        <w:spacing w:line="129" w:lineRule="exact" w:before="0"/>
        <w:ind w:left="1995" w:right="0" w:firstLine="0"/>
        <w:jc w:val="left"/>
        <w:rPr>
          <w:sz w:val="12"/>
        </w:rPr>
      </w:pPr>
      <w:r>
        <w:rPr>
          <w:sz w:val="12"/>
        </w:rPr>
        <w:t>(left-hand scale)</w:t>
      </w:r>
    </w:p>
    <w:p>
      <w:pPr>
        <w:tabs>
          <w:tab w:pos="3775" w:val="left" w:leader="none"/>
        </w:tabs>
        <w:spacing w:before="80"/>
        <w:ind w:left="190" w:right="0" w:firstLine="0"/>
        <w:jc w:val="center"/>
        <w:rPr>
          <w:sz w:val="12"/>
        </w:rPr>
      </w:pPr>
      <w:r>
        <w:rPr/>
        <w:pict>
          <v:line style="position:absolute;mso-position-horizontal-relative:page;mso-position-vertical-relative:paragraph;z-index:-21131264" from="214.139999pt,7.792686pt" to="218.472999pt,7.792686pt" stroked="true" strokeweight=".5pt" strokecolor="#000000">
            <v:stroke dashstyle="solid"/>
            <w10:wrap type="none"/>
          </v:line>
        </w:pict>
      </w:r>
      <w:r>
        <w:rPr>
          <w:sz w:val="12"/>
        </w:rPr>
        <w:t>30</w:t>
        <w:tab/>
        <w:t>6</w:t>
      </w:r>
    </w:p>
    <w:p>
      <w:pPr>
        <w:pStyle w:val="BodyText"/>
        <w:spacing w:before="8"/>
        <w:rPr>
          <w:sz w:val="20"/>
        </w:rPr>
      </w:pPr>
    </w:p>
    <w:p>
      <w:pPr>
        <w:tabs>
          <w:tab w:pos="3775" w:val="left" w:leader="none"/>
        </w:tabs>
        <w:spacing w:line="130" w:lineRule="exact" w:before="0"/>
        <w:ind w:left="190" w:right="0" w:firstLine="0"/>
        <w:jc w:val="center"/>
        <w:rPr>
          <w:sz w:val="12"/>
        </w:rPr>
      </w:pPr>
      <w:r>
        <w:rPr/>
        <w:pict>
          <v:shape style="position:absolute;margin-left:53.931999pt;margin-top:-1.231113pt;width:164.55pt;height:5.1pt;mso-position-horizontal-relative:page;mso-position-vertical-relative:paragraph;z-index:-21135360" coordorigin="1079,-25" coordsize="3291,102" path="m1079,75l1165,75m4283,76l4369,76m1216,76l4223,76m1216,-25l1216,69m1315,22l1315,69m1413,22l1413,69m1512,22l1512,69m1610,-25l1610,69m1709,22l1709,69m1808,22l1808,69m1906,22l1906,69m2005,-25l2005,69m2104,22l2104,69m2202,22l2202,69m2301,22l2301,69m2400,-25l2400,69m2498,22l2498,69m2597,22l2597,69m2696,22l2696,69m2794,-25l2794,69m2893,22l2893,69m2991,22l2991,69m3090,22l3090,69m3189,-25l3189,69m3287,22l3287,69m3386,22l3386,69m3485,22l3485,69m3583,-25l3583,69m3682,22l3682,69m3781,22l3781,69m3879,22l3879,69m3978,-25l3978,69m4076,22l4076,69m4175,22l4175,69e" filled="false" stroked="true" strokeweight=".5pt" strokecolor="#000000">
            <v:path arrowok="t"/>
            <v:stroke dashstyle="solid"/>
            <w10:wrap type="none"/>
          </v:shape>
        </w:pict>
      </w:r>
      <w:r>
        <w:rPr>
          <w:sz w:val="12"/>
        </w:rPr>
        <w:t>40</w:t>
        <w:tab/>
        <w:t>8</w:t>
      </w:r>
    </w:p>
    <w:p>
      <w:pPr>
        <w:tabs>
          <w:tab w:pos="714" w:val="left" w:leader="none"/>
          <w:tab w:pos="1109" w:val="left" w:leader="none"/>
          <w:tab w:pos="1505" w:val="left" w:leader="none"/>
          <w:tab w:pos="1900" w:val="left" w:leader="none"/>
          <w:tab w:pos="2296" w:val="left" w:leader="none"/>
          <w:tab w:pos="2692" w:val="left" w:leader="none"/>
          <w:tab w:pos="3035" w:val="left" w:leader="none"/>
        </w:tabs>
        <w:spacing w:line="130" w:lineRule="exact" w:before="0"/>
        <w:ind w:left="267" w:right="0" w:firstLine="0"/>
        <w:jc w:val="center"/>
        <w:rPr>
          <w:sz w:val="12"/>
        </w:rPr>
      </w:pPr>
      <w:r>
        <w:rPr>
          <w:sz w:val="12"/>
        </w:rPr>
        <w:t>1992</w:t>
        <w:tab/>
        <w:t>93</w:t>
        <w:tab/>
        <w:t>94</w:t>
        <w:tab/>
        <w:t>95</w:t>
        <w:tab/>
        <w:t>96</w:t>
        <w:tab/>
        <w:t>97</w:t>
        <w:tab/>
        <w:t>98</w:t>
        <w:tab/>
        <w:t>99</w:t>
      </w:r>
    </w:p>
    <w:p>
      <w:pPr>
        <w:spacing w:before="86"/>
        <w:ind w:left="246" w:right="0" w:firstLine="0"/>
        <w:jc w:val="left"/>
        <w:rPr>
          <w:sz w:val="12"/>
        </w:rPr>
      </w:pPr>
      <w:r>
        <w:rPr>
          <w:sz w:val="12"/>
        </w:rPr>
        <w:t>Sources: CBI and ONS.</w:t>
      </w:r>
    </w:p>
    <w:p>
      <w:pPr>
        <w:pStyle w:val="ListParagraph"/>
        <w:numPr>
          <w:ilvl w:val="0"/>
          <w:numId w:val="25"/>
        </w:numPr>
        <w:tabs>
          <w:tab w:pos="487" w:val="left" w:leader="none"/>
        </w:tabs>
        <w:spacing w:line="129" w:lineRule="exact" w:before="102" w:after="0"/>
        <w:ind w:left="486" w:right="0" w:hanging="241"/>
        <w:jc w:val="left"/>
        <w:rPr>
          <w:sz w:val="12"/>
        </w:rPr>
      </w:pPr>
      <w:r>
        <w:rPr>
          <w:sz w:val="12"/>
        </w:rPr>
        <w:t>Excluding excise duties.</w:t>
      </w:r>
    </w:p>
    <w:p>
      <w:pPr>
        <w:pStyle w:val="ListParagraph"/>
        <w:numPr>
          <w:ilvl w:val="0"/>
          <w:numId w:val="25"/>
        </w:numPr>
        <w:tabs>
          <w:tab w:pos="487" w:val="left" w:leader="none"/>
        </w:tabs>
        <w:spacing w:line="208" w:lineRule="auto" w:before="5" w:after="0"/>
        <w:ind w:left="486" w:right="264" w:hanging="240"/>
        <w:jc w:val="left"/>
        <w:rPr>
          <w:sz w:val="12"/>
        </w:rPr>
      </w:pPr>
      <w:r>
        <w:rPr>
          <w:sz w:val="12"/>
        </w:rPr>
        <w:t>Balance of manufacturers expecting to increase prices over the following four months minus those expecting a reduction; </w:t>
      </w:r>
      <w:r>
        <w:rPr>
          <w:spacing w:val="-3"/>
          <w:sz w:val="12"/>
        </w:rPr>
        <w:t>lagged </w:t>
      </w:r>
      <w:r>
        <w:rPr>
          <w:sz w:val="12"/>
        </w:rPr>
        <w:t>by four months.</w:t>
      </w:r>
    </w:p>
    <w:p>
      <w:pPr>
        <w:spacing w:line="242" w:lineRule="auto" w:before="4"/>
        <w:ind w:left="230" w:right="421" w:firstLine="0"/>
        <w:jc w:val="left"/>
        <w:rPr>
          <w:sz w:val="24"/>
        </w:rPr>
      </w:pPr>
      <w:r>
        <w:rPr/>
        <w:br w:type="column"/>
      </w:r>
      <w:r>
        <w:rPr>
          <w:sz w:val="24"/>
        </w:rPr>
        <w:t>months. Output prices rose in February and March as a result of changes to excise duties and higher fuel prices. Excluding excise duties, output prices were</w:t>
      </w:r>
    </w:p>
    <w:p>
      <w:pPr>
        <w:spacing w:line="242" w:lineRule="auto" w:before="4"/>
        <w:ind w:left="230" w:right="72" w:firstLine="0"/>
        <w:jc w:val="left"/>
        <w:rPr>
          <w:sz w:val="24"/>
        </w:rPr>
      </w:pPr>
      <w:r>
        <w:rPr>
          <w:sz w:val="24"/>
        </w:rPr>
        <w:t>broadly flat in 1999 Q1 and were 0.7% lower than a year earlier. The CBI survey measure—which in the past has moved fairly closely with producer output prices (see Chart 4.4)—points to small falls in prices over the next four months.</w:t>
      </w:r>
    </w:p>
    <w:p>
      <w:pPr>
        <w:pStyle w:val="BodyText"/>
        <w:spacing w:before="6"/>
        <w:rPr>
          <w:sz w:val="28"/>
        </w:rPr>
      </w:pPr>
    </w:p>
    <w:p>
      <w:pPr>
        <w:pStyle w:val="ListParagraph"/>
        <w:numPr>
          <w:ilvl w:val="1"/>
          <w:numId w:val="24"/>
        </w:numPr>
        <w:tabs>
          <w:tab w:pos="1127" w:val="left" w:leader="none"/>
          <w:tab w:pos="1128" w:val="left" w:leader="none"/>
          <w:tab w:pos="5750" w:val="left" w:leader="none"/>
        </w:tabs>
        <w:spacing w:line="240" w:lineRule="auto" w:before="1" w:after="0"/>
        <w:ind w:left="1127" w:right="0" w:hanging="898"/>
        <w:jc w:val="left"/>
        <w:rPr>
          <w:b/>
          <w:sz w:val="28"/>
        </w:rPr>
      </w:pPr>
      <w:r>
        <w:rPr>
          <w:b/>
          <w:color w:val="009483"/>
          <w:sz w:val="28"/>
          <w:u w:val="thick" w:color="0093C1"/>
        </w:rPr>
        <w:t>Costs and prices in the service</w:t>
      </w:r>
      <w:r>
        <w:rPr>
          <w:b/>
          <w:color w:val="009483"/>
          <w:spacing w:val="-3"/>
          <w:sz w:val="28"/>
          <w:u w:val="thick" w:color="0093C1"/>
        </w:rPr>
        <w:t> </w:t>
      </w:r>
      <w:r>
        <w:rPr>
          <w:b/>
          <w:color w:val="009483"/>
          <w:sz w:val="28"/>
          <w:u w:val="thick" w:color="0093C1"/>
        </w:rPr>
        <w:t>sector</w:t>
        <w:tab/>
      </w:r>
    </w:p>
    <w:p>
      <w:pPr>
        <w:pStyle w:val="BodyText"/>
        <w:spacing w:before="10"/>
        <w:rPr>
          <w:b/>
          <w:sz w:val="23"/>
        </w:rPr>
      </w:pPr>
    </w:p>
    <w:p>
      <w:pPr>
        <w:spacing w:line="242" w:lineRule="auto" w:before="1"/>
        <w:ind w:left="230" w:right="72" w:firstLine="0"/>
        <w:jc w:val="left"/>
        <w:rPr>
          <w:sz w:val="24"/>
        </w:rPr>
      </w:pPr>
      <w:r>
        <w:rPr>
          <w:sz w:val="24"/>
        </w:rPr>
        <w:t>Survey data for the service sector pointed to lower costs and output price inflation in the second half of 1998, but survey balances rose a little in 1999 Q1. The C</w:t>
      </w:r>
      <w:r>
        <w:rPr>
          <w:sz w:val="20"/>
        </w:rPr>
        <w:t>IPS </w:t>
      </w:r>
      <w:r>
        <w:rPr>
          <w:sz w:val="24"/>
        </w:rPr>
        <w:t>services survey index of the cost of all inputs fell in the second half of 1998 but rose in the first four months of</w:t>
      </w:r>
    </w:p>
    <w:p>
      <w:pPr>
        <w:spacing w:after="0" w:line="242" w:lineRule="auto"/>
        <w:jc w:val="left"/>
        <w:rPr>
          <w:sz w:val="24"/>
        </w:rPr>
        <w:sectPr>
          <w:type w:val="continuous"/>
          <w:pgSz w:w="11900" w:h="16840"/>
          <w:pgMar w:top="1220" w:bottom="280" w:left="640" w:right="640"/>
          <w:cols w:num="2" w:equalWidth="0">
            <w:col w:w="3916" w:space="854"/>
            <w:col w:w="5850"/>
          </w:cols>
        </w:sectPr>
      </w:pPr>
    </w:p>
    <w:p>
      <w:pPr>
        <w:pStyle w:val="BodyText"/>
        <w:rPr>
          <w:sz w:val="20"/>
        </w:rPr>
      </w:pPr>
    </w:p>
    <w:p>
      <w:pPr>
        <w:spacing w:line="242" w:lineRule="auto" w:before="217"/>
        <w:ind w:left="4965" w:right="221" w:firstLine="0"/>
        <w:jc w:val="left"/>
        <w:rPr>
          <w:sz w:val="24"/>
        </w:rPr>
      </w:pPr>
      <w:bookmarkStart w:name="Retail prices" w:id="65"/>
      <w:bookmarkEnd w:id="65"/>
      <w:r>
        <w:rPr/>
      </w:r>
      <w:bookmarkStart w:name="_bookmark26" w:id="66"/>
      <w:bookmarkEnd w:id="66"/>
      <w:r>
        <w:rPr/>
      </w:r>
      <w:r>
        <w:rPr>
          <w:sz w:val="24"/>
        </w:rPr>
        <w:t>1999. The C</w:t>
      </w:r>
      <w:r>
        <w:rPr>
          <w:sz w:val="20"/>
        </w:rPr>
        <w:t>IPS </w:t>
      </w:r>
      <w:r>
        <w:rPr>
          <w:sz w:val="24"/>
        </w:rPr>
        <w:t>survey measure of prices charged was above the neutral level of 50 in March and April, following five months when the balance of responses was consistent with downward pressure on prices. The BCC survey measure of output price inflation in the service sector was unchanged in 1999 Q1, though cost pressures from settlements and other overheads were reported to have increased.</w:t>
      </w:r>
    </w:p>
    <w:p>
      <w:pPr>
        <w:pStyle w:val="BodyText"/>
        <w:spacing w:before="3"/>
        <w:rPr>
          <w:sz w:val="25"/>
        </w:rPr>
      </w:pPr>
    </w:p>
    <w:p>
      <w:pPr>
        <w:spacing w:line="242" w:lineRule="auto" w:before="0"/>
        <w:ind w:left="4965" w:right="321" w:firstLine="0"/>
        <w:jc w:val="left"/>
        <w:rPr>
          <w:sz w:val="24"/>
        </w:rPr>
      </w:pPr>
      <w:r>
        <w:rPr>
          <w:sz w:val="24"/>
        </w:rPr>
        <w:t>The ONS is developing an aggregate measure of corporate services output inflation (see page 35 of the February 1999 </w:t>
      </w:r>
      <w:r>
        <w:rPr>
          <w:i/>
          <w:sz w:val="24"/>
        </w:rPr>
        <w:t>Report</w:t>
      </w:r>
      <w:r>
        <w:rPr>
          <w:sz w:val="24"/>
        </w:rPr>
        <w:t>). The twelve sub-component series which are published generally pointed to lower inflation in 1998 Q4: six pointed to lower price increases in 1998 Q4 than in Q3 and two showed no change. Three of the four series where price increases were higher related to the transport sector.</w:t>
      </w:r>
    </w:p>
    <w:p>
      <w:pPr>
        <w:pStyle w:val="BodyText"/>
        <w:spacing w:before="11"/>
        <w:rPr>
          <w:sz w:val="21"/>
        </w:rPr>
      </w:pPr>
    </w:p>
    <w:p>
      <w:pPr>
        <w:pStyle w:val="ListParagraph"/>
        <w:numPr>
          <w:ilvl w:val="1"/>
          <w:numId w:val="24"/>
        </w:numPr>
        <w:tabs>
          <w:tab w:pos="8745" w:val="left" w:leader="none"/>
          <w:tab w:pos="8746" w:val="left" w:leader="none"/>
          <w:tab w:pos="10484" w:val="left" w:leader="none"/>
        </w:tabs>
        <w:spacing w:line="240" w:lineRule="auto" w:before="0" w:after="0"/>
        <w:ind w:left="8745" w:right="0" w:hanging="3781"/>
        <w:jc w:val="left"/>
        <w:rPr>
          <w:b/>
          <w:sz w:val="28"/>
        </w:rPr>
      </w:pPr>
      <w:r>
        <w:rPr>
          <w:b/>
          <w:color w:val="009483"/>
          <w:sz w:val="28"/>
          <w:u w:val="thick" w:color="0093C1"/>
        </w:rPr>
        <w:t>Retail prices</w:t>
        <w:tab/>
      </w:r>
    </w:p>
    <w:p>
      <w:pPr>
        <w:pStyle w:val="BodyText"/>
        <w:spacing w:before="1"/>
        <w:rPr>
          <w:b/>
          <w:sz w:val="16"/>
        </w:rPr>
      </w:pPr>
    </w:p>
    <w:p>
      <w:pPr>
        <w:spacing w:after="0"/>
        <w:rPr>
          <w:sz w:val="16"/>
        </w:rPr>
        <w:sectPr>
          <w:pgSz w:w="11900" w:h="16840"/>
          <w:pgMar w:header="586" w:footer="597" w:top="780" w:bottom="780" w:left="640" w:right="640"/>
        </w:sectPr>
      </w:pPr>
    </w:p>
    <w:p>
      <w:pPr>
        <w:pStyle w:val="BodyText"/>
        <w:rPr>
          <w:b/>
          <w:sz w:val="22"/>
        </w:rPr>
      </w:pPr>
    </w:p>
    <w:p>
      <w:pPr>
        <w:pStyle w:val="BodyText"/>
        <w:spacing w:before="4"/>
        <w:rPr>
          <w:b/>
          <w:sz w:val="24"/>
        </w:rPr>
      </w:pPr>
    </w:p>
    <w:p>
      <w:pPr>
        <w:pStyle w:val="Heading4"/>
        <w:spacing w:line="249" w:lineRule="auto" w:before="0"/>
        <w:ind w:left="214" w:right="20"/>
        <w:rPr>
          <w:b w:val="0"/>
          <w:sz w:val="12"/>
        </w:rPr>
      </w:pPr>
      <w:r>
        <w:rPr>
          <w:color w:val="0093C1"/>
        </w:rPr>
        <w:t>Chart 4.5 Inflation</w:t>
      </w:r>
      <w:r>
        <w:rPr>
          <w:b w:val="0"/>
          <w:position w:val="4"/>
          <w:sz w:val="12"/>
        </w:rPr>
        <w:t>(a)</w:t>
      </w:r>
    </w:p>
    <w:p>
      <w:pPr>
        <w:pStyle w:val="BodyText"/>
        <w:spacing w:before="1" w:after="40"/>
      </w:pPr>
    </w:p>
    <w:p>
      <w:pPr>
        <w:pStyle w:val="BodyText"/>
        <w:spacing w:line="20" w:lineRule="exact"/>
        <w:ind w:left="193"/>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shape style="position:absolute;margin-left:41.931pt;margin-top:18.533836pt;width:4.350pt;height:.1pt;mso-position-horizontal-relative:page;mso-position-vertical-relative:paragraph;z-index:-15453184;mso-wrap-distance-left:0;mso-wrap-distance-right:0" coordorigin="839,371" coordsize="87,0" path="m839,371l925,371e" filled="false" stroked="true" strokeweight=".5pt" strokecolor="#000000">
            <v:path arrowok="t"/>
            <v:stroke dashstyle="solid"/>
            <w10:wrap type="topAndBottom"/>
          </v:shape>
        </w:pict>
      </w:r>
      <w:r>
        <w:rPr/>
        <w:pict>
          <v:shape style="position:absolute;margin-left:41.931pt;margin-top:35.163837pt;width:4.350pt;height:.1pt;mso-position-horizontal-relative:page;mso-position-vertical-relative:paragraph;z-index:-15452672;mso-wrap-distance-left:0;mso-wrap-distance-right:0" coordorigin="839,703" coordsize="87,0" path="m839,703l925,703e" filled="false" stroked="true" strokeweight=".5pt" strokecolor="#000000">
            <v:path arrowok="t"/>
            <v:stroke dashstyle="solid"/>
            <w10:wrap type="topAndBottom"/>
          </v:shape>
        </w:pict>
      </w:r>
      <w:r>
        <w:rPr/>
        <w:pict>
          <v:shape style="position:absolute;margin-left:41.931pt;margin-top:51.793835pt;width:4.350pt;height:.1pt;mso-position-horizontal-relative:page;mso-position-vertical-relative:paragraph;z-index:-15452160;mso-wrap-distance-left:0;mso-wrap-distance-right:0" coordorigin="839,1036" coordsize="87,0" path="m839,1036l925,1036e" filled="false" stroked="true" strokeweight=".5pt" strokecolor="#000000">
            <v:path arrowok="t"/>
            <v:stroke dashstyle="solid"/>
            <w10:wrap type="topAndBottom"/>
          </v:shape>
        </w:pict>
      </w:r>
      <w:r>
        <w:rPr/>
        <w:pict>
          <v:shape style="position:absolute;margin-left:41.931pt;margin-top:68.422836pt;width:4.350pt;height:.1pt;mso-position-horizontal-relative:page;mso-position-vertical-relative:paragraph;z-index:-15451648;mso-wrap-distance-left:0;mso-wrap-distance-right:0" coordorigin="839,1368" coordsize="87,0" path="m839,1368l925,1368e" filled="false" stroked="true" strokeweight=".5pt" strokecolor="#000000">
            <v:path arrowok="t"/>
            <v:stroke dashstyle="solid"/>
            <w10:wrap type="topAndBottom"/>
          </v:shape>
        </w:pict>
      </w:r>
    </w:p>
    <w:p>
      <w:pPr>
        <w:pStyle w:val="BodyText"/>
        <w:spacing w:before="1"/>
        <w:rPr>
          <w:sz w:val="22"/>
        </w:rPr>
      </w:pPr>
    </w:p>
    <w:p>
      <w:pPr>
        <w:pStyle w:val="BodyText"/>
        <w:spacing w:before="1"/>
        <w:rPr>
          <w:sz w:val="22"/>
        </w:rPr>
      </w:pPr>
    </w:p>
    <w:p>
      <w:pPr>
        <w:pStyle w:val="BodyText"/>
        <w:spacing w:before="1"/>
        <w:rPr>
          <w:sz w:val="22"/>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0"/>
        </w:rPr>
      </w:pPr>
    </w:p>
    <w:p>
      <w:pPr>
        <w:spacing w:before="1"/>
        <w:ind w:left="214" w:right="0" w:firstLine="0"/>
        <w:jc w:val="left"/>
        <w:rPr>
          <w:sz w:val="12"/>
        </w:rPr>
      </w:pPr>
      <w:r>
        <w:rPr/>
        <w:pict>
          <v:group style="position:absolute;margin-left:41.931pt;margin-top:19.030331pt;width:166pt;height:85.05pt;mso-position-horizontal-relative:page;mso-position-vertical-relative:paragraph;z-index:16009728" coordorigin="839,381" coordsize="3320,1701">
            <v:shape style="position:absolute;left:986;top:610;width:503;height:373" type="#_x0000_t75" stroked="false">
              <v:imagedata r:id="rId111" o:title=""/>
            </v:shape>
            <v:shape style="position:absolute;left:1479;top:620;width:485;height:1133" coordorigin="1479,621" coordsize="485,1133" path="m1479,621l1537,1078m1537,1078l1604,1126m1604,1126l1659,1048m1659,1048l1727,1263m1727,1263l1784,1416m1784,1416l1839,1431m1839,1431l1907,1568m1907,1568l1964,1753e" filled="false" stroked="true" strokeweight="1pt" strokecolor="#0099d8">
              <v:path arrowok="t"/>
              <v:stroke dashstyle="solid"/>
            </v:shape>
            <v:line style="position:absolute" from="1954,1754" to="2029,1754" stroked="true" strokeweight="1.125pt" strokecolor="#0099d8">
              <v:stroke dashstyle="solid"/>
            </v:line>
            <v:shape style="position:absolute;left:2019;top:390;width:1998;height:1423" coordorigin="2019,391" coordsize="1998,1423" path="m2019,1753l2087,1706m2087,1706l2142,1753m2142,1753l2209,1768m2209,1768l2267,1401m2267,1401l2322,1353m2322,1353l2389,1553m2389,1553l2447,1323m2447,1323l2514,1371m2514,1371l2569,1461m2569,1461l2624,1568m2624,1568l2692,1446m2692,1446l2749,1233m2749,1233l2804,956m2804,956l2872,833m2872,833l2929,803m2929,803l2997,713m2997,713l3052,728m3052,728l3109,773m3109,773l3174,988m3174,988l3232,911m3232,911l3287,866m3287,866l3354,498m3354,498l3412,391m3412,391l3479,696m3479,696l3534,866m3534,866l3592,1003m3592,1003l3659,1048m3659,1048l3714,1093m3714,1093l3769,1186m3769,1186l3837,1353m3837,1353l3894,1553m3894,1553l3962,1768m3962,1768l4017,1813e" filled="false" stroked="true" strokeweight="1pt" strokecolor="#0099d8">
              <v:path arrowok="t"/>
              <v:stroke dashstyle="solid"/>
            </v:shape>
            <v:shape style="position:absolute;left:996;top:1263;width:180;height:123" coordorigin="997,1263" coordsize="180,123" path="m997,1338l1054,1353m1054,1353l1122,1263m1122,1263l1177,1386e" filled="false" stroked="true" strokeweight="1pt" strokecolor="#ed1b2d">
              <v:path arrowok="t"/>
              <v:stroke dashstyle="solid"/>
            </v:shape>
            <v:line style="position:absolute" from="1167,1387" to="1254,1387" stroked="true" strokeweight="1.125pt" strokecolor="#ed1b2d">
              <v:stroke dashstyle="solid"/>
            </v:line>
            <v:shape style="position:absolute;left:1244;top:1110;width:293;height:275" coordorigin="1244,1111" coordsize="293,275" path="m1244,1386l1302,1293m1302,1293l1357,1323m1357,1323l1424,1248m1424,1248l1479,1111m1479,1111l1537,1248e" filled="false" stroked="true" strokeweight="1pt" strokecolor="#ed1b2d">
              <v:path arrowok="t"/>
              <v:stroke dashstyle="solid"/>
            </v:shape>
            <v:line style="position:absolute" from="1527,1249" to="1614,1249" stroked="true" strokeweight="1.124pt" strokecolor="#ed1b2d">
              <v:stroke dashstyle="solid"/>
            </v:line>
            <v:shape style="position:absolute;left:1604;top:1215;width:123;height:93" coordorigin="1604,1216" coordsize="123,93" path="m1604,1248l1659,1216m1659,1216l1727,1308e" filled="false" stroked="true" strokeweight="1pt" strokecolor="#ed1b2d">
              <v:path arrowok="t"/>
              <v:stroke dashstyle="solid"/>
            </v:shape>
            <v:line style="position:absolute" from="1717,1309" to="1794,1309" stroked="true" strokeweight="1.125pt" strokecolor="#ed1b2d">
              <v:stroke dashstyle="solid"/>
            </v:line>
            <v:shape style="position:absolute;left:1784;top:1278;width:180;height:60" coordorigin="1784,1278" coordsize="180,60" path="m1784,1308l1839,1278m1839,1278l1907,1293m1907,1293l1964,1338e" filled="false" stroked="true" strokeweight="1pt" strokecolor="#ed1b2d">
              <v:path arrowok="t"/>
              <v:stroke dashstyle="solid"/>
            </v:shape>
            <v:line style="position:absolute" from="1954,1339" to="2029,1339" stroked="true" strokeweight="1.125pt" strokecolor="#ed1b2d">
              <v:stroke dashstyle="solid"/>
            </v:line>
            <v:shape style="position:absolute;left:2019;top:988;width:248;height:350" coordorigin="2019,988" coordsize="248,350" path="m2019,1338l2087,1293m2087,1293l2142,1308m2142,1308l2209,1216m2209,1216l2267,988e" filled="false" stroked="true" strokeweight="1pt" strokecolor="#ed1b2d">
              <v:path arrowok="t"/>
              <v:stroke dashstyle="solid"/>
            </v:shape>
            <v:line style="position:absolute" from="2257,989" to="2332,989" stroked="true" strokeweight="1.125pt" strokecolor="#ed1b2d">
              <v:stroke dashstyle="solid"/>
            </v:line>
            <v:shape style="position:absolute;left:2321;top:988;width:303;height:535" coordorigin="2322,988" coordsize="303,535" path="m2322,988l2389,1141m2389,1141l2447,1126m2447,1126l2514,1278m2514,1278l2569,1416m2569,1416l2624,1523e" filled="false" stroked="true" strokeweight="1pt" strokecolor="#ed1b2d">
              <v:path arrowok="t"/>
              <v:stroke dashstyle="solid"/>
            </v:shape>
            <v:line style="position:absolute" from="2614,1524" to="2702,1524" stroked="true" strokeweight="1.125pt" strokecolor="#ed1b2d">
              <v:stroke dashstyle="solid"/>
            </v:line>
            <v:shape style="position:absolute;left:2691;top:1215;width:305;height:308" coordorigin="2692,1216" coordsize="305,308" path="m2692,1523l2749,1401m2749,1401l2804,1216m2804,1216l2872,1308m2872,1308l2929,1371m2929,1371l2997,1323e" filled="false" stroked="true" strokeweight="1pt" strokecolor="#ed1b2d">
              <v:path arrowok="t"/>
              <v:stroke dashstyle="solid"/>
            </v:shape>
            <v:line style="position:absolute" from="2987,1324" to="3062,1324" stroked="true" strokeweight="1.125pt" strokecolor="#ed1b2d">
              <v:stroke dashstyle="solid"/>
            </v:line>
            <v:shape style="position:absolute;left:3051;top:1323;width:180;height:215" coordorigin="3052,1323" coordsize="180,215" path="m3052,1323l3109,1416m3109,1416l3174,1538m3174,1538l3232,1461e" filled="false" stroked="true" strokeweight="1pt" strokecolor="#ed1b2d">
              <v:path arrowok="t"/>
              <v:stroke dashstyle="solid"/>
            </v:shape>
            <v:line style="position:absolute" from="3222,1462" to="3297,1462" stroked="true" strokeweight="1.125pt" strokecolor="#ed1b2d">
              <v:stroke dashstyle="solid"/>
            </v:line>
            <v:shape style="position:absolute;left:3286;top:1048;width:305;height:445" coordorigin="3287,1048" coordsize="305,445" path="m3287,1461l3354,1216m3354,1216l3412,1048m3412,1048l3479,1308m3479,1308l3534,1431m3534,1431l3592,1493e" filled="false" stroked="true" strokeweight="1pt" strokecolor="#ed1b2d">
              <v:path arrowok="t"/>
              <v:stroke dashstyle="solid"/>
            </v:shape>
            <v:shape style="position:absolute;left:3581;top:1494;width:198;height:2" coordorigin="3582,1494" coordsize="198,0" path="m3582,1494l3669,1494m3649,1494l3724,1494m3704,1494l3779,1494e" filled="false" stroked="true" strokeweight="1.125pt" strokecolor="#ed1b2d">
              <v:path arrowok="t"/>
              <v:stroke dashstyle="solid"/>
            </v:shape>
            <v:shape style="position:absolute;left:3769;top:1385;width:248;height:198" coordorigin="3769,1386" coordsize="248,198" path="m3769,1493l3837,1461m3837,1461l3894,1446m3894,1446l3962,1583m3962,1583l4017,1386e" filled="false" stroked="true" strokeweight="1pt" strokecolor="#ed1b2d">
              <v:path arrowok="t"/>
              <v:stroke dashstyle="solid"/>
            </v:shape>
            <v:shape style="position:absolute;left:996;top:1675;width:305;height:320" coordorigin="997,1676" coordsize="305,320" path="m997,1936l1054,1996m1054,1996l1122,1906m1122,1906l1177,1813m1177,1813l1244,1721m1244,1721l1302,1676e" filled="false" stroked="true" strokeweight="1pt" strokecolor="#edc5dd">
              <v:path arrowok="t"/>
              <v:stroke dashstyle="solid"/>
            </v:shape>
            <v:line style="position:absolute" from="1292,1677" to="1367,1677" stroked="true" strokeweight="1.125pt" strokecolor="#edc5dd">
              <v:stroke dashstyle="solid"/>
            </v:line>
            <v:shape style="position:absolute;left:1356;top:1445;width:180;height:230" coordorigin="1357,1446" coordsize="180,230" path="m1357,1676l1424,1538m1424,1538l1479,1446m1479,1446l1537,1583e" filled="false" stroked="true" strokeweight="1pt" strokecolor="#edc5dd">
              <v:path arrowok="t"/>
              <v:stroke dashstyle="solid"/>
            </v:shape>
            <v:line style="position:absolute" from="1527,1584" to="1614,1584" stroked="true" strokeweight="1.125pt" strokecolor="#edc5dd">
              <v:stroke dashstyle="solid"/>
            </v:line>
            <v:line style="position:absolute" from="1604,1583" to="1659,1538" stroked="true" strokeweight="1pt" strokecolor="#edc5dd">
              <v:stroke dashstyle="solid"/>
            </v:line>
            <v:line style="position:absolute" from="1649,1539" to="1737,1539" stroked="true" strokeweight="1.125pt" strokecolor="#edc5dd">
              <v:stroke dashstyle="solid"/>
            </v:line>
            <v:shape style="position:absolute;left:1726;top:1460;width:238;height:153" coordorigin="1727,1461" coordsize="238,153" path="m1727,1538l1784,1508m1784,1508l1839,1461m1839,1461l1907,1476m1907,1476l1964,1613e" filled="false" stroked="true" strokeweight="1pt" strokecolor="#edc5dd">
              <v:path arrowok="t"/>
              <v:stroke dashstyle="solid"/>
            </v:shape>
            <v:shape style="position:absolute;left:1954;top:1614;width:143;height:2" coordorigin="1954,1614" coordsize="143,0" path="m1954,1614l2029,1614m2009,1614l2097,1614e" filled="false" stroked="true" strokeweight="1.125pt" strokecolor="#edc5dd">
              <v:path arrowok="t"/>
              <v:stroke dashstyle="solid"/>
            </v:shape>
            <v:shape style="position:absolute;left:2086;top:1170;width:538;height:703" coordorigin="2087,1171" coordsize="538,703" path="m2087,1613l2142,1583m2142,1583l2209,1493m2209,1493l2267,1216m2267,1216l2322,1171m2322,1171l2389,1401m2389,1401l2447,1353m2447,1353l2514,1493m2514,1493l2569,1646m2569,1646l2624,1873e" filled="false" stroked="true" strokeweight="1pt" strokecolor="#edc5dd">
              <v:path arrowok="t"/>
              <v:stroke dashstyle="solid"/>
            </v:shape>
            <v:line style="position:absolute" from="2614,1874" to="2702,1874" stroked="true" strokeweight="1.125pt" strokecolor="#edc5dd">
              <v:stroke dashstyle="solid"/>
            </v:line>
            <v:shape style="position:absolute;left:2691;top:1508;width:1145;height:488" coordorigin="2692,1508" coordsize="1145,488" path="m2692,1873l2749,1706m2749,1706l2804,1691m2804,1691l2872,1798m2872,1798l2929,1843m2929,1843l2997,1706m2997,1706l3052,1753m3052,1753l3109,1706m3109,1706l3174,1936m3174,1936l3232,1798m3232,1798l3287,1813m3287,1813l3354,1721m3354,1721l3412,1508m3412,1508l3479,1828m3479,1828l3534,1768m3534,1768l3592,1783m3592,1783l3659,1828m3659,1828l3714,1966m3714,1966l3769,1996m3769,1996l3837,1873e" filled="false" stroked="true" strokeweight="1pt" strokecolor="#edc5dd">
              <v:path arrowok="t"/>
              <v:stroke dashstyle="solid"/>
            </v:shape>
            <v:line style="position:absolute" from="3827,1874" to="3904,1874" stroked="true" strokeweight="1.125pt" strokecolor="#edc5dd">
              <v:stroke dashstyle="solid"/>
            </v:line>
            <v:shape style="position:absolute;left:3894;top:1873;width:123;height:185" coordorigin="3894,1873" coordsize="123,185" path="m3894,1873l3962,1966m3962,1966l4017,2058e" filled="false" stroked="true" strokeweight="1pt" strokecolor="#edc5dd">
              <v:path arrowok="t"/>
              <v:stroke dashstyle="solid"/>
            </v:shape>
            <v:shape style="position:absolute;left:838;top:515;width:3320;height:1332" coordorigin="839,516" coordsize="3320,1332" path="m839,516l925,516m839,848l925,848m839,1181l925,1181m839,1513l925,1513m839,1846l925,1846m4071,517l4158,517m4071,850l4158,850m4071,1182l4158,1182m4071,1515l4158,1515m4071,1847l4158,1847e" filled="false" stroked="true" strokeweight=".5pt" strokecolor="#000000">
              <v:path arrowok="t"/>
              <v:stroke dashstyle="solid"/>
            </v:shape>
            <v:shape style="position:absolute;left:3132;top:431;width:207;height:133" type="#_x0000_t202" filled="false" stroked="false">
              <v:textbox inset="0,0,0,0">
                <w:txbxContent>
                  <w:p>
                    <w:pPr>
                      <w:spacing w:line="133" w:lineRule="exact" w:before="0"/>
                      <w:ind w:left="0" w:right="0" w:firstLine="0"/>
                      <w:jc w:val="left"/>
                      <w:rPr>
                        <w:sz w:val="12"/>
                      </w:rPr>
                    </w:pPr>
                    <w:r>
                      <w:rPr>
                        <w:sz w:val="12"/>
                      </w:rPr>
                      <w:t>RPI</w:t>
                    </w:r>
                  </w:p>
                </w:txbxContent>
              </v:textbox>
              <w10:wrap type="none"/>
            </v:shape>
            <v:shape style="position:absolute;left:3032;top:1169;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3096;top:1948;width:294;height:133" type="#_x0000_t202" filled="false" stroked="false">
              <v:textbox inset="0,0,0,0">
                <w:txbxContent>
                  <w:p>
                    <w:pPr>
                      <w:spacing w:line="133" w:lineRule="exact" w:before="0"/>
                      <w:ind w:left="0" w:right="0" w:firstLine="0"/>
                      <w:jc w:val="left"/>
                      <w:rPr>
                        <w:sz w:val="12"/>
                      </w:rPr>
                    </w:pPr>
                    <w:r>
                      <w:rPr>
                        <w:sz w:val="12"/>
                      </w:rPr>
                      <w:t>RPIY</w:t>
                    </w:r>
                  </w:p>
                </w:txbxContent>
              </v:textbox>
              <w10:wrap type="none"/>
            </v:shape>
            <w10:wrap type="none"/>
          </v:group>
        </w:pict>
      </w:r>
      <w:r>
        <w:rPr>
          <w:sz w:val="12"/>
        </w:rPr>
        <w:t>Percentage changes on a year earlier</w:t>
      </w:r>
    </w:p>
    <w:p>
      <w:pPr>
        <w:pStyle w:val="BodyText"/>
        <w:spacing w:before="5"/>
        <w:rPr>
          <w:sz w:val="3"/>
        </w:rPr>
      </w:pPr>
    </w:p>
    <w:p>
      <w:pPr>
        <w:pStyle w:val="BodyText"/>
        <w:spacing w:line="20" w:lineRule="exact"/>
        <w:ind w:left="1871"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after="1"/>
        <w:rPr>
          <w:sz w:val="11"/>
        </w:rPr>
      </w:pPr>
    </w:p>
    <w:p>
      <w:pPr>
        <w:pStyle w:val="BodyText"/>
        <w:spacing w:line="20" w:lineRule="exact"/>
        <w:ind w:left="1871"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2"/>
        <w:rPr>
          <w:sz w:val="27"/>
        </w:rPr>
      </w:pPr>
    </w:p>
    <w:p>
      <w:pPr>
        <w:pStyle w:val="BodyText"/>
        <w:spacing w:line="20" w:lineRule="exact"/>
        <w:ind w:left="1871"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spacing w:before="2"/>
        <w:rPr>
          <w:sz w:val="27"/>
        </w:rPr>
      </w:pPr>
    </w:p>
    <w:p>
      <w:pPr>
        <w:pStyle w:val="BodyText"/>
        <w:spacing w:line="20" w:lineRule="exact"/>
        <w:ind w:left="1871" w:right="-72"/>
        <w:rPr>
          <w:sz w:val="2"/>
        </w:rPr>
      </w:pPr>
      <w:r>
        <w:rPr>
          <w:sz w:val="2"/>
        </w:rPr>
        <w:pict>
          <v:group style="width:4.350pt;height:.5pt;mso-position-horizontal-relative:char;mso-position-vertical-relative:line" coordorigin="0,0" coordsize="87,10">
            <v:line style="position:absolute" from="0,5" to="87,5" stroked="true" strokeweight=".5pt" strokecolor="#000000">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8"/>
        <w:ind w:left="16" w:right="0" w:firstLine="0"/>
        <w:jc w:val="left"/>
        <w:rPr>
          <w:sz w:val="12"/>
        </w:rPr>
      </w:pPr>
      <w:r>
        <w:rPr>
          <w:sz w:val="12"/>
        </w:rPr>
        <w:t>4.5</w:t>
      </w:r>
    </w:p>
    <w:p>
      <w:pPr>
        <w:pStyle w:val="BodyText"/>
        <w:spacing w:before="10"/>
        <w:rPr>
          <w:sz w:val="16"/>
        </w:rPr>
      </w:pPr>
    </w:p>
    <w:p>
      <w:pPr>
        <w:spacing w:before="0"/>
        <w:ind w:left="16" w:right="0" w:firstLine="0"/>
        <w:jc w:val="left"/>
        <w:rPr>
          <w:sz w:val="12"/>
        </w:rPr>
      </w:pPr>
      <w:r>
        <w:rPr>
          <w:sz w:val="12"/>
        </w:rPr>
        <w:t>4.0</w:t>
      </w:r>
    </w:p>
    <w:p>
      <w:pPr>
        <w:pStyle w:val="BodyText"/>
        <w:spacing w:before="9"/>
        <w:rPr>
          <w:sz w:val="16"/>
        </w:rPr>
      </w:pPr>
    </w:p>
    <w:p>
      <w:pPr>
        <w:spacing w:before="0"/>
        <w:ind w:left="16" w:right="0" w:firstLine="0"/>
        <w:jc w:val="left"/>
        <w:rPr>
          <w:sz w:val="12"/>
        </w:rPr>
      </w:pPr>
      <w:r>
        <w:rPr>
          <w:sz w:val="12"/>
        </w:rPr>
        <w:t>3.5</w:t>
      </w:r>
    </w:p>
    <w:p>
      <w:pPr>
        <w:pStyle w:val="BodyText"/>
        <w:spacing w:before="9"/>
        <w:rPr>
          <w:sz w:val="16"/>
        </w:rPr>
      </w:pPr>
    </w:p>
    <w:p>
      <w:pPr>
        <w:spacing w:before="1"/>
        <w:ind w:left="16" w:right="0" w:firstLine="0"/>
        <w:jc w:val="left"/>
        <w:rPr>
          <w:sz w:val="12"/>
        </w:rPr>
      </w:pPr>
      <w:r>
        <w:rPr>
          <w:sz w:val="12"/>
        </w:rPr>
        <w:t>3.0</w:t>
      </w:r>
    </w:p>
    <w:p>
      <w:pPr>
        <w:pStyle w:val="BodyText"/>
        <w:spacing w:before="9"/>
        <w:rPr>
          <w:sz w:val="16"/>
        </w:rPr>
      </w:pPr>
    </w:p>
    <w:p>
      <w:pPr>
        <w:spacing w:before="0"/>
        <w:ind w:left="16" w:right="0" w:firstLine="0"/>
        <w:jc w:val="left"/>
        <w:rPr>
          <w:sz w:val="12"/>
        </w:rPr>
      </w:pPr>
      <w:r>
        <w:rPr>
          <w:sz w:val="12"/>
        </w:rPr>
        <w:t>2.5</w:t>
      </w:r>
    </w:p>
    <w:p>
      <w:pPr>
        <w:pStyle w:val="BodyText"/>
        <w:spacing w:before="9"/>
        <w:rPr>
          <w:sz w:val="16"/>
        </w:rPr>
      </w:pPr>
    </w:p>
    <w:p>
      <w:pPr>
        <w:spacing w:before="1"/>
        <w:ind w:left="16" w:right="0" w:firstLine="0"/>
        <w:jc w:val="left"/>
        <w:rPr>
          <w:sz w:val="12"/>
        </w:rPr>
      </w:pPr>
      <w:r>
        <w:rPr>
          <w:sz w:val="12"/>
        </w:rPr>
        <w:t>2.0</w:t>
      </w:r>
    </w:p>
    <w:p>
      <w:pPr>
        <w:pStyle w:val="BodyText"/>
        <w:spacing w:before="9"/>
        <w:rPr>
          <w:sz w:val="16"/>
        </w:rPr>
      </w:pPr>
    </w:p>
    <w:p>
      <w:pPr>
        <w:spacing w:before="0"/>
        <w:ind w:left="16" w:right="0" w:firstLine="0"/>
        <w:jc w:val="left"/>
        <w:rPr>
          <w:sz w:val="12"/>
        </w:rPr>
      </w:pPr>
      <w:r>
        <w:rPr>
          <w:sz w:val="12"/>
        </w:rPr>
        <w:t>1.5</w:t>
      </w:r>
    </w:p>
    <w:p>
      <w:pPr>
        <w:pStyle w:val="BodyText"/>
        <w:spacing w:before="9"/>
        <w:rPr>
          <w:sz w:val="16"/>
        </w:rPr>
      </w:pPr>
    </w:p>
    <w:p>
      <w:pPr>
        <w:spacing w:before="0"/>
        <w:ind w:left="16" w:right="0" w:firstLine="0"/>
        <w:jc w:val="left"/>
        <w:rPr>
          <w:sz w:val="12"/>
        </w:rPr>
      </w:pPr>
      <w:r>
        <w:rPr>
          <w:sz w:val="12"/>
        </w:rPr>
        <w:t>1.0</w:t>
      </w:r>
    </w:p>
    <w:p>
      <w:pPr>
        <w:pStyle w:val="BodyText"/>
        <w:spacing w:before="10"/>
        <w:rPr>
          <w:sz w:val="16"/>
        </w:rPr>
      </w:pPr>
    </w:p>
    <w:p>
      <w:pPr>
        <w:spacing w:before="0"/>
        <w:ind w:left="16" w:right="0" w:firstLine="0"/>
        <w:jc w:val="left"/>
        <w:rPr>
          <w:sz w:val="12"/>
        </w:rPr>
      </w:pPr>
      <w:r>
        <w:rPr>
          <w:sz w:val="12"/>
        </w:rPr>
        <w:t>0.5</w:t>
      </w:r>
    </w:p>
    <w:p>
      <w:pPr>
        <w:pStyle w:val="BodyText"/>
        <w:spacing w:before="9"/>
        <w:rPr>
          <w:sz w:val="16"/>
        </w:rPr>
      </w:pPr>
    </w:p>
    <w:p>
      <w:pPr>
        <w:spacing w:line="114" w:lineRule="exact" w:before="0"/>
        <w:ind w:left="16" w:right="0" w:firstLine="0"/>
        <w:jc w:val="left"/>
        <w:rPr>
          <w:sz w:val="12"/>
        </w:rPr>
      </w:pPr>
      <w:r>
        <w:rPr/>
        <w:pict>
          <v:shape style="position:absolute;margin-left:50.220001pt;margin-top:-1.044445pt;width:157.7pt;height:4.8pt;mso-position-horizontal-relative:page;mso-position-vertical-relative:paragraph;z-index:16010240" coordorigin="1004,-21" coordsize="3154,96" path="m4071,73l4158,73m1010,72l4024,72m1004,-21l1004,75m1186,28l1186,75m1367,28l1367,75m1548,28l1548,75m1729,-21l1729,75m1911,28l1911,75m2092,28l2092,75m2273,28l2273,75m2454,-21l2454,75m2635,28l2635,75m2817,28l2817,75m2998,28l2998,75m3179,-21l3179,75m3360,28l3360,75m3542,28l3542,75m3723,28l3723,75m3904,-21l3904,75e" filled="false" stroked="true" strokeweight=".5pt" strokecolor="#000000">
            <v:path arrowok="t"/>
            <v:stroke dashstyle="solid"/>
            <w10:wrap type="none"/>
          </v:shape>
        </w:pict>
      </w:r>
      <w:r>
        <w:rPr>
          <w:sz w:val="12"/>
        </w:rPr>
        <w:t>0.0</w:t>
      </w:r>
    </w:p>
    <w:p>
      <w:pPr>
        <w:spacing w:line="242" w:lineRule="auto" w:before="90"/>
        <w:ind w:left="214" w:right="175" w:firstLine="0"/>
        <w:jc w:val="left"/>
        <w:rPr>
          <w:sz w:val="24"/>
        </w:rPr>
      </w:pPr>
      <w:r>
        <w:rPr/>
        <w:br w:type="column"/>
      </w:r>
      <w:r>
        <w:rPr>
          <w:sz w:val="24"/>
        </w:rPr>
        <w:t>Retail prices excluding mortgage interest payments (RPIX) inflation remained close to target in 1999 Q1. The rise in RPIX inflation in March, to 2.7%, was a result of the temporary effect of changes in the timing of excise duties announced in the Budget (see below).</w:t>
      </w:r>
    </w:p>
    <w:p>
      <w:pPr>
        <w:spacing w:line="242" w:lineRule="auto" w:before="7"/>
        <w:ind w:left="214" w:right="175" w:firstLine="0"/>
        <w:jc w:val="left"/>
        <w:rPr>
          <w:sz w:val="24"/>
        </w:rPr>
      </w:pPr>
      <w:r>
        <w:rPr>
          <w:sz w:val="24"/>
        </w:rPr>
        <w:t>RPIY inflation, which also excludes indirect and local authorities’ taxes, fell to 1.7%. The headline RPI inflation rate was unchanged at 2.1%, as a fall in mortgage interest payments offset the impact of higher duties (see Chart 4.5).</w:t>
      </w:r>
    </w:p>
    <w:p>
      <w:pPr>
        <w:pStyle w:val="BodyText"/>
        <w:spacing w:before="10"/>
        <w:rPr>
          <w:sz w:val="24"/>
        </w:rPr>
      </w:pPr>
    </w:p>
    <w:p>
      <w:pPr>
        <w:spacing w:line="242" w:lineRule="auto" w:before="0"/>
        <w:ind w:left="214" w:right="262" w:firstLine="0"/>
        <w:jc w:val="left"/>
        <w:rPr>
          <w:sz w:val="24"/>
        </w:rPr>
      </w:pPr>
      <w:r>
        <w:rPr>
          <w:sz w:val="24"/>
        </w:rPr>
        <w:t>The Budget in 1999 was earlier than in 1998, and increases in fuel duties took effect before the March collection date for the RPI. Fuel duties therefore affected the March RPI this year but not last year.</w:t>
      </w:r>
    </w:p>
    <w:p>
      <w:pPr>
        <w:spacing w:after="0" w:line="242" w:lineRule="auto"/>
        <w:jc w:val="left"/>
        <w:rPr>
          <w:sz w:val="24"/>
        </w:rPr>
        <w:sectPr>
          <w:type w:val="continuous"/>
          <w:pgSz w:w="11900" w:h="16840"/>
          <w:pgMar w:top="1220" w:bottom="280" w:left="640" w:right="640"/>
          <w:cols w:num="4" w:equalWidth="0">
            <w:col w:w="1132" w:space="422"/>
            <w:col w:w="1964" w:space="40"/>
            <w:col w:w="207" w:space="987"/>
            <w:col w:w="5868"/>
          </w:cols>
        </w:sectPr>
      </w:pPr>
    </w:p>
    <w:p>
      <w:pPr>
        <w:tabs>
          <w:tab w:pos="783" w:val="left" w:leader="none"/>
          <w:tab w:pos="1503" w:val="left" w:leader="none"/>
          <w:tab w:pos="2233" w:val="left" w:leader="none"/>
          <w:tab w:pos="2658" w:val="left" w:leader="none"/>
        </w:tabs>
        <w:spacing w:line="133" w:lineRule="exact" w:before="0"/>
        <w:ind w:left="0" w:right="303" w:firstLine="0"/>
        <w:jc w:val="right"/>
        <w:rPr>
          <w:sz w:val="12"/>
        </w:rPr>
      </w:pPr>
      <w:r>
        <w:rPr>
          <w:sz w:val="12"/>
        </w:rPr>
        <w:t>1995</w:t>
        <w:tab/>
        <w:t>96</w:t>
        <w:tab/>
        <w:t>97</w:t>
        <w:tab/>
        <w:t>98</w:t>
        <w:tab/>
        <w:t>99</w:t>
      </w:r>
    </w:p>
    <w:p>
      <w:pPr>
        <w:spacing w:line="129" w:lineRule="exact" w:before="35"/>
        <w:ind w:left="0" w:right="374" w:firstLine="0"/>
        <w:jc w:val="right"/>
        <w:rPr>
          <w:sz w:val="12"/>
        </w:rPr>
      </w:pPr>
      <w:r>
        <w:rPr>
          <w:sz w:val="12"/>
        </w:rPr>
        <w:t>RPIX = Retail price index excluding mortgage interest payments.</w:t>
      </w:r>
    </w:p>
    <w:p>
      <w:pPr>
        <w:spacing w:line="129" w:lineRule="exact" w:before="0"/>
        <w:ind w:left="185" w:right="0" w:firstLine="0"/>
        <w:jc w:val="left"/>
        <w:rPr>
          <w:sz w:val="12"/>
        </w:rPr>
      </w:pPr>
      <w:r>
        <w:rPr>
          <w:sz w:val="12"/>
        </w:rPr>
        <w:t>RPIY = RPIX excluding VAT, local authorities’ taxes and excise duties.</w:t>
      </w:r>
    </w:p>
    <w:p>
      <w:pPr>
        <w:pStyle w:val="BodyText"/>
        <w:spacing w:before="1"/>
        <w:rPr>
          <w:sz w:val="10"/>
        </w:rPr>
      </w:pPr>
    </w:p>
    <w:p>
      <w:pPr>
        <w:spacing w:line="208" w:lineRule="auto" w:before="0"/>
        <w:ind w:left="425" w:right="32" w:hanging="240"/>
        <w:jc w:val="left"/>
        <w:rPr>
          <w:sz w:val="12"/>
        </w:rPr>
      </w:pPr>
      <w:r>
        <w:rPr>
          <w:sz w:val="12"/>
        </w:rPr>
        <w:t>(a) Adjusted by the Bank of England for ONS error in under-recording aggregate price indices between February and May 1995. Other charts and tables in this </w:t>
      </w:r>
      <w:r>
        <w:rPr>
          <w:i/>
          <w:sz w:val="12"/>
        </w:rPr>
        <w:t>Report </w:t>
      </w:r>
      <w:r>
        <w:rPr>
          <w:sz w:val="12"/>
        </w:rPr>
        <w:t>that include measures of retail price inflation are similarly adjusted.</w:t>
      </w:r>
    </w:p>
    <w:p>
      <w:pPr>
        <w:spacing w:line="242" w:lineRule="auto" w:before="0"/>
        <w:ind w:left="185" w:right="163" w:firstLine="0"/>
        <w:jc w:val="left"/>
        <w:rPr>
          <w:sz w:val="24"/>
        </w:rPr>
      </w:pPr>
      <w:r>
        <w:rPr/>
        <w:br w:type="column"/>
      </w:r>
      <w:r>
        <w:rPr>
          <w:sz w:val="24"/>
        </w:rPr>
        <w:t>Increases in tobacco duties were brought forward to March from December. These changes, if passed on in full, would have added around 0.4 percentage points to RPIX inflation in March. The increase will be largely reversed in April when the 1998 increase in road fuel duties (of close to 0.3 percentage points) drops out of the annual inflation rate. And in December 1999, the effect of last year’s increase in tobacco duties will drop out of the annual inflation rate.</w:t>
      </w:r>
    </w:p>
    <w:p>
      <w:pPr>
        <w:pStyle w:val="BodyText"/>
        <w:spacing w:before="7"/>
        <w:rPr>
          <w:sz w:val="24"/>
        </w:rPr>
      </w:pPr>
    </w:p>
    <w:p>
      <w:pPr>
        <w:spacing w:line="242" w:lineRule="auto" w:before="0"/>
        <w:ind w:left="185" w:right="363" w:firstLine="0"/>
        <w:jc w:val="left"/>
        <w:rPr>
          <w:sz w:val="24"/>
        </w:rPr>
      </w:pPr>
      <w:r>
        <w:rPr>
          <w:sz w:val="24"/>
        </w:rPr>
        <w:t>The February </w:t>
      </w:r>
      <w:r>
        <w:rPr>
          <w:i/>
          <w:sz w:val="24"/>
        </w:rPr>
        <w:t>Report </w:t>
      </w:r>
      <w:r>
        <w:rPr>
          <w:sz w:val="24"/>
        </w:rPr>
        <w:t>noted that services price inflation has been above that for goods since December 1996.</w:t>
      </w:r>
    </w:p>
    <w:p>
      <w:pPr>
        <w:spacing w:line="242" w:lineRule="auto" w:before="3"/>
        <w:ind w:left="185" w:right="209" w:firstLine="0"/>
        <w:jc w:val="left"/>
        <w:rPr>
          <w:sz w:val="24"/>
        </w:rPr>
      </w:pPr>
      <w:r>
        <w:rPr>
          <w:sz w:val="24"/>
        </w:rPr>
        <w:t>The gap widened from 1.0 percentage points in 1997 Q1 to 2.3 percentage points in 1998 Q4, as falling import prices bore down on goods price inflation. The gap remained wide in 1999 Q1. Services price inflation was</w:t>
      </w:r>
    </w:p>
    <w:p>
      <w:pPr>
        <w:spacing w:after="0" w:line="242" w:lineRule="auto"/>
        <w:jc w:val="left"/>
        <w:rPr>
          <w:sz w:val="24"/>
        </w:rPr>
        <w:sectPr>
          <w:type w:val="continuous"/>
          <w:pgSz w:w="11900" w:h="16840"/>
          <w:pgMar w:top="1220" w:bottom="280" w:left="640" w:right="640"/>
          <w:cols w:num="2" w:equalWidth="0">
            <w:col w:w="3706" w:space="1074"/>
            <w:col w:w="5840"/>
          </w:cols>
        </w:sectPr>
      </w:pPr>
    </w:p>
    <w:p>
      <w:pPr>
        <w:pStyle w:val="BodyText"/>
        <w:rPr>
          <w:sz w:val="20"/>
        </w:rPr>
      </w:pPr>
    </w:p>
    <w:p>
      <w:pPr>
        <w:spacing w:line="242" w:lineRule="auto" w:before="207"/>
        <w:ind w:left="4960" w:right="221" w:firstLine="0"/>
        <w:jc w:val="left"/>
        <w:rPr>
          <w:sz w:val="24"/>
        </w:rPr>
      </w:pPr>
      <w:bookmarkStart w:name="Other price indices" w:id="67"/>
      <w:bookmarkEnd w:id="67"/>
      <w:r>
        <w:rPr/>
      </w:r>
      <w:bookmarkStart w:name="_bookmark27" w:id="68"/>
      <w:bookmarkEnd w:id="68"/>
      <w:r>
        <w:rPr/>
      </w:r>
      <w:r>
        <w:rPr>
          <w:sz w:val="24"/>
        </w:rPr>
        <w:t>a little lower at 3.4% in 1999 Q1, and goods price inflation rose by 0.1 percentage point to 1.3%.</w:t>
      </w:r>
    </w:p>
    <w:p>
      <w:pPr>
        <w:pStyle w:val="BodyText"/>
        <w:spacing w:before="9"/>
        <w:rPr>
          <w:sz w:val="16"/>
        </w:rPr>
      </w:pPr>
    </w:p>
    <w:p>
      <w:pPr>
        <w:spacing w:after="0"/>
        <w:rPr>
          <w:sz w:val="16"/>
        </w:rPr>
        <w:sectPr>
          <w:pgSz w:w="11900" w:h="16840"/>
          <w:pgMar w:header="586" w:footer="617" w:top="780" w:bottom="800" w:left="640" w:right="640"/>
        </w:sectPr>
      </w:pPr>
    </w:p>
    <w:p>
      <w:pPr>
        <w:pStyle w:val="Heading4"/>
        <w:spacing w:before="149"/>
        <w:ind w:left="199"/>
      </w:pPr>
      <w:r>
        <w:rPr>
          <w:color w:val="0093C1"/>
        </w:rPr>
        <w:t>Chart 4.6</w:t>
      </w:r>
    </w:p>
    <w:p>
      <w:pPr>
        <w:pStyle w:val="Heading4"/>
        <w:ind w:left="199"/>
      </w:pPr>
      <w:r>
        <w:rPr>
          <w:color w:val="0093C1"/>
        </w:rPr>
        <w:t>Measures of domestically generated inflation</w:t>
      </w:r>
    </w:p>
    <w:p>
      <w:pPr>
        <w:spacing w:before="144"/>
        <w:ind w:left="1791" w:right="0" w:firstLine="0"/>
        <w:jc w:val="left"/>
        <w:rPr>
          <w:sz w:val="12"/>
        </w:rPr>
      </w:pPr>
      <w:r>
        <w:rPr/>
        <w:pict>
          <v:group style="position:absolute;margin-left:43.678001pt;margin-top:22.735439pt;width:167.1pt;height:134.25pt;mso-position-horizontal-relative:page;mso-position-vertical-relative:paragraph;z-index:-21121536" coordorigin="874,455" coordsize="3342,2685">
            <v:shape style="position:absolute;left:1036;top:491;width:3003;height:1680" coordorigin="1037,491" coordsize="3003,1680" path="m1037,1771l1164,2171m1164,2171l1294,2021m1294,2021l1432,1739m1432,1739l1562,1409m1562,1409l1689,1624m1689,1624l1817,1974m1817,1974l1957,1906m1957,1906l2084,1856m2084,1856l2212,1906m2212,1906l2342,1739m2342,1739l2469,1724m2469,1724l2609,1574m2609,1574l2737,1456m2737,1456l2864,1026m2864,1026l2992,726m2992,726l3122,609m3122,609l3259,491m3259,491l3389,526m3389,526l3517,561m3517,561l3644,641m3644,641l3784,676m3784,676l4039,876e" filled="false" stroked="true" strokeweight="1pt" strokecolor="#ed1b2d">
              <v:path arrowok="t"/>
              <v:stroke dashstyle="solid"/>
            </v:shape>
            <v:shape style="position:absolute;left:1036;top:1026;width:3003;height:1263" coordorigin="1037,1026" coordsize="3003,1263" path="m1037,1906l1164,2124m1164,2124l1294,1841m1294,1841l1432,1674m1432,1674l1562,1574m1562,1574l1689,1906m1689,1906l1817,2289m1817,2289l1957,1874m1957,1874l2084,1974m2084,1974l2212,1591m2212,1591l2342,1324m2342,1324l2469,1591m2469,1591l2609,1309m2609,1309l2737,1259m2737,1259l2864,1109m2864,1109l2992,1159m2992,1159l3122,1206m3122,1206l3259,1241m3259,1241l3389,1026m3389,1026l3517,1206m3517,1206l3644,1141m3644,1141l3784,1059m3784,1059l3912,1341m3912,1341l4039,1109e" filled="false" stroked="true" strokeweight="1pt" strokecolor="#008256">
              <v:path arrowok="t"/>
              <v:stroke dashstyle="solid"/>
            </v:shape>
            <v:shape style="position:absolute;left:1036;top:1308;width:780;height:1048" coordorigin="1037,1309" coordsize="780,1048" path="m1037,1309l1164,1624m1164,1624l1294,2256m1294,2256l1432,2189m1432,2189l1562,2091m1562,2091l1689,2189m1689,2189l1817,2356e" filled="false" stroked="true" strokeweight="1pt" strokecolor="#f7941d">
              <v:path arrowok="t"/>
              <v:stroke dashstyle="solid"/>
            </v:shape>
            <v:line style="position:absolute" from="1807,2357" to="1967,2357" stroked="true" strokeweight="1.125pt" strokecolor="#f7941d">
              <v:stroke dashstyle="solid"/>
            </v:line>
            <v:shape style="position:absolute;left:1956;top:1791;width:1035;height:1313" coordorigin="1957,1791" coordsize="1035,1313" path="m1957,2356l2084,2306m2084,2306l2212,2271m2212,2271l2342,2839m2342,2839l2469,3104m2469,3104l2609,2754m2609,2754l2737,2689m2737,2689l2864,2189m2864,2189l2992,1791e" filled="false" stroked="true" strokeweight="1pt" strokecolor="#f7941d">
              <v:path arrowok="t"/>
              <v:stroke dashstyle="solid"/>
            </v:shape>
            <v:line style="position:absolute" from="2982,1792" to="3132,1792" stroked="true" strokeweight="1.125pt" strokecolor="#f7941d">
              <v:stroke dashstyle="solid"/>
            </v:line>
            <v:shape style="position:absolute;left:3121;top:826;width:918;height:965" coordorigin="3122,826" coordsize="918,965" path="m3122,1791l3259,1706m3259,1706l3389,1224m3389,1224l3517,1241m3517,1241l3644,1224m3644,1224l3784,826m3784,826l3912,1041m3912,1041l4039,891e" filled="false" stroked="true" strokeweight="1pt" strokecolor="#f7941d">
              <v:path arrowok="t"/>
              <v:stroke dashstyle="solid"/>
            </v:shape>
            <v:shape style="position:absolute;left:873;top:681;width:3308;height:2256" coordorigin="874,682" coordsize="3308,2256" path="m874,682l960,682m874,1058l960,1058m874,1434l960,1434m874,1809l960,1809m874,2185l960,2185m874,2937l960,2937m4094,682l4181,682m4094,1058l4181,1058m4094,1434l4181,1434m4094,1810l4181,1810m4094,2186l4181,2186m4094,2937l4181,2937e" filled="false" stroked="true" strokeweight=".5pt" strokecolor="#000000">
              <v:path arrowok="t"/>
              <v:stroke dashstyle="solid"/>
            </v:shape>
            <v:shape style="position:absolute;left:2136;top:1066;width:195;height:238" type="#_x0000_t75" stroked="false">
              <v:imagedata r:id="rId112" o:title=""/>
            </v:shape>
            <v:shape style="position:absolute;left:1191;top:454;width:1974;height:725" type="#_x0000_t202" filled="false" stroked="false">
              <v:textbox inset="0,0,0,0">
                <w:txbxContent>
                  <w:p>
                    <w:pPr>
                      <w:spacing w:line="133" w:lineRule="exact" w:before="0"/>
                      <w:ind w:left="510" w:right="0" w:firstLine="0"/>
                      <w:jc w:val="left"/>
                      <w:rPr>
                        <w:sz w:val="12"/>
                      </w:rPr>
                    </w:pPr>
                    <w:r>
                      <w:rPr>
                        <w:sz w:val="12"/>
                      </w:rPr>
                      <w:t>RPIX excluding import prices</w:t>
                    </w:r>
                  </w:p>
                  <w:p>
                    <w:pPr>
                      <w:spacing w:line="240" w:lineRule="auto" w:before="0"/>
                      <w:rPr>
                        <w:sz w:val="12"/>
                      </w:rPr>
                    </w:pPr>
                  </w:p>
                  <w:p>
                    <w:pPr>
                      <w:spacing w:line="240" w:lineRule="auto" w:before="0"/>
                      <w:rPr>
                        <w:sz w:val="12"/>
                      </w:rPr>
                    </w:pPr>
                  </w:p>
                  <w:p>
                    <w:pPr>
                      <w:spacing w:line="208" w:lineRule="auto" w:before="71"/>
                      <w:ind w:left="60" w:right="807" w:hanging="60"/>
                      <w:jc w:val="left"/>
                      <w:rPr>
                        <w:sz w:val="12"/>
                      </w:rPr>
                    </w:pPr>
                    <w:r>
                      <w:rPr>
                        <w:color w:val="231F20"/>
                        <w:sz w:val="12"/>
                      </w:rPr>
                      <w:t>GDP deflator excluding export prices (a)</w:t>
                    </w:r>
                  </w:p>
                </w:txbxContent>
              </v:textbox>
              <w10:wrap type="none"/>
            </v:shape>
            <v:shape style="position:absolute;left:887;top:2492;width:3328;height:646" type="#_x0000_t202" filled="false" stroked="false">
              <v:textbox inset="0,0,0,0">
                <w:txbxContent>
                  <w:p>
                    <w:pPr>
                      <w:tabs>
                        <w:tab w:pos="3149" w:val="left" w:leader="none"/>
                      </w:tabs>
                      <w:spacing w:line="133" w:lineRule="exact" w:before="0"/>
                      <w:ind w:left="0" w:right="0" w:firstLine="0"/>
                      <w:jc w:val="left"/>
                      <w:rPr>
                        <w:sz w:val="12"/>
                      </w:rPr>
                    </w:pPr>
                    <w:r>
                      <w:rPr>
                        <w:sz w:val="12"/>
                        <w:u w:val="single"/>
                      </w:rPr>
                      <w:t> </w:t>
                      <w:tab/>
                    </w:r>
                    <w:r>
                      <w:rPr>
                        <w:sz w:val="12"/>
                      </w:rPr>
                      <w:t> </w:t>
                    </w:r>
                    <w:r>
                      <w:rPr>
                        <w:spacing w:val="10"/>
                        <w:sz w:val="12"/>
                      </w:rPr>
                      <w:t> </w:t>
                    </w:r>
                    <w:r>
                      <w:rPr>
                        <w:sz w:val="12"/>
                        <w:u w:val="single"/>
                      </w:rPr>
                      <w:t> </w:t>
                    </w:r>
                    <w:r>
                      <w:rPr>
                        <w:spacing w:val="-4"/>
                        <w:sz w:val="12"/>
                        <w:u w:val="single"/>
                      </w:rPr>
                      <w:t> </w:t>
                    </w:r>
                  </w:p>
                  <w:p>
                    <w:pPr>
                      <w:spacing w:line="240" w:lineRule="auto" w:before="11"/>
                      <w:rPr>
                        <w:sz w:val="12"/>
                      </w:rPr>
                    </w:pPr>
                  </w:p>
                  <w:p>
                    <w:pPr>
                      <w:spacing w:line="208" w:lineRule="auto" w:before="0"/>
                      <w:ind w:left="1810" w:right="651" w:hanging="60"/>
                      <w:jc w:val="left"/>
                      <w:rPr>
                        <w:sz w:val="12"/>
                      </w:rPr>
                    </w:pPr>
                    <w:r>
                      <w:rPr>
                        <w:color w:val="231F20"/>
                        <w:sz w:val="12"/>
                      </w:rPr>
                      <w:t>Unit labour costs adjusted for trend productivity (b)</w:t>
                    </w:r>
                  </w:p>
                </w:txbxContent>
              </v:textbox>
              <w10:wrap type="none"/>
            </v:shape>
            <w10:wrap type="none"/>
          </v:group>
        </w:pict>
      </w:r>
      <w:r>
        <w:rPr/>
        <w:pict>
          <v:line style="position:absolute;mso-position-horizontal-relative:page;mso-position-vertical-relative:paragraph;z-index:16013312" from="43.678001pt,15.30595pt" to="48.012001pt,15.30595pt" stroked="true" strokeweight=".5pt" strokecolor="#000000">
            <v:stroke dashstyle="solid"/>
            <w10:wrap type="none"/>
          </v:line>
        </w:pict>
      </w:r>
      <w:r>
        <w:rPr/>
        <w:pict>
          <v:line style="position:absolute;mso-position-horizontal-relative:page;mso-position-vertical-relative:paragraph;z-index:-21120000" from="204.720001pt,15.32695pt" to="209.053001pt,15.32695pt" stroked="true" strokeweight=".5pt" strokecolor="#000000">
            <v:stroke dashstyle="solid"/>
            <w10:wrap type="none"/>
          </v:line>
        </w:pict>
      </w:r>
      <w:r>
        <w:rPr>
          <w:sz w:val="12"/>
        </w:rPr>
        <w:t>Percentage changes on a year earlier </w:t>
      </w:r>
      <w:r>
        <w:rPr>
          <w:position w:val="-8"/>
          <w:sz w:val="12"/>
        </w:rPr>
        <w:t>6</w:t>
      </w:r>
    </w:p>
    <w:p>
      <w:pPr>
        <w:pStyle w:val="BodyText"/>
        <w:spacing w:before="5"/>
        <w:rPr>
          <w:sz w:val="20"/>
        </w:rPr>
      </w:pPr>
    </w:p>
    <w:p>
      <w:pPr>
        <w:spacing w:before="0"/>
        <w:ind w:left="0" w:right="412" w:firstLine="0"/>
        <w:jc w:val="right"/>
        <w:rPr>
          <w:sz w:val="12"/>
        </w:rPr>
      </w:pPr>
      <w:r>
        <w:rPr>
          <w:sz w:val="12"/>
        </w:rPr>
        <w:t>5</w:t>
      </w:r>
    </w:p>
    <w:p>
      <w:pPr>
        <w:pStyle w:val="BodyText"/>
        <w:rPr>
          <w:sz w:val="12"/>
        </w:rPr>
      </w:pPr>
    </w:p>
    <w:p>
      <w:pPr>
        <w:spacing w:before="100"/>
        <w:ind w:left="0" w:right="412" w:firstLine="0"/>
        <w:jc w:val="right"/>
        <w:rPr>
          <w:sz w:val="12"/>
        </w:rPr>
      </w:pPr>
      <w:r>
        <w:rPr>
          <w:sz w:val="12"/>
        </w:rPr>
        <w:t>4</w:t>
      </w:r>
    </w:p>
    <w:p>
      <w:pPr>
        <w:pStyle w:val="BodyText"/>
        <w:rPr>
          <w:sz w:val="12"/>
        </w:rPr>
      </w:pPr>
    </w:p>
    <w:p>
      <w:pPr>
        <w:spacing w:before="100"/>
        <w:ind w:left="0" w:right="412" w:firstLine="0"/>
        <w:jc w:val="right"/>
        <w:rPr>
          <w:sz w:val="12"/>
        </w:rPr>
      </w:pPr>
      <w:r>
        <w:rPr>
          <w:sz w:val="12"/>
        </w:rPr>
        <w:t>3</w:t>
      </w:r>
    </w:p>
    <w:p>
      <w:pPr>
        <w:pStyle w:val="BodyText"/>
        <w:rPr>
          <w:sz w:val="12"/>
        </w:rPr>
      </w:pPr>
    </w:p>
    <w:p>
      <w:pPr>
        <w:spacing w:before="101"/>
        <w:ind w:left="0" w:right="412" w:firstLine="0"/>
        <w:jc w:val="right"/>
        <w:rPr>
          <w:sz w:val="12"/>
        </w:rPr>
      </w:pPr>
      <w:r>
        <w:rPr>
          <w:sz w:val="12"/>
        </w:rPr>
        <w:t>2</w:t>
      </w:r>
    </w:p>
    <w:p>
      <w:pPr>
        <w:pStyle w:val="BodyText"/>
        <w:rPr>
          <w:sz w:val="12"/>
        </w:rPr>
      </w:pPr>
    </w:p>
    <w:p>
      <w:pPr>
        <w:spacing w:before="100"/>
        <w:ind w:left="0" w:right="412" w:firstLine="0"/>
        <w:jc w:val="right"/>
        <w:rPr>
          <w:sz w:val="12"/>
        </w:rPr>
      </w:pPr>
      <w:r>
        <w:rPr>
          <w:sz w:val="12"/>
        </w:rPr>
        <w:t>1</w:t>
      </w:r>
    </w:p>
    <w:p>
      <w:pPr>
        <w:spacing w:before="40"/>
        <w:ind w:left="3524" w:right="0" w:firstLine="0"/>
        <w:jc w:val="left"/>
        <w:rPr>
          <w:sz w:val="16"/>
        </w:rPr>
      </w:pPr>
      <w:r>
        <w:rPr>
          <w:color w:val="231F20"/>
          <w:sz w:val="16"/>
        </w:rPr>
        <w:t>+</w:t>
      </w:r>
    </w:p>
    <w:p>
      <w:pPr>
        <w:spacing w:line="130" w:lineRule="exact" w:before="14"/>
        <w:ind w:left="3604" w:right="0" w:firstLine="0"/>
        <w:jc w:val="left"/>
        <w:rPr>
          <w:sz w:val="12"/>
        </w:rPr>
      </w:pPr>
      <w:r>
        <w:rPr>
          <w:sz w:val="12"/>
        </w:rPr>
        <w:t>0</w:t>
      </w:r>
    </w:p>
    <w:p>
      <w:pPr>
        <w:spacing w:line="176" w:lineRule="exact" w:before="0"/>
        <w:ind w:left="3524" w:right="0" w:firstLine="0"/>
        <w:jc w:val="left"/>
        <w:rPr>
          <w:sz w:val="16"/>
        </w:rPr>
      </w:pPr>
      <w:r>
        <w:rPr>
          <w:color w:val="231F20"/>
          <w:sz w:val="16"/>
        </w:rPr>
        <w:t>–</w:t>
      </w:r>
    </w:p>
    <w:p>
      <w:pPr>
        <w:spacing w:before="71"/>
        <w:ind w:left="0" w:right="412" w:firstLine="0"/>
        <w:jc w:val="right"/>
        <w:rPr>
          <w:sz w:val="12"/>
        </w:rPr>
      </w:pPr>
      <w:r>
        <w:rPr>
          <w:sz w:val="12"/>
        </w:rPr>
        <w:t>1</w:t>
      </w:r>
    </w:p>
    <w:p>
      <w:pPr>
        <w:pStyle w:val="BodyText"/>
        <w:rPr>
          <w:sz w:val="12"/>
        </w:rPr>
      </w:pPr>
    </w:p>
    <w:p>
      <w:pPr>
        <w:spacing w:line="117" w:lineRule="exact" w:before="100"/>
        <w:ind w:left="3604" w:right="0" w:firstLine="0"/>
        <w:jc w:val="left"/>
        <w:rPr>
          <w:sz w:val="12"/>
        </w:rPr>
      </w:pPr>
      <w:r>
        <w:rPr/>
        <w:pict>
          <v:group style="position:absolute;margin-left:51.595001pt;margin-top:5.768548pt;width:157.5pt;height:3.15pt;mso-position-horizontal-relative:page;mso-position-vertical-relative:paragraph;z-index:16011264" coordorigin="1032,115" coordsize="3150,63">
            <v:line style="position:absolute" from="1037,173" to="4042,170" stroked="true" strokeweight=".5pt" strokecolor="#000000">
              <v:stroke dashstyle="solid"/>
            </v:line>
            <v:shape style="position:absolute;left:1038;top:115;width:2608;height:63" coordorigin="1038,115" coordsize="2608,63" path="m1038,115l1038,178m1563,115l1563,178m2086,115l2086,178m2611,115l2611,178m3123,115l3123,178m3646,115l3646,178e" filled="false" stroked="true" strokeweight=".625pt" strokecolor="#000000">
              <v:path arrowok="t"/>
              <v:stroke dashstyle="solid"/>
            </v:shape>
            <v:line style="position:absolute" from="4094,172" to="4181,172" stroked="true" strokeweight=".5pt" strokecolor="#000000">
              <v:stroke dashstyle="solid"/>
            </v:line>
            <w10:wrap type="none"/>
          </v:group>
        </w:pict>
      </w:r>
      <w:r>
        <w:rPr/>
        <w:pict>
          <v:line style="position:absolute;mso-position-horizontal-relative:page;mso-position-vertical-relative:paragraph;z-index:16013824" from="43.678001pt,8.601547pt" to="48.012001pt,8.601547pt" stroked="true" strokeweight=".5pt" strokecolor="#000000">
            <v:stroke dashstyle="solid"/>
            <w10:wrap type="none"/>
          </v:line>
        </w:pict>
      </w:r>
      <w:r>
        <w:rPr>
          <w:sz w:val="12"/>
        </w:rPr>
        <w:t>2</w:t>
      </w:r>
    </w:p>
    <w:p>
      <w:pPr>
        <w:tabs>
          <w:tab w:pos="1116" w:val="left" w:leader="none"/>
          <w:tab w:pos="1639" w:val="left" w:leader="none"/>
          <w:tab w:pos="2164" w:val="left" w:leader="none"/>
          <w:tab w:pos="2676" w:val="left" w:leader="none"/>
          <w:tab w:pos="3199" w:val="left" w:leader="none"/>
        </w:tabs>
        <w:spacing w:line="117" w:lineRule="exact" w:before="0"/>
        <w:ind w:left="522" w:right="0" w:firstLine="0"/>
        <w:jc w:val="left"/>
        <w:rPr>
          <w:sz w:val="12"/>
        </w:rPr>
      </w:pPr>
      <w:r>
        <w:rPr>
          <w:sz w:val="12"/>
        </w:rPr>
        <w:t>1993</w:t>
        <w:tab/>
        <w:t>94</w:t>
        <w:tab/>
        <w:t>95</w:t>
        <w:tab/>
        <w:t>96</w:t>
        <w:tab/>
        <w:t>97</w:t>
        <w:tab/>
        <w:t>98</w:t>
      </w:r>
    </w:p>
    <w:p>
      <w:pPr>
        <w:pStyle w:val="ListParagraph"/>
        <w:numPr>
          <w:ilvl w:val="0"/>
          <w:numId w:val="26"/>
        </w:numPr>
        <w:tabs>
          <w:tab w:pos="467" w:val="left" w:leader="none"/>
        </w:tabs>
        <w:spacing w:line="129" w:lineRule="exact" w:before="74" w:after="0"/>
        <w:ind w:left="466" w:right="0" w:hanging="241"/>
        <w:jc w:val="left"/>
        <w:rPr>
          <w:sz w:val="12"/>
        </w:rPr>
      </w:pPr>
      <w:r>
        <w:rPr>
          <w:sz w:val="12"/>
        </w:rPr>
        <w:t>Using GDP measured at market prices.</w:t>
      </w:r>
    </w:p>
    <w:p>
      <w:pPr>
        <w:pStyle w:val="ListParagraph"/>
        <w:numPr>
          <w:ilvl w:val="0"/>
          <w:numId w:val="26"/>
        </w:numPr>
        <w:tabs>
          <w:tab w:pos="467" w:val="left" w:leader="none"/>
        </w:tabs>
        <w:spacing w:line="208" w:lineRule="auto" w:before="6" w:after="0"/>
        <w:ind w:left="466" w:right="38" w:hanging="240"/>
        <w:jc w:val="left"/>
        <w:rPr>
          <w:sz w:val="12"/>
        </w:rPr>
      </w:pPr>
      <w:r>
        <w:rPr>
          <w:sz w:val="12"/>
        </w:rPr>
        <w:t>Using gross value-added (GVA) at basic prices and the National </w:t>
      </w:r>
      <w:r>
        <w:rPr>
          <w:spacing w:val="-3"/>
          <w:sz w:val="12"/>
        </w:rPr>
        <w:t>Accounts </w:t>
      </w:r>
      <w:r>
        <w:rPr>
          <w:sz w:val="12"/>
        </w:rPr>
        <w:t>measure of employee compensation.</w:t>
      </w:r>
    </w:p>
    <w:p>
      <w:pPr>
        <w:spacing w:line="242" w:lineRule="auto" w:before="90"/>
        <w:ind w:left="199" w:right="216" w:firstLine="0"/>
        <w:jc w:val="left"/>
        <w:rPr>
          <w:sz w:val="24"/>
        </w:rPr>
      </w:pPr>
      <w:r>
        <w:rPr/>
        <w:br w:type="column"/>
      </w:r>
      <w:r>
        <w:rPr>
          <w:sz w:val="24"/>
        </w:rPr>
        <w:t>Services price inflation has moved more closely with measures of domestically generated inflation (DGI) than goods price inflation over the past two years because of the lower import content of services. Measures of DGI provided mixed signals about the direction of inflationary pressure at the end of 1998 (see Chart 4.6). The measure of RPIX inflation excluding import prices fell to 4.5% in 1998 Q4, its lowest rate since 1996 Q3.</w:t>
      </w:r>
    </w:p>
    <w:p>
      <w:pPr>
        <w:spacing w:line="242" w:lineRule="auto" w:before="10"/>
        <w:ind w:left="199" w:right="62" w:firstLine="0"/>
        <w:jc w:val="left"/>
        <w:rPr>
          <w:sz w:val="24"/>
        </w:rPr>
      </w:pPr>
      <w:r>
        <w:rPr>
          <w:sz w:val="24"/>
        </w:rPr>
        <w:t>Inflation measured by the GDP deflator excluding export prices has remained close to 4% since the beginning of 1996. The unit labour costs inflation measure rose to 4.4%, as productivity slowed.</w:t>
      </w:r>
    </w:p>
    <w:p>
      <w:pPr>
        <w:pStyle w:val="BodyText"/>
        <w:spacing w:before="9"/>
        <w:rPr>
          <w:sz w:val="24"/>
        </w:rPr>
      </w:pPr>
    </w:p>
    <w:p>
      <w:pPr>
        <w:spacing w:line="242" w:lineRule="auto" w:before="0"/>
        <w:ind w:left="199" w:right="195" w:firstLine="0"/>
        <w:jc w:val="left"/>
        <w:rPr>
          <w:sz w:val="24"/>
        </w:rPr>
      </w:pPr>
      <w:r>
        <w:rPr>
          <w:sz w:val="24"/>
        </w:rPr>
        <w:t>The DGI measures derived from RPIX and the GDP deflator are a combination of domestic weighted costs and a mark-up of prices over costs.</w:t>
      </w:r>
      <w:r>
        <w:rPr>
          <w:position w:val="5"/>
          <w:sz w:val="16"/>
        </w:rPr>
        <w:t>(1) </w:t>
      </w:r>
      <w:r>
        <w:rPr>
          <w:sz w:val="24"/>
        </w:rPr>
        <w:t>In the short run, pricing behaviour will depend on the reasons for changes in costs and their interaction with current and expected demand conditions. Firms may delay adjusting prices fully to an increase in costs if they view the change to be temporary. But firms may be quicker to respond to a change in costs that has affected all firms in the same way—for example, an increase in general </w:t>
      </w:r>
      <w:r>
        <w:rPr>
          <w:spacing w:val="-5"/>
          <w:sz w:val="24"/>
        </w:rPr>
        <w:t>wage </w:t>
      </w:r>
      <w:r>
        <w:rPr>
          <w:sz w:val="24"/>
        </w:rPr>
        <w:t>pressure. There is also some evidence for the United Kingdom that the mark-up of prices over costs tends to rise when demand increases, but with a short lag. The strength of demand in 1997 and early 1998 probably boosted prices relative to costs. The subsequent slowdown in demand will tend to put downward pressure on prices relativ</w:t>
      </w:r>
      <w:hyperlink w:history="true" w:anchor="_bookmark30">
        <w:r>
          <w:rPr>
            <w:sz w:val="24"/>
          </w:rPr>
          <w:t>e to costs. Section 6</w:t>
        </w:r>
      </w:hyperlink>
      <w:r>
        <w:rPr>
          <w:sz w:val="24"/>
        </w:rPr>
        <w:t> discusses the behaviour of prices relative to costs over the forecast period.</w:t>
      </w:r>
    </w:p>
    <w:p>
      <w:pPr>
        <w:spacing w:after="0" w:line="242" w:lineRule="auto"/>
        <w:jc w:val="left"/>
        <w:rPr>
          <w:sz w:val="24"/>
        </w:rPr>
        <w:sectPr>
          <w:type w:val="continuous"/>
          <w:pgSz w:w="11900" w:h="16840"/>
          <w:pgMar w:top="1220" w:bottom="280" w:left="640" w:right="640"/>
          <w:cols w:num="2" w:equalWidth="0">
            <w:col w:w="4079" w:space="681"/>
            <w:col w:w="5860"/>
          </w:cols>
        </w:sectPr>
      </w:pPr>
    </w:p>
    <w:p>
      <w:pPr>
        <w:pStyle w:val="BodyText"/>
        <w:spacing w:before="5"/>
        <w:rPr>
          <w:sz w:val="22"/>
        </w:rPr>
      </w:pPr>
    </w:p>
    <w:p>
      <w:pPr>
        <w:pStyle w:val="ListParagraph"/>
        <w:numPr>
          <w:ilvl w:val="1"/>
          <w:numId w:val="24"/>
        </w:numPr>
        <w:tabs>
          <w:tab w:pos="7954" w:val="left" w:leader="none"/>
          <w:tab w:pos="7955" w:val="left" w:leader="none"/>
        </w:tabs>
        <w:spacing w:line="240" w:lineRule="auto" w:before="88" w:after="0"/>
        <w:ind w:left="7954" w:right="0" w:hanging="2995"/>
        <w:jc w:val="left"/>
        <w:rPr>
          <w:b/>
          <w:sz w:val="28"/>
        </w:rPr>
      </w:pPr>
      <w:r>
        <w:rPr>
          <w:b/>
          <w:color w:val="009483"/>
          <w:sz w:val="28"/>
          <w:u w:val="thick" w:color="0093C1"/>
        </w:rPr>
        <w:t>Other price indices</w:t>
      </w:r>
      <w:r>
        <w:rPr>
          <w:b/>
          <w:color w:val="009483"/>
          <w:spacing w:val="-11"/>
          <w:sz w:val="28"/>
          <w:u w:val="thick" w:color="0093C1"/>
        </w:rPr>
        <w:t> </w:t>
      </w:r>
    </w:p>
    <w:p>
      <w:pPr>
        <w:pStyle w:val="BodyText"/>
        <w:rPr>
          <w:b/>
          <w:sz w:val="24"/>
        </w:rPr>
      </w:pPr>
    </w:p>
    <w:p>
      <w:pPr>
        <w:spacing w:line="242" w:lineRule="auto" w:before="0"/>
        <w:ind w:left="4960" w:right="172" w:firstLine="0"/>
        <w:jc w:val="left"/>
        <w:rPr>
          <w:sz w:val="24"/>
        </w:rPr>
      </w:pPr>
      <w:r>
        <w:rPr>
          <w:sz w:val="24"/>
        </w:rPr>
        <w:t>The Harmonised Index of Consumer Prices (HICP) is constructed from the same price quotes as RPIX but it has a different coverage, and a different method of index construction, so that it is directly comparable with HICP inflation rates of other EU Member States.</w:t>
      </w:r>
      <w:r>
        <w:rPr>
          <w:position w:val="5"/>
          <w:sz w:val="16"/>
        </w:rPr>
        <w:t>(2) </w:t>
      </w:r>
      <w:r>
        <w:rPr>
          <w:sz w:val="24"/>
        </w:rPr>
        <w:t>In March, UK HICP inflation was 1.7%, 0.7 percentage points higher than euro-area inflation. Eurostat has recently published estimates of HICP inflation for the euro area prior to 1997. UK HICP inflation was a little below that of the euro area between January 1993 and June 1995,</w:t>
      </w:r>
    </w:p>
    <w:p>
      <w:pPr>
        <w:pStyle w:val="BodyText"/>
        <w:spacing w:before="7"/>
        <w:rPr>
          <w:sz w:val="14"/>
        </w:rPr>
      </w:pPr>
      <w:r>
        <w:rPr/>
        <w:pict>
          <v:shape style="position:absolute;margin-left:279pt;margin-top:10.452969pt;width:279pt;height:.1pt;mso-position-horizontal-relative:page;mso-position-vertical-relative:paragraph;z-index:-15446528;mso-wrap-distance-left:0;mso-wrap-distance-right:0" coordorigin="5580,209" coordsize="5580,0" path="m5580,209l11160,209e" filled="false" stroked="true" strokeweight=".125pt" strokecolor="#000000">
            <v:path arrowok="t"/>
            <v:stroke dashstyle="solid"/>
            <w10:wrap type="topAndBottom"/>
          </v:shape>
        </w:pict>
      </w:r>
    </w:p>
    <w:p>
      <w:pPr>
        <w:pStyle w:val="ListParagraph"/>
        <w:numPr>
          <w:ilvl w:val="0"/>
          <w:numId w:val="27"/>
        </w:numPr>
        <w:tabs>
          <w:tab w:pos="5211" w:val="left" w:leader="none"/>
        </w:tabs>
        <w:spacing w:line="208" w:lineRule="auto" w:before="11" w:after="0"/>
        <w:ind w:left="5210" w:right="849" w:hanging="240"/>
        <w:jc w:val="left"/>
        <w:rPr>
          <w:sz w:val="16"/>
        </w:rPr>
      </w:pPr>
      <w:r>
        <w:rPr>
          <w:sz w:val="16"/>
        </w:rPr>
        <w:t>An explanation of the domestically generated inflation measures </w:t>
      </w:r>
      <w:r>
        <w:rPr>
          <w:spacing w:val="-4"/>
          <w:sz w:val="16"/>
        </w:rPr>
        <w:t>(DGI) </w:t>
      </w:r>
      <w:r>
        <w:rPr>
          <w:sz w:val="16"/>
        </w:rPr>
        <w:t>was given in the </w:t>
      </w:r>
      <w:r>
        <w:rPr>
          <w:i/>
          <w:sz w:val="16"/>
        </w:rPr>
        <w:t>Inflation Report</w:t>
      </w:r>
      <w:r>
        <w:rPr>
          <w:sz w:val="16"/>
        </w:rPr>
        <w:t>, August 1998, page</w:t>
      </w:r>
      <w:r>
        <w:rPr>
          <w:spacing w:val="-2"/>
          <w:sz w:val="16"/>
        </w:rPr>
        <w:t> </w:t>
      </w:r>
      <w:r>
        <w:rPr>
          <w:sz w:val="16"/>
        </w:rPr>
        <w:t>39.</w:t>
      </w:r>
    </w:p>
    <w:p>
      <w:pPr>
        <w:pStyle w:val="ListParagraph"/>
        <w:numPr>
          <w:ilvl w:val="0"/>
          <w:numId w:val="27"/>
        </w:numPr>
        <w:tabs>
          <w:tab w:pos="5211" w:val="left" w:leader="none"/>
        </w:tabs>
        <w:spacing w:line="208" w:lineRule="auto" w:before="0" w:after="0"/>
        <w:ind w:left="5210" w:right="804" w:hanging="240"/>
        <w:jc w:val="left"/>
        <w:rPr>
          <w:sz w:val="16"/>
        </w:rPr>
      </w:pPr>
      <w:r>
        <w:rPr>
          <w:sz w:val="16"/>
        </w:rPr>
        <w:t>Further details on the construction of HICP were set out in the </w:t>
      </w:r>
      <w:r>
        <w:rPr>
          <w:spacing w:val="-3"/>
          <w:sz w:val="16"/>
        </w:rPr>
        <w:t>February </w:t>
      </w:r>
      <w:r>
        <w:rPr>
          <w:sz w:val="16"/>
        </w:rPr>
        <w:t>1999 </w:t>
      </w:r>
      <w:r>
        <w:rPr>
          <w:i/>
          <w:sz w:val="16"/>
        </w:rPr>
        <w:t>Report</w:t>
      </w:r>
      <w:r>
        <w:rPr>
          <w:sz w:val="16"/>
        </w:rPr>
        <w:t>, page 38 and in </w:t>
      </w:r>
      <w:r>
        <w:rPr>
          <w:i/>
          <w:sz w:val="16"/>
        </w:rPr>
        <w:t>Economic Trends</w:t>
      </w:r>
      <w:r>
        <w:rPr>
          <w:sz w:val="16"/>
        </w:rPr>
        <w:t>, December</w:t>
      </w:r>
      <w:r>
        <w:rPr>
          <w:spacing w:val="-1"/>
          <w:sz w:val="16"/>
        </w:rPr>
        <w:t> </w:t>
      </w:r>
      <w:r>
        <w:rPr>
          <w:sz w:val="16"/>
        </w:rPr>
        <w:t>1998.</w:t>
      </w:r>
    </w:p>
    <w:p>
      <w:pPr>
        <w:spacing w:after="0" w:line="208" w:lineRule="auto"/>
        <w:jc w:val="left"/>
        <w:rPr>
          <w:sz w:val="16"/>
        </w:rPr>
        <w:sectPr>
          <w:type w:val="continuous"/>
          <w:pgSz w:w="11900" w:h="16840"/>
          <w:pgMar w:top="1220" w:bottom="280" w:left="640" w:right="640"/>
        </w:sectPr>
      </w:pPr>
    </w:p>
    <w:p>
      <w:pPr>
        <w:pStyle w:val="BodyText"/>
        <w:rPr>
          <w:sz w:val="20"/>
        </w:rPr>
      </w:pPr>
    </w:p>
    <w:p>
      <w:pPr>
        <w:spacing w:after="0"/>
        <w:rPr>
          <w:sz w:val="20"/>
        </w:rPr>
        <w:sectPr>
          <w:pgSz w:w="11900" w:h="16840"/>
          <w:pgMar w:header="586" w:footer="597" w:top="780" w:bottom="780" w:left="640" w:right="640"/>
        </w:sectPr>
      </w:pPr>
    </w:p>
    <w:p>
      <w:pPr>
        <w:pStyle w:val="BodyText"/>
        <w:spacing w:before="6"/>
        <w:rPr>
          <w:sz w:val="20"/>
        </w:rPr>
      </w:pPr>
    </w:p>
    <w:p>
      <w:pPr>
        <w:pStyle w:val="Heading4"/>
        <w:spacing w:before="0"/>
        <w:ind w:left="165"/>
      </w:pPr>
      <w:bookmarkStart w:name="Summary" w:id="69"/>
      <w:bookmarkEnd w:id="69"/>
      <w:r>
        <w:rPr>
          <w:b w:val="0"/>
        </w:rPr>
      </w:r>
      <w:bookmarkStart w:name="_bookmark28" w:id="70"/>
      <w:bookmarkEnd w:id="70"/>
      <w:r>
        <w:rPr>
          <w:b w:val="0"/>
        </w:rPr>
      </w:r>
      <w:r>
        <w:rPr>
          <w:color w:val="0093C1"/>
        </w:rPr>
        <w:t>Chart 4.7</w:t>
      </w:r>
    </w:p>
    <w:p>
      <w:pPr>
        <w:pStyle w:val="Heading4"/>
        <w:ind w:left="165"/>
        <w:rPr>
          <w:b w:val="0"/>
          <w:sz w:val="12"/>
        </w:rPr>
      </w:pPr>
      <w:r>
        <w:rPr>
          <w:color w:val="0093C1"/>
        </w:rPr>
        <w:t>HICP inflation</w:t>
      </w:r>
      <w:r>
        <w:rPr>
          <w:b w:val="0"/>
          <w:position w:val="4"/>
          <w:sz w:val="12"/>
        </w:rPr>
        <w:t>(a)</w:t>
      </w:r>
    </w:p>
    <w:p>
      <w:pPr>
        <w:pStyle w:val="BodyText"/>
        <w:spacing w:before="10" w:after="39"/>
        <w:rPr>
          <w:sz w:val="14"/>
        </w:rPr>
      </w:pPr>
    </w:p>
    <w:p>
      <w:pPr>
        <w:pStyle w:val="BodyText"/>
        <w:spacing w:line="20" w:lineRule="exact"/>
        <w:ind w:left="163"/>
        <w:rPr>
          <w:sz w:val="2"/>
        </w:rPr>
      </w:pPr>
      <w:r>
        <w:rPr>
          <w:sz w:val="2"/>
        </w:rPr>
        <w:drawing>
          <wp:inline distT="0" distB="0" distL="0" distR="0">
            <wp:extent cx="54478" cy="6286"/>
            <wp:effectExtent l="0" t="0" r="0" b="0"/>
            <wp:docPr id="149" name="image47.png"/>
            <wp:cNvGraphicFramePr>
              <a:graphicFrameLocks noChangeAspect="1"/>
            </wp:cNvGraphicFramePr>
            <a:graphic>
              <a:graphicData uri="http://schemas.openxmlformats.org/drawingml/2006/picture">
                <pic:pic>
                  <pic:nvPicPr>
                    <pic:cNvPr id="150" name="image47.png"/>
                    <pic:cNvPicPr/>
                  </pic:nvPicPr>
                  <pic:blipFill>
                    <a:blip r:embed="rId113" cstate="print"/>
                    <a:stretch>
                      <a:fillRect/>
                    </a:stretch>
                  </pic:blipFill>
                  <pic:spPr>
                    <a:xfrm>
                      <a:off x="0" y="0"/>
                      <a:ext cx="54478" cy="6286"/>
                    </a:xfrm>
                    <a:prstGeom prst="rect">
                      <a:avLst/>
                    </a:prstGeom>
                  </pic:spPr>
                </pic:pic>
              </a:graphicData>
            </a:graphic>
          </wp:inline>
        </w:drawing>
      </w:r>
      <w:r>
        <w:rPr>
          <w:sz w:val="2"/>
        </w:rPr>
      </w:r>
    </w:p>
    <w:p>
      <w:pPr>
        <w:pStyle w:val="BodyText"/>
        <w:rPr>
          <w:sz w:val="20"/>
        </w:rPr>
      </w:pPr>
    </w:p>
    <w:p>
      <w:pPr>
        <w:pStyle w:val="BodyText"/>
        <w:spacing w:before="10"/>
        <w:rPr>
          <w:sz w:val="11"/>
        </w:rPr>
      </w:pPr>
      <w:r>
        <w:rPr/>
        <w:drawing>
          <wp:anchor distT="0" distB="0" distL="0" distR="0" allowOverlap="1" layoutInCell="1" locked="0" behindDoc="0" simplePos="0" relativeHeight="559">
            <wp:simplePos x="0" y="0"/>
            <wp:positionH relativeFrom="page">
              <wp:posOffset>509968</wp:posOffset>
            </wp:positionH>
            <wp:positionV relativeFrom="paragraph">
              <wp:posOffset>111645</wp:posOffset>
            </wp:positionV>
            <wp:extent cx="55304" cy="6381"/>
            <wp:effectExtent l="0" t="0" r="0" b="0"/>
            <wp:wrapTopAndBottom/>
            <wp:docPr id="151" name="image48.png"/>
            <wp:cNvGraphicFramePr>
              <a:graphicFrameLocks noChangeAspect="1"/>
            </wp:cNvGraphicFramePr>
            <a:graphic>
              <a:graphicData uri="http://schemas.openxmlformats.org/drawingml/2006/picture">
                <pic:pic>
                  <pic:nvPicPr>
                    <pic:cNvPr id="152" name="image48.png"/>
                    <pic:cNvPicPr/>
                  </pic:nvPicPr>
                  <pic:blipFill>
                    <a:blip r:embed="rId114" cstate="print"/>
                    <a:stretch>
                      <a:fillRect/>
                    </a:stretch>
                  </pic:blipFill>
                  <pic:spPr>
                    <a:xfrm>
                      <a:off x="0" y="0"/>
                      <a:ext cx="55304" cy="6381"/>
                    </a:xfrm>
                    <a:prstGeom prst="rect">
                      <a:avLst/>
                    </a:prstGeom>
                  </pic:spPr>
                </pic:pic>
              </a:graphicData>
            </a:graphic>
          </wp:anchor>
        </w:drawing>
      </w:r>
    </w:p>
    <w:p>
      <w:pPr>
        <w:pStyle w:val="BodyText"/>
        <w:rPr>
          <w:sz w:val="20"/>
        </w:rPr>
      </w:pPr>
    </w:p>
    <w:p>
      <w:pPr>
        <w:pStyle w:val="BodyText"/>
        <w:spacing w:before="2"/>
        <w:rPr>
          <w:sz w:val="10"/>
        </w:rPr>
      </w:pPr>
      <w:r>
        <w:rPr/>
        <w:drawing>
          <wp:anchor distT="0" distB="0" distL="0" distR="0" allowOverlap="1" layoutInCell="1" locked="0" behindDoc="0" simplePos="0" relativeHeight="560">
            <wp:simplePos x="0" y="0"/>
            <wp:positionH relativeFrom="page">
              <wp:posOffset>509968</wp:posOffset>
            </wp:positionH>
            <wp:positionV relativeFrom="paragraph">
              <wp:posOffset>99561</wp:posOffset>
            </wp:positionV>
            <wp:extent cx="55304" cy="6381"/>
            <wp:effectExtent l="0" t="0" r="0" b="0"/>
            <wp:wrapTopAndBottom/>
            <wp:docPr id="153" name="image48.png"/>
            <wp:cNvGraphicFramePr>
              <a:graphicFrameLocks noChangeAspect="1"/>
            </wp:cNvGraphicFramePr>
            <a:graphic>
              <a:graphicData uri="http://schemas.openxmlformats.org/drawingml/2006/picture">
                <pic:pic>
                  <pic:nvPicPr>
                    <pic:cNvPr id="154" name="image48.png"/>
                    <pic:cNvPicPr/>
                  </pic:nvPicPr>
                  <pic:blipFill>
                    <a:blip r:embed="rId114" cstate="print"/>
                    <a:stretch>
                      <a:fillRect/>
                    </a:stretch>
                  </pic:blipFill>
                  <pic:spPr>
                    <a:xfrm>
                      <a:off x="0" y="0"/>
                      <a:ext cx="55304" cy="6381"/>
                    </a:xfrm>
                    <a:prstGeom prst="rect">
                      <a:avLst/>
                    </a:prstGeom>
                  </pic:spPr>
                </pic:pic>
              </a:graphicData>
            </a:graphic>
          </wp:anchor>
        </w:drawing>
      </w:r>
    </w:p>
    <w:p>
      <w:pPr>
        <w:pStyle w:val="BodyText"/>
        <w:rPr>
          <w:sz w:val="20"/>
        </w:rPr>
      </w:pPr>
    </w:p>
    <w:p>
      <w:pPr>
        <w:pStyle w:val="BodyText"/>
        <w:spacing w:before="2"/>
        <w:rPr>
          <w:sz w:val="10"/>
        </w:rPr>
      </w:pPr>
      <w:r>
        <w:rPr/>
        <w:drawing>
          <wp:anchor distT="0" distB="0" distL="0" distR="0" allowOverlap="1" layoutInCell="1" locked="0" behindDoc="0" simplePos="0" relativeHeight="561">
            <wp:simplePos x="0" y="0"/>
            <wp:positionH relativeFrom="page">
              <wp:posOffset>509968</wp:posOffset>
            </wp:positionH>
            <wp:positionV relativeFrom="paragraph">
              <wp:posOffset>99548</wp:posOffset>
            </wp:positionV>
            <wp:extent cx="55304" cy="6381"/>
            <wp:effectExtent l="0" t="0" r="0" b="0"/>
            <wp:wrapTopAndBottom/>
            <wp:docPr id="155" name="image48.png"/>
            <wp:cNvGraphicFramePr>
              <a:graphicFrameLocks noChangeAspect="1"/>
            </wp:cNvGraphicFramePr>
            <a:graphic>
              <a:graphicData uri="http://schemas.openxmlformats.org/drawingml/2006/picture">
                <pic:pic>
                  <pic:nvPicPr>
                    <pic:cNvPr id="156" name="image48.png"/>
                    <pic:cNvPicPr/>
                  </pic:nvPicPr>
                  <pic:blipFill>
                    <a:blip r:embed="rId114" cstate="print"/>
                    <a:stretch>
                      <a:fillRect/>
                    </a:stretch>
                  </pic:blipFill>
                  <pic:spPr>
                    <a:xfrm>
                      <a:off x="0" y="0"/>
                      <a:ext cx="55304" cy="6381"/>
                    </a:xfrm>
                    <a:prstGeom prst="rect">
                      <a:avLst/>
                    </a:prstGeom>
                  </pic:spPr>
                </pic:pic>
              </a:graphicData>
            </a:graphic>
          </wp:anchor>
        </w:drawing>
      </w:r>
    </w:p>
    <w:p>
      <w:pPr>
        <w:pStyle w:val="BodyText"/>
        <w:rPr>
          <w:sz w:val="20"/>
        </w:rPr>
      </w:pPr>
    </w:p>
    <w:p>
      <w:pPr>
        <w:pStyle w:val="BodyText"/>
        <w:spacing w:before="2"/>
        <w:rPr>
          <w:sz w:val="10"/>
        </w:rPr>
      </w:pPr>
      <w:r>
        <w:rPr/>
        <w:drawing>
          <wp:anchor distT="0" distB="0" distL="0" distR="0" allowOverlap="1" layoutInCell="1" locked="0" behindDoc="0" simplePos="0" relativeHeight="562">
            <wp:simplePos x="0" y="0"/>
            <wp:positionH relativeFrom="page">
              <wp:posOffset>509968</wp:posOffset>
            </wp:positionH>
            <wp:positionV relativeFrom="paragraph">
              <wp:posOffset>99548</wp:posOffset>
            </wp:positionV>
            <wp:extent cx="54478" cy="6286"/>
            <wp:effectExtent l="0" t="0" r="0" b="0"/>
            <wp:wrapTopAndBottom/>
            <wp:docPr id="157" name="image47.png"/>
            <wp:cNvGraphicFramePr>
              <a:graphicFrameLocks noChangeAspect="1"/>
            </wp:cNvGraphicFramePr>
            <a:graphic>
              <a:graphicData uri="http://schemas.openxmlformats.org/drawingml/2006/picture">
                <pic:pic>
                  <pic:nvPicPr>
                    <pic:cNvPr id="158" name="image47.png"/>
                    <pic:cNvPicPr/>
                  </pic:nvPicPr>
                  <pic:blipFill>
                    <a:blip r:embed="rId113" cstate="print"/>
                    <a:stretch>
                      <a:fillRect/>
                    </a:stretch>
                  </pic:blipFill>
                  <pic:spPr>
                    <a:xfrm>
                      <a:off x="0" y="0"/>
                      <a:ext cx="54478" cy="6286"/>
                    </a:xfrm>
                    <a:prstGeom prst="rect">
                      <a:avLst/>
                    </a:prstGeom>
                  </pic:spPr>
                </pic:pic>
              </a:graphicData>
            </a:graphic>
          </wp:anchor>
        </w:drawing>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6"/>
        <w:rPr>
          <w:sz w:val="17"/>
        </w:rPr>
      </w:pPr>
    </w:p>
    <w:p>
      <w:pPr>
        <w:spacing w:before="0"/>
        <w:ind w:left="135" w:right="0" w:firstLine="0"/>
        <w:jc w:val="left"/>
        <w:rPr>
          <w:sz w:val="12"/>
        </w:rPr>
      </w:pPr>
      <w:r>
        <w:rPr/>
        <w:pict>
          <v:group style="position:absolute;margin-left:48.654999pt;margin-top:8.177530pt;width:158.15pt;height:115.5pt;mso-position-horizontal-relative:page;mso-position-vertical-relative:paragraph;z-index:16020480" coordorigin="973,164" coordsize="3163,2310">
            <v:shape style="position:absolute;left:973;top:163;width:3163;height:2310" type="#_x0000_t75" stroked="false">
              <v:imagedata r:id="rId115" o:title=""/>
            </v:shape>
            <v:shape style="position:absolute;left:1480;top:322;width:483;height:133" type="#_x0000_t202" filled="false" stroked="false">
              <v:textbox inset="0,0,0,0">
                <w:txbxContent>
                  <w:p>
                    <w:pPr>
                      <w:spacing w:line="133" w:lineRule="exact" w:before="0"/>
                      <w:ind w:left="0" w:right="0" w:firstLine="0"/>
                      <w:jc w:val="left"/>
                      <w:rPr>
                        <w:sz w:val="12"/>
                      </w:rPr>
                    </w:pPr>
                    <w:r>
                      <w:rPr>
                        <w:sz w:val="12"/>
                      </w:rPr>
                      <w:t>Euro area</w:t>
                    </w:r>
                  </w:p>
                </w:txbxContent>
              </v:textbox>
              <w10:wrap type="none"/>
            </v:shape>
            <v:shape style="position:absolute;left:2452;top:473;width:830;height:134"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w10:wrap type="none"/>
          </v:group>
        </w:pict>
      </w:r>
      <w:r>
        <w:rPr>
          <w:sz w:val="12"/>
        </w:rPr>
        <w:t>Percentage changes on a year earlier</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3"/>
        </w:rPr>
      </w:pPr>
    </w:p>
    <w:p>
      <w:pPr>
        <w:spacing w:before="0"/>
        <w:ind w:left="16" w:right="0" w:firstLine="0"/>
        <w:jc w:val="left"/>
        <w:rPr>
          <w:sz w:val="12"/>
        </w:rPr>
      </w:pPr>
      <w:r>
        <w:rPr>
          <w:sz w:val="12"/>
        </w:rPr>
        <w:t>3.5</w:t>
      </w:r>
    </w:p>
    <w:p>
      <w:pPr>
        <w:pStyle w:val="BodyText"/>
        <w:rPr>
          <w:sz w:val="12"/>
        </w:rPr>
      </w:pPr>
    </w:p>
    <w:p>
      <w:pPr>
        <w:pStyle w:val="BodyText"/>
        <w:spacing w:before="1"/>
        <w:rPr>
          <w:sz w:val="13"/>
        </w:rPr>
      </w:pPr>
    </w:p>
    <w:p>
      <w:pPr>
        <w:spacing w:before="1"/>
        <w:ind w:left="16" w:right="0" w:firstLine="0"/>
        <w:jc w:val="left"/>
        <w:rPr>
          <w:sz w:val="12"/>
        </w:rPr>
      </w:pPr>
      <w:r>
        <w:rPr>
          <w:sz w:val="12"/>
        </w:rPr>
        <w:t>3.0</w:t>
      </w:r>
    </w:p>
    <w:p>
      <w:pPr>
        <w:pStyle w:val="BodyText"/>
        <w:rPr>
          <w:sz w:val="12"/>
        </w:rPr>
      </w:pPr>
    </w:p>
    <w:p>
      <w:pPr>
        <w:pStyle w:val="BodyText"/>
        <w:spacing w:before="1"/>
        <w:rPr>
          <w:sz w:val="13"/>
        </w:rPr>
      </w:pPr>
    </w:p>
    <w:p>
      <w:pPr>
        <w:spacing w:before="0"/>
        <w:ind w:left="16" w:right="0" w:firstLine="0"/>
        <w:jc w:val="left"/>
        <w:rPr>
          <w:sz w:val="12"/>
        </w:rPr>
      </w:pPr>
      <w:r>
        <w:rPr>
          <w:sz w:val="12"/>
        </w:rPr>
        <w:t>2.5</w:t>
      </w:r>
    </w:p>
    <w:p>
      <w:pPr>
        <w:pStyle w:val="BodyText"/>
        <w:rPr>
          <w:sz w:val="12"/>
        </w:rPr>
      </w:pPr>
    </w:p>
    <w:p>
      <w:pPr>
        <w:pStyle w:val="BodyText"/>
        <w:spacing w:before="2"/>
        <w:rPr>
          <w:sz w:val="13"/>
        </w:rPr>
      </w:pPr>
    </w:p>
    <w:p>
      <w:pPr>
        <w:spacing w:before="0"/>
        <w:ind w:left="16" w:right="0" w:firstLine="0"/>
        <w:jc w:val="left"/>
        <w:rPr>
          <w:sz w:val="12"/>
        </w:rPr>
      </w:pPr>
      <w:r>
        <w:rPr>
          <w:sz w:val="12"/>
        </w:rPr>
        <w:t>2.0</w:t>
      </w:r>
    </w:p>
    <w:p>
      <w:pPr>
        <w:pStyle w:val="BodyText"/>
        <w:rPr>
          <w:sz w:val="12"/>
        </w:rPr>
      </w:pPr>
    </w:p>
    <w:p>
      <w:pPr>
        <w:pStyle w:val="BodyText"/>
        <w:spacing w:before="1"/>
        <w:rPr>
          <w:sz w:val="13"/>
        </w:rPr>
      </w:pPr>
    </w:p>
    <w:p>
      <w:pPr>
        <w:spacing w:before="1"/>
        <w:ind w:left="16" w:right="0" w:firstLine="0"/>
        <w:jc w:val="left"/>
        <w:rPr>
          <w:sz w:val="12"/>
        </w:rPr>
      </w:pPr>
      <w:r>
        <w:rPr>
          <w:sz w:val="12"/>
        </w:rPr>
        <w:t>1.5</w:t>
      </w:r>
    </w:p>
    <w:p>
      <w:pPr>
        <w:pStyle w:val="BodyText"/>
        <w:spacing w:before="5"/>
        <w:rPr>
          <w:sz w:val="21"/>
        </w:rPr>
      </w:pPr>
      <w:r>
        <w:rPr/>
        <w:br w:type="column"/>
      </w:r>
      <w:r>
        <w:rPr>
          <w:sz w:val="21"/>
        </w:rPr>
      </w:r>
    </w:p>
    <w:p>
      <w:pPr>
        <w:spacing w:line="242" w:lineRule="auto" w:before="1"/>
        <w:ind w:left="163" w:right="188" w:firstLine="0"/>
        <w:jc w:val="left"/>
        <w:rPr>
          <w:sz w:val="24"/>
        </w:rPr>
      </w:pPr>
      <w:r>
        <w:rPr>
          <w:sz w:val="24"/>
        </w:rPr>
        <w:t>but has been above it since then (see Chart 4.7). UK services price inflation has been considerably higher than that in the euro area since 1996 (see Chart 4.8). That is perhaps a result of higher domestically generated inflation in the United Kingdom than in the euro area since then. By contrast, UK goods price inflation has generally been lower than that for the euro area. In the past two years that has probably reflected the rise in sterling’s effective exchange rate.</w:t>
      </w:r>
    </w:p>
    <w:p>
      <w:pPr>
        <w:spacing w:after="0" w:line="242" w:lineRule="auto"/>
        <w:jc w:val="left"/>
        <w:rPr>
          <w:sz w:val="24"/>
        </w:rPr>
        <w:sectPr>
          <w:type w:val="continuous"/>
          <w:pgSz w:w="11900" w:h="16840"/>
          <w:pgMar w:top="1220" w:bottom="280" w:left="640" w:right="640"/>
          <w:cols w:num="4" w:equalWidth="0">
            <w:col w:w="1571" w:space="40"/>
            <w:col w:w="1885" w:space="39"/>
            <w:col w:w="207" w:space="1075"/>
            <w:col w:w="5803"/>
          </w:cols>
        </w:sectPr>
      </w:pPr>
    </w:p>
    <w:p>
      <w:pPr>
        <w:pStyle w:val="BodyText"/>
        <w:spacing w:before="1"/>
        <w:rPr>
          <w:sz w:val="11"/>
        </w:rPr>
      </w:pPr>
    </w:p>
    <w:p>
      <w:pPr>
        <w:spacing w:after="0"/>
        <w:rPr>
          <w:sz w:val="11"/>
        </w:rPr>
        <w:sectPr>
          <w:type w:val="continuous"/>
          <w:pgSz w:w="11900" w:h="16840"/>
          <w:pgMar w:top="1220" w:bottom="280" w:left="640" w:right="640"/>
        </w:sectPr>
      </w:pPr>
    </w:p>
    <w:p>
      <w:pPr>
        <w:pStyle w:val="BodyText"/>
        <w:rPr>
          <w:sz w:val="14"/>
        </w:rPr>
      </w:pPr>
    </w:p>
    <w:p>
      <w:pPr>
        <w:pStyle w:val="BodyText"/>
        <w:spacing w:line="20" w:lineRule="exact"/>
        <w:ind w:left="163"/>
        <w:rPr>
          <w:sz w:val="2"/>
        </w:rPr>
      </w:pPr>
      <w:r>
        <w:rPr>
          <w:sz w:val="2"/>
        </w:rPr>
        <w:drawing>
          <wp:inline distT="0" distB="0" distL="0" distR="0">
            <wp:extent cx="54478" cy="6286"/>
            <wp:effectExtent l="0" t="0" r="0" b="0"/>
            <wp:docPr id="159" name="image47.png"/>
            <wp:cNvGraphicFramePr>
              <a:graphicFrameLocks noChangeAspect="1"/>
            </wp:cNvGraphicFramePr>
            <a:graphic>
              <a:graphicData uri="http://schemas.openxmlformats.org/drawingml/2006/picture">
                <pic:pic>
                  <pic:nvPicPr>
                    <pic:cNvPr id="160" name="image47.png"/>
                    <pic:cNvPicPr/>
                  </pic:nvPicPr>
                  <pic:blipFill>
                    <a:blip r:embed="rId113" cstate="print"/>
                    <a:stretch>
                      <a:fillRect/>
                    </a:stretch>
                  </pic:blipFill>
                  <pic:spPr>
                    <a:xfrm>
                      <a:off x="0" y="0"/>
                      <a:ext cx="54478" cy="6286"/>
                    </a:xfrm>
                    <a:prstGeom prst="rect">
                      <a:avLst/>
                    </a:prstGeom>
                  </pic:spPr>
                </pic:pic>
              </a:graphicData>
            </a:graphic>
          </wp:inline>
        </w:drawing>
      </w:r>
      <w:r>
        <w:rPr>
          <w:sz w:val="2"/>
        </w:rPr>
      </w:r>
    </w:p>
    <w:p>
      <w:pPr>
        <w:pStyle w:val="BodyText"/>
        <w:rPr>
          <w:sz w:val="20"/>
        </w:rPr>
      </w:pPr>
    </w:p>
    <w:p>
      <w:pPr>
        <w:pStyle w:val="BodyText"/>
        <w:spacing w:before="3"/>
        <w:rPr>
          <w:sz w:val="15"/>
        </w:rPr>
      </w:pPr>
    </w:p>
    <w:p>
      <w:pPr>
        <w:tabs>
          <w:tab w:pos="3408" w:val="left" w:leader="none"/>
        </w:tabs>
        <w:spacing w:line="20" w:lineRule="exact"/>
        <w:ind w:left="163" w:right="-44" w:firstLine="0"/>
        <w:rPr>
          <w:sz w:val="2"/>
        </w:rPr>
      </w:pPr>
      <w:r>
        <w:rPr>
          <w:sz w:val="2"/>
        </w:rPr>
        <w:drawing>
          <wp:inline distT="0" distB="0" distL="0" distR="0">
            <wp:extent cx="55304" cy="6381"/>
            <wp:effectExtent l="0" t="0" r="0" b="0"/>
            <wp:docPr id="161" name="image48.png"/>
            <wp:cNvGraphicFramePr>
              <a:graphicFrameLocks noChangeAspect="1"/>
            </wp:cNvGraphicFramePr>
            <a:graphic>
              <a:graphicData uri="http://schemas.openxmlformats.org/drawingml/2006/picture">
                <pic:pic>
                  <pic:nvPicPr>
                    <pic:cNvPr id="162" name="image48.png"/>
                    <pic:cNvPicPr/>
                  </pic:nvPicPr>
                  <pic:blipFill>
                    <a:blip r:embed="rId114" cstate="print"/>
                    <a:stretch>
                      <a:fillRect/>
                    </a:stretch>
                  </pic:blipFill>
                  <pic:spPr>
                    <a:xfrm>
                      <a:off x="0" y="0"/>
                      <a:ext cx="55304" cy="6381"/>
                    </a:xfrm>
                    <a:prstGeom prst="rect">
                      <a:avLst/>
                    </a:prstGeom>
                  </pic:spPr>
                </pic:pic>
              </a:graphicData>
            </a:graphic>
          </wp:inline>
        </w:drawing>
      </w:r>
      <w:r>
        <w:rPr>
          <w:sz w:val="2"/>
        </w:rPr>
      </w:r>
      <w:r>
        <w:rPr>
          <w:sz w:val="2"/>
        </w:rPr>
        <w:tab/>
      </w:r>
      <w:r>
        <w:rPr>
          <w:sz w:val="2"/>
        </w:rPr>
        <w:drawing>
          <wp:inline distT="0" distB="0" distL="0" distR="0">
            <wp:extent cx="55304" cy="6381"/>
            <wp:effectExtent l="0" t="0" r="0" b="0"/>
            <wp:docPr id="163" name="image22.png"/>
            <wp:cNvGraphicFramePr>
              <a:graphicFrameLocks noChangeAspect="1"/>
            </wp:cNvGraphicFramePr>
            <a:graphic>
              <a:graphicData uri="http://schemas.openxmlformats.org/drawingml/2006/picture">
                <pic:pic>
                  <pic:nvPicPr>
                    <pic:cNvPr id="164" name="image22.png"/>
                    <pic:cNvPicPr/>
                  </pic:nvPicPr>
                  <pic:blipFill>
                    <a:blip r:embed="rId49" cstate="print"/>
                    <a:stretch>
                      <a:fillRect/>
                    </a:stretch>
                  </pic:blipFill>
                  <pic:spPr>
                    <a:xfrm>
                      <a:off x="0" y="0"/>
                      <a:ext cx="55304" cy="6381"/>
                    </a:xfrm>
                    <a:prstGeom prst="rect">
                      <a:avLst/>
                    </a:prstGeom>
                  </pic:spPr>
                </pic:pic>
              </a:graphicData>
            </a:graphic>
          </wp:inline>
        </w:drawing>
      </w:r>
      <w:r>
        <w:rPr>
          <w:sz w:val="2"/>
        </w:rPr>
      </w:r>
    </w:p>
    <w:p>
      <w:pPr>
        <w:pStyle w:val="BodyText"/>
        <w:spacing w:before="9"/>
        <w:rPr>
          <w:sz w:val="25"/>
        </w:rPr>
      </w:pPr>
      <w:r>
        <w:rPr/>
        <w:drawing>
          <wp:anchor distT="0" distB="0" distL="0" distR="0" allowOverlap="1" layoutInCell="1" locked="0" behindDoc="0" simplePos="0" relativeHeight="563">
            <wp:simplePos x="0" y="0"/>
            <wp:positionH relativeFrom="page">
              <wp:posOffset>509968</wp:posOffset>
            </wp:positionH>
            <wp:positionV relativeFrom="paragraph">
              <wp:posOffset>257683</wp:posOffset>
            </wp:positionV>
            <wp:extent cx="55304" cy="6381"/>
            <wp:effectExtent l="0" t="0" r="0" b="0"/>
            <wp:wrapTopAndBottom/>
            <wp:docPr id="165" name="image48.png"/>
            <wp:cNvGraphicFramePr>
              <a:graphicFrameLocks noChangeAspect="1"/>
            </wp:cNvGraphicFramePr>
            <a:graphic>
              <a:graphicData uri="http://schemas.openxmlformats.org/drawingml/2006/picture">
                <pic:pic>
                  <pic:nvPicPr>
                    <pic:cNvPr id="166" name="image48.png"/>
                    <pic:cNvPicPr/>
                  </pic:nvPicPr>
                  <pic:blipFill>
                    <a:blip r:embed="rId114"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564">
            <wp:simplePos x="0" y="0"/>
            <wp:positionH relativeFrom="page">
              <wp:posOffset>614210</wp:posOffset>
            </wp:positionH>
            <wp:positionV relativeFrom="paragraph">
              <wp:posOffset>213106</wp:posOffset>
            </wp:positionV>
            <wp:extent cx="2004705" cy="51339"/>
            <wp:effectExtent l="0" t="0" r="0" b="0"/>
            <wp:wrapTopAndBottom/>
            <wp:docPr id="167" name="image50.png"/>
            <wp:cNvGraphicFramePr>
              <a:graphicFrameLocks noChangeAspect="1"/>
            </wp:cNvGraphicFramePr>
            <a:graphic>
              <a:graphicData uri="http://schemas.openxmlformats.org/drawingml/2006/picture">
                <pic:pic>
                  <pic:nvPicPr>
                    <pic:cNvPr id="168" name="image50.png"/>
                    <pic:cNvPicPr/>
                  </pic:nvPicPr>
                  <pic:blipFill>
                    <a:blip r:embed="rId116" cstate="print"/>
                    <a:stretch>
                      <a:fillRect/>
                    </a:stretch>
                  </pic:blipFill>
                  <pic:spPr>
                    <a:xfrm>
                      <a:off x="0" y="0"/>
                      <a:ext cx="2004705" cy="51339"/>
                    </a:xfrm>
                    <a:prstGeom prst="rect">
                      <a:avLst/>
                    </a:prstGeom>
                  </pic:spPr>
                </pic:pic>
              </a:graphicData>
            </a:graphic>
          </wp:anchor>
        </w:drawing>
      </w:r>
    </w:p>
    <w:p>
      <w:pPr>
        <w:tabs>
          <w:tab w:pos="1013" w:val="left" w:leader="none"/>
          <w:tab w:pos="1498" w:val="left" w:leader="none"/>
          <w:tab w:pos="1985" w:val="left" w:leader="none"/>
          <w:tab w:pos="2470" w:val="left" w:leader="none"/>
          <w:tab w:pos="2968" w:val="left" w:leader="none"/>
        </w:tabs>
        <w:spacing w:before="8"/>
        <w:ind w:left="438" w:right="0" w:firstLine="0"/>
        <w:jc w:val="left"/>
        <w:rPr>
          <w:sz w:val="12"/>
        </w:rPr>
      </w:pPr>
      <w:r>
        <w:rPr>
          <w:sz w:val="12"/>
        </w:rPr>
        <w:t>1993</w:t>
        <w:tab/>
        <w:t>94</w:t>
        <w:tab/>
        <w:t>95</w:t>
        <w:tab/>
        <w:t>96</w:t>
        <w:tab/>
        <w:t>97</w:t>
        <w:tab/>
        <w:t>98</w:t>
      </w:r>
      <w:r>
        <w:rPr>
          <w:spacing w:val="17"/>
          <w:sz w:val="12"/>
        </w:rPr>
        <w:t> </w:t>
      </w:r>
      <w:r>
        <w:rPr>
          <w:sz w:val="12"/>
        </w:rPr>
        <w:t>99</w:t>
      </w:r>
    </w:p>
    <w:p>
      <w:pPr>
        <w:pStyle w:val="BodyText"/>
        <w:spacing w:before="7"/>
        <w:rPr>
          <w:sz w:val="12"/>
        </w:rPr>
      </w:pPr>
    </w:p>
    <w:p>
      <w:pPr>
        <w:spacing w:line="208" w:lineRule="auto" w:before="0"/>
        <w:ind w:left="405" w:right="56" w:hanging="240"/>
        <w:jc w:val="left"/>
        <w:rPr>
          <w:sz w:val="12"/>
        </w:rPr>
      </w:pPr>
      <w:r>
        <w:rPr>
          <w:sz w:val="12"/>
        </w:rPr>
        <w:t>(a) HICP inflation rates prior to 1997 are estimated and are </w:t>
      </w:r>
      <w:r>
        <w:rPr>
          <w:spacing w:val="-3"/>
          <w:sz w:val="12"/>
        </w:rPr>
        <w:t>subject </w:t>
      </w:r>
      <w:r>
        <w:rPr>
          <w:sz w:val="12"/>
        </w:rPr>
        <w:t>to revision.</w:t>
      </w:r>
    </w:p>
    <w:p>
      <w:pPr>
        <w:pStyle w:val="BodyText"/>
        <w:rPr>
          <w:sz w:val="12"/>
        </w:rPr>
      </w:pPr>
    </w:p>
    <w:p>
      <w:pPr>
        <w:pStyle w:val="BodyText"/>
        <w:rPr>
          <w:sz w:val="12"/>
        </w:rPr>
      </w:pPr>
    </w:p>
    <w:p>
      <w:pPr>
        <w:pStyle w:val="BodyText"/>
        <w:spacing w:before="6"/>
        <w:rPr>
          <w:sz w:val="11"/>
        </w:rPr>
      </w:pPr>
    </w:p>
    <w:p>
      <w:pPr>
        <w:pStyle w:val="Heading4"/>
        <w:spacing w:line="141" w:lineRule="exact" w:before="0"/>
        <w:ind w:left="205"/>
      </w:pPr>
      <w:r>
        <w:rPr>
          <w:color w:val="0093C1"/>
        </w:rPr>
        <w:t>Chart 4.8</w:t>
      </w:r>
    </w:p>
    <w:p>
      <w:pPr>
        <w:spacing w:before="95"/>
        <w:ind w:left="15" w:right="0" w:firstLine="0"/>
        <w:jc w:val="left"/>
        <w:rPr>
          <w:sz w:val="12"/>
        </w:rPr>
      </w:pPr>
      <w:r>
        <w:rPr/>
        <w:br w:type="column"/>
      </w:r>
      <w:r>
        <w:rPr>
          <w:sz w:val="12"/>
        </w:rPr>
        <w:t>1.0</w:t>
      </w:r>
    </w:p>
    <w:p>
      <w:pPr>
        <w:pStyle w:val="BodyText"/>
        <w:rPr>
          <w:sz w:val="12"/>
        </w:rPr>
      </w:pPr>
    </w:p>
    <w:p>
      <w:pPr>
        <w:pStyle w:val="BodyText"/>
        <w:spacing w:before="2"/>
        <w:rPr>
          <w:sz w:val="13"/>
        </w:rPr>
      </w:pPr>
    </w:p>
    <w:p>
      <w:pPr>
        <w:spacing w:before="0"/>
        <w:ind w:left="15" w:right="0" w:firstLine="0"/>
        <w:jc w:val="left"/>
        <w:rPr>
          <w:sz w:val="12"/>
        </w:rPr>
      </w:pPr>
      <w:r>
        <w:rPr>
          <w:sz w:val="12"/>
        </w:rPr>
        <w:t>0.5</w:t>
      </w:r>
    </w:p>
    <w:p>
      <w:pPr>
        <w:pStyle w:val="BodyText"/>
        <w:rPr>
          <w:sz w:val="12"/>
        </w:rPr>
      </w:pPr>
    </w:p>
    <w:p>
      <w:pPr>
        <w:pStyle w:val="BodyText"/>
        <w:spacing w:before="2"/>
        <w:rPr>
          <w:sz w:val="13"/>
        </w:rPr>
      </w:pPr>
    </w:p>
    <w:p>
      <w:pPr>
        <w:spacing w:before="0"/>
        <w:ind w:left="15" w:right="0" w:firstLine="0"/>
        <w:jc w:val="left"/>
        <w:rPr>
          <w:sz w:val="12"/>
        </w:rPr>
      </w:pPr>
      <w:r>
        <w:rPr>
          <w:sz w:val="12"/>
        </w:rPr>
        <w:t>0.0</w:t>
      </w:r>
    </w:p>
    <w:p>
      <w:pPr>
        <w:spacing w:line="242" w:lineRule="auto" w:before="164"/>
        <w:ind w:left="163" w:right="217" w:firstLine="0"/>
        <w:jc w:val="left"/>
        <w:rPr>
          <w:sz w:val="24"/>
        </w:rPr>
      </w:pPr>
      <w:r>
        <w:rPr/>
        <w:br w:type="column"/>
      </w:r>
      <w:r>
        <w:rPr>
          <w:sz w:val="24"/>
        </w:rPr>
        <w:t>Underlying developments in the rate of inflation are sometimes masked by sharp movements in individual prices. Such price changes should be included in a measure of the cost of living. But it is also useful to look at inflation rates excluding erratic price </w:t>
      </w:r>
      <w:r>
        <w:rPr>
          <w:spacing w:val="-3"/>
          <w:sz w:val="24"/>
        </w:rPr>
        <w:t>movements </w:t>
      </w:r>
      <w:r>
        <w:rPr>
          <w:sz w:val="24"/>
        </w:rPr>
        <w:t>to gauge underlying inflationary pressure. The Bank looks at two measures which reduce the effect</w:t>
      </w:r>
      <w:r>
        <w:rPr>
          <w:spacing w:val="-4"/>
          <w:sz w:val="24"/>
        </w:rPr>
        <w:t> </w:t>
      </w:r>
      <w:r>
        <w:rPr>
          <w:sz w:val="24"/>
        </w:rPr>
        <w:t>of</w:t>
      </w:r>
    </w:p>
    <w:p>
      <w:pPr>
        <w:spacing w:after="0" w:line="242" w:lineRule="auto"/>
        <w:jc w:val="left"/>
        <w:rPr>
          <w:sz w:val="24"/>
        </w:rPr>
        <w:sectPr>
          <w:type w:val="continuous"/>
          <w:pgSz w:w="11900" w:h="16840"/>
          <w:pgMar w:top="1220" w:bottom="280" w:left="640" w:right="640"/>
          <w:cols w:num="3" w:equalWidth="0">
            <w:col w:w="3496" w:space="40"/>
            <w:col w:w="206" w:space="1075"/>
            <w:col w:w="5803"/>
          </w:cols>
        </w:sectPr>
      </w:pPr>
    </w:p>
    <w:p>
      <w:pPr>
        <w:pStyle w:val="Heading4"/>
        <w:spacing w:line="181" w:lineRule="exact" w:before="100"/>
        <w:ind w:left="205"/>
        <w:rPr>
          <w:b w:val="0"/>
          <w:sz w:val="12"/>
        </w:rPr>
      </w:pPr>
      <w:r>
        <w:rPr>
          <w:color w:val="0093C1"/>
        </w:rPr>
        <w:t>HICP services and goods price inflation</w:t>
      </w:r>
      <w:r>
        <w:rPr>
          <w:b w:val="0"/>
          <w:position w:val="4"/>
          <w:sz w:val="12"/>
        </w:rPr>
        <w:t>(a)</w:t>
      </w:r>
    </w:p>
    <w:p>
      <w:pPr>
        <w:spacing w:line="267" w:lineRule="exact" w:before="0"/>
        <w:ind w:left="205" w:right="0" w:firstLine="0"/>
        <w:jc w:val="left"/>
        <w:rPr>
          <w:sz w:val="24"/>
        </w:rPr>
      </w:pPr>
      <w:r>
        <w:rPr/>
        <w:br w:type="column"/>
      </w:r>
      <w:r>
        <w:rPr>
          <w:sz w:val="24"/>
        </w:rPr>
        <w:t>extreme price movements: the median inflation rate and</w:t>
      </w:r>
    </w:p>
    <w:p>
      <w:pPr>
        <w:spacing w:after="0" w:line="267" w:lineRule="exact"/>
        <w:jc w:val="left"/>
        <w:rPr>
          <w:sz w:val="24"/>
        </w:rPr>
        <w:sectPr>
          <w:type w:val="continuous"/>
          <w:pgSz w:w="11900" w:h="16840"/>
          <w:pgMar w:top="1220" w:bottom="280" w:left="640" w:right="640"/>
          <w:cols w:num="2" w:equalWidth="0">
            <w:col w:w="3762" w:space="1013"/>
            <w:col w:w="5845"/>
          </w:cols>
        </w:sectPr>
      </w:pPr>
    </w:p>
    <w:p>
      <w:pPr>
        <w:spacing w:before="109"/>
        <w:ind w:left="196" w:right="0" w:firstLine="0"/>
        <w:jc w:val="left"/>
        <w:rPr>
          <w:sz w:val="14"/>
        </w:rPr>
      </w:pPr>
      <w:r>
        <w:rPr/>
        <w:pict>
          <v:group style="position:absolute;margin-left:41.821999pt;margin-top:35.519756pt;width:167.4pt;height:49.35pt;mso-position-horizontal-relative:page;mso-position-vertical-relative:paragraph;z-index:16024064" coordorigin="836,710" coordsize="3348,987">
            <v:shape style="position:absolute;left:836;top:710;width:3348;height:973" type="#_x0000_t75" stroked="false">
              <v:imagedata r:id="rId117" o:title=""/>
            </v:shape>
            <v:shape style="position:absolute;left:836;top:710;width:3348;height:987" type="#_x0000_t202" filled="false" stroked="false">
              <v:textbox inset="0,0,0,0">
                <w:txbxContent>
                  <w:p>
                    <w:pPr>
                      <w:spacing w:line="240" w:lineRule="auto" w:before="0"/>
                      <w:rPr>
                        <w:sz w:val="12"/>
                      </w:rPr>
                    </w:pPr>
                  </w:p>
                  <w:p>
                    <w:pPr>
                      <w:spacing w:line="240" w:lineRule="auto" w:before="7"/>
                      <w:rPr>
                        <w:sz w:val="17"/>
                      </w:rPr>
                    </w:pPr>
                  </w:p>
                  <w:p>
                    <w:pPr>
                      <w:spacing w:before="1"/>
                      <w:ind w:left="2169" w:right="0" w:firstLine="0"/>
                      <w:jc w:val="left"/>
                      <w:rPr>
                        <w:sz w:val="12"/>
                      </w:rPr>
                    </w:pPr>
                    <w:r>
                      <w:rPr>
                        <w:sz w:val="12"/>
                      </w:rPr>
                      <w:t>United Kingdom</w:t>
                    </w:r>
                  </w:p>
                  <w:p>
                    <w:pPr>
                      <w:spacing w:line="240" w:lineRule="auto" w:before="0"/>
                      <w:rPr>
                        <w:sz w:val="12"/>
                      </w:rPr>
                    </w:pPr>
                  </w:p>
                  <w:p>
                    <w:pPr>
                      <w:spacing w:line="240" w:lineRule="auto" w:before="0"/>
                      <w:rPr>
                        <w:sz w:val="12"/>
                      </w:rPr>
                    </w:pPr>
                  </w:p>
                  <w:p>
                    <w:pPr>
                      <w:spacing w:before="93"/>
                      <w:ind w:left="2146" w:right="0" w:firstLine="0"/>
                      <w:jc w:val="left"/>
                      <w:rPr>
                        <w:sz w:val="12"/>
                      </w:rPr>
                    </w:pPr>
                    <w:r>
                      <w:rPr>
                        <w:sz w:val="12"/>
                      </w:rPr>
                      <w:t>Euro area</w:t>
                    </w:r>
                  </w:p>
                </w:txbxContent>
              </v:textbox>
              <w10:wrap type="none"/>
            </v:shape>
            <w10:wrap type="none"/>
          </v:group>
        </w:pict>
      </w:r>
      <w:r>
        <w:rPr>
          <w:sz w:val="14"/>
        </w:rPr>
        <w:t>HICP services price inflation</w:t>
      </w:r>
    </w:p>
    <w:p>
      <w:pPr>
        <w:pStyle w:val="BodyText"/>
        <w:spacing w:before="5"/>
        <w:rPr>
          <w:sz w:val="10"/>
        </w:rPr>
      </w:pPr>
    </w:p>
    <w:p>
      <w:pPr>
        <w:pStyle w:val="BodyText"/>
        <w:spacing w:line="20" w:lineRule="exact"/>
        <w:ind w:left="196"/>
        <w:rPr>
          <w:sz w:val="2"/>
        </w:rPr>
      </w:pPr>
      <w:r>
        <w:rPr>
          <w:sz w:val="2"/>
        </w:rPr>
        <w:drawing>
          <wp:inline distT="0" distB="0" distL="0" distR="0">
            <wp:extent cx="55304" cy="6381"/>
            <wp:effectExtent l="0" t="0" r="0" b="0"/>
            <wp:docPr id="169" name="image22.png"/>
            <wp:cNvGraphicFramePr>
              <a:graphicFrameLocks noChangeAspect="1"/>
            </wp:cNvGraphicFramePr>
            <a:graphic>
              <a:graphicData uri="http://schemas.openxmlformats.org/drawingml/2006/picture">
                <pic:pic>
                  <pic:nvPicPr>
                    <pic:cNvPr id="170" name="image22.png"/>
                    <pic:cNvPicPr/>
                  </pic:nvPicPr>
                  <pic:blipFill>
                    <a:blip r:embed="rId49" cstate="print"/>
                    <a:stretch>
                      <a:fillRect/>
                    </a:stretch>
                  </pic:blipFill>
                  <pic:spPr>
                    <a:xfrm>
                      <a:off x="0" y="0"/>
                      <a:ext cx="55304" cy="6381"/>
                    </a:xfrm>
                    <a:prstGeom prst="rect">
                      <a:avLst/>
                    </a:prstGeom>
                  </pic:spPr>
                </pic:pic>
              </a:graphicData>
            </a:graphic>
          </wp:inline>
        </w:drawing>
      </w:r>
      <w:r>
        <w:rPr>
          <w:sz w:val="2"/>
        </w:rPr>
      </w:r>
    </w:p>
    <w:p>
      <w:pPr>
        <w:pStyle w:val="BodyText"/>
        <w:spacing w:before="5"/>
        <w:rPr>
          <w:sz w:val="12"/>
        </w:rPr>
      </w:pPr>
      <w:r>
        <w:rPr/>
        <w:drawing>
          <wp:anchor distT="0" distB="0" distL="0" distR="0" allowOverlap="1" layoutInCell="1" locked="0" behindDoc="0" simplePos="0" relativeHeight="565">
            <wp:simplePos x="0" y="0"/>
            <wp:positionH relativeFrom="page">
              <wp:posOffset>531139</wp:posOffset>
            </wp:positionH>
            <wp:positionV relativeFrom="paragraph">
              <wp:posOffset>116088</wp:posOffset>
            </wp:positionV>
            <wp:extent cx="55304" cy="6381"/>
            <wp:effectExtent l="0" t="0" r="0" b="0"/>
            <wp:wrapTopAndBottom/>
            <wp:docPr id="171" name="image22.png"/>
            <wp:cNvGraphicFramePr>
              <a:graphicFrameLocks noChangeAspect="1"/>
            </wp:cNvGraphicFramePr>
            <a:graphic>
              <a:graphicData uri="http://schemas.openxmlformats.org/drawingml/2006/picture">
                <pic:pic>
                  <pic:nvPicPr>
                    <pic:cNvPr id="172" name="image22.png"/>
                    <pic:cNvPicPr/>
                  </pic:nvPicPr>
                  <pic:blipFill>
                    <a:blip r:embed="rId49" cstate="print"/>
                    <a:stretch>
                      <a:fillRect/>
                    </a:stretch>
                  </pic:blipFill>
                  <pic:spPr>
                    <a:xfrm>
                      <a:off x="0" y="0"/>
                      <a:ext cx="55304" cy="6381"/>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r>
        <w:rPr/>
        <w:drawing>
          <wp:anchor distT="0" distB="0" distL="0" distR="0" allowOverlap="1" layoutInCell="1" locked="0" behindDoc="0" simplePos="0" relativeHeight="566">
            <wp:simplePos x="0" y="0"/>
            <wp:positionH relativeFrom="page">
              <wp:posOffset>531139</wp:posOffset>
            </wp:positionH>
            <wp:positionV relativeFrom="paragraph">
              <wp:posOffset>163022</wp:posOffset>
            </wp:positionV>
            <wp:extent cx="55304" cy="6381"/>
            <wp:effectExtent l="0" t="0" r="0" b="0"/>
            <wp:wrapTopAndBottom/>
            <wp:docPr id="173" name="image22.png"/>
            <wp:cNvGraphicFramePr>
              <a:graphicFrameLocks noChangeAspect="1"/>
            </wp:cNvGraphicFramePr>
            <a:graphic>
              <a:graphicData uri="http://schemas.openxmlformats.org/drawingml/2006/picture">
                <pic:pic>
                  <pic:nvPicPr>
                    <pic:cNvPr id="174" name="image22.png"/>
                    <pic:cNvPicPr/>
                  </pic:nvPicPr>
                  <pic:blipFill>
                    <a:blip r:embed="rId49" cstate="print"/>
                    <a:stretch>
                      <a:fillRect/>
                    </a:stretch>
                  </pic:blipFill>
                  <pic:spPr>
                    <a:xfrm>
                      <a:off x="0" y="0"/>
                      <a:ext cx="55304" cy="6381"/>
                    </a:xfrm>
                    <a:prstGeom prst="rect">
                      <a:avLst/>
                    </a:prstGeom>
                  </pic:spPr>
                </pic:pic>
              </a:graphicData>
            </a:graphic>
          </wp:anchor>
        </w:drawing>
      </w:r>
      <w:r>
        <w:rPr/>
        <w:drawing>
          <wp:anchor distT="0" distB="0" distL="0" distR="0" allowOverlap="1" layoutInCell="1" locked="0" behindDoc="0" simplePos="0" relativeHeight="567">
            <wp:simplePos x="0" y="0"/>
            <wp:positionH relativeFrom="page">
              <wp:posOffset>531139</wp:posOffset>
            </wp:positionH>
            <wp:positionV relativeFrom="paragraph">
              <wp:posOffset>291686</wp:posOffset>
            </wp:positionV>
            <wp:extent cx="55304" cy="6381"/>
            <wp:effectExtent l="0" t="0" r="0" b="0"/>
            <wp:wrapTopAndBottom/>
            <wp:docPr id="175" name="image22.png"/>
            <wp:cNvGraphicFramePr>
              <a:graphicFrameLocks noChangeAspect="1"/>
            </wp:cNvGraphicFramePr>
            <a:graphic>
              <a:graphicData uri="http://schemas.openxmlformats.org/drawingml/2006/picture">
                <pic:pic>
                  <pic:nvPicPr>
                    <pic:cNvPr id="176" name="image22.png"/>
                    <pic:cNvPicPr/>
                  </pic:nvPicPr>
                  <pic:blipFill>
                    <a:blip r:embed="rId49" cstate="print"/>
                    <a:stretch>
                      <a:fillRect/>
                    </a:stretch>
                  </pic:blipFill>
                  <pic:spPr>
                    <a:xfrm>
                      <a:off x="0" y="0"/>
                      <a:ext cx="55304" cy="6381"/>
                    </a:xfrm>
                    <a:prstGeom prst="rect">
                      <a:avLst/>
                    </a:prstGeom>
                  </pic:spPr>
                </pic:pic>
              </a:graphicData>
            </a:graphic>
          </wp:anchor>
        </w:drawing>
      </w:r>
    </w:p>
    <w:p>
      <w:pPr>
        <w:pStyle w:val="BodyText"/>
        <w:spacing w:before="9"/>
        <w:rPr>
          <w:sz w:val="10"/>
        </w:rPr>
      </w:pPr>
    </w:p>
    <w:p>
      <w:pPr>
        <w:spacing w:line="125" w:lineRule="exact" w:before="61"/>
        <w:ind w:left="196" w:right="0" w:firstLine="0"/>
        <w:jc w:val="left"/>
        <w:rPr>
          <w:sz w:val="14"/>
        </w:rPr>
      </w:pPr>
      <w:r>
        <w:rPr>
          <w:sz w:val="14"/>
        </w:rPr>
        <w:t>HICP goods price inflation</w:t>
      </w:r>
    </w:p>
    <w:p>
      <w:pPr>
        <w:pStyle w:val="BodyText"/>
        <w:spacing w:before="9"/>
        <w:rPr>
          <w:sz w:val="10"/>
        </w:rPr>
      </w:pPr>
      <w:r>
        <w:rPr/>
        <w:br w:type="column"/>
      </w:r>
      <w:r>
        <w:rPr>
          <w:sz w:val="10"/>
        </w:rPr>
      </w:r>
    </w:p>
    <w:p>
      <w:pPr>
        <w:spacing w:line="208" w:lineRule="auto" w:before="0"/>
        <w:ind w:left="363" w:right="0" w:hanging="167"/>
        <w:jc w:val="left"/>
        <w:rPr>
          <w:sz w:val="12"/>
        </w:rPr>
      </w:pPr>
      <w:r>
        <w:rPr>
          <w:sz w:val="12"/>
        </w:rPr>
        <w:t>Percentage </w:t>
      </w:r>
      <w:r>
        <w:rPr>
          <w:spacing w:val="-3"/>
          <w:sz w:val="12"/>
        </w:rPr>
        <w:t>changes </w:t>
      </w:r>
      <w:r>
        <w:rPr>
          <w:sz w:val="12"/>
        </w:rPr>
        <w:t>on a year</w:t>
      </w:r>
      <w:r>
        <w:rPr>
          <w:spacing w:val="1"/>
          <w:sz w:val="12"/>
        </w:rPr>
        <w:t> </w:t>
      </w:r>
      <w:r>
        <w:rPr>
          <w:spacing w:val="-3"/>
          <w:sz w:val="12"/>
        </w:rPr>
        <w:t>earlier</w:t>
      </w:r>
    </w:p>
    <w:p>
      <w:pPr>
        <w:pStyle w:val="BodyText"/>
        <w:spacing w:before="3"/>
        <w:rPr>
          <w:sz w:val="2"/>
        </w:rPr>
      </w:pPr>
    </w:p>
    <w:p>
      <w:pPr>
        <w:pStyle w:val="BodyText"/>
        <w:spacing w:line="20" w:lineRule="exact"/>
        <w:ind w:left="1052" w:right="-44"/>
        <w:rPr>
          <w:sz w:val="2"/>
        </w:rPr>
      </w:pPr>
      <w:r>
        <w:rPr>
          <w:sz w:val="2"/>
        </w:rPr>
        <w:drawing>
          <wp:inline distT="0" distB="0" distL="0" distR="0">
            <wp:extent cx="55317" cy="6381"/>
            <wp:effectExtent l="0" t="0" r="0" b="0"/>
            <wp:docPr id="177" name="image48.png"/>
            <wp:cNvGraphicFramePr>
              <a:graphicFrameLocks noChangeAspect="1"/>
            </wp:cNvGraphicFramePr>
            <a:graphic>
              <a:graphicData uri="http://schemas.openxmlformats.org/drawingml/2006/picture">
                <pic:pic>
                  <pic:nvPicPr>
                    <pic:cNvPr id="178" name="image48.png"/>
                    <pic:cNvPicPr/>
                  </pic:nvPicPr>
                  <pic:blipFill>
                    <a:blip r:embed="rId114" cstate="print"/>
                    <a:stretch>
                      <a:fillRect/>
                    </a:stretch>
                  </pic:blipFill>
                  <pic:spPr>
                    <a:xfrm>
                      <a:off x="0" y="0"/>
                      <a:ext cx="55317" cy="6381"/>
                    </a:xfrm>
                    <a:prstGeom prst="rect">
                      <a:avLst/>
                    </a:prstGeom>
                  </pic:spPr>
                </pic:pic>
              </a:graphicData>
            </a:graphic>
          </wp:inline>
        </w:drawing>
      </w:r>
      <w:r>
        <w:rPr>
          <w:sz w:val="2"/>
        </w:rPr>
      </w:r>
    </w:p>
    <w:p>
      <w:pPr>
        <w:pStyle w:val="BodyText"/>
        <w:spacing w:before="10"/>
        <w:rPr>
          <w:sz w:val="15"/>
        </w:rPr>
      </w:pPr>
    </w:p>
    <w:p>
      <w:pPr>
        <w:pStyle w:val="BodyText"/>
        <w:spacing w:line="20" w:lineRule="exact"/>
        <w:ind w:left="1052" w:right="-44"/>
        <w:rPr>
          <w:sz w:val="2"/>
        </w:rPr>
      </w:pPr>
      <w:r>
        <w:rPr>
          <w:sz w:val="2"/>
        </w:rPr>
        <w:drawing>
          <wp:inline distT="0" distB="0" distL="0" distR="0">
            <wp:extent cx="55317" cy="6381"/>
            <wp:effectExtent l="0" t="0" r="0" b="0"/>
            <wp:docPr id="179" name="image48.png"/>
            <wp:cNvGraphicFramePr>
              <a:graphicFrameLocks noChangeAspect="1"/>
            </wp:cNvGraphicFramePr>
            <a:graphic>
              <a:graphicData uri="http://schemas.openxmlformats.org/drawingml/2006/picture">
                <pic:pic>
                  <pic:nvPicPr>
                    <pic:cNvPr id="180" name="image48.png"/>
                    <pic:cNvPicPr/>
                  </pic:nvPicPr>
                  <pic:blipFill>
                    <a:blip r:embed="rId114" cstate="print"/>
                    <a:stretch>
                      <a:fillRect/>
                    </a:stretch>
                  </pic:blipFill>
                  <pic:spPr>
                    <a:xfrm>
                      <a:off x="0" y="0"/>
                      <a:ext cx="55317" cy="6381"/>
                    </a:xfrm>
                    <a:prstGeom prst="rect">
                      <a:avLst/>
                    </a:prstGeom>
                  </pic:spPr>
                </pic:pic>
              </a:graphicData>
            </a:graphic>
          </wp:inline>
        </w:drawing>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pStyle w:val="BodyText"/>
        <w:spacing w:line="20" w:lineRule="exact"/>
        <w:ind w:left="1052" w:right="-44"/>
        <w:rPr>
          <w:sz w:val="2"/>
        </w:rPr>
      </w:pPr>
      <w:r>
        <w:rPr>
          <w:sz w:val="2"/>
        </w:rPr>
        <w:drawing>
          <wp:inline distT="0" distB="0" distL="0" distR="0">
            <wp:extent cx="55317" cy="6381"/>
            <wp:effectExtent l="0" t="0" r="0" b="0"/>
            <wp:docPr id="181" name="image48.png"/>
            <wp:cNvGraphicFramePr>
              <a:graphicFrameLocks noChangeAspect="1"/>
            </wp:cNvGraphicFramePr>
            <a:graphic>
              <a:graphicData uri="http://schemas.openxmlformats.org/drawingml/2006/picture">
                <pic:pic>
                  <pic:nvPicPr>
                    <pic:cNvPr id="182" name="image48.png"/>
                    <pic:cNvPicPr/>
                  </pic:nvPicPr>
                  <pic:blipFill>
                    <a:blip r:embed="rId114" cstate="print"/>
                    <a:stretch>
                      <a:fillRect/>
                    </a:stretch>
                  </pic:blipFill>
                  <pic:spPr>
                    <a:xfrm>
                      <a:off x="0" y="0"/>
                      <a:ext cx="55317" cy="6381"/>
                    </a:xfrm>
                    <a:prstGeom prst="rect">
                      <a:avLst/>
                    </a:prstGeom>
                  </pic:spPr>
                </pic:pic>
              </a:graphicData>
            </a:graphic>
          </wp:inline>
        </w:drawing>
      </w:r>
      <w:r>
        <w:rPr>
          <w:sz w:val="2"/>
        </w:rPr>
      </w:r>
    </w:p>
    <w:p>
      <w:pPr>
        <w:pStyle w:val="BodyText"/>
        <w:spacing w:before="10"/>
        <w:rPr>
          <w:sz w:val="15"/>
        </w:rPr>
      </w:pPr>
    </w:p>
    <w:p>
      <w:pPr>
        <w:pStyle w:val="BodyText"/>
        <w:spacing w:line="20" w:lineRule="exact"/>
        <w:ind w:left="1052" w:right="-44"/>
        <w:rPr>
          <w:sz w:val="2"/>
        </w:rPr>
      </w:pPr>
      <w:r>
        <w:rPr>
          <w:sz w:val="2"/>
        </w:rPr>
        <w:drawing>
          <wp:inline distT="0" distB="0" distL="0" distR="0">
            <wp:extent cx="55317" cy="6381"/>
            <wp:effectExtent l="0" t="0" r="0" b="0"/>
            <wp:docPr id="183" name="image48.png"/>
            <wp:cNvGraphicFramePr>
              <a:graphicFrameLocks noChangeAspect="1"/>
            </wp:cNvGraphicFramePr>
            <a:graphic>
              <a:graphicData uri="http://schemas.openxmlformats.org/drawingml/2006/picture">
                <pic:pic>
                  <pic:nvPicPr>
                    <pic:cNvPr id="184" name="image48.png"/>
                    <pic:cNvPicPr/>
                  </pic:nvPicPr>
                  <pic:blipFill>
                    <a:blip r:embed="rId114" cstate="print"/>
                    <a:stretch>
                      <a:fillRect/>
                    </a:stretch>
                  </pic:blipFill>
                  <pic:spPr>
                    <a:xfrm>
                      <a:off x="0" y="0"/>
                      <a:ext cx="55317" cy="6381"/>
                    </a:xfrm>
                    <a:prstGeom prst="rect">
                      <a:avLst/>
                    </a:prstGeom>
                  </pic:spPr>
                </pic:pic>
              </a:graphicData>
            </a:graphic>
          </wp:inline>
        </w:drawing>
      </w:r>
      <w:r>
        <w:rPr>
          <w:sz w:val="2"/>
        </w:rPr>
      </w:r>
    </w:p>
    <w:p>
      <w:pPr>
        <w:spacing w:line="125" w:lineRule="exact" w:before="81"/>
        <w:ind w:left="196" w:right="0" w:firstLine="0"/>
        <w:jc w:val="left"/>
        <w:rPr>
          <w:sz w:val="12"/>
        </w:rPr>
      </w:pPr>
      <w:r>
        <w:rPr>
          <w:sz w:val="12"/>
        </w:rPr>
        <w:t>Percentage</w:t>
      </w:r>
      <w:r>
        <w:rPr>
          <w:spacing w:val="1"/>
          <w:sz w:val="12"/>
        </w:rPr>
        <w:t> </w:t>
      </w:r>
      <w:r>
        <w:rPr>
          <w:spacing w:val="-3"/>
          <w:sz w:val="12"/>
        </w:rPr>
        <w:t>changes</w:t>
      </w:r>
    </w:p>
    <w:p>
      <w:pPr>
        <w:pStyle w:val="BodyText"/>
        <w:rPr>
          <w:sz w:val="12"/>
        </w:rPr>
      </w:pPr>
      <w:r>
        <w:rPr/>
        <w:br w:type="column"/>
      </w:r>
      <w:r>
        <w:rPr>
          <w:sz w:val="12"/>
        </w:rPr>
      </w:r>
    </w:p>
    <w:p>
      <w:pPr>
        <w:pStyle w:val="BodyText"/>
        <w:spacing w:before="4"/>
        <w:rPr>
          <w:sz w:val="16"/>
        </w:rPr>
      </w:pPr>
    </w:p>
    <w:p>
      <w:pPr>
        <w:spacing w:before="0"/>
        <w:ind w:left="44" w:right="0" w:firstLine="0"/>
        <w:jc w:val="left"/>
        <w:rPr>
          <w:sz w:val="12"/>
        </w:rPr>
      </w:pPr>
      <w:r>
        <w:rPr>
          <w:sz w:val="12"/>
        </w:rPr>
        <w:t>8.0</w:t>
      </w:r>
    </w:p>
    <w:p>
      <w:pPr>
        <w:spacing w:before="64"/>
        <w:ind w:left="44" w:right="0" w:firstLine="0"/>
        <w:jc w:val="left"/>
        <w:rPr>
          <w:sz w:val="12"/>
        </w:rPr>
      </w:pPr>
      <w:r>
        <w:rPr>
          <w:color w:val="231F20"/>
          <w:sz w:val="12"/>
        </w:rPr>
        <w:t>7.0</w:t>
      </w:r>
    </w:p>
    <w:p>
      <w:pPr>
        <w:spacing w:before="65"/>
        <w:ind w:left="44" w:right="0" w:firstLine="0"/>
        <w:jc w:val="left"/>
        <w:rPr>
          <w:sz w:val="12"/>
        </w:rPr>
      </w:pPr>
      <w:r>
        <w:rPr>
          <w:sz w:val="12"/>
        </w:rPr>
        <w:t>6.0</w:t>
      </w:r>
    </w:p>
    <w:p>
      <w:pPr>
        <w:spacing w:before="65"/>
        <w:ind w:left="44" w:right="0" w:firstLine="0"/>
        <w:jc w:val="left"/>
        <w:rPr>
          <w:sz w:val="12"/>
        </w:rPr>
      </w:pPr>
      <w:r>
        <w:rPr>
          <w:color w:val="231F20"/>
          <w:sz w:val="12"/>
        </w:rPr>
        <w:t>5.0</w:t>
      </w:r>
    </w:p>
    <w:p>
      <w:pPr>
        <w:spacing w:before="64"/>
        <w:ind w:left="44" w:right="0" w:firstLine="0"/>
        <w:jc w:val="left"/>
        <w:rPr>
          <w:sz w:val="12"/>
        </w:rPr>
      </w:pPr>
      <w:r>
        <w:rPr>
          <w:sz w:val="12"/>
        </w:rPr>
        <w:t>4.0</w:t>
      </w:r>
    </w:p>
    <w:p>
      <w:pPr>
        <w:spacing w:before="65"/>
        <w:ind w:left="44" w:right="0" w:firstLine="0"/>
        <w:jc w:val="left"/>
        <w:rPr>
          <w:sz w:val="12"/>
        </w:rPr>
      </w:pPr>
      <w:r>
        <w:rPr>
          <w:color w:val="231F20"/>
          <w:sz w:val="12"/>
        </w:rPr>
        <w:t>3.0</w:t>
      </w:r>
    </w:p>
    <w:p>
      <w:pPr>
        <w:spacing w:before="64"/>
        <w:ind w:left="44" w:right="0" w:firstLine="0"/>
        <w:jc w:val="left"/>
        <w:rPr>
          <w:sz w:val="12"/>
        </w:rPr>
      </w:pPr>
      <w:r>
        <w:rPr>
          <w:sz w:val="12"/>
        </w:rPr>
        <w:t>2.0</w:t>
      </w:r>
    </w:p>
    <w:p>
      <w:pPr>
        <w:spacing w:before="65"/>
        <w:ind w:left="44" w:right="0" w:firstLine="0"/>
        <w:jc w:val="left"/>
        <w:rPr>
          <w:sz w:val="12"/>
        </w:rPr>
      </w:pPr>
      <w:r>
        <w:rPr>
          <w:color w:val="231F20"/>
          <w:sz w:val="12"/>
        </w:rPr>
        <w:t>1.0</w:t>
      </w:r>
    </w:p>
    <w:p>
      <w:pPr>
        <w:spacing w:before="64"/>
        <w:ind w:left="44" w:right="0" w:firstLine="0"/>
        <w:jc w:val="left"/>
        <w:rPr>
          <w:sz w:val="12"/>
        </w:rPr>
      </w:pPr>
      <w:r>
        <w:rPr>
          <w:sz w:val="12"/>
        </w:rPr>
        <w:t>0.0</w:t>
      </w:r>
    </w:p>
    <w:p>
      <w:pPr>
        <w:spacing w:line="242" w:lineRule="auto" w:before="0"/>
        <w:ind w:left="196" w:right="141" w:firstLine="0"/>
        <w:jc w:val="left"/>
        <w:rPr>
          <w:sz w:val="24"/>
        </w:rPr>
      </w:pPr>
      <w:r>
        <w:rPr/>
        <w:br w:type="column"/>
      </w:r>
      <w:r>
        <w:rPr>
          <w:sz w:val="24"/>
        </w:rPr>
        <w:t>the trimmed mean inflation rate, which excludes the highest and lowest 15% of price changes. These measures usually lie below RPIX inflation, as the price increases excluded from the measures generally exceed the price falls excluded (see Chart 4.9). The measures showed a more gradual build-up in inflation towards the peak in the early 1990s. In the recent past they have reduced the fluctuations resulting from sharp movements</w:t>
      </w:r>
    </w:p>
    <w:p>
      <w:pPr>
        <w:spacing w:after="0" w:line="242" w:lineRule="auto"/>
        <w:jc w:val="left"/>
        <w:rPr>
          <w:sz w:val="24"/>
        </w:rPr>
        <w:sectPr>
          <w:type w:val="continuous"/>
          <w:pgSz w:w="11900" w:h="16840"/>
          <w:pgMar w:top="1220" w:bottom="280" w:left="640" w:right="640"/>
          <w:cols w:num="4" w:equalWidth="0">
            <w:col w:w="1866" w:space="539"/>
            <w:col w:w="1140" w:space="39"/>
            <w:col w:w="235" w:space="965"/>
            <w:col w:w="5836"/>
          </w:cols>
        </w:sectPr>
      </w:pPr>
    </w:p>
    <w:p>
      <w:pPr>
        <w:spacing w:line="228" w:lineRule="auto" w:before="0"/>
        <w:ind w:left="0" w:right="38" w:firstLine="0"/>
        <w:jc w:val="right"/>
        <w:rPr>
          <w:sz w:val="12"/>
        </w:rPr>
      </w:pPr>
      <w:r>
        <w:rPr/>
        <w:pict>
          <v:group style="position:absolute;margin-left:41.821999pt;margin-top:14.436278pt;width:173.4pt;height:81pt;mso-position-horizontal-relative:page;mso-position-vertical-relative:paragraph;z-index:16026624" coordorigin="836,289" coordsize="3468,1620">
            <v:shape style="position:absolute;left:836;top:288;width:3348;height:1620" type="#_x0000_t75" stroked="false">
              <v:imagedata r:id="rId118" o:title=""/>
            </v:shape>
            <v:shape style="position:absolute;left:3025;top:894;width:483;height:133" type="#_x0000_t202" filled="false" stroked="false">
              <v:textbox inset="0,0,0,0">
                <w:txbxContent>
                  <w:p>
                    <w:pPr>
                      <w:spacing w:line="133" w:lineRule="exact" w:before="0"/>
                      <w:ind w:left="0" w:right="0" w:firstLine="0"/>
                      <w:jc w:val="left"/>
                      <w:rPr>
                        <w:sz w:val="12"/>
                      </w:rPr>
                    </w:pPr>
                    <w:r>
                      <w:rPr>
                        <w:sz w:val="12"/>
                      </w:rPr>
                      <w:t>Euro area</w:t>
                    </w:r>
                  </w:p>
                </w:txbxContent>
              </v:textbox>
              <w10:wrap type="none"/>
            </v:shape>
            <v:shape style="position:absolute;left:2185;top:1260;width:830;height:134" type="#_x0000_t202" filled="false" stroked="false">
              <v:textbox inset="0,0,0,0">
                <w:txbxContent>
                  <w:p>
                    <w:pPr>
                      <w:spacing w:line="133" w:lineRule="exact" w:before="0"/>
                      <w:ind w:left="0" w:right="0" w:firstLine="0"/>
                      <w:jc w:val="left"/>
                      <w:rPr>
                        <w:sz w:val="12"/>
                      </w:rPr>
                    </w:pPr>
                    <w:r>
                      <w:rPr>
                        <w:sz w:val="12"/>
                      </w:rPr>
                      <w:t>United Kingdom</w:t>
                    </w:r>
                  </w:p>
                </w:txbxContent>
              </v:textbox>
              <w10:wrap type="none"/>
            </v:shape>
            <v:shape style="position:absolute;left:996;top:1434;width:3308;height:178" type="#_x0000_t202" filled="false" stroked="false">
              <v:textbox inset="0,0,0,0">
                <w:txbxContent>
                  <w:p>
                    <w:pPr>
                      <w:tabs>
                        <w:tab w:pos="3034" w:val="left" w:leader="none"/>
                      </w:tabs>
                      <w:spacing w:line="178" w:lineRule="exact" w:before="0"/>
                      <w:ind w:left="0" w:right="0" w:firstLine="0"/>
                      <w:jc w:val="left"/>
                      <w:rPr>
                        <w:sz w:val="16"/>
                      </w:rPr>
                    </w:pPr>
                    <w:r>
                      <w:rPr>
                        <w:sz w:val="16"/>
                        <w:u w:val="single" w:color="231F20"/>
                      </w:rPr>
                      <w:t> </w:t>
                      <w:tab/>
                    </w:r>
                    <w:r>
                      <w:rPr>
                        <w:sz w:val="16"/>
                      </w:rPr>
                      <w:t> </w:t>
                    </w:r>
                    <w:r>
                      <w:rPr>
                        <w:spacing w:val="-15"/>
                        <w:sz w:val="16"/>
                      </w:rPr>
                      <w:t> </w:t>
                    </w:r>
                    <w:r>
                      <w:rPr>
                        <w:sz w:val="16"/>
                        <w:u w:val="single"/>
                      </w:rPr>
                      <w:t> </w:t>
                    </w:r>
                    <w:r>
                      <w:rPr>
                        <w:spacing w:val="6"/>
                        <w:sz w:val="16"/>
                        <w:u w:val="single"/>
                      </w:rPr>
                      <w:t> </w:t>
                    </w:r>
                    <w:r>
                      <w:rPr>
                        <w:sz w:val="16"/>
                      </w:rPr>
                      <w:t>+</w:t>
                    </w:r>
                  </w:p>
                </w:txbxContent>
              </v:textbox>
              <w10:wrap type="none"/>
            </v:shape>
            <v:shape style="position:absolute;left:4193;top:1549;width:101;height:178" type="#_x0000_t202" filled="false" stroked="false">
              <v:textbox inset="0,0,0,0">
                <w:txbxContent>
                  <w:p>
                    <w:pPr>
                      <w:spacing w:line="177" w:lineRule="exact" w:before="0"/>
                      <w:ind w:left="0" w:right="0" w:firstLine="0"/>
                      <w:jc w:val="left"/>
                      <w:rPr>
                        <w:sz w:val="16"/>
                      </w:rPr>
                    </w:pPr>
                    <w:r>
                      <w:rPr>
                        <w:sz w:val="16"/>
                      </w:rPr>
                      <w:t>_</w:t>
                    </w:r>
                  </w:p>
                </w:txbxContent>
              </v:textbox>
              <w10:wrap type="none"/>
            </v:shape>
            <w10:wrap type="none"/>
          </v:group>
        </w:pict>
      </w:r>
      <w:r>
        <w:rPr/>
        <w:drawing>
          <wp:anchor distT="0" distB="0" distL="0" distR="0" allowOverlap="1" layoutInCell="1" locked="0" behindDoc="0" simplePos="0" relativeHeight="16027136">
            <wp:simplePos x="0" y="0"/>
            <wp:positionH relativeFrom="page">
              <wp:posOffset>531139</wp:posOffset>
            </wp:positionH>
            <wp:positionV relativeFrom="paragraph">
              <wp:posOffset>94694</wp:posOffset>
            </wp:positionV>
            <wp:extent cx="55029" cy="6350"/>
            <wp:effectExtent l="0" t="0" r="0" b="0"/>
            <wp:wrapNone/>
            <wp:docPr id="185" name="image20.png"/>
            <wp:cNvGraphicFramePr>
              <a:graphicFrameLocks noChangeAspect="1"/>
            </wp:cNvGraphicFramePr>
            <a:graphic>
              <a:graphicData uri="http://schemas.openxmlformats.org/drawingml/2006/picture">
                <pic:pic>
                  <pic:nvPicPr>
                    <pic:cNvPr id="186" name="image20.png"/>
                    <pic:cNvPicPr/>
                  </pic:nvPicPr>
                  <pic:blipFill>
                    <a:blip r:embed="rId47" cstate="print"/>
                    <a:stretch>
                      <a:fillRect/>
                    </a:stretch>
                  </pic:blipFill>
                  <pic:spPr>
                    <a:xfrm>
                      <a:off x="0" y="0"/>
                      <a:ext cx="55029" cy="6350"/>
                    </a:xfrm>
                    <a:prstGeom prst="rect">
                      <a:avLst/>
                    </a:prstGeom>
                  </pic:spPr>
                </pic:pic>
              </a:graphicData>
            </a:graphic>
          </wp:anchor>
        </w:drawing>
      </w:r>
      <w:r>
        <w:rPr>
          <w:sz w:val="12"/>
        </w:rPr>
        <w:t>on a year earli</w:t>
      </w:r>
      <w:r>
        <w:rPr>
          <w:sz w:val="12"/>
          <w:u w:val="single"/>
        </w:rPr>
        <w:t>er</w:t>
      </w:r>
      <w:r>
        <w:rPr>
          <w:sz w:val="12"/>
        </w:rPr>
        <w:t> </w:t>
      </w:r>
      <w:r>
        <w:rPr>
          <w:spacing w:val="24"/>
          <w:sz w:val="12"/>
        </w:rPr>
        <w:t> </w:t>
      </w:r>
      <w:r>
        <w:rPr>
          <w:position w:val="-7"/>
          <w:sz w:val="12"/>
        </w:rPr>
        <w:t>4.0</w:t>
      </w:r>
    </w:p>
    <w:p>
      <w:pPr>
        <w:spacing w:before="157"/>
        <w:ind w:left="0" w:right="38" w:firstLine="0"/>
        <w:jc w:val="right"/>
        <w:rPr>
          <w:sz w:val="12"/>
        </w:rPr>
      </w:pPr>
      <w:r>
        <w:rPr>
          <w:sz w:val="12"/>
        </w:rPr>
        <w:t>3.2</w:t>
      </w:r>
    </w:p>
    <w:p>
      <w:pPr>
        <w:pStyle w:val="BodyText"/>
        <w:spacing w:before="6"/>
        <w:rPr>
          <w:sz w:val="13"/>
        </w:rPr>
      </w:pPr>
    </w:p>
    <w:p>
      <w:pPr>
        <w:spacing w:before="0"/>
        <w:ind w:left="0" w:right="38" w:firstLine="0"/>
        <w:jc w:val="right"/>
        <w:rPr>
          <w:sz w:val="12"/>
        </w:rPr>
      </w:pPr>
      <w:r>
        <w:rPr>
          <w:sz w:val="12"/>
        </w:rPr>
        <w:t>2.4</w:t>
      </w:r>
    </w:p>
    <w:p>
      <w:pPr>
        <w:pStyle w:val="BodyText"/>
        <w:spacing w:before="6"/>
        <w:rPr>
          <w:sz w:val="13"/>
        </w:rPr>
      </w:pPr>
    </w:p>
    <w:p>
      <w:pPr>
        <w:spacing w:before="0"/>
        <w:ind w:left="0" w:right="38" w:firstLine="0"/>
        <w:jc w:val="right"/>
        <w:rPr>
          <w:sz w:val="12"/>
        </w:rPr>
      </w:pPr>
      <w:r>
        <w:rPr>
          <w:sz w:val="12"/>
        </w:rPr>
        <w:t>1.6</w:t>
      </w:r>
    </w:p>
    <w:p>
      <w:pPr>
        <w:pStyle w:val="BodyText"/>
        <w:spacing w:before="6"/>
        <w:rPr>
          <w:sz w:val="13"/>
        </w:rPr>
      </w:pPr>
    </w:p>
    <w:p>
      <w:pPr>
        <w:spacing w:before="0"/>
        <w:ind w:left="0" w:right="38" w:firstLine="0"/>
        <w:jc w:val="right"/>
        <w:rPr>
          <w:sz w:val="12"/>
        </w:rPr>
      </w:pPr>
      <w:r>
        <w:rPr>
          <w:sz w:val="12"/>
        </w:rPr>
        <w:t>0.8</w:t>
      </w:r>
    </w:p>
    <w:p>
      <w:pPr>
        <w:pStyle w:val="BodyText"/>
        <w:spacing w:before="6"/>
        <w:rPr>
          <w:sz w:val="13"/>
        </w:rPr>
      </w:pPr>
    </w:p>
    <w:p>
      <w:pPr>
        <w:spacing w:before="0"/>
        <w:ind w:left="0" w:right="38" w:firstLine="0"/>
        <w:jc w:val="right"/>
        <w:rPr>
          <w:sz w:val="12"/>
        </w:rPr>
      </w:pPr>
      <w:r>
        <w:rPr>
          <w:sz w:val="12"/>
        </w:rPr>
        <w:t>0.0</w:t>
      </w:r>
    </w:p>
    <w:p>
      <w:pPr>
        <w:pStyle w:val="BodyText"/>
        <w:spacing w:before="8"/>
        <w:rPr>
          <w:sz w:val="12"/>
        </w:rPr>
      </w:pPr>
    </w:p>
    <w:p>
      <w:pPr>
        <w:spacing w:line="119" w:lineRule="exact" w:before="0"/>
        <w:ind w:left="3628" w:right="0" w:firstLine="0"/>
        <w:jc w:val="left"/>
        <w:rPr>
          <w:sz w:val="12"/>
        </w:rPr>
      </w:pPr>
      <w:r>
        <w:rPr>
          <w:color w:val="231F20"/>
          <w:sz w:val="12"/>
        </w:rPr>
        <w:t>0.8</w:t>
      </w:r>
    </w:p>
    <w:p>
      <w:pPr>
        <w:tabs>
          <w:tab w:pos="1048" w:val="left" w:leader="none"/>
          <w:tab w:pos="1501" w:val="left" w:leader="none"/>
          <w:tab w:pos="2037" w:val="left" w:leader="none"/>
          <w:tab w:pos="2497" w:val="left" w:leader="none"/>
          <w:tab w:pos="2983" w:val="left" w:leader="none"/>
          <w:tab w:pos="3310" w:val="left" w:leader="none"/>
        </w:tabs>
        <w:spacing w:line="119" w:lineRule="exact" w:before="0"/>
        <w:ind w:left="483" w:right="0" w:firstLine="0"/>
        <w:jc w:val="left"/>
        <w:rPr>
          <w:sz w:val="12"/>
        </w:rPr>
      </w:pPr>
      <w:r>
        <w:rPr>
          <w:sz w:val="12"/>
        </w:rPr>
        <w:t>1993</w:t>
        <w:tab/>
        <w:t>94</w:t>
        <w:tab/>
        <w:t>95</w:t>
        <w:tab/>
        <w:t>96</w:t>
        <w:tab/>
        <w:t>97</w:t>
        <w:tab/>
        <w:t>98</w:t>
        <w:tab/>
        <w:t>99</w:t>
      </w:r>
    </w:p>
    <w:p>
      <w:pPr>
        <w:pStyle w:val="BodyText"/>
        <w:spacing w:before="3"/>
        <w:rPr>
          <w:sz w:val="10"/>
        </w:rPr>
      </w:pPr>
    </w:p>
    <w:p>
      <w:pPr>
        <w:spacing w:line="208" w:lineRule="auto" w:before="1"/>
        <w:ind w:left="445" w:right="339" w:hanging="240"/>
        <w:jc w:val="left"/>
        <w:rPr>
          <w:sz w:val="12"/>
        </w:rPr>
      </w:pPr>
      <w:r>
        <w:rPr>
          <w:sz w:val="12"/>
        </w:rPr>
        <w:t>(a) HICP inflation rates prior to 1997 are estimated and are </w:t>
      </w:r>
      <w:r>
        <w:rPr>
          <w:spacing w:val="-3"/>
          <w:sz w:val="12"/>
        </w:rPr>
        <w:t>subject </w:t>
      </w:r>
      <w:r>
        <w:rPr>
          <w:sz w:val="12"/>
        </w:rPr>
        <w:t>to revision.</w:t>
      </w:r>
    </w:p>
    <w:p>
      <w:pPr>
        <w:pStyle w:val="BodyText"/>
        <w:rPr>
          <w:sz w:val="12"/>
        </w:rPr>
      </w:pPr>
    </w:p>
    <w:p>
      <w:pPr>
        <w:pStyle w:val="BodyText"/>
        <w:rPr>
          <w:sz w:val="12"/>
        </w:rPr>
      </w:pPr>
    </w:p>
    <w:p>
      <w:pPr>
        <w:pStyle w:val="BodyText"/>
        <w:rPr>
          <w:sz w:val="12"/>
        </w:rPr>
      </w:pPr>
    </w:p>
    <w:p>
      <w:pPr>
        <w:pStyle w:val="BodyText"/>
        <w:spacing w:before="5"/>
        <w:rPr>
          <w:sz w:val="12"/>
        </w:rPr>
      </w:pPr>
    </w:p>
    <w:p>
      <w:pPr>
        <w:pStyle w:val="Heading4"/>
        <w:spacing w:before="1"/>
      </w:pPr>
      <w:r>
        <w:rPr>
          <w:color w:val="0093C1"/>
        </w:rPr>
        <w:t>Chart 4.9</w:t>
      </w:r>
    </w:p>
    <w:p>
      <w:pPr>
        <w:pStyle w:val="Heading4"/>
      </w:pPr>
      <w:r>
        <w:rPr>
          <w:color w:val="0093C1"/>
        </w:rPr>
        <w:t>Measures of core inflation</w:t>
      </w:r>
    </w:p>
    <w:p>
      <w:pPr>
        <w:spacing w:line="96" w:lineRule="exact" w:before="76"/>
        <w:ind w:left="1687" w:right="0" w:firstLine="0"/>
        <w:jc w:val="left"/>
        <w:rPr>
          <w:sz w:val="12"/>
        </w:rPr>
      </w:pPr>
      <w:r>
        <w:rPr/>
        <w:drawing>
          <wp:anchor distT="0" distB="0" distL="0" distR="0" allowOverlap="1" layoutInCell="1" locked="0" behindDoc="0" simplePos="0" relativeHeight="16023040">
            <wp:simplePos x="0" y="0"/>
            <wp:positionH relativeFrom="page">
              <wp:posOffset>2533878</wp:posOffset>
            </wp:positionH>
            <wp:positionV relativeFrom="paragraph">
              <wp:posOffset>147922</wp:posOffset>
            </wp:positionV>
            <wp:extent cx="55029" cy="6350"/>
            <wp:effectExtent l="0" t="0" r="0" b="0"/>
            <wp:wrapNone/>
            <wp:docPr id="187" name="image47.png"/>
            <wp:cNvGraphicFramePr>
              <a:graphicFrameLocks noChangeAspect="1"/>
            </wp:cNvGraphicFramePr>
            <a:graphic>
              <a:graphicData uri="http://schemas.openxmlformats.org/drawingml/2006/picture">
                <pic:pic>
                  <pic:nvPicPr>
                    <pic:cNvPr id="188" name="image47.png"/>
                    <pic:cNvPicPr/>
                  </pic:nvPicPr>
                  <pic:blipFill>
                    <a:blip r:embed="rId113" cstate="print"/>
                    <a:stretch>
                      <a:fillRect/>
                    </a:stretch>
                  </pic:blipFill>
                  <pic:spPr>
                    <a:xfrm>
                      <a:off x="0" y="0"/>
                      <a:ext cx="55029" cy="6350"/>
                    </a:xfrm>
                    <a:prstGeom prst="rect">
                      <a:avLst/>
                    </a:prstGeom>
                  </pic:spPr>
                </pic:pic>
              </a:graphicData>
            </a:graphic>
          </wp:anchor>
        </w:drawing>
      </w:r>
      <w:r>
        <w:rPr>
          <w:sz w:val="12"/>
        </w:rPr>
        <w:t>Percentage changes on a year earlier</w:t>
      </w:r>
    </w:p>
    <w:p>
      <w:pPr>
        <w:spacing w:line="242" w:lineRule="auto" w:before="0"/>
        <w:ind w:left="170" w:right="748" w:firstLine="0"/>
        <w:jc w:val="left"/>
        <w:rPr>
          <w:sz w:val="24"/>
        </w:rPr>
      </w:pPr>
      <w:r>
        <w:rPr/>
        <w:br w:type="column"/>
      </w:r>
      <w:r>
        <w:rPr>
          <w:sz w:val="24"/>
        </w:rPr>
        <w:t>in seasonal food price inflation, and changes in the timing of duties. Inflation on these measures fell slightly in early 1999.</w:t>
      </w:r>
    </w:p>
    <w:p>
      <w:pPr>
        <w:pStyle w:val="BodyText"/>
        <w:rPr>
          <w:sz w:val="24"/>
        </w:rPr>
      </w:pPr>
    </w:p>
    <w:p>
      <w:pPr>
        <w:spacing w:line="242" w:lineRule="auto" w:before="0"/>
        <w:ind w:left="170" w:right="415" w:firstLine="0"/>
        <w:jc w:val="left"/>
        <w:rPr>
          <w:sz w:val="24"/>
        </w:rPr>
      </w:pPr>
      <w:r>
        <w:rPr>
          <w:sz w:val="24"/>
        </w:rPr>
        <w:t>Inflation measured by the consumers’ expenditure deflator rose to 2.3% in 1998 Q4 from 2.0% in Q3. That led to a pick-up in the annual inflation rate of the GDP deflator at market prices, which measures</w:t>
      </w:r>
    </w:p>
    <w:p>
      <w:pPr>
        <w:spacing w:line="242" w:lineRule="auto" w:before="5"/>
        <w:ind w:left="170" w:right="189" w:firstLine="0"/>
        <w:jc w:val="left"/>
        <w:rPr>
          <w:sz w:val="24"/>
        </w:rPr>
      </w:pPr>
      <w:r>
        <w:rPr>
          <w:sz w:val="24"/>
        </w:rPr>
        <w:t>whole-economy inflation. It rose to 2.6% in 1998 Q4 from 2.2% in Q3.</w:t>
      </w:r>
    </w:p>
    <w:p>
      <w:pPr>
        <w:pStyle w:val="BodyText"/>
        <w:spacing w:before="3"/>
        <w:rPr>
          <w:sz w:val="28"/>
        </w:rPr>
      </w:pPr>
    </w:p>
    <w:p>
      <w:pPr>
        <w:pStyle w:val="ListParagraph"/>
        <w:numPr>
          <w:ilvl w:val="1"/>
          <w:numId w:val="24"/>
        </w:numPr>
        <w:tabs>
          <w:tab w:pos="4268" w:val="left" w:leader="none"/>
          <w:tab w:pos="4269" w:val="left" w:leader="none"/>
        </w:tabs>
        <w:spacing w:line="240" w:lineRule="auto" w:before="0" w:after="0"/>
        <w:ind w:left="4268" w:right="0" w:hanging="4099"/>
        <w:jc w:val="left"/>
        <w:rPr>
          <w:b/>
          <w:sz w:val="28"/>
        </w:rPr>
      </w:pPr>
      <w:r>
        <w:rPr>
          <w:b/>
          <w:color w:val="009483"/>
          <w:sz w:val="28"/>
          <w:u w:val="thick" w:color="0093C1"/>
        </w:rPr>
        <w:t>Summary</w:t>
      </w:r>
      <w:r>
        <w:rPr>
          <w:b/>
          <w:color w:val="009483"/>
          <w:spacing w:val="-11"/>
          <w:sz w:val="28"/>
          <w:u w:val="thick" w:color="0093C1"/>
        </w:rPr>
        <w:t> </w:t>
      </w:r>
    </w:p>
    <w:p>
      <w:pPr>
        <w:spacing w:after="0" w:line="240" w:lineRule="auto"/>
        <w:jc w:val="left"/>
        <w:rPr>
          <w:sz w:val="28"/>
        </w:rPr>
        <w:sectPr>
          <w:type w:val="continuous"/>
          <w:pgSz w:w="11900" w:h="16840"/>
          <w:pgMar w:top="1220" w:bottom="280" w:left="640" w:right="640"/>
          <w:cols w:num="2" w:equalWidth="0">
            <w:col w:w="3819" w:space="991"/>
            <w:col w:w="5810"/>
          </w:cols>
        </w:sectPr>
      </w:pPr>
    </w:p>
    <w:p>
      <w:pPr>
        <w:pStyle w:val="BodyText"/>
        <w:spacing w:before="2"/>
        <w:rPr>
          <w:b/>
          <w:sz w:val="5"/>
        </w:rPr>
      </w:pPr>
    </w:p>
    <w:p>
      <w:pPr>
        <w:pStyle w:val="BodyText"/>
        <w:spacing w:line="20" w:lineRule="exact"/>
        <w:ind w:left="147"/>
        <w:rPr>
          <w:sz w:val="2"/>
        </w:rPr>
      </w:pPr>
      <w:r>
        <w:rPr>
          <w:sz w:val="2"/>
        </w:rPr>
        <w:drawing>
          <wp:inline distT="0" distB="0" distL="0" distR="0">
            <wp:extent cx="55304" cy="6381"/>
            <wp:effectExtent l="0" t="0" r="0" b="0"/>
            <wp:docPr id="189" name="image48.png"/>
            <wp:cNvGraphicFramePr>
              <a:graphicFrameLocks noChangeAspect="1"/>
            </wp:cNvGraphicFramePr>
            <a:graphic>
              <a:graphicData uri="http://schemas.openxmlformats.org/drawingml/2006/picture">
                <pic:pic>
                  <pic:nvPicPr>
                    <pic:cNvPr id="190" name="image48.png"/>
                    <pic:cNvPicPr/>
                  </pic:nvPicPr>
                  <pic:blipFill>
                    <a:blip r:embed="rId114" cstate="print"/>
                    <a:stretch>
                      <a:fillRect/>
                    </a:stretch>
                  </pic:blipFill>
                  <pic:spPr>
                    <a:xfrm>
                      <a:off x="0" y="0"/>
                      <a:ext cx="55304" cy="6381"/>
                    </a:xfrm>
                    <a:prstGeom prst="rect">
                      <a:avLst/>
                    </a:prstGeom>
                  </pic:spPr>
                </pic:pic>
              </a:graphicData>
            </a:graphic>
          </wp:inline>
        </w:drawing>
      </w:r>
      <w:r>
        <w:rPr>
          <w:sz w:val="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5"/>
        <w:ind w:left="228" w:right="0" w:firstLine="0"/>
        <w:jc w:val="left"/>
        <w:rPr>
          <w:sz w:val="12"/>
        </w:rPr>
      </w:pPr>
      <w:r>
        <w:rPr>
          <w:sz w:val="12"/>
        </w:rPr>
        <w:t>1985</w:t>
      </w:r>
    </w:p>
    <w:p>
      <w:pPr>
        <w:spacing w:line="133" w:lineRule="exact" w:before="0"/>
        <w:ind w:left="2854" w:right="0" w:firstLine="0"/>
        <w:jc w:val="left"/>
        <w:rPr>
          <w:sz w:val="12"/>
        </w:rPr>
      </w:pPr>
      <w:r>
        <w:rPr/>
        <w:br w:type="column"/>
      </w:r>
      <w:r>
        <w:rPr>
          <w:sz w:val="12"/>
        </w:rPr>
        <w:t>10</w:t>
      </w:r>
    </w:p>
    <w:p>
      <w:pPr>
        <w:pStyle w:val="BodyText"/>
        <w:rPr>
          <w:sz w:val="14"/>
        </w:rPr>
      </w:pPr>
    </w:p>
    <w:p>
      <w:pPr>
        <w:spacing w:before="0"/>
        <w:ind w:left="0" w:right="38" w:firstLine="0"/>
        <w:jc w:val="right"/>
        <w:rPr>
          <w:sz w:val="12"/>
        </w:rPr>
      </w:pPr>
      <w:r>
        <w:rPr/>
        <w:pict>
          <v:group style="position:absolute;margin-left:39.393002pt;margin-top:-7.142688pt;width:164.5pt;height:131.65pt;mso-position-horizontal-relative:page;mso-position-vertical-relative:paragraph;z-index:-21112320" coordorigin="788,-143" coordsize="3290,2633">
            <v:shape style="position:absolute;left:787;top:-83;width:3290;height:2573" type="#_x0000_t75" stroked="false">
              <v:imagedata r:id="rId119" o:title=""/>
            </v:shape>
            <v:shape style="position:absolute;left:2188;top:-143;width:294;height:133" type="#_x0000_t202" filled="false" stroked="false">
              <v:textbox inset="0,0,0,0">
                <w:txbxContent>
                  <w:p>
                    <w:pPr>
                      <w:spacing w:line="133" w:lineRule="exact" w:before="0"/>
                      <w:ind w:left="0" w:right="0" w:firstLine="0"/>
                      <w:jc w:val="left"/>
                      <w:rPr>
                        <w:sz w:val="12"/>
                      </w:rPr>
                    </w:pPr>
                    <w:r>
                      <w:rPr>
                        <w:sz w:val="12"/>
                      </w:rPr>
                      <w:t>RPIX</w:t>
                    </w:r>
                  </w:p>
                </w:txbxContent>
              </v:textbox>
              <w10:wrap type="none"/>
            </v:shape>
            <v:shape style="position:absolute;left:2467;top:792;width:757;height:134" type="#_x0000_t202" filled="false" stroked="false">
              <v:textbox inset="0,0,0,0">
                <w:txbxContent>
                  <w:p>
                    <w:pPr>
                      <w:spacing w:line="133" w:lineRule="exact" w:before="0"/>
                      <w:ind w:left="0" w:right="0" w:firstLine="0"/>
                      <w:jc w:val="left"/>
                      <w:rPr>
                        <w:sz w:val="12"/>
                      </w:rPr>
                    </w:pPr>
                    <w:r>
                      <w:rPr>
                        <w:sz w:val="12"/>
                      </w:rPr>
                      <w:t>Trimmed mean</w:t>
                    </w:r>
                  </w:p>
                </w:txbxContent>
              </v:textbox>
              <w10:wrap type="none"/>
            </v:shape>
            <w10:wrap type="none"/>
          </v:group>
        </w:pict>
      </w:r>
      <w:r>
        <w:rPr>
          <w:sz w:val="12"/>
        </w:rPr>
        <w:t>9</w:t>
      </w:r>
    </w:p>
    <w:p>
      <w:pPr>
        <w:pStyle w:val="BodyText"/>
        <w:spacing w:before="1"/>
        <w:rPr>
          <w:sz w:val="14"/>
        </w:rPr>
      </w:pPr>
    </w:p>
    <w:p>
      <w:pPr>
        <w:spacing w:before="0"/>
        <w:ind w:left="0" w:right="38" w:firstLine="0"/>
        <w:jc w:val="right"/>
        <w:rPr>
          <w:sz w:val="12"/>
        </w:rPr>
      </w:pPr>
      <w:r>
        <w:rPr>
          <w:sz w:val="12"/>
        </w:rPr>
        <w:t>8</w:t>
      </w:r>
    </w:p>
    <w:p>
      <w:pPr>
        <w:pStyle w:val="BodyText"/>
        <w:rPr>
          <w:sz w:val="14"/>
        </w:rPr>
      </w:pPr>
    </w:p>
    <w:p>
      <w:pPr>
        <w:spacing w:before="0"/>
        <w:ind w:left="0" w:right="38" w:firstLine="0"/>
        <w:jc w:val="right"/>
        <w:rPr>
          <w:sz w:val="12"/>
        </w:rPr>
      </w:pPr>
      <w:r>
        <w:rPr>
          <w:sz w:val="12"/>
        </w:rPr>
        <w:t>7</w:t>
      </w:r>
    </w:p>
    <w:p>
      <w:pPr>
        <w:pStyle w:val="BodyText"/>
        <w:spacing w:before="1"/>
        <w:rPr>
          <w:sz w:val="14"/>
        </w:rPr>
      </w:pPr>
    </w:p>
    <w:p>
      <w:pPr>
        <w:spacing w:before="0"/>
        <w:ind w:left="0" w:right="38" w:firstLine="0"/>
        <w:jc w:val="right"/>
        <w:rPr>
          <w:sz w:val="12"/>
        </w:rPr>
      </w:pPr>
      <w:r>
        <w:rPr>
          <w:sz w:val="12"/>
        </w:rPr>
        <w:t>6</w:t>
      </w:r>
    </w:p>
    <w:p>
      <w:pPr>
        <w:pStyle w:val="BodyText"/>
        <w:rPr>
          <w:sz w:val="14"/>
        </w:rPr>
      </w:pPr>
    </w:p>
    <w:p>
      <w:pPr>
        <w:spacing w:before="0"/>
        <w:ind w:left="0" w:right="38" w:firstLine="0"/>
        <w:jc w:val="right"/>
        <w:rPr>
          <w:sz w:val="12"/>
        </w:rPr>
      </w:pPr>
      <w:r>
        <w:rPr>
          <w:sz w:val="12"/>
        </w:rPr>
        <w:t>5</w:t>
      </w:r>
    </w:p>
    <w:p>
      <w:pPr>
        <w:pStyle w:val="BodyText"/>
        <w:spacing w:before="1"/>
        <w:rPr>
          <w:sz w:val="14"/>
        </w:rPr>
      </w:pPr>
    </w:p>
    <w:p>
      <w:pPr>
        <w:spacing w:before="0"/>
        <w:ind w:left="0" w:right="38" w:firstLine="0"/>
        <w:jc w:val="right"/>
        <w:rPr>
          <w:sz w:val="12"/>
        </w:rPr>
      </w:pPr>
      <w:r>
        <w:rPr>
          <w:sz w:val="12"/>
        </w:rPr>
        <w:t>4</w:t>
      </w:r>
    </w:p>
    <w:p>
      <w:pPr>
        <w:pStyle w:val="BodyText"/>
        <w:rPr>
          <w:sz w:val="14"/>
        </w:rPr>
      </w:pPr>
    </w:p>
    <w:p>
      <w:pPr>
        <w:spacing w:before="0"/>
        <w:ind w:left="0" w:right="38" w:firstLine="0"/>
        <w:jc w:val="right"/>
        <w:rPr>
          <w:sz w:val="12"/>
        </w:rPr>
      </w:pPr>
      <w:r>
        <w:rPr>
          <w:sz w:val="12"/>
        </w:rPr>
        <w:t>3</w:t>
      </w:r>
    </w:p>
    <w:p>
      <w:pPr>
        <w:pStyle w:val="BodyText"/>
        <w:spacing w:before="1"/>
        <w:rPr>
          <w:sz w:val="14"/>
        </w:rPr>
      </w:pPr>
    </w:p>
    <w:p>
      <w:pPr>
        <w:spacing w:before="0"/>
        <w:ind w:left="0" w:right="38" w:firstLine="0"/>
        <w:jc w:val="right"/>
        <w:rPr>
          <w:sz w:val="12"/>
        </w:rPr>
      </w:pPr>
      <w:r>
        <w:rPr>
          <w:sz w:val="12"/>
        </w:rPr>
        <w:t>2</w:t>
      </w:r>
    </w:p>
    <w:p>
      <w:pPr>
        <w:tabs>
          <w:tab w:pos="2974" w:val="right" w:leader="none"/>
        </w:tabs>
        <w:spacing w:before="165"/>
        <w:ind w:left="1330" w:right="0" w:firstLine="0"/>
        <w:jc w:val="left"/>
        <w:rPr>
          <w:sz w:val="12"/>
        </w:rPr>
      </w:pPr>
      <w:r>
        <w:rPr>
          <w:sz w:val="12"/>
        </w:rPr>
        <w:t>Median</w:t>
        <w:tab/>
      </w:r>
      <w:r>
        <w:rPr>
          <w:position w:val="2"/>
          <w:sz w:val="12"/>
        </w:rPr>
        <w:t>1</w:t>
      </w:r>
    </w:p>
    <w:p>
      <w:pPr>
        <w:spacing w:line="115" w:lineRule="exact" w:before="138"/>
        <w:ind w:left="2914" w:right="0" w:firstLine="0"/>
        <w:jc w:val="left"/>
        <w:rPr>
          <w:sz w:val="12"/>
        </w:rPr>
      </w:pPr>
      <w:r>
        <w:rPr/>
        <w:drawing>
          <wp:anchor distT="0" distB="0" distL="0" distR="0" allowOverlap="1" layoutInCell="1" locked="0" behindDoc="0" simplePos="0" relativeHeight="16022528">
            <wp:simplePos x="0" y="0"/>
            <wp:positionH relativeFrom="page">
              <wp:posOffset>500291</wp:posOffset>
            </wp:positionH>
            <wp:positionV relativeFrom="paragraph">
              <wp:posOffset>86811</wp:posOffset>
            </wp:positionV>
            <wp:extent cx="2088616" cy="44043"/>
            <wp:effectExtent l="0" t="0" r="0" b="0"/>
            <wp:wrapNone/>
            <wp:docPr id="191" name="image54.png"/>
            <wp:cNvGraphicFramePr>
              <a:graphicFrameLocks noChangeAspect="1"/>
            </wp:cNvGraphicFramePr>
            <a:graphic>
              <a:graphicData uri="http://schemas.openxmlformats.org/drawingml/2006/picture">
                <pic:pic>
                  <pic:nvPicPr>
                    <pic:cNvPr id="192" name="image54.png"/>
                    <pic:cNvPicPr/>
                  </pic:nvPicPr>
                  <pic:blipFill>
                    <a:blip r:embed="rId120" cstate="print"/>
                    <a:stretch>
                      <a:fillRect/>
                    </a:stretch>
                  </pic:blipFill>
                  <pic:spPr>
                    <a:xfrm>
                      <a:off x="0" y="0"/>
                      <a:ext cx="2088616" cy="44043"/>
                    </a:xfrm>
                    <a:prstGeom prst="rect">
                      <a:avLst/>
                    </a:prstGeom>
                  </pic:spPr>
                </pic:pic>
              </a:graphicData>
            </a:graphic>
          </wp:anchor>
        </w:drawing>
      </w:r>
      <w:r>
        <w:rPr>
          <w:sz w:val="12"/>
        </w:rPr>
        <w:t>0</w:t>
      </w:r>
    </w:p>
    <w:p>
      <w:pPr>
        <w:tabs>
          <w:tab w:pos="567" w:val="left" w:leader="none"/>
          <w:tab w:pos="987" w:val="left" w:leader="none"/>
          <w:tab w:pos="1407" w:val="left" w:leader="none"/>
          <w:tab w:pos="1827" w:val="left" w:leader="none"/>
          <w:tab w:pos="2247" w:val="left" w:leader="none"/>
          <w:tab w:pos="2617" w:val="left" w:leader="none"/>
        </w:tabs>
        <w:spacing w:line="115" w:lineRule="exact" w:before="0"/>
        <w:ind w:left="147" w:right="0" w:firstLine="0"/>
        <w:jc w:val="left"/>
        <w:rPr>
          <w:sz w:val="12"/>
        </w:rPr>
      </w:pPr>
      <w:r>
        <w:rPr>
          <w:sz w:val="12"/>
        </w:rPr>
        <w:t>87</w:t>
        <w:tab/>
        <w:t>89</w:t>
        <w:tab/>
        <w:t>91</w:t>
        <w:tab/>
        <w:t>93</w:t>
        <w:tab/>
        <w:t>95</w:t>
        <w:tab/>
        <w:t>97</w:t>
        <w:tab/>
        <w:t>99</w:t>
      </w:r>
    </w:p>
    <w:p>
      <w:pPr>
        <w:spacing w:line="242" w:lineRule="auto" w:before="88"/>
        <w:ind w:left="147" w:right="174" w:firstLine="0"/>
        <w:jc w:val="left"/>
        <w:rPr>
          <w:sz w:val="24"/>
        </w:rPr>
      </w:pPr>
      <w:r>
        <w:rPr/>
        <w:br w:type="column"/>
      </w:r>
      <w:r>
        <w:rPr>
          <w:sz w:val="24"/>
        </w:rPr>
        <w:t>RPIX inflation has remained stable and close to target since July 1998. Oil prices </w:t>
      </w:r>
      <w:r>
        <w:rPr>
          <w:spacing w:val="-3"/>
          <w:sz w:val="24"/>
        </w:rPr>
        <w:t>have </w:t>
      </w:r>
      <w:r>
        <w:rPr>
          <w:sz w:val="24"/>
        </w:rPr>
        <w:t>risen since the </w:t>
      </w:r>
      <w:r>
        <w:rPr>
          <w:spacing w:val="-3"/>
          <w:sz w:val="24"/>
        </w:rPr>
        <w:t>February </w:t>
      </w:r>
      <w:r>
        <w:rPr>
          <w:i/>
          <w:sz w:val="24"/>
        </w:rPr>
        <w:t>Report</w:t>
      </w:r>
      <w:r>
        <w:rPr>
          <w:sz w:val="24"/>
        </w:rPr>
        <w:t>, while the world prices of other commodities </w:t>
      </w:r>
      <w:r>
        <w:rPr>
          <w:spacing w:val="-3"/>
          <w:sz w:val="24"/>
        </w:rPr>
        <w:t>have </w:t>
      </w:r>
      <w:r>
        <w:rPr>
          <w:sz w:val="24"/>
        </w:rPr>
        <w:t>continued to fall and import prices </w:t>
      </w:r>
      <w:r>
        <w:rPr>
          <w:spacing w:val="-3"/>
          <w:sz w:val="24"/>
        </w:rPr>
        <w:t>have </w:t>
      </w:r>
      <w:r>
        <w:rPr>
          <w:sz w:val="24"/>
        </w:rPr>
        <w:t>declined further. UK manufacturing output prices were broadly flat in 1999 Q1. But in most major overseas economies they continued to fall. Combined with the higher exchange rate, that points to some renewed downward pressure on UK goods prices from abroad. Inflation in the service sector has persisted at annual rates of above 3%, though survey data </w:t>
      </w:r>
      <w:r>
        <w:rPr>
          <w:spacing w:val="-3"/>
          <w:sz w:val="24"/>
        </w:rPr>
        <w:t>have </w:t>
      </w:r>
      <w:r>
        <w:rPr>
          <w:sz w:val="24"/>
        </w:rPr>
        <w:t>continued to point to lower increases in costs. There are some tentative signs</w:t>
      </w:r>
      <w:r>
        <w:rPr>
          <w:spacing w:val="-7"/>
          <w:sz w:val="24"/>
        </w:rPr>
        <w:t> </w:t>
      </w:r>
      <w:r>
        <w:rPr>
          <w:sz w:val="24"/>
        </w:rPr>
        <w:t>that</w:t>
      </w:r>
    </w:p>
    <w:p>
      <w:pPr>
        <w:spacing w:after="0" w:line="242" w:lineRule="auto"/>
        <w:jc w:val="left"/>
        <w:rPr>
          <w:sz w:val="24"/>
        </w:rPr>
        <w:sectPr>
          <w:type w:val="continuous"/>
          <w:pgSz w:w="11900" w:h="16840"/>
          <w:pgMar w:top="1220" w:bottom="280" w:left="640" w:right="640"/>
          <w:cols w:num="3" w:equalWidth="0">
            <w:col w:w="509" w:space="106"/>
            <w:col w:w="3015" w:space="1202"/>
            <w:col w:w="5788"/>
          </w:cols>
        </w:sectPr>
      </w:pPr>
    </w:p>
    <w:p>
      <w:pPr>
        <w:pStyle w:val="BodyText"/>
        <w:rPr>
          <w:sz w:val="20"/>
        </w:rPr>
      </w:pPr>
    </w:p>
    <w:p>
      <w:pPr>
        <w:spacing w:line="242" w:lineRule="auto" w:before="227"/>
        <w:ind w:left="4980" w:right="221" w:firstLine="0"/>
        <w:jc w:val="left"/>
        <w:rPr>
          <w:sz w:val="24"/>
        </w:rPr>
      </w:pPr>
      <w:r>
        <w:rPr>
          <w:sz w:val="24"/>
        </w:rPr>
        <w:t>domestically generated inflation may be moderating. The recent appreciation of sterling may place renewed downward pressure on goods prices in the short run; thereafter, the gap between domestic and imported inflationary pressures is expected to narrow gradually.</w:t>
      </w:r>
    </w:p>
    <w:p>
      <w:pPr>
        <w:spacing w:after="0" w:line="242" w:lineRule="auto"/>
        <w:jc w:val="left"/>
        <w:rPr>
          <w:sz w:val="24"/>
        </w:rPr>
        <w:sectPr>
          <w:pgSz w:w="11900" w:h="16840"/>
          <w:pgMar w:header="586" w:footer="617" w:top="780" w:bottom="800" w:left="640" w:right="640"/>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231f20">
              <v:stroke dashstyle="solid"/>
            </v:line>
          </v:group>
        </w:pict>
      </w:r>
      <w:r>
        <w:rPr>
          <w:sz w:val="2"/>
        </w:rPr>
      </w:r>
    </w:p>
    <w:p>
      <w:pPr>
        <w:pStyle w:val="BodyText"/>
        <w:rPr>
          <w:sz w:val="20"/>
        </w:rPr>
      </w:pPr>
    </w:p>
    <w:p>
      <w:pPr>
        <w:pStyle w:val="BodyText"/>
        <w:spacing w:before="9"/>
      </w:pPr>
      <w:r>
        <w:rPr/>
        <w:pict>
          <v:shape style="position:absolute;margin-left:40.090pt;margin-top:12.000977pt;width:516pt;height:48pt;mso-position-horizontal-relative:page;mso-position-vertical-relative:paragraph;z-index:-15429120;mso-wrap-distance-left:0;mso-wrap-distance-right:0" type="#_x0000_t202" filled="true" fillcolor="#b5dad6" stroked="false">
            <v:textbox inset="0,0,0,0">
              <w:txbxContent>
                <w:p>
                  <w:pPr>
                    <w:tabs>
                      <w:tab w:pos="1315" w:val="left" w:leader="none"/>
                    </w:tabs>
                    <w:spacing w:before="40"/>
                    <w:ind w:left="260" w:right="0" w:firstLine="0"/>
                    <w:jc w:val="left"/>
                    <w:rPr>
                      <w:b/>
                      <w:i/>
                      <w:sz w:val="48"/>
                    </w:rPr>
                  </w:pPr>
                  <w:bookmarkStart w:name="Monetary policy since the February Repor" w:id="71"/>
                  <w:bookmarkEnd w:id="71"/>
                  <w:r>
                    <w:rPr/>
                  </w:r>
                  <w:bookmarkStart w:name="_bookmark29" w:id="72"/>
                  <w:bookmarkEnd w:id="72"/>
                  <w:r>
                    <w:rPr/>
                  </w:r>
                  <w:r>
                    <w:rPr>
                      <w:b/>
                      <w:color w:val="009483"/>
                      <w:sz w:val="72"/>
                    </w:rPr>
                    <w:t>5</w:t>
                    <w:tab/>
                  </w:r>
                  <w:r>
                    <w:rPr>
                      <w:b/>
                      <w:color w:val="009483"/>
                      <w:sz w:val="48"/>
                    </w:rPr>
                    <w:t>Monetary policy since the February</w:t>
                  </w:r>
                  <w:r>
                    <w:rPr>
                      <w:b/>
                      <w:color w:val="009483"/>
                      <w:spacing w:val="-2"/>
                      <w:sz w:val="48"/>
                    </w:rPr>
                    <w:t> </w:t>
                  </w:r>
                  <w:r>
                    <w:rPr>
                      <w:b/>
                      <w:i/>
                      <w:color w:val="009483"/>
                      <w:sz w:val="48"/>
                    </w:rPr>
                    <w:t>Report</w:t>
                  </w:r>
                </w:p>
              </w:txbxContent>
            </v:textbox>
            <v:fill type="solid"/>
            <w10:wrap type="topAndBottom"/>
          </v:shape>
        </w:pict>
      </w:r>
    </w:p>
    <w:p>
      <w:pPr>
        <w:pStyle w:val="BodyText"/>
        <w:rPr>
          <w:sz w:val="20"/>
        </w:rPr>
      </w:pPr>
    </w:p>
    <w:p>
      <w:pPr>
        <w:pStyle w:val="BodyText"/>
        <w:rPr>
          <w:sz w:val="20"/>
        </w:rPr>
      </w:pPr>
    </w:p>
    <w:p>
      <w:pPr>
        <w:spacing w:line="242" w:lineRule="auto" w:before="215"/>
        <w:ind w:left="4960" w:right="274" w:firstLine="0"/>
        <w:jc w:val="left"/>
        <w:rPr>
          <w:sz w:val="24"/>
        </w:rPr>
      </w:pPr>
      <w:r>
        <w:rPr>
          <w:color w:val="231F20"/>
          <w:sz w:val="24"/>
        </w:rPr>
        <w:t>This section summarises the economic developments and monetary policy decisions taken by the MPC since the February </w:t>
      </w:r>
      <w:r>
        <w:rPr>
          <w:i/>
          <w:color w:val="231F20"/>
          <w:sz w:val="24"/>
        </w:rPr>
        <w:t>Report</w:t>
      </w:r>
      <w:r>
        <w:rPr>
          <w:color w:val="231F20"/>
          <w:sz w:val="24"/>
        </w:rPr>
        <w:t>. The minutes of the February, March and April meetings and the press notice from the </w:t>
      </w:r>
      <w:hyperlink w:history="true" w:anchor="_bookmark35">
        <w:r>
          <w:rPr>
            <w:color w:val="231F20"/>
            <w:sz w:val="24"/>
          </w:rPr>
          <w:t>May meeting are attached as an Annex</w:t>
        </w:r>
      </w:hyperlink>
      <w:r>
        <w:rPr>
          <w:color w:val="231F20"/>
          <w:sz w:val="24"/>
        </w:rPr>
        <w:t> to this </w:t>
      </w:r>
      <w:r>
        <w:rPr>
          <w:i/>
          <w:color w:val="231F20"/>
          <w:sz w:val="24"/>
        </w:rPr>
        <w:t>Report</w:t>
      </w:r>
      <w:r>
        <w:rPr>
          <w:color w:val="231F20"/>
          <w:sz w:val="24"/>
        </w:rPr>
        <w:t>.</w:t>
      </w:r>
    </w:p>
    <w:p>
      <w:pPr>
        <w:spacing w:line="242" w:lineRule="auto" w:before="6"/>
        <w:ind w:left="4960" w:right="432" w:firstLine="0"/>
        <w:jc w:val="both"/>
        <w:rPr>
          <w:sz w:val="24"/>
        </w:rPr>
      </w:pPr>
      <w:r>
        <w:rPr>
          <w:color w:val="231F20"/>
          <w:sz w:val="24"/>
        </w:rPr>
        <w:t>The Bank of England’s official dealing rate—the repo rate—was reduced from 5.5% in February to 5.25% in April, and was maintained at that level in May.</w:t>
      </w:r>
    </w:p>
    <w:p>
      <w:pPr>
        <w:pStyle w:val="BodyText"/>
        <w:spacing w:before="2"/>
        <w:rPr>
          <w:sz w:val="28"/>
        </w:rPr>
      </w:pPr>
    </w:p>
    <w:p>
      <w:pPr>
        <w:spacing w:line="242" w:lineRule="auto" w:before="0"/>
        <w:ind w:left="4960" w:right="166" w:firstLine="0"/>
        <w:jc w:val="left"/>
        <w:rPr>
          <w:sz w:val="24"/>
        </w:rPr>
      </w:pPr>
      <w:r>
        <w:rPr>
          <w:color w:val="231F20"/>
          <w:sz w:val="24"/>
        </w:rPr>
        <w:t>At the time of the February </w:t>
      </w:r>
      <w:r>
        <w:rPr>
          <w:i/>
          <w:color w:val="231F20"/>
          <w:sz w:val="24"/>
        </w:rPr>
        <w:t>Report</w:t>
      </w:r>
      <w:r>
        <w:rPr>
          <w:color w:val="231F20"/>
          <w:sz w:val="24"/>
        </w:rPr>
        <w:t>, the central projection was for RPIX inflation to remain close to target over the two-year forecast period.  The risks around the projection were broadly balanced in the first year but were slightly on the downside in the second </w:t>
      </w:r>
      <w:r>
        <w:rPr>
          <w:color w:val="231F20"/>
          <w:spacing w:val="-3"/>
          <w:sz w:val="24"/>
        </w:rPr>
        <w:t>year.</w:t>
      </w:r>
    </w:p>
    <w:p>
      <w:pPr>
        <w:spacing w:line="242" w:lineRule="auto" w:before="6"/>
        <w:ind w:left="4960" w:right="268" w:firstLine="0"/>
        <w:jc w:val="left"/>
        <w:rPr>
          <w:sz w:val="24"/>
        </w:rPr>
      </w:pPr>
      <w:r>
        <w:rPr>
          <w:color w:val="231F20"/>
          <w:sz w:val="24"/>
        </w:rPr>
        <w:t>Greater than usual uncertainty surrounded the forecast, partly because of the difficulty of assessing labour cost pressure. Some Committee members took the view that the inflation profile should be somewhat lower, because of expectations of stronger productivity growth or weaker world prices than assumed in the central projection.</w:t>
      </w:r>
    </w:p>
    <w:p>
      <w:pPr>
        <w:pStyle w:val="BodyText"/>
        <w:spacing w:before="7"/>
        <w:rPr>
          <w:sz w:val="28"/>
        </w:rPr>
      </w:pPr>
    </w:p>
    <w:p>
      <w:pPr>
        <w:spacing w:line="242" w:lineRule="auto" w:before="0"/>
        <w:ind w:left="4960" w:right="173" w:firstLine="0"/>
        <w:jc w:val="left"/>
        <w:rPr>
          <w:sz w:val="24"/>
        </w:rPr>
      </w:pPr>
      <w:hyperlink w:history="true" w:anchor="_bookmark37">
        <w:r>
          <w:rPr>
            <w:color w:val="231F20"/>
            <w:sz w:val="24"/>
          </w:rPr>
          <w:t>At its meeting on 2–3 March,</w:t>
        </w:r>
      </w:hyperlink>
      <w:r>
        <w:rPr>
          <w:color w:val="231F20"/>
          <w:sz w:val="24"/>
        </w:rPr>
        <w:t> the Committee noted that the prospects for global activity and prices were little changed since the February </w:t>
      </w:r>
      <w:r>
        <w:rPr>
          <w:i/>
          <w:color w:val="231F20"/>
          <w:sz w:val="24"/>
        </w:rPr>
        <w:t>Report</w:t>
      </w:r>
      <w:r>
        <w:rPr>
          <w:color w:val="231F20"/>
          <w:sz w:val="24"/>
        </w:rPr>
        <w:t>. Outside the major industrial countries, renewed difficulties in Brazil had led to a further weakening of the real; but other South American currencies did not appear to be under pressure. Though the risk of contagion remained, it had not materialised. The sterling effective exchange rate had risen by 2% since the February </w:t>
      </w:r>
      <w:r>
        <w:rPr>
          <w:i/>
          <w:color w:val="231F20"/>
          <w:sz w:val="24"/>
        </w:rPr>
        <w:t>Report</w:t>
      </w:r>
      <w:r>
        <w:rPr>
          <w:color w:val="231F20"/>
          <w:sz w:val="24"/>
        </w:rPr>
        <w:t>. Sterling had appreciated against the euro but depreciated against the US dollar; these movements possibly reflected changes in expectations about relative demand prospects for the euro area, United States and United Kingdom. The stronger exchange rate would, by itself, tend to reduce import prices and retail prices. But the Committee judged that it was too soon to tell whether the appreciation would persist.</w:t>
      </w:r>
    </w:p>
    <w:p>
      <w:pPr>
        <w:pStyle w:val="BodyText"/>
        <w:spacing w:before="8"/>
        <w:rPr>
          <w:sz w:val="29"/>
        </w:rPr>
      </w:pPr>
    </w:p>
    <w:p>
      <w:pPr>
        <w:spacing w:line="242" w:lineRule="auto" w:before="0"/>
        <w:ind w:left="4960" w:right="192" w:firstLine="0"/>
        <w:jc w:val="left"/>
        <w:rPr>
          <w:sz w:val="24"/>
        </w:rPr>
      </w:pPr>
      <w:r>
        <w:rPr>
          <w:color w:val="231F20"/>
          <w:sz w:val="24"/>
        </w:rPr>
        <w:t>There were two key domestic activity developments. First, the composition of expenditure had been published for 1998 Q4 and this included a small downward revision to the level of GDP at market prices. Inventory accumulation made a larger contribution to GDP</w:t>
      </w:r>
      <w:r>
        <w:rPr>
          <w:color w:val="231F20"/>
          <w:spacing w:val="-5"/>
          <w:sz w:val="24"/>
        </w:rPr>
        <w:t> </w:t>
      </w:r>
      <w:r>
        <w:rPr>
          <w:color w:val="231F20"/>
          <w:sz w:val="24"/>
        </w:rPr>
        <w:t>growth</w:t>
      </w:r>
    </w:p>
    <w:p>
      <w:pPr>
        <w:spacing w:after="0" w:line="242" w:lineRule="auto"/>
        <w:jc w:val="left"/>
        <w:rPr>
          <w:sz w:val="24"/>
        </w:rPr>
        <w:sectPr>
          <w:headerReference w:type="even" r:id="rId121"/>
          <w:footerReference w:type="even" r:id="rId122"/>
          <w:footerReference w:type="default" r:id="rId123"/>
          <w:pgSz w:w="11900" w:h="16840"/>
          <w:pgMar w:header="0" w:footer="597" w:top="780" w:bottom="780" w:left="640" w:right="640"/>
          <w:pgNumType w:start="40"/>
        </w:sectPr>
      </w:pPr>
    </w:p>
    <w:p>
      <w:pPr>
        <w:pStyle w:val="BodyText"/>
        <w:rPr>
          <w:sz w:val="20"/>
        </w:rPr>
      </w:pPr>
    </w:p>
    <w:p>
      <w:pPr>
        <w:spacing w:line="242" w:lineRule="auto" w:before="226"/>
        <w:ind w:left="4959" w:right="142" w:firstLine="0"/>
        <w:jc w:val="left"/>
        <w:rPr>
          <w:sz w:val="24"/>
        </w:rPr>
      </w:pPr>
      <w:r>
        <w:rPr>
          <w:color w:val="231F20"/>
          <w:sz w:val="24"/>
        </w:rPr>
        <w:t>than in Q3, offset by a larger negative contribution from net trade, primarily because of weaker exports. Second, surveys had picked up somewhat from lows in the autumn; and the improvement had been broadly based, including both domestic and export activity. These two developments could be interpreted in a number of ways. The lower level of GDP could point to weaker demand than previously thought. And the weaker outturn for exports could point to some of the downside risks to external demand feeding through. But the rise in survey data, albeit from low levels, might point to a slightly better picture than previously expected. Overall, the Committee judged that activity was in line with what had been expected at the time of the February </w:t>
      </w:r>
      <w:r>
        <w:rPr>
          <w:i/>
          <w:color w:val="231F20"/>
          <w:sz w:val="24"/>
        </w:rPr>
        <w:t>Report</w:t>
      </w:r>
      <w:r>
        <w:rPr>
          <w:color w:val="231F20"/>
          <w:sz w:val="24"/>
        </w:rPr>
        <w:t>, but the improvement in survey data, if sustained, could prove significant.</w:t>
      </w:r>
    </w:p>
    <w:p>
      <w:pPr>
        <w:pStyle w:val="BodyText"/>
        <w:spacing w:before="7"/>
        <w:rPr>
          <w:sz w:val="29"/>
        </w:rPr>
      </w:pPr>
    </w:p>
    <w:p>
      <w:pPr>
        <w:spacing w:line="242" w:lineRule="auto" w:before="0"/>
        <w:ind w:left="4959" w:right="195" w:firstLine="0"/>
        <w:jc w:val="left"/>
        <w:rPr>
          <w:sz w:val="24"/>
        </w:rPr>
      </w:pPr>
      <w:r>
        <w:rPr>
          <w:color w:val="231F20"/>
          <w:sz w:val="24"/>
        </w:rPr>
        <w:t>Nominal price and cost pressures appeared to have weakened in the second half of 1998. The </w:t>
      </w:r>
      <w:r>
        <w:rPr>
          <w:color w:val="231F20"/>
          <w:spacing w:val="-3"/>
          <w:sz w:val="24"/>
        </w:rPr>
        <w:t>Average </w:t>
      </w:r>
      <w:r>
        <w:rPr>
          <w:color w:val="231F20"/>
          <w:sz w:val="24"/>
        </w:rPr>
        <w:t>Earnings Index (AEI) had been published again, following the independent </w:t>
      </w:r>
      <w:r>
        <w:rPr>
          <w:color w:val="231F20"/>
          <w:spacing w:val="-3"/>
          <w:sz w:val="24"/>
        </w:rPr>
        <w:t>review. </w:t>
      </w:r>
      <w:r>
        <w:rPr>
          <w:color w:val="231F20"/>
          <w:sz w:val="24"/>
        </w:rPr>
        <w:t>The level of earnings at the end of 1998 on the newly published series was broadly in line with the assumption in the February </w:t>
      </w:r>
      <w:r>
        <w:rPr>
          <w:i/>
          <w:color w:val="231F20"/>
          <w:sz w:val="24"/>
        </w:rPr>
        <w:t>Report</w:t>
      </w:r>
      <w:r>
        <w:rPr>
          <w:color w:val="231F20"/>
          <w:sz w:val="24"/>
        </w:rPr>
        <w:t>. But earnings growth in the first half of 1998 </w:t>
      </w:r>
      <w:r>
        <w:rPr>
          <w:color w:val="231F20"/>
          <w:spacing w:val="-6"/>
          <w:sz w:val="24"/>
        </w:rPr>
        <w:t>had </w:t>
      </w:r>
      <w:r>
        <w:rPr>
          <w:color w:val="231F20"/>
          <w:sz w:val="24"/>
        </w:rPr>
        <w:t>been higher than previously thought, and had then slowed more markedly than had been assumed. The rate of increase of wage settlements had also slowed, and the Reward Index had declined on a broadly similar path to the </w:t>
      </w:r>
      <w:r>
        <w:rPr>
          <w:color w:val="231F20"/>
          <w:spacing w:val="-3"/>
          <w:sz w:val="24"/>
        </w:rPr>
        <w:t>Average </w:t>
      </w:r>
      <w:r>
        <w:rPr>
          <w:color w:val="231F20"/>
          <w:sz w:val="24"/>
        </w:rPr>
        <w:t>Earnings Index in 1998. The effective exchange rate was higher, though oil prices had also risen.  On balance, these developments suggested slightly lower prospective inflation than thought at the time of the February</w:t>
      </w:r>
      <w:r>
        <w:rPr>
          <w:color w:val="231F20"/>
          <w:spacing w:val="-1"/>
          <w:sz w:val="24"/>
        </w:rPr>
        <w:t> </w:t>
      </w:r>
      <w:r>
        <w:rPr>
          <w:i/>
          <w:color w:val="231F20"/>
          <w:sz w:val="24"/>
        </w:rPr>
        <w:t>Report</w:t>
      </w:r>
      <w:r>
        <w:rPr>
          <w:color w:val="231F20"/>
          <w:sz w:val="24"/>
        </w:rPr>
        <w:t>.</w:t>
      </w:r>
    </w:p>
    <w:p>
      <w:pPr>
        <w:pStyle w:val="BodyText"/>
        <w:spacing w:before="6"/>
        <w:rPr>
          <w:sz w:val="29"/>
        </w:rPr>
      </w:pPr>
    </w:p>
    <w:p>
      <w:pPr>
        <w:spacing w:line="242" w:lineRule="auto" w:before="1"/>
        <w:ind w:left="4959" w:right="261" w:firstLine="0"/>
        <w:jc w:val="left"/>
        <w:rPr>
          <w:sz w:val="24"/>
        </w:rPr>
      </w:pPr>
      <w:r>
        <w:rPr>
          <w:color w:val="231F20"/>
          <w:sz w:val="24"/>
        </w:rPr>
        <w:t>In its discussion of the immediate policy decision, some members of the Committee considered that the news on the month did not amount to a sufficient case for a further reduction in interest rates. More evidence was required on the exchange rate, earnings and confidence. Another view was that the central projection in the February </w:t>
      </w:r>
      <w:r>
        <w:rPr>
          <w:i/>
          <w:color w:val="231F20"/>
          <w:sz w:val="24"/>
        </w:rPr>
        <w:t>Report </w:t>
      </w:r>
      <w:r>
        <w:rPr>
          <w:color w:val="231F20"/>
          <w:sz w:val="24"/>
        </w:rPr>
        <w:t>had been around 0.2 percentage points too high—the news on the month had suggested weaker activity and inflation, and so justified a cut in interest rates of 25–50 basis points. The Committee voted to leave the repo rate unchanged at 5.5%.</w:t>
      </w:r>
    </w:p>
    <w:p>
      <w:pPr>
        <w:pStyle w:val="BodyText"/>
        <w:rPr>
          <w:sz w:val="29"/>
        </w:rPr>
      </w:pPr>
    </w:p>
    <w:p>
      <w:pPr>
        <w:spacing w:line="242" w:lineRule="auto" w:before="0"/>
        <w:ind w:left="4960" w:right="221" w:firstLine="0"/>
        <w:jc w:val="left"/>
        <w:rPr>
          <w:sz w:val="24"/>
        </w:rPr>
      </w:pPr>
      <w:r>
        <w:rPr>
          <w:color w:val="231F20"/>
          <w:sz w:val="24"/>
        </w:rPr>
        <w:t>At its meeting on 7–8 April, the Committee discussed whether prospects for the world economy had improved over the previous month. In the United States, domestic demand had continued to grow strongly, with little sign of a pick-up in inflation. But there were few signs of</w:t>
      </w:r>
    </w:p>
    <w:p>
      <w:pPr>
        <w:spacing w:after="0" w:line="242" w:lineRule="auto"/>
        <w:jc w:val="left"/>
        <w:rPr>
          <w:sz w:val="24"/>
        </w:rPr>
        <w:sectPr>
          <w:headerReference w:type="even" r:id="rId124"/>
          <w:pgSz w:w="11900" w:h="16840"/>
          <w:pgMar w:header="584" w:footer="597" w:top="780" w:bottom="800" w:left="640" w:right="640"/>
        </w:sectPr>
      </w:pPr>
    </w:p>
    <w:p>
      <w:pPr>
        <w:tabs>
          <w:tab w:pos="10479" w:val="left" w:leader="none"/>
        </w:tabs>
        <w:spacing w:before="80"/>
        <w:ind w:left="140" w:right="0" w:firstLine="0"/>
        <w:jc w:val="left"/>
        <w:rPr>
          <w:sz w:val="16"/>
        </w:rPr>
      </w:pPr>
      <w:r>
        <w:rPr>
          <w:color w:val="231F20"/>
          <w:spacing w:val="-20"/>
          <w:sz w:val="16"/>
          <w:u w:val="single" w:color="231F20"/>
        </w:rPr>
        <w:t> </w:t>
      </w:r>
      <w:r>
        <w:rPr>
          <w:color w:val="231F20"/>
          <w:sz w:val="16"/>
          <w:u w:val="single" w:color="231F20"/>
        </w:rPr>
        <w:t>Inflation Report:  May 1999</w:t>
        <w:tab/>
      </w:r>
    </w:p>
    <w:p>
      <w:pPr>
        <w:pStyle w:val="BodyText"/>
        <w:rPr>
          <w:sz w:val="20"/>
        </w:rPr>
      </w:pPr>
    </w:p>
    <w:p>
      <w:pPr>
        <w:spacing w:line="242" w:lineRule="auto" w:before="226"/>
        <w:ind w:left="4980" w:right="95" w:firstLine="0"/>
        <w:jc w:val="left"/>
        <w:rPr>
          <w:sz w:val="24"/>
        </w:rPr>
      </w:pPr>
      <w:r>
        <w:rPr>
          <w:color w:val="231F20"/>
          <w:sz w:val="24"/>
        </w:rPr>
        <w:t>recovery in Japan. Output remained below potential in a number of euro-area economies, though expectations of an easing of monetary policy had increased. Spreads on emerging market debt had narrowed during the month.</w:t>
      </w:r>
    </w:p>
    <w:p>
      <w:pPr>
        <w:spacing w:line="242" w:lineRule="auto" w:before="5"/>
        <w:ind w:left="4980" w:right="142" w:firstLine="0"/>
        <w:jc w:val="left"/>
        <w:rPr>
          <w:sz w:val="24"/>
        </w:rPr>
      </w:pPr>
      <w:r>
        <w:rPr>
          <w:color w:val="231F20"/>
          <w:sz w:val="24"/>
        </w:rPr>
        <w:t>Sentiment and, in some cases, activity was a little stronger in parts of Asia and Latin America. So the downside risks to activity highlighted in the February </w:t>
      </w:r>
      <w:r>
        <w:rPr>
          <w:i/>
          <w:color w:val="231F20"/>
          <w:sz w:val="24"/>
        </w:rPr>
        <w:t>Report </w:t>
      </w:r>
      <w:r>
        <w:rPr>
          <w:color w:val="231F20"/>
          <w:sz w:val="24"/>
        </w:rPr>
        <w:t>appeared to have diminished slightly. There </w:t>
      </w:r>
      <w:r>
        <w:rPr>
          <w:color w:val="231F20"/>
          <w:spacing w:val="-5"/>
          <w:sz w:val="24"/>
        </w:rPr>
        <w:t>were </w:t>
      </w:r>
      <w:r>
        <w:rPr>
          <w:color w:val="231F20"/>
          <w:sz w:val="24"/>
        </w:rPr>
        <w:t>some signs that the fall in commodity prices was coming to an end, and oil prices had risen sharply.  But with most economies outside the United States below their productive capacity, the Committee viewed the scope for a generalised pick-up in inflation as limited.</w:t>
      </w:r>
    </w:p>
    <w:p>
      <w:pPr>
        <w:pStyle w:val="BodyText"/>
        <w:spacing w:before="9"/>
        <w:rPr>
          <w:sz w:val="28"/>
        </w:rPr>
      </w:pPr>
    </w:p>
    <w:p>
      <w:pPr>
        <w:spacing w:line="242" w:lineRule="auto" w:before="0"/>
        <w:ind w:left="4980" w:right="187" w:firstLine="0"/>
        <w:jc w:val="left"/>
        <w:rPr>
          <w:sz w:val="24"/>
        </w:rPr>
      </w:pPr>
      <w:r>
        <w:rPr>
          <w:color w:val="231F20"/>
          <w:sz w:val="24"/>
        </w:rPr>
        <w:t>The main news on domestic activity was the revisions to the levels of GDP and composition of expenditure in 1997 and 1998. The estimated level of GDP at market prices in 1998 Q4 had been reduced by </w:t>
      </w:r>
      <w:r>
        <w:rPr>
          <w:color w:val="231F20"/>
          <w:position w:val="8"/>
          <w:sz w:val="12"/>
        </w:rPr>
        <w:t>1</w:t>
      </w:r>
      <w:r>
        <w:rPr>
          <w:color w:val="231F20"/>
          <w:sz w:val="24"/>
        </w:rPr>
        <w:t>/</w:t>
      </w:r>
      <w:r>
        <w:rPr>
          <w:color w:val="231F20"/>
          <w:sz w:val="12"/>
        </w:rPr>
        <w:t>2</w:t>
      </w:r>
      <w:r>
        <w:rPr>
          <w:color w:val="231F20"/>
          <w:sz w:val="24"/>
        </w:rPr>
        <w:t>%, but by only </w:t>
      </w:r>
      <w:r>
        <w:rPr>
          <w:color w:val="231F20"/>
          <w:position w:val="8"/>
          <w:sz w:val="12"/>
        </w:rPr>
        <w:t>1</w:t>
      </w:r>
      <w:r>
        <w:rPr>
          <w:color w:val="231F20"/>
          <w:sz w:val="24"/>
        </w:rPr>
        <w:t>/</w:t>
      </w:r>
      <w:r>
        <w:rPr>
          <w:color w:val="231F20"/>
          <w:sz w:val="12"/>
        </w:rPr>
        <w:t>4</w:t>
      </w:r>
      <w:r>
        <w:rPr>
          <w:color w:val="231F20"/>
          <w:sz w:val="24"/>
        </w:rPr>
        <w:t>% when measured at basic prices. The composition of expenditure showed an upward revision to consumption and investment, with business investment significantly higher. But the revisions resulted in a larger negative contribution from net trade, largely as a result of higher imports. At the same time, inventory accumulation was revised downwards, and suggested that the risks of a significant stock cycle in 1999 had diminished. Survey evidence suggested an improvement in business confidence, albeit from a low base. The Committee agreed that the Budget had little altered the outlook for inflation. Overall, the prospects for activity remained broadly as expected at the time of the February </w:t>
      </w:r>
      <w:r>
        <w:rPr>
          <w:i/>
          <w:color w:val="231F20"/>
          <w:sz w:val="24"/>
        </w:rPr>
        <w:t>Report</w:t>
      </w:r>
      <w:r>
        <w:rPr>
          <w:color w:val="231F20"/>
          <w:sz w:val="24"/>
        </w:rPr>
        <w:t>.</w:t>
      </w:r>
    </w:p>
    <w:p>
      <w:pPr>
        <w:pStyle w:val="BodyText"/>
        <w:spacing w:before="8"/>
        <w:rPr>
          <w:sz w:val="29"/>
        </w:rPr>
      </w:pPr>
    </w:p>
    <w:p>
      <w:pPr>
        <w:spacing w:line="242" w:lineRule="auto" w:before="0"/>
        <w:ind w:left="4979" w:right="146" w:firstLine="0"/>
        <w:jc w:val="left"/>
        <w:rPr>
          <w:sz w:val="24"/>
        </w:rPr>
      </w:pPr>
      <w:r>
        <w:rPr>
          <w:color w:val="231F20"/>
          <w:sz w:val="24"/>
        </w:rPr>
        <w:t>In assessing the prospects for inflation, the Committee discussed the implications of lower earnings growth and settlements. Earnings growth had remained on a downward trend;  but the implications for inflation would depend on a variety of factors including productivity and margins. Productivity had been low relative to its long-run average over the past three years; so unit labour costs were correspondingly higher. But the pass-through from unit labour costs to prices was not straightforward. It would depend on cyclical conditions and on other input prices. The Committee decided to consider these issues further in the context of the May </w:t>
      </w:r>
      <w:r>
        <w:rPr>
          <w:i/>
          <w:color w:val="231F20"/>
          <w:sz w:val="24"/>
        </w:rPr>
        <w:t>Report</w:t>
      </w:r>
      <w:r>
        <w:rPr>
          <w:color w:val="231F20"/>
          <w:sz w:val="24"/>
        </w:rPr>
        <w:t>.  The effective exchange rate had remained higher over the past month and was more than 2% </w:t>
      </w:r>
      <w:r>
        <w:rPr>
          <w:color w:val="231F20"/>
          <w:spacing w:val="-3"/>
          <w:sz w:val="24"/>
        </w:rPr>
        <w:t>higher </w:t>
      </w:r>
      <w:r>
        <w:rPr>
          <w:color w:val="231F20"/>
          <w:sz w:val="24"/>
        </w:rPr>
        <w:t>than assumed in the February </w:t>
      </w:r>
      <w:r>
        <w:rPr>
          <w:i/>
          <w:color w:val="231F20"/>
          <w:sz w:val="24"/>
        </w:rPr>
        <w:t>Report, </w:t>
      </w:r>
      <w:r>
        <w:rPr>
          <w:color w:val="231F20"/>
          <w:sz w:val="24"/>
        </w:rPr>
        <w:t>which by itself would tend to dampen inflation.</w:t>
      </w:r>
    </w:p>
    <w:p>
      <w:pPr>
        <w:pStyle w:val="BodyText"/>
        <w:spacing w:before="7"/>
        <w:rPr>
          <w:sz w:val="29"/>
        </w:rPr>
      </w:pPr>
    </w:p>
    <w:p>
      <w:pPr>
        <w:spacing w:line="242" w:lineRule="auto" w:before="0"/>
        <w:ind w:left="4979" w:right="455" w:firstLine="0"/>
        <w:jc w:val="left"/>
        <w:rPr>
          <w:sz w:val="24"/>
        </w:rPr>
      </w:pPr>
      <w:r>
        <w:rPr>
          <w:color w:val="231F20"/>
          <w:sz w:val="24"/>
        </w:rPr>
        <w:t>In its discussion of the immediate policy decision, the Committee considered that the prospects for activity</w:t>
      </w:r>
    </w:p>
    <w:p>
      <w:pPr>
        <w:spacing w:after="0" w:line="242" w:lineRule="auto"/>
        <w:jc w:val="left"/>
        <w:rPr>
          <w:sz w:val="24"/>
        </w:rPr>
        <w:sectPr>
          <w:headerReference w:type="default" r:id="rId125"/>
          <w:pgSz w:w="11900" w:h="16840"/>
          <w:pgMar w:header="0" w:footer="617" w:top="520" w:bottom="780" w:left="640" w:right="640"/>
        </w:sectPr>
      </w:pPr>
    </w:p>
    <w:p>
      <w:pPr>
        <w:pStyle w:val="BodyText"/>
        <w:rPr>
          <w:sz w:val="20"/>
        </w:rPr>
      </w:pPr>
    </w:p>
    <w:p>
      <w:pPr>
        <w:spacing w:line="242" w:lineRule="auto" w:before="226"/>
        <w:ind w:left="4960" w:right="172" w:firstLine="0"/>
        <w:jc w:val="left"/>
        <w:rPr>
          <w:sz w:val="24"/>
        </w:rPr>
      </w:pPr>
      <w:r>
        <w:rPr>
          <w:color w:val="231F20"/>
          <w:sz w:val="24"/>
        </w:rPr>
        <w:t>overall were little changed and that some of the previously identified downside risks to both the world and the UK economy appeared to have diminished. The prospects for inflation had shifted further towards the downside. The effective exchange rate was stronger, and nominal earnings growth seemed lower, than expected.</w:t>
      </w:r>
    </w:p>
    <w:p>
      <w:pPr>
        <w:spacing w:line="242" w:lineRule="auto" w:before="7"/>
        <w:ind w:left="4960" w:right="207" w:firstLine="0"/>
        <w:jc w:val="left"/>
        <w:rPr>
          <w:sz w:val="24"/>
        </w:rPr>
      </w:pPr>
      <w:r>
        <w:rPr>
          <w:color w:val="231F20"/>
          <w:sz w:val="24"/>
        </w:rPr>
        <w:t>Against this background, the Committee voted to cut the Bank’s repo rate by 0.25% to 5.25%.</w:t>
      </w:r>
    </w:p>
    <w:p>
      <w:pPr>
        <w:pStyle w:val="BodyText"/>
        <w:spacing w:before="7"/>
        <w:rPr>
          <w:sz w:val="24"/>
        </w:rPr>
      </w:pPr>
    </w:p>
    <w:p>
      <w:pPr>
        <w:spacing w:line="242" w:lineRule="auto" w:before="0"/>
        <w:ind w:left="4960" w:right="221" w:firstLine="0"/>
        <w:jc w:val="left"/>
        <w:rPr>
          <w:sz w:val="24"/>
        </w:rPr>
      </w:pPr>
      <w:r>
        <w:rPr>
          <w:color w:val="231F20"/>
          <w:sz w:val="24"/>
        </w:rPr>
        <w:t>At its meeting on 5–6 May, the Committee voted to leave the repo rate unchanged at 5.25%.</w:t>
      </w:r>
    </w:p>
    <w:p>
      <w:pPr>
        <w:spacing w:after="0" w:line="242" w:lineRule="auto"/>
        <w:jc w:val="left"/>
        <w:rPr>
          <w:sz w:val="24"/>
        </w:rPr>
        <w:sectPr>
          <w:headerReference w:type="default" r:id="rId126"/>
          <w:footerReference w:type="default" r:id="rId127"/>
          <w:footerReference w:type="even" r:id="rId128"/>
          <w:pgSz w:w="11900" w:h="16840"/>
          <w:pgMar w:header="584" w:footer="617" w:top="780" w:bottom="800" w:left="640" w:right="640"/>
          <w:pgNumType w:start="43"/>
        </w:sectPr>
      </w:pPr>
    </w:p>
    <w:p>
      <w:pPr>
        <w:pStyle w:val="BodyText"/>
        <w:spacing w:line="20" w:lineRule="exact"/>
        <w:ind w:left="138"/>
        <w:rPr>
          <w:sz w:val="2"/>
        </w:rPr>
      </w:pPr>
      <w:r>
        <w:rPr>
          <w:sz w:val="2"/>
        </w:rPr>
        <w:pict>
          <v:group style="width:517pt;height:.15pt;mso-position-horizontal-relative:char;mso-position-vertical-relative:line" coordorigin="0,0" coordsize="10340,3">
            <v:line style="position:absolute" from="0,1" to="10340,1" stroked="true" strokeweight=".125pt" strokecolor="#000000">
              <v:stroke dashstyle="solid"/>
            </v:line>
          </v:group>
        </w:pict>
      </w:r>
      <w:r>
        <w:rPr>
          <w:sz w:val="2"/>
        </w:rPr>
      </w:r>
    </w:p>
    <w:p>
      <w:pPr>
        <w:pStyle w:val="BodyText"/>
        <w:rPr>
          <w:sz w:val="20"/>
        </w:rPr>
      </w:pPr>
    </w:p>
    <w:p>
      <w:pPr>
        <w:pStyle w:val="BodyText"/>
        <w:spacing w:before="10"/>
        <w:rPr>
          <w:sz w:val="17"/>
        </w:rPr>
      </w:pPr>
      <w:r>
        <w:rPr/>
        <w:pict>
          <v:shape style="position:absolute;margin-left:40.090pt;margin-top:11.500977pt;width:516pt;height:48pt;mso-position-horizontal-relative:page;mso-position-vertical-relative:paragraph;z-index:-15428096;mso-wrap-distance-left:0;mso-wrap-distance-right:0" type="#_x0000_t202" filled="true" fillcolor="#b5dad6" stroked="false">
            <v:textbox inset="0,0,0,0">
              <w:txbxContent>
                <w:p>
                  <w:pPr>
                    <w:tabs>
                      <w:tab w:pos="5562" w:val="left" w:leader="none"/>
                    </w:tabs>
                    <w:spacing w:before="51"/>
                    <w:ind w:left="260" w:right="0" w:firstLine="0"/>
                    <w:jc w:val="left"/>
                    <w:rPr>
                      <w:b/>
                      <w:sz w:val="48"/>
                    </w:rPr>
                  </w:pPr>
                  <w:bookmarkStart w:name="Prospects for inflation" w:id="73"/>
                  <w:bookmarkEnd w:id="73"/>
                  <w:r>
                    <w:rPr/>
                  </w:r>
                  <w:bookmarkStart w:name="The inflation projection assumptions" w:id="74"/>
                  <w:bookmarkEnd w:id="74"/>
                  <w:r>
                    <w:rPr/>
                  </w:r>
                  <w:bookmarkStart w:name="_bookmark30" w:id="75"/>
                  <w:bookmarkEnd w:id="75"/>
                  <w:r>
                    <w:rPr/>
                  </w:r>
                  <w:r>
                    <w:rPr>
                      <w:b/>
                      <w:color w:val="009483"/>
                      <w:sz w:val="72"/>
                    </w:rPr>
                    <w:t>6</w:t>
                    <w:tab/>
                  </w:r>
                  <w:r>
                    <w:rPr>
                      <w:b/>
                      <w:color w:val="009483"/>
                      <w:sz w:val="48"/>
                    </w:rPr>
                    <w:t>Prospects </w:t>
                  </w:r>
                  <w:r>
                    <w:rPr>
                      <w:b/>
                      <w:color w:val="009483"/>
                      <w:spacing w:val="-4"/>
                      <w:sz w:val="48"/>
                    </w:rPr>
                    <w:t>for</w:t>
                  </w:r>
                  <w:r>
                    <w:rPr>
                      <w:b/>
                      <w:color w:val="009483"/>
                      <w:spacing w:val="-5"/>
                      <w:sz w:val="48"/>
                    </w:rPr>
                    <w:t> </w:t>
                  </w:r>
                  <w:r>
                    <w:rPr>
                      <w:b/>
                      <w:color w:val="009483"/>
                      <w:sz w:val="48"/>
                    </w:rPr>
                    <w:t>inflation</w:t>
                  </w:r>
                </w:p>
              </w:txbxContent>
            </v:textbox>
            <v:fill type="solid"/>
            <w10:wrap type="topAndBottom"/>
          </v:shape>
        </w:pict>
      </w:r>
    </w:p>
    <w:p>
      <w:pPr>
        <w:pStyle w:val="BodyText"/>
        <w:rPr>
          <w:sz w:val="20"/>
        </w:rPr>
      </w:pPr>
    </w:p>
    <w:p>
      <w:pPr>
        <w:pStyle w:val="BodyText"/>
        <w:spacing w:before="7"/>
        <w:rPr>
          <w:sz w:val="29"/>
        </w:rPr>
      </w:pPr>
    </w:p>
    <w:p>
      <w:pPr>
        <w:tabs>
          <w:tab w:pos="5851" w:val="left" w:leader="none"/>
          <w:tab w:pos="10459" w:val="left" w:leader="none"/>
        </w:tabs>
        <w:spacing w:before="89"/>
        <w:ind w:left="4960" w:right="0" w:firstLine="0"/>
        <w:jc w:val="left"/>
        <w:rPr>
          <w:b/>
          <w:sz w:val="28"/>
        </w:rPr>
      </w:pPr>
      <w:r>
        <w:rPr>
          <w:b/>
          <w:color w:val="009483"/>
          <w:sz w:val="28"/>
          <w:u w:val="thick" w:color="0093C1"/>
        </w:rPr>
        <w:t>6.1</w:t>
        <w:tab/>
        <w:t>The inflation projection</w:t>
      </w:r>
      <w:r>
        <w:rPr>
          <w:b/>
          <w:color w:val="009483"/>
          <w:spacing w:val="-6"/>
          <w:sz w:val="28"/>
          <w:u w:val="thick" w:color="0093C1"/>
        </w:rPr>
        <w:t> </w:t>
      </w:r>
      <w:r>
        <w:rPr>
          <w:b/>
          <w:color w:val="009483"/>
          <w:sz w:val="28"/>
          <w:u w:val="thick" w:color="0093C1"/>
        </w:rPr>
        <w:t>assumptions</w:t>
        <w:tab/>
      </w:r>
    </w:p>
    <w:p>
      <w:pPr>
        <w:pStyle w:val="BodyText"/>
        <w:spacing w:before="10"/>
        <w:rPr>
          <w:b/>
          <w:sz w:val="23"/>
        </w:rPr>
      </w:pPr>
    </w:p>
    <w:p>
      <w:pPr>
        <w:spacing w:line="242" w:lineRule="auto" w:before="1"/>
        <w:ind w:left="4959" w:right="188" w:firstLine="0"/>
        <w:jc w:val="left"/>
        <w:rPr>
          <w:sz w:val="24"/>
        </w:rPr>
      </w:pPr>
      <w:r>
        <w:rPr>
          <w:sz w:val="24"/>
        </w:rPr>
        <w:t>This </w:t>
      </w:r>
      <w:r>
        <w:rPr>
          <w:i/>
          <w:color w:val="231F20"/>
          <w:sz w:val="24"/>
        </w:rPr>
        <w:t>Report</w:t>
      </w:r>
      <w:r>
        <w:rPr>
          <w:color w:val="231F20"/>
          <w:sz w:val="24"/>
        </w:rPr>
        <w:t>, which the Committee approved on 7 </w:t>
      </w:r>
      <w:r>
        <w:rPr>
          <w:color w:val="231F20"/>
          <w:spacing w:val="-4"/>
          <w:sz w:val="24"/>
        </w:rPr>
        <w:t>May, </w:t>
      </w:r>
      <w:r>
        <w:rPr>
          <w:color w:val="231F20"/>
          <w:sz w:val="24"/>
        </w:rPr>
        <w:t>contains the Committee’s assessment of developments</w:t>
      </w:r>
      <w:r>
        <w:rPr>
          <w:color w:val="231F20"/>
          <w:spacing w:val="-23"/>
          <w:sz w:val="24"/>
        </w:rPr>
        <w:t> </w:t>
      </w:r>
      <w:r>
        <w:rPr>
          <w:color w:val="231F20"/>
          <w:sz w:val="24"/>
        </w:rPr>
        <w:t>in the economy since February, and prospects for the </w:t>
      </w:r>
      <w:hyperlink w:history="true" w:anchor="_bookmark32">
        <w:r>
          <w:rPr>
            <w:color w:val="231F20"/>
            <w:sz w:val="24"/>
          </w:rPr>
          <w:t>medium term. Charts 6.1</w:t>
        </w:r>
      </w:hyperlink>
      <w:r>
        <w:rPr>
          <w:color w:val="231F20"/>
          <w:sz w:val="24"/>
        </w:rPr>
        <w:t> and </w:t>
      </w:r>
      <w:hyperlink w:history="true" w:anchor="_bookmark33">
        <w:r>
          <w:rPr>
            <w:color w:val="231F20"/>
            <w:sz w:val="24"/>
          </w:rPr>
          <w:t>6.2</w:t>
        </w:r>
      </w:hyperlink>
      <w:r>
        <w:rPr>
          <w:color w:val="231F20"/>
          <w:sz w:val="24"/>
        </w:rPr>
        <w:t> below show projections for GDP growth and RPIX inflation up to two years ahead, and the uncertainties surrounding </w:t>
      </w:r>
      <w:r>
        <w:rPr>
          <w:color w:val="231F20"/>
          <w:spacing w:val="-4"/>
          <w:sz w:val="24"/>
        </w:rPr>
        <w:t>them. </w:t>
      </w:r>
      <w:r>
        <w:rPr>
          <w:color w:val="231F20"/>
          <w:sz w:val="24"/>
        </w:rPr>
        <w:t>The projections assume that the </w:t>
      </w:r>
      <w:r>
        <w:rPr>
          <w:color w:val="231F20"/>
          <w:spacing w:val="-3"/>
          <w:sz w:val="24"/>
        </w:rPr>
        <w:t>Bank’s </w:t>
      </w:r>
      <w:r>
        <w:rPr>
          <w:color w:val="231F20"/>
          <w:sz w:val="24"/>
        </w:rPr>
        <w:t>repo interest rate will remain unchanged at 5.25% during the next two years, and are conditioned on the assumptions described </w:t>
      </w:r>
      <w:r>
        <w:rPr>
          <w:color w:val="231F20"/>
          <w:spacing w:val="-4"/>
          <w:sz w:val="24"/>
        </w:rPr>
        <w:t>below.</w:t>
      </w:r>
    </w:p>
    <w:p>
      <w:pPr>
        <w:pStyle w:val="BodyText"/>
        <w:spacing w:before="11"/>
        <w:rPr>
          <w:sz w:val="21"/>
        </w:rPr>
      </w:pPr>
    </w:p>
    <w:p>
      <w:pPr>
        <w:spacing w:line="242" w:lineRule="auto" w:before="0"/>
        <w:ind w:left="4959" w:right="203" w:firstLine="0"/>
        <w:jc w:val="left"/>
        <w:rPr>
          <w:sz w:val="24"/>
        </w:rPr>
      </w:pPr>
      <w:r>
        <w:rPr>
          <w:color w:val="231F20"/>
          <w:sz w:val="24"/>
        </w:rPr>
        <w:t>After successive downward revisions to global</w:t>
      </w:r>
      <w:r>
        <w:rPr>
          <w:color w:val="231F20"/>
          <w:spacing w:val="-39"/>
          <w:sz w:val="24"/>
        </w:rPr>
        <w:t> </w:t>
      </w:r>
      <w:r>
        <w:rPr>
          <w:color w:val="231F20"/>
          <w:sz w:val="24"/>
        </w:rPr>
        <w:t>economic prospects through the autumn and winter months, there has been a slight improvement in the outlook for world activity since the February </w:t>
      </w:r>
      <w:r>
        <w:rPr>
          <w:i/>
          <w:color w:val="231F20"/>
          <w:sz w:val="24"/>
        </w:rPr>
        <w:t>Report</w:t>
      </w:r>
      <w:r>
        <w:rPr>
          <w:color w:val="231F20"/>
          <w:sz w:val="24"/>
        </w:rPr>
        <w:t>. Momentum in the US economy appears stronger than judged earlier, raising forecast GDP growth there in 1999. </w:t>
      </w:r>
      <w:r>
        <w:rPr>
          <w:color w:val="231F20"/>
          <w:spacing w:val="-4"/>
          <w:sz w:val="24"/>
        </w:rPr>
        <w:t>However, </w:t>
      </w:r>
      <w:r>
        <w:rPr>
          <w:color w:val="231F20"/>
          <w:sz w:val="24"/>
        </w:rPr>
        <w:t>prospects for the euro area are slightly weaker than estimated three months ago. Recent GDP growth has been sluggish, although the 0.5% cut in ECB interest rates in early April should support future </w:t>
      </w:r>
      <w:r>
        <w:rPr>
          <w:color w:val="231F20"/>
          <w:spacing w:val="-3"/>
          <w:sz w:val="24"/>
        </w:rPr>
        <w:t>activity. </w:t>
      </w:r>
      <w:r>
        <w:rPr>
          <w:color w:val="231F20"/>
          <w:sz w:val="24"/>
        </w:rPr>
        <w:t>The outlook for Japan remains depressed. Outside the major industrial countries, there are some encouraging signs of recovery in the emerging Asian economies. Interest rate spreads on emerging market debt over US Treasuries </w:t>
      </w:r>
      <w:r>
        <w:rPr>
          <w:color w:val="231F20"/>
          <w:spacing w:val="-3"/>
          <w:sz w:val="24"/>
        </w:rPr>
        <w:t>have </w:t>
      </w:r>
      <w:r>
        <w:rPr>
          <w:color w:val="231F20"/>
          <w:sz w:val="24"/>
        </w:rPr>
        <w:t>fallen over the past three months, although they remain well above the levels of the first half of</w:t>
      </w:r>
      <w:r>
        <w:rPr>
          <w:color w:val="231F20"/>
          <w:spacing w:val="-15"/>
          <w:sz w:val="24"/>
        </w:rPr>
        <w:t> </w:t>
      </w:r>
      <w:r>
        <w:rPr>
          <w:color w:val="231F20"/>
          <w:sz w:val="24"/>
        </w:rPr>
        <w:t>1998.</w:t>
      </w:r>
    </w:p>
    <w:p>
      <w:pPr>
        <w:spacing w:line="242" w:lineRule="auto" w:before="20"/>
        <w:ind w:left="4960" w:right="95" w:firstLine="0"/>
        <w:jc w:val="left"/>
        <w:rPr>
          <w:sz w:val="24"/>
        </w:rPr>
      </w:pPr>
      <w:r>
        <w:rPr>
          <w:color w:val="231F20"/>
          <w:sz w:val="24"/>
        </w:rPr>
        <w:t>Overall, there has been a small upward revision to the central projection for global growth. The MPC now assumes that growth in UK-weighted export markets will rise from 4%–5% in 1999 to the 5%–6% range in 2000, still well below the average over the 1990s. Moreover, UK exporters may continue to lose market share, as the effects of the appreciation of sterling continue to work through.</w:t>
      </w:r>
    </w:p>
    <w:p>
      <w:pPr>
        <w:pStyle w:val="BodyText"/>
        <w:spacing w:before="9"/>
        <w:rPr>
          <w:sz w:val="21"/>
        </w:rPr>
      </w:pPr>
    </w:p>
    <w:p>
      <w:pPr>
        <w:spacing w:line="242" w:lineRule="auto" w:before="0"/>
        <w:ind w:left="4960" w:right="228" w:firstLine="0"/>
        <w:jc w:val="left"/>
        <w:rPr>
          <w:sz w:val="24"/>
        </w:rPr>
      </w:pPr>
      <w:r>
        <w:rPr>
          <w:color w:val="231F20"/>
          <w:sz w:val="24"/>
        </w:rPr>
        <w:t>Global inflationary pressures remain quite weak. Manufactured goods prices continue to edge down internationally as current demand falls short of production capacity. And although some rise in non-oil commodity prices is assumed over the forecast period, they fell further than expected over the winter months. In contrast, oil prices </w:t>
      </w:r>
      <w:r>
        <w:rPr>
          <w:color w:val="231F20"/>
          <w:spacing w:val="-3"/>
          <w:sz w:val="24"/>
        </w:rPr>
        <w:t>have </w:t>
      </w:r>
      <w:r>
        <w:rPr>
          <w:color w:val="231F20"/>
          <w:sz w:val="24"/>
        </w:rPr>
        <w:t>risen sharply recently, in response to the O</w:t>
      </w:r>
      <w:r>
        <w:rPr>
          <w:color w:val="231F20"/>
          <w:sz w:val="20"/>
        </w:rPr>
        <w:t>PEC </w:t>
      </w:r>
      <w:r>
        <w:rPr>
          <w:color w:val="231F20"/>
          <w:sz w:val="24"/>
        </w:rPr>
        <w:t>plan to scale back production.</w:t>
      </w:r>
      <w:r>
        <w:rPr>
          <w:color w:val="231F20"/>
          <w:spacing w:val="9"/>
          <w:sz w:val="24"/>
        </w:rPr>
        <w:t> </w:t>
      </w:r>
      <w:r>
        <w:rPr>
          <w:color w:val="231F20"/>
          <w:spacing w:val="-6"/>
          <w:sz w:val="24"/>
        </w:rPr>
        <w:t>The</w:t>
      </w:r>
    </w:p>
    <w:p>
      <w:pPr>
        <w:spacing w:after="0" w:line="242" w:lineRule="auto"/>
        <w:jc w:val="left"/>
        <w:rPr>
          <w:sz w:val="24"/>
        </w:rPr>
        <w:sectPr>
          <w:headerReference w:type="default" r:id="rId129"/>
          <w:pgSz w:w="11900" w:h="16840"/>
          <w:pgMar w:header="0" w:footer="617" w:top="780" w:bottom="780" w:left="640" w:right="640"/>
        </w:sectPr>
      </w:pPr>
    </w:p>
    <w:p>
      <w:pPr>
        <w:pStyle w:val="BodyText"/>
        <w:rPr>
          <w:sz w:val="20"/>
        </w:rPr>
      </w:pPr>
    </w:p>
    <w:p>
      <w:pPr>
        <w:spacing w:line="242" w:lineRule="auto" w:before="207"/>
        <w:ind w:left="4940" w:right="221" w:firstLine="0"/>
        <w:jc w:val="left"/>
        <w:rPr>
          <w:sz w:val="24"/>
        </w:rPr>
      </w:pPr>
      <w:r>
        <w:rPr>
          <w:sz w:val="24"/>
        </w:rPr>
        <w:t>planned supply reduction has brought forward the recovery in oil prices projected in February. Oil prices are expected to be higher in the short to medium term than anticipated in February, but no change is expected in the long-run level. Taking these developments together, there is little change in the relatively subdued outlook for world inflation. However, import prices in sterling are likely to be weaker than expected in the February </w:t>
      </w:r>
      <w:r>
        <w:rPr>
          <w:i/>
          <w:sz w:val="24"/>
        </w:rPr>
        <w:t>Report</w:t>
      </w:r>
      <w:r>
        <w:rPr>
          <w:sz w:val="24"/>
        </w:rPr>
        <w:t>, given the further appreciation of the exchange rate.</w:t>
      </w:r>
    </w:p>
    <w:p>
      <w:pPr>
        <w:pStyle w:val="BodyText"/>
        <w:spacing w:before="8"/>
        <w:rPr>
          <w:sz w:val="23"/>
        </w:rPr>
      </w:pPr>
    </w:p>
    <w:p>
      <w:pPr>
        <w:spacing w:line="242" w:lineRule="auto" w:before="0"/>
        <w:ind w:left="4940" w:right="0" w:firstLine="0"/>
        <w:jc w:val="left"/>
        <w:rPr>
          <w:sz w:val="24"/>
        </w:rPr>
      </w:pPr>
      <w:r>
        <w:rPr>
          <w:sz w:val="24"/>
        </w:rPr>
        <w:t>The sterling exchange rate, as measured by the effective Exchange Rate Index (ERI), averaged 104.0 in the</w:t>
      </w:r>
    </w:p>
    <w:p>
      <w:pPr>
        <w:spacing w:line="242" w:lineRule="auto" w:before="3"/>
        <w:ind w:left="4940" w:right="221" w:firstLine="0"/>
        <w:jc w:val="left"/>
        <w:rPr>
          <w:sz w:val="24"/>
        </w:rPr>
      </w:pPr>
      <w:r>
        <w:rPr>
          <w:sz w:val="24"/>
        </w:rPr>
        <w:t>15 working days up to and including 5 May. This forms the starting-point for the exchange rate profile assumed in the projection. It compares with a starting-point of</w:t>
      </w:r>
    </w:p>
    <w:p>
      <w:pPr>
        <w:spacing w:line="242" w:lineRule="auto" w:before="4"/>
        <w:ind w:left="4940" w:right="221" w:firstLine="0"/>
        <w:jc w:val="left"/>
        <w:rPr>
          <w:sz w:val="24"/>
        </w:rPr>
      </w:pPr>
      <w:r>
        <w:rPr>
          <w:sz w:val="24"/>
        </w:rPr>
        <w:t>100.1 at the time of the February </w:t>
      </w:r>
      <w:r>
        <w:rPr>
          <w:i/>
          <w:sz w:val="24"/>
        </w:rPr>
        <w:t>Report </w:t>
      </w:r>
      <w:r>
        <w:rPr>
          <w:sz w:val="24"/>
        </w:rPr>
        <w:t>and an implied level of 99.4 for May. The starting-point for the exchange rate is thus some 4</w:t>
      </w:r>
      <w:r>
        <w:rPr>
          <w:position w:val="8"/>
          <w:sz w:val="12"/>
        </w:rPr>
        <w:t>1</w:t>
      </w:r>
      <w:r>
        <w:rPr>
          <w:sz w:val="24"/>
        </w:rPr>
        <w:t>/</w:t>
      </w:r>
      <w:r>
        <w:rPr>
          <w:sz w:val="12"/>
        </w:rPr>
        <w:t>2</w:t>
      </w:r>
      <w:r>
        <w:rPr>
          <w:sz w:val="24"/>
        </w:rPr>
        <w:t>% higher than the path assumed in February. The recent rise has been particularly marked against the euro. Changes in market perceptions of future interest rates at home and abroad could account for a significant portion of the recent increase in sterling.</w:t>
      </w:r>
    </w:p>
    <w:p>
      <w:pPr>
        <w:pStyle w:val="BodyText"/>
        <w:spacing w:before="5"/>
        <w:rPr>
          <w:sz w:val="23"/>
        </w:rPr>
      </w:pPr>
    </w:p>
    <w:p>
      <w:pPr>
        <w:spacing w:line="242" w:lineRule="auto" w:before="0"/>
        <w:ind w:left="4940" w:right="282" w:firstLine="0"/>
        <w:jc w:val="left"/>
        <w:rPr>
          <w:sz w:val="24"/>
        </w:rPr>
      </w:pPr>
      <w:r>
        <w:rPr>
          <w:sz w:val="24"/>
        </w:rPr>
        <w:t>The MPC takes both interest rate differentials and risk factors into account in formulating assumptions on the path of sterling. In the central projection, the sterling ERI declines to 99.6 by the end of the two-year forecast period, consistent with bilateral sterling exchange rates of about $1.62 and 0.69 against the euro (equivalent to DM 2.82). On average, sterling is expected to decline more steeply than in the central projection. Outside forecasts reported by Consensus Economics imply that the exchange rate is expected to decline more rapidly than in the central projection, reaching 96.7 after two years. But some Committee members considered that the balance of risks around the central projection for the exchange rate was on the upside.</w:t>
      </w:r>
    </w:p>
    <w:p>
      <w:pPr>
        <w:pStyle w:val="BodyText"/>
        <w:spacing w:before="2"/>
        <w:rPr>
          <w:sz w:val="24"/>
        </w:rPr>
      </w:pPr>
    </w:p>
    <w:p>
      <w:pPr>
        <w:spacing w:line="242" w:lineRule="auto" w:before="0"/>
        <w:ind w:left="4940" w:right="272" w:firstLine="0"/>
        <w:jc w:val="left"/>
        <w:rPr>
          <w:sz w:val="24"/>
        </w:rPr>
      </w:pPr>
      <w:r>
        <w:rPr>
          <w:sz w:val="24"/>
        </w:rPr>
        <w:t>The MPC continues to base the central projection on the Government’s announced public spending plans and forecasts of effective tax rates. The May projections are based on the March Budget. There is relatively little difference in the overall fiscal stance from the autumn pre-Budget statement, which formed the basis for the February projection. Lower levels of social security transfers offset the reduction in taxation announced in the Budget.</w:t>
      </w:r>
    </w:p>
    <w:p>
      <w:pPr>
        <w:pStyle w:val="BodyText"/>
        <w:spacing w:before="7"/>
        <w:rPr>
          <w:sz w:val="23"/>
        </w:rPr>
      </w:pPr>
    </w:p>
    <w:p>
      <w:pPr>
        <w:spacing w:before="0"/>
        <w:ind w:left="4940" w:right="0" w:firstLine="0"/>
        <w:jc w:val="left"/>
        <w:rPr>
          <w:sz w:val="24"/>
        </w:rPr>
      </w:pPr>
      <w:r>
        <w:rPr>
          <w:sz w:val="24"/>
        </w:rPr>
        <w:t>The National Minimum Wage came into effect on</w:t>
      </w:r>
    </w:p>
    <w:p>
      <w:pPr>
        <w:spacing w:before="4"/>
        <w:ind w:left="4940" w:right="0" w:firstLine="0"/>
        <w:jc w:val="left"/>
        <w:rPr>
          <w:sz w:val="24"/>
        </w:rPr>
      </w:pPr>
      <w:r>
        <w:rPr>
          <w:sz w:val="24"/>
        </w:rPr>
        <w:t>1 April, following the introduction of the Working Time</w:t>
      </w:r>
    </w:p>
    <w:p>
      <w:pPr>
        <w:spacing w:after="0"/>
        <w:jc w:val="left"/>
        <w:rPr>
          <w:sz w:val="24"/>
        </w:rPr>
        <w:sectPr>
          <w:headerReference w:type="default" r:id="rId130"/>
          <w:headerReference w:type="even" r:id="rId131"/>
          <w:footerReference w:type="default" r:id="rId132"/>
          <w:footerReference w:type="even" r:id="rId133"/>
          <w:pgSz w:w="11900" w:h="16840"/>
          <w:pgMar w:header="586" w:footer="617" w:top="780" w:bottom="800" w:left="640" w:right="640"/>
          <w:pgNumType w:start="45"/>
        </w:sectPr>
      </w:pPr>
    </w:p>
    <w:p>
      <w:pPr>
        <w:pStyle w:val="BodyText"/>
        <w:rPr>
          <w:sz w:val="20"/>
        </w:rPr>
      </w:pPr>
    </w:p>
    <w:p>
      <w:pPr>
        <w:spacing w:line="242" w:lineRule="auto" w:before="207"/>
        <w:ind w:left="4960" w:right="414" w:firstLine="0"/>
        <w:jc w:val="left"/>
        <w:rPr>
          <w:sz w:val="24"/>
        </w:rPr>
      </w:pPr>
      <w:bookmarkStart w:name="The medium-term inflation projection" w:id="76"/>
      <w:bookmarkEnd w:id="76"/>
      <w:r>
        <w:rPr/>
      </w:r>
      <w:bookmarkStart w:name="_bookmark31" w:id="77"/>
      <w:bookmarkEnd w:id="77"/>
      <w:r>
        <w:rPr/>
      </w:r>
      <w:r>
        <w:rPr>
          <w:sz w:val="24"/>
        </w:rPr>
        <w:t>Directive in October 1998 and the New Deal in early 1998. Previous projections incorporated assumptions about the effects of these labour market reforms. No changes have been made to these assumptions in the central projection, although the upside risk to earnings from a stronger minimum wage impact has been reduced.</w:t>
      </w:r>
    </w:p>
    <w:p>
      <w:pPr>
        <w:pStyle w:val="BodyText"/>
        <w:spacing w:before="2"/>
        <w:rPr>
          <w:sz w:val="21"/>
        </w:rPr>
      </w:pPr>
    </w:p>
    <w:p>
      <w:pPr>
        <w:pStyle w:val="ListParagraph"/>
        <w:numPr>
          <w:ilvl w:val="1"/>
          <w:numId w:val="28"/>
        </w:numPr>
        <w:tabs>
          <w:tab w:pos="5681" w:val="left" w:leader="none"/>
          <w:tab w:pos="5682" w:val="left" w:leader="none"/>
          <w:tab w:pos="10459" w:val="left" w:leader="none"/>
        </w:tabs>
        <w:spacing w:line="240" w:lineRule="auto" w:before="88" w:after="0"/>
        <w:ind w:left="5681" w:right="0" w:hanging="722"/>
        <w:jc w:val="left"/>
        <w:rPr>
          <w:b/>
          <w:sz w:val="28"/>
        </w:rPr>
      </w:pPr>
      <w:r>
        <w:rPr>
          <w:b/>
          <w:color w:val="009483"/>
          <w:sz w:val="28"/>
          <w:u w:val="thick" w:color="0093C1"/>
        </w:rPr>
        <w:t>The medium-term inflation</w:t>
      </w:r>
      <w:r>
        <w:rPr>
          <w:b/>
          <w:color w:val="009483"/>
          <w:spacing w:val="-6"/>
          <w:sz w:val="28"/>
          <w:u w:val="thick" w:color="0093C1"/>
        </w:rPr>
        <w:t> </w:t>
      </w:r>
      <w:r>
        <w:rPr>
          <w:b/>
          <w:color w:val="009483"/>
          <w:sz w:val="28"/>
          <w:u w:val="thick" w:color="0093C1"/>
        </w:rPr>
        <w:t>projection</w:t>
        <w:tab/>
      </w:r>
    </w:p>
    <w:p>
      <w:pPr>
        <w:pStyle w:val="BodyText"/>
        <w:spacing w:before="11"/>
        <w:rPr>
          <w:b/>
          <w:sz w:val="23"/>
        </w:rPr>
      </w:pPr>
    </w:p>
    <w:p>
      <w:pPr>
        <w:spacing w:line="242" w:lineRule="auto" w:before="0"/>
        <w:ind w:left="4960" w:right="0" w:firstLine="0"/>
        <w:jc w:val="left"/>
        <w:rPr>
          <w:sz w:val="24"/>
        </w:rPr>
      </w:pPr>
      <w:r>
        <w:rPr>
          <w:sz w:val="24"/>
        </w:rPr>
        <w:t>Output rose marginally in the first quarter of 1999 according to the preliminary GDP release in April. The outturn was close to the flat central projection in the February </w:t>
      </w:r>
      <w:r>
        <w:rPr>
          <w:i/>
          <w:sz w:val="24"/>
        </w:rPr>
        <w:t>Report</w:t>
      </w:r>
      <w:r>
        <w:rPr>
          <w:sz w:val="24"/>
        </w:rPr>
        <w:t>, and by itself contained little news.</w:t>
      </w:r>
    </w:p>
    <w:p>
      <w:pPr>
        <w:spacing w:line="242" w:lineRule="auto" w:before="5"/>
        <w:ind w:left="4959" w:right="198" w:firstLine="0"/>
        <w:jc w:val="left"/>
        <w:rPr>
          <w:sz w:val="24"/>
        </w:rPr>
      </w:pPr>
      <w:r>
        <w:rPr>
          <w:spacing w:val="-4"/>
          <w:sz w:val="24"/>
        </w:rPr>
        <w:t>However, </w:t>
      </w:r>
      <w:r>
        <w:rPr>
          <w:sz w:val="24"/>
        </w:rPr>
        <w:t>prior to this, the February GDP release and </w:t>
      </w:r>
      <w:r>
        <w:rPr>
          <w:spacing w:val="-6"/>
          <w:sz w:val="24"/>
        </w:rPr>
        <w:t>the </w:t>
      </w:r>
      <w:r>
        <w:rPr>
          <w:sz w:val="24"/>
        </w:rPr>
        <w:t>National Accounts published in March revised down the level of GDP and altered the estimated composition of demand in recent quarters. At the end of 1998, the level of GDP measured at market prices was around </w:t>
      </w:r>
      <w:r>
        <w:rPr>
          <w:position w:val="8"/>
          <w:sz w:val="12"/>
        </w:rPr>
        <w:t>1</w:t>
      </w:r>
      <w:r>
        <w:rPr>
          <w:sz w:val="24"/>
        </w:rPr>
        <w:t>/</w:t>
      </w:r>
      <w:r>
        <w:rPr>
          <w:sz w:val="12"/>
        </w:rPr>
        <w:t>2</w:t>
      </w:r>
      <w:r>
        <w:rPr>
          <w:sz w:val="24"/>
        </w:rPr>
        <w:t>% lower than previously estimated, although only </w:t>
      </w:r>
      <w:r>
        <w:rPr>
          <w:position w:val="8"/>
          <w:sz w:val="12"/>
        </w:rPr>
        <w:t>1</w:t>
      </w:r>
      <w:r>
        <w:rPr>
          <w:sz w:val="24"/>
        </w:rPr>
        <w:t>/</w:t>
      </w:r>
      <w:r>
        <w:rPr>
          <w:sz w:val="12"/>
        </w:rPr>
        <w:t>4</w:t>
      </w:r>
      <w:r>
        <w:rPr>
          <w:sz w:val="24"/>
        </w:rPr>
        <w:t>% lower when measured in basic prices. The implications of those revisions to output for future inflation are ambiguous. On the one hand, the lower level of activity could indicate a reduction in pressures on capacity which, depending on the lags, could dampen future inflation. On the other, the short-run trade-off between activity and inflation could be less favourable than previously thought. The Committee concluded that, on either </w:t>
      </w:r>
      <w:r>
        <w:rPr>
          <w:spacing w:val="-5"/>
          <w:sz w:val="24"/>
        </w:rPr>
        <w:t>view, </w:t>
      </w:r>
      <w:r>
        <w:rPr>
          <w:sz w:val="24"/>
        </w:rPr>
        <w:t>the revisions were not large enough to warrant a material change in the assessment of inflationary pressures.</w:t>
      </w:r>
    </w:p>
    <w:p>
      <w:pPr>
        <w:pStyle w:val="BodyText"/>
        <w:spacing w:before="2"/>
        <w:rPr>
          <w:sz w:val="26"/>
        </w:rPr>
      </w:pPr>
    </w:p>
    <w:p>
      <w:pPr>
        <w:spacing w:line="242" w:lineRule="auto" w:before="1"/>
        <w:ind w:left="4959" w:right="181" w:firstLine="0"/>
        <w:jc w:val="left"/>
        <w:rPr>
          <w:sz w:val="24"/>
        </w:rPr>
      </w:pPr>
      <w:r>
        <w:rPr>
          <w:sz w:val="24"/>
        </w:rPr>
        <w:t>The composition of demand in the second half of 1998 differed from the central projection in the February </w:t>
      </w:r>
      <w:r>
        <w:rPr>
          <w:i/>
          <w:sz w:val="24"/>
        </w:rPr>
        <w:t>Report </w:t>
      </w:r>
      <w:r>
        <w:rPr>
          <w:sz w:val="24"/>
        </w:rPr>
        <w:t>in three main respects. First, business investment rose strongly in the fourth quarter of 1998 and was revised up in earlier quarters. Second, the degree of inventory build-up was rather lower, largely offsetting the impact of higher fixed investment on total domestic demand. Third, net trade made a more negative contribution to GDP. Imports were stronger than projected.</w:t>
      </w:r>
    </w:p>
    <w:p>
      <w:pPr>
        <w:pStyle w:val="BodyText"/>
        <w:spacing w:before="5"/>
        <w:rPr>
          <w:sz w:val="25"/>
        </w:rPr>
      </w:pPr>
    </w:p>
    <w:p>
      <w:pPr>
        <w:spacing w:line="242" w:lineRule="auto" w:before="0"/>
        <w:ind w:left="4959" w:right="183" w:firstLine="0"/>
        <w:jc w:val="left"/>
        <w:rPr>
          <w:sz w:val="24"/>
        </w:rPr>
      </w:pPr>
      <w:r>
        <w:rPr>
          <w:sz w:val="24"/>
        </w:rPr>
        <w:t>The ratio of business investment to GDP rose further to</w:t>
      </w:r>
      <w:r>
        <w:rPr>
          <w:spacing w:val="-18"/>
          <w:sz w:val="24"/>
        </w:rPr>
        <w:t> </w:t>
      </w:r>
      <w:r>
        <w:rPr>
          <w:spacing w:val="-16"/>
          <w:sz w:val="24"/>
        </w:rPr>
        <w:t>a </w:t>
      </w:r>
      <w:r>
        <w:rPr>
          <w:sz w:val="24"/>
        </w:rPr>
        <w:t>new record level. The Committee considered two explanations for this apparent strength.  The first was that it might be linked to the Millennium, with companies bringing forward </w:t>
      </w:r>
      <w:r>
        <w:rPr>
          <w:spacing w:val="-3"/>
          <w:sz w:val="24"/>
        </w:rPr>
        <w:t>IT-related </w:t>
      </w:r>
      <w:r>
        <w:rPr>
          <w:sz w:val="24"/>
        </w:rPr>
        <w:t>and construction spending. Evidence from a recent survey of Bank Agents’ contacts provided some support for this</w:t>
      </w:r>
      <w:r>
        <w:rPr>
          <w:spacing w:val="-1"/>
          <w:sz w:val="24"/>
        </w:rPr>
        <w:t> </w:t>
      </w:r>
      <w:r>
        <w:rPr>
          <w:spacing w:val="-5"/>
          <w:sz w:val="24"/>
        </w:rPr>
        <w:t>view.</w:t>
      </w:r>
    </w:p>
    <w:p>
      <w:pPr>
        <w:spacing w:before="9"/>
        <w:ind w:left="4959" w:right="0" w:firstLine="0"/>
        <w:jc w:val="left"/>
        <w:rPr>
          <w:sz w:val="24"/>
        </w:rPr>
      </w:pPr>
      <w:r>
        <w:rPr>
          <w:sz w:val="24"/>
        </w:rPr>
        <w:t>The second explanation was that the desired level of</w:t>
      </w:r>
    </w:p>
    <w:p>
      <w:pPr>
        <w:spacing w:after="0"/>
        <w:jc w:val="left"/>
        <w:rPr>
          <w:sz w:val="24"/>
        </w:rPr>
        <w:sectPr>
          <w:pgSz w:w="11900" w:h="16840"/>
          <w:pgMar w:header="586" w:footer="597" w:top="780" w:bottom="780" w:left="640" w:right="640"/>
        </w:sectPr>
      </w:pPr>
    </w:p>
    <w:p>
      <w:pPr>
        <w:pStyle w:val="BodyText"/>
        <w:rPr>
          <w:sz w:val="20"/>
        </w:rPr>
      </w:pPr>
    </w:p>
    <w:p>
      <w:pPr>
        <w:pStyle w:val="BodyText"/>
        <w:spacing w:before="5"/>
        <w:rPr>
          <w:sz w:val="21"/>
        </w:rPr>
      </w:pPr>
    </w:p>
    <w:p>
      <w:pPr>
        <w:spacing w:line="242" w:lineRule="auto" w:before="1"/>
        <w:ind w:left="4930" w:right="165" w:firstLine="0"/>
        <w:jc w:val="left"/>
        <w:rPr>
          <w:sz w:val="24"/>
        </w:rPr>
      </w:pPr>
      <w:r>
        <w:rPr>
          <w:sz w:val="24"/>
        </w:rPr>
        <w:t>business investment had been boosted, perhaps by higher IT-related spending which might have a shorter life-span than other components of the capital stock. The Committee assigned some weight to both explanations, and having regard also to survey data on investment intentions, raised the projection for investment, particularly in 1999.</w:t>
      </w:r>
    </w:p>
    <w:p>
      <w:pPr>
        <w:pStyle w:val="BodyText"/>
        <w:spacing w:before="1"/>
        <w:rPr>
          <w:sz w:val="25"/>
        </w:rPr>
      </w:pPr>
    </w:p>
    <w:p>
      <w:pPr>
        <w:spacing w:line="242" w:lineRule="auto" w:before="0"/>
        <w:ind w:left="4930" w:right="204" w:firstLine="0"/>
        <w:jc w:val="left"/>
        <w:rPr>
          <w:sz w:val="24"/>
        </w:rPr>
      </w:pPr>
      <w:r>
        <w:rPr>
          <w:sz w:val="24"/>
        </w:rPr>
        <w:t>The lower-than-expected level of inventories in the second half of 1998 has reduced the risks of a major stock correction in 1999. Survey evidence suggests that manufacturers and retailers continued to shed stock in the early part of this year, but not sufficiently rapidly to lead to a dip in overall output. The latest CBI survey for manufacturing suggests that stocks remain above desired levels, but that the extent of any overhang has been reduced. </w:t>
      </w:r>
      <w:r>
        <w:rPr>
          <w:spacing w:val="-4"/>
          <w:sz w:val="24"/>
        </w:rPr>
        <w:t>However, </w:t>
      </w:r>
      <w:r>
        <w:rPr>
          <w:sz w:val="24"/>
        </w:rPr>
        <w:t>the latest survey for distributive trades indicates that stocks were built up in April as demand failed to meet expectations. Further falls in stocks seem likely in the coming months to eliminate the remaining excess. This inventory reduction will detract from GDP growth. Precautionary stockbuilding ahead </w:t>
      </w:r>
      <w:r>
        <w:rPr>
          <w:spacing w:val="-9"/>
          <w:sz w:val="24"/>
        </w:rPr>
        <w:t>of </w:t>
      </w:r>
      <w:r>
        <w:rPr>
          <w:sz w:val="24"/>
        </w:rPr>
        <w:t>the Millennium may affect the timing from quarter to quarter. The Committee judges that there is a risk that the aggregate stock-output ratio could fall less sharply than in the central projection, raising GDP and inflation.</w:t>
      </w:r>
    </w:p>
    <w:p>
      <w:pPr>
        <w:pStyle w:val="BodyText"/>
        <w:spacing w:before="4"/>
        <w:rPr>
          <w:sz w:val="26"/>
        </w:rPr>
      </w:pPr>
    </w:p>
    <w:p>
      <w:pPr>
        <w:spacing w:line="242" w:lineRule="auto" w:before="0"/>
        <w:ind w:left="4930" w:right="218" w:firstLine="0"/>
        <w:jc w:val="left"/>
        <w:rPr>
          <w:sz w:val="24"/>
        </w:rPr>
      </w:pPr>
      <w:r>
        <w:rPr>
          <w:sz w:val="24"/>
        </w:rPr>
        <w:t>After the data revisions, the share of imports in domestic demand in 1998 was higher than estimated at the time of the February </w:t>
      </w:r>
      <w:r>
        <w:rPr>
          <w:i/>
          <w:sz w:val="24"/>
        </w:rPr>
        <w:t>Report</w:t>
      </w:r>
      <w:r>
        <w:rPr>
          <w:sz w:val="24"/>
        </w:rPr>
        <w:t>. Bank Agents’ contacts report continued pressure from foreign competitors in both domestic and international markets, exacerbated by the further rise in sterling in recent months. In assessing the overall prospects for net trade, the Committee judges that the dampening influences of stronger import penetration and the rise in sterling since February will outweigh the stimulatory effect of slightly stronger world trade growth. The central projection is that net exports will depress GDP growth in both 1999 and </w:t>
      </w:r>
      <w:r>
        <w:rPr>
          <w:spacing w:val="-4"/>
          <w:sz w:val="24"/>
        </w:rPr>
        <w:t>2000, </w:t>
      </w:r>
      <w:r>
        <w:rPr>
          <w:sz w:val="24"/>
        </w:rPr>
        <w:t>and by more than expected three months</w:t>
      </w:r>
      <w:r>
        <w:rPr>
          <w:spacing w:val="-2"/>
          <w:sz w:val="24"/>
        </w:rPr>
        <w:t> </w:t>
      </w:r>
      <w:r>
        <w:rPr>
          <w:sz w:val="24"/>
        </w:rPr>
        <w:t>ago.</w:t>
      </w:r>
    </w:p>
    <w:p>
      <w:pPr>
        <w:pStyle w:val="BodyText"/>
        <w:spacing w:before="9"/>
        <w:rPr>
          <w:sz w:val="25"/>
        </w:rPr>
      </w:pPr>
    </w:p>
    <w:p>
      <w:pPr>
        <w:spacing w:line="242" w:lineRule="auto" w:before="0"/>
        <w:ind w:left="4930" w:right="171" w:firstLine="0"/>
        <w:jc w:val="left"/>
        <w:rPr>
          <w:sz w:val="24"/>
        </w:rPr>
      </w:pPr>
      <w:r>
        <w:rPr>
          <w:sz w:val="24"/>
        </w:rPr>
        <w:t>Although there were some modifications to the quarterly profile, consumer spending growth in the second half of 1998 was in line with expectations in the February </w:t>
      </w:r>
      <w:r>
        <w:rPr>
          <w:i/>
          <w:sz w:val="24"/>
        </w:rPr>
        <w:t>Report</w:t>
      </w:r>
      <w:r>
        <w:rPr>
          <w:sz w:val="24"/>
        </w:rPr>
        <w:t>. Sales over the Christmas period were sluggish. More recently, there have been tentative signs of recovery. The GfK consumer confidence indicator has returned to positive territory. Housing market indicators, which provide another barometer of consumer sentiment, have turned up. Personal lending figures are also rather stronger and mortgage approvals are up sharply, while</w:t>
      </w:r>
    </w:p>
    <w:p>
      <w:pPr>
        <w:spacing w:after="0" w:line="242" w:lineRule="auto"/>
        <w:jc w:val="left"/>
        <w:rPr>
          <w:sz w:val="24"/>
        </w:rPr>
        <w:sectPr>
          <w:pgSz w:w="11900" w:h="16840"/>
          <w:pgMar w:header="586" w:footer="617" w:top="780" w:bottom="800" w:left="640" w:right="640"/>
        </w:sectPr>
      </w:pPr>
    </w:p>
    <w:p>
      <w:pPr>
        <w:pStyle w:val="BodyText"/>
        <w:rPr>
          <w:sz w:val="20"/>
        </w:rPr>
      </w:pPr>
    </w:p>
    <w:p>
      <w:pPr>
        <w:spacing w:line="242" w:lineRule="auto" w:before="227"/>
        <w:ind w:left="4970" w:right="0" w:firstLine="0"/>
        <w:jc w:val="left"/>
        <w:rPr>
          <w:sz w:val="24"/>
        </w:rPr>
      </w:pPr>
      <w:bookmarkStart w:name="_bookmark32" w:id="78"/>
      <w:bookmarkEnd w:id="78"/>
      <w:r>
        <w:rPr/>
      </w:r>
      <w:r>
        <w:rPr>
          <w:sz w:val="24"/>
        </w:rPr>
        <w:t>the rise of over 10% in equity prices since the February </w:t>
      </w:r>
      <w:r>
        <w:rPr>
          <w:i/>
          <w:sz w:val="24"/>
        </w:rPr>
        <w:t>Report </w:t>
      </w:r>
      <w:r>
        <w:rPr>
          <w:sz w:val="24"/>
        </w:rPr>
        <w:t>has increased personal wealth. These indicators provide support for the central projection that consumer spending growth will strengthen in the coming months in line with expectations at the time of the February </w:t>
      </w:r>
      <w:r>
        <w:rPr>
          <w:i/>
          <w:sz w:val="24"/>
        </w:rPr>
        <w:t>Report</w:t>
      </w:r>
      <w:r>
        <w:rPr>
          <w:sz w:val="24"/>
        </w:rPr>
        <w:t>.</w:t>
      </w:r>
    </w:p>
    <w:p>
      <w:pPr>
        <w:pStyle w:val="BodyText"/>
        <w:spacing w:before="1"/>
        <w:rPr>
          <w:sz w:val="17"/>
        </w:rPr>
      </w:pPr>
    </w:p>
    <w:p>
      <w:pPr>
        <w:spacing w:after="0"/>
        <w:rPr>
          <w:sz w:val="17"/>
        </w:rPr>
        <w:sectPr>
          <w:headerReference w:type="even" r:id="rId134"/>
          <w:headerReference w:type="default" r:id="rId135"/>
          <w:footerReference w:type="even" r:id="rId136"/>
          <w:footerReference w:type="default" r:id="rId137"/>
          <w:pgSz w:w="11900" w:h="16840"/>
          <w:pgMar w:header="586" w:footer="1291" w:top="780" w:bottom="1480" w:left="640" w:right="640"/>
          <w:pgNumType w:start="48"/>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4"/>
        <w:spacing w:before="171"/>
        <w:ind w:left="130"/>
      </w:pPr>
      <w:r>
        <w:rPr>
          <w:color w:val="0093C1"/>
        </w:rPr>
        <w:t>Chart 6.1</w:t>
      </w:r>
    </w:p>
    <w:p>
      <w:pPr>
        <w:pStyle w:val="Heading4"/>
        <w:spacing w:line="249" w:lineRule="auto"/>
        <w:ind w:left="130" w:right="20"/>
      </w:pPr>
      <w:r>
        <w:rPr>
          <w:color w:val="0093C1"/>
        </w:rPr>
        <w:t>Current GDP projection based on constant nominal interest rates at 5.25%</w:t>
      </w:r>
    </w:p>
    <w:p>
      <w:pPr>
        <w:spacing w:before="138"/>
        <w:ind w:left="0" w:right="353" w:firstLine="0"/>
        <w:jc w:val="right"/>
        <w:rPr>
          <w:sz w:val="12"/>
        </w:rPr>
      </w:pPr>
      <w:r>
        <w:rPr/>
        <w:pict>
          <v:line style="position:absolute;mso-position-horizontal-relative:page;mso-position-vertical-relative:paragraph;z-index:16033280" from="42.167pt,14.418537pt" to="45.85pt,14.418537pt" stroked="true" strokeweight=".5pt" strokecolor="#231f20">
            <v:stroke dashstyle="solid"/>
            <w10:wrap type="none"/>
          </v:line>
        </w:pict>
      </w:r>
      <w:r>
        <w:rPr>
          <w:color w:val="231F20"/>
          <w:sz w:val="12"/>
        </w:rPr>
        <w:t>Percentage increase in output on a year earl</w:t>
      </w:r>
      <w:r>
        <w:rPr>
          <w:color w:val="231F20"/>
          <w:sz w:val="12"/>
          <w:u w:val="single" w:color="231F20"/>
        </w:rPr>
        <w:t>ier</w:t>
      </w:r>
      <w:r>
        <w:rPr>
          <w:color w:val="231F20"/>
          <w:sz w:val="12"/>
        </w:rPr>
        <w:t> </w:t>
      </w:r>
      <w:r>
        <w:rPr>
          <w:color w:val="231F20"/>
          <w:position w:val="-4"/>
          <w:sz w:val="12"/>
        </w:rPr>
        <w:t>6</w:t>
      </w:r>
    </w:p>
    <w:p>
      <w:pPr>
        <w:pStyle w:val="BodyText"/>
        <w:spacing w:before="7"/>
        <w:rPr>
          <w:sz w:val="23"/>
        </w:rPr>
      </w:pPr>
    </w:p>
    <w:p>
      <w:pPr>
        <w:spacing w:before="0"/>
        <w:ind w:left="0" w:right="353" w:firstLine="0"/>
        <w:jc w:val="right"/>
        <w:rPr>
          <w:sz w:val="12"/>
        </w:rPr>
      </w:pPr>
      <w:r>
        <w:rPr/>
        <w:pict>
          <v:group style="position:absolute;margin-left:42.167pt;margin-top:3.884164pt;width:148.1pt;height:108.75pt;mso-position-horizontal-relative:page;mso-position-vertical-relative:paragraph;z-index:16030720" coordorigin="843,78" coordsize="2962,2175">
            <v:shape style="position:absolute;left:2780;top:77;width:1020;height:2175" coordorigin="2781,78" coordsize="1020,2175" path="m3801,78l3687,153,3574,344,3461,618,3347,749,3234,901,3121,1099,3007,1351,2894,1655,2781,1892,2894,2077,3007,2194,3121,2252,3234,2195,3347,2155,3461,2075,3574,1878,3687,1764,3801,1740,3801,78xe" filled="true" fillcolor="#dbeae4" stroked="false">
              <v:path arrowok="t"/>
              <v:fill type="solid"/>
            </v:shape>
            <v:shape style="position:absolute;left:2780;top:260;width:1020;height:1873" coordorigin="2781,260" coordsize="1020,1873" path="m3801,260l3687,331,3574,516,3461,784,3347,910,3234,1050,3121,1232,3007,1448,2894,1704,2781,1893,2894,2034,3007,2108,3121,2133,3234,2061,3347,2009,3461,1922,3574,1713,3687,1588,3801,1557,3801,260xe" filled="true" fillcolor="#bfdbcf" stroked="false">
              <v:path arrowok="t"/>
              <v:fill type="solid"/>
            </v:shape>
            <v:shape style="position:absolute;left:2780;top:383;width:1020;height:1672" coordorigin="2781,383" coordsize="1020,1672" path="m3801,383l3687,452,3574,634,3461,900,3347,1025,3234,1155,3121,1326,3007,1517,2894,1739,2781,1894,2894,2006,3007,2050,3121,2054,3234,1973,3347,1913,3461,1820,3574,1602,3687,1468,3801,1431,3801,383xe" filled="true" fillcolor="#a4cdbd" stroked="false">
              <v:path arrowok="t"/>
              <v:fill type="solid"/>
            </v:shape>
            <v:shape style="position:absolute;left:2780;top:490;width:1020;height:1519" coordorigin="2781,490" coordsize="1020,1519" path="m3801,490l3687,557,3574,735,3461,997,3347,1120,3234,1243,3121,1405,3007,1577,2894,1772,2781,1900,2894,1988,3007,2009,3121,1995,3234,1905,3347,1839,3461,1743,3574,1520,3687,1381,3801,1341,3801,490xe" filled="true" fillcolor="#8abfab" stroked="false">
              <v:path arrowok="t"/>
              <v:fill type="solid"/>
            </v:shape>
            <v:shape style="position:absolute;left:2780;top:567;width:1020;height:1398" coordorigin="2781,568" coordsize="1020,1398" path="m3801,568l3687,634,3574,810,3461,1071,3347,1193,3234,1310,3121,1464,3007,1619,2894,1792,2781,1898,2894,1965,3007,1965,3121,1937,3234,1841,3347,1769,3461,1669,3574,1440,3687,1294,3801,1250,3801,568xe" filled="true" fillcolor="#6fb39a" stroked="false">
              <v:path arrowok="t"/>
              <v:fill type="solid"/>
            </v:shape>
            <v:shape style="position:absolute;left:2780;top:647;width:1020;height:1304" coordorigin="2781,647" coordsize="1020,1304" path="m3801,647l3687,711,3574,886,3461,1144,3347,1264,3234,1376,3121,1523,3007,1664,2894,1816,2781,1901,2894,1951,3007,1934,3121,1892,3234,1790,3347,1714,3461,1610,3574,1376,3687,1226,3801,1178,3801,647xe" filled="true" fillcolor="#53a78b" stroked="false">
              <v:path arrowok="t"/>
              <v:fill type="solid"/>
            </v:shape>
            <v:shape style="position:absolute;left:2780;top:714;width:1020;height:1215" coordorigin="2781,714" coordsize="1020,1215" path="m3801,714l3687,776,3574,946,3461,1201,3347,1318,3234,1425,3121,1567,3007,1694,2894,1829,2781,1897,2894,1929,3007,1894,3121,1840,3234,1731,3347,1651,3461,1545,3574,1308,3687,1156,3801,1106,3801,714xe" filled="true" fillcolor="#309d7d" stroked="false">
              <v:path arrowok="t"/>
              <v:fill type="solid"/>
            </v:shape>
            <v:shape style="position:absolute;left:2780;top:784;width:1020;height:1133" coordorigin="2781,784" coordsize="1020,1133" path="m3801,784l3687,845,3574,1014,3461,1267,3347,1384,3234,1486,3121,1621,3007,1735,2894,1851,2781,1900,2894,1916,3007,1866,3121,1801,3234,1688,3347,1603,3461,1494,3574,1252,3687,1094,3801,1041,3801,784xe" filled="true" fillcolor="#00936f" stroked="false">
              <v:path arrowok="t"/>
              <v:fill type="solid"/>
            </v:shape>
            <v:shape style="position:absolute;left:2780;top:847;width:1020;height:1053" coordorigin="2781,848" coordsize="1020,1053" path="m3801,848l3687,907,3574,1074,3461,1324,3347,1439,3234,1537,3121,1667,3007,1768,2894,1868,2781,1900,2894,1900,3007,1834,3121,1756,3234,1638,3347,1548,3461,1438,3574,1194,3687,1033,3801,978,3801,848xe" filled="true" fillcolor="#008256" stroked="false">
              <v:path arrowok="t"/>
              <v:fill type="solid"/>
            </v:shape>
            <v:shape style="position:absolute;left:843;top:533;width:74;height:421" coordorigin="843,533" coordsize="74,421" path="m843,954l917,954m843,533l917,533e" filled="false" stroked="true" strokeweight=".5pt" strokecolor="#231f20">
              <v:path arrowok="t"/>
              <v:stroke dashstyle="solid"/>
            </v:shape>
            <v:shape style="position:absolute;left:966;top:524;width:680;height:880" coordorigin="967,524" coordsize="680,880" path="m1080,902l967,524m1193,1314l1080,902m1307,1404l1193,1314m1420,1156l1307,1404m1533,1171l1420,1156m1647,1125l1533,1171e" filled="false" stroked="true" strokeweight="1pt" strokecolor="#008256">
              <v:path arrowok="t"/>
              <v:stroke dashstyle="solid"/>
            </v:shape>
            <v:line style="position:absolute" from="1637,1118" to="1770,1118" stroked="true" strokeweight="1.644pt" strokecolor="#008256">
              <v:stroke dashstyle="solid"/>
            </v:line>
            <v:shape style="position:absolute;left:1760;top:563;width:1020;height:1334" coordorigin="1760,564" coordsize="1020,1334" path="m1873,1010l1760,1112m1987,716l1873,1010m2100,615l1987,716m2213,564l2100,615m2327,927l2213,564m2440,1234l2327,927m2553,1459l2440,1234m2667,1763l2553,1459m2780,1897l2667,1763e" filled="false" stroked="true" strokeweight="1pt" strokecolor="#008256">
              <v:path arrowok="t"/>
              <v:stroke dashstyle="solid"/>
            </v:shape>
            <v:shape style="position:absolute;left:2780;top:907;width:1020;height:989" coordorigin="2780,908" coordsize="1020,989" path="m2893,1882l2780,1897m3007,1801l2893,1882m3120,1712l3007,1801m3233,1588l3120,1712m3347,1495l3233,1588m3460,1381l3347,1495m3573,1132l3460,1381m3687,966l3573,1132m3800,908l3687,966e" filled="false" stroked="true" strokeweight=".5pt" strokecolor="#008256">
              <v:path arrowok="t"/>
              <v:stroke dashstyle="solid"/>
            </v:shape>
            <v:shape style="position:absolute;left:843;top:77;width:2962;height:2175"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9"/>
                      <w:rPr>
                        <w:sz w:val="15"/>
                      </w:rPr>
                    </w:pPr>
                  </w:p>
                  <w:p>
                    <w:pPr>
                      <w:tabs>
                        <w:tab w:pos="2956" w:val="left" w:leader="none"/>
                      </w:tabs>
                      <w:spacing w:before="1"/>
                      <w:ind w:left="0" w:right="0" w:firstLine="0"/>
                      <w:jc w:val="left"/>
                      <w:rPr>
                        <w:sz w:val="16"/>
                      </w:rPr>
                    </w:pPr>
                    <w:r>
                      <w:rPr>
                        <w:color w:val="231F20"/>
                        <w:sz w:val="16"/>
                        <w:u w:val="single" w:color="231F20"/>
                      </w:rPr>
                      <w:t> </w:t>
                      <w:tab/>
                    </w:r>
                  </w:p>
                </w:txbxContent>
              </v:textbox>
              <w10:wrap type="none"/>
            </v:shape>
            <w10:wrap type="none"/>
          </v:group>
        </w:pict>
      </w:r>
      <w:r>
        <w:rPr/>
        <w:pict>
          <v:line style="position:absolute;mso-position-horizontal-relative:page;mso-position-vertical-relative:paragraph;z-index:16032768" from="42.167pt,5.607163pt" to="45.85pt,5.607163pt" stroked="true" strokeweight=".5pt" strokecolor="#231f20">
            <v:stroke dashstyle="solid"/>
            <w10:wrap type="none"/>
          </v:line>
        </w:pict>
      </w:r>
      <w:r>
        <w:rPr/>
        <w:pict>
          <v:line style="position:absolute;mso-position-horizontal-relative:page;mso-position-vertical-relative:paragraph;z-index:16035840" from="199.600001pt,5.648164pt" to="195.067001pt,5.648164pt" stroked="true" strokeweight=".5pt" strokecolor="#231f20">
            <v:stroke dashstyle="solid"/>
            <w10:wrap type="none"/>
          </v:line>
        </w:pict>
      </w:r>
      <w:r>
        <w:rPr>
          <w:color w:val="231F20"/>
          <w:sz w:val="12"/>
        </w:rPr>
        <w:t>5</w:t>
      </w:r>
    </w:p>
    <w:p>
      <w:pPr>
        <w:pStyle w:val="BodyText"/>
        <w:rPr>
          <w:sz w:val="12"/>
        </w:rPr>
      </w:pPr>
    </w:p>
    <w:p>
      <w:pPr>
        <w:pStyle w:val="BodyText"/>
        <w:spacing w:before="5"/>
        <w:rPr>
          <w:sz w:val="11"/>
        </w:rPr>
      </w:pPr>
    </w:p>
    <w:p>
      <w:pPr>
        <w:spacing w:before="0"/>
        <w:ind w:left="0" w:right="353" w:firstLine="0"/>
        <w:jc w:val="right"/>
        <w:rPr>
          <w:sz w:val="12"/>
        </w:rPr>
      </w:pPr>
      <w:r>
        <w:rPr>
          <w:color w:val="231F20"/>
          <w:sz w:val="12"/>
        </w:rPr>
        <w:t>4</w:t>
      </w:r>
    </w:p>
    <w:p>
      <w:pPr>
        <w:pStyle w:val="BodyText"/>
        <w:spacing w:line="20" w:lineRule="exact"/>
        <w:ind w:left="3263"/>
        <w:rPr>
          <w:sz w:val="2"/>
        </w:rPr>
      </w:pPr>
      <w:r>
        <w:rPr>
          <w:sz w:val="2"/>
        </w:rPr>
        <w:pict>
          <v:group style="width:4.55pt;height:.5pt;mso-position-horizontal-relative:char;mso-position-vertical-relative:line" coordorigin="0,0" coordsize="91,10">
            <v:line style="position:absolute" from="91,5" to="0,5" stroked="true" strokeweight=".5pt" strokecolor="#231f20">
              <v:stroke dashstyle="solid"/>
            </v:line>
          </v:group>
        </w:pict>
      </w:r>
      <w:r>
        <w:rPr>
          <w:sz w:val="2"/>
        </w:rPr>
      </w:r>
    </w:p>
    <w:p>
      <w:pPr>
        <w:pStyle w:val="BodyText"/>
        <w:rPr>
          <w:sz w:val="12"/>
        </w:rPr>
      </w:pPr>
    </w:p>
    <w:p>
      <w:pPr>
        <w:pStyle w:val="BodyText"/>
        <w:spacing w:before="9"/>
        <w:rPr>
          <w:sz w:val="13"/>
        </w:rPr>
      </w:pPr>
    </w:p>
    <w:p>
      <w:pPr>
        <w:spacing w:before="1"/>
        <w:ind w:left="0" w:right="353" w:firstLine="0"/>
        <w:jc w:val="right"/>
        <w:rPr>
          <w:sz w:val="12"/>
        </w:rPr>
      </w:pPr>
      <w:r>
        <w:rPr/>
        <w:pict>
          <v:line style="position:absolute;mso-position-horizontal-relative:page;mso-position-vertical-relative:paragraph;z-index:16034816" from="199.932994pt,4.660771pt" to="195.399994pt,4.660771pt" stroked="true" strokeweight=".5pt" strokecolor="#231f20">
            <v:stroke dashstyle="solid"/>
            <w10:wrap type="none"/>
          </v:line>
        </w:pict>
      </w:r>
      <w:r>
        <w:rPr>
          <w:color w:val="231F20"/>
          <w:sz w:val="12"/>
        </w:rPr>
        <w:t>3</w:t>
      </w:r>
    </w:p>
    <w:p>
      <w:pPr>
        <w:pStyle w:val="BodyText"/>
        <w:rPr>
          <w:sz w:val="12"/>
        </w:rPr>
      </w:pPr>
    </w:p>
    <w:p>
      <w:pPr>
        <w:pStyle w:val="BodyText"/>
        <w:spacing w:before="9"/>
        <w:rPr>
          <w:sz w:val="13"/>
        </w:rPr>
      </w:pPr>
    </w:p>
    <w:p>
      <w:pPr>
        <w:spacing w:before="0"/>
        <w:ind w:left="0" w:right="353" w:firstLine="0"/>
        <w:jc w:val="right"/>
        <w:rPr>
          <w:sz w:val="12"/>
        </w:rPr>
      </w:pPr>
      <w:r>
        <w:rPr/>
        <w:pict>
          <v:line style="position:absolute;mso-position-horizontal-relative:page;mso-position-vertical-relative:paragraph;z-index:16032256" from="42.167pt,3.883556pt" to="45.85pt,3.883556pt" stroked="true" strokeweight=".5pt" strokecolor="#231f20">
            <v:stroke dashstyle="solid"/>
            <w10:wrap type="none"/>
          </v:line>
        </w:pict>
      </w:r>
      <w:r>
        <w:rPr/>
        <w:pict>
          <v:line style="position:absolute;mso-position-horizontal-relative:page;mso-position-vertical-relative:paragraph;z-index:16035328" from="195.399994pt,3.924556pt" to="199.932994pt,3.924556pt" stroked="true" strokeweight=".5pt" strokecolor="#231f20">
            <v:stroke dashstyle="solid"/>
            <w10:wrap type="none"/>
          </v:line>
        </w:pict>
      </w:r>
      <w:r>
        <w:rPr>
          <w:color w:val="231F20"/>
          <w:sz w:val="12"/>
        </w:rPr>
        <w:t>2</w:t>
      </w:r>
    </w:p>
    <w:p>
      <w:pPr>
        <w:pStyle w:val="BodyText"/>
        <w:rPr>
          <w:sz w:val="12"/>
        </w:rPr>
      </w:pPr>
    </w:p>
    <w:p>
      <w:pPr>
        <w:pStyle w:val="BodyText"/>
        <w:spacing w:before="3"/>
        <w:rPr>
          <w:sz w:val="10"/>
        </w:rPr>
      </w:pPr>
    </w:p>
    <w:p>
      <w:pPr>
        <w:spacing w:before="1"/>
        <w:ind w:left="0" w:right="353" w:firstLine="0"/>
        <w:jc w:val="right"/>
        <w:rPr>
          <w:sz w:val="12"/>
        </w:rPr>
      </w:pPr>
      <w:r>
        <w:rPr/>
        <w:pict>
          <v:line style="position:absolute;mso-position-horizontal-relative:page;mso-position-vertical-relative:paragraph;z-index:16031744" from="42.167pt,5.247158pt" to="45.85pt,5.247158pt" stroked="true" strokeweight=".5pt" strokecolor="#231f20">
            <v:stroke dashstyle="solid"/>
            <w10:wrap type="none"/>
          </v:line>
        </w:pict>
      </w:r>
      <w:r>
        <w:rPr/>
        <w:pict>
          <v:line style="position:absolute;mso-position-horizontal-relative:page;mso-position-vertical-relative:paragraph;z-index:16034304" from="195.399994pt,5.289157pt" to="199.932994pt,5.289157pt" stroked="true" strokeweight=".5pt" strokecolor="#231f20">
            <v:stroke dashstyle="solid"/>
            <w10:wrap type="none"/>
          </v:line>
        </w:pict>
      </w:r>
      <w:r>
        <w:rPr>
          <w:color w:val="231F20"/>
          <w:sz w:val="12"/>
        </w:rPr>
        <w:t>1</w:t>
      </w:r>
    </w:p>
    <w:p>
      <w:pPr>
        <w:spacing w:before="86"/>
        <w:ind w:left="0" w:right="403" w:firstLine="0"/>
        <w:jc w:val="right"/>
        <w:rPr>
          <w:sz w:val="16"/>
        </w:rPr>
      </w:pPr>
      <w:r>
        <w:rPr>
          <w:color w:val="231F20"/>
          <w:sz w:val="16"/>
          <w:u w:val="single" w:color="231F20"/>
        </w:rPr>
        <w:t>  </w:t>
      </w:r>
      <w:r>
        <w:rPr>
          <w:color w:val="231F20"/>
          <w:sz w:val="16"/>
        </w:rPr>
        <w:t>+</w:t>
      </w:r>
    </w:p>
    <w:p>
      <w:pPr>
        <w:spacing w:line="132" w:lineRule="exact" w:before="42"/>
        <w:ind w:left="3426" w:right="0" w:firstLine="0"/>
        <w:jc w:val="left"/>
        <w:rPr>
          <w:sz w:val="12"/>
        </w:rPr>
      </w:pPr>
      <w:r>
        <w:rPr>
          <w:color w:val="231F20"/>
          <w:sz w:val="12"/>
        </w:rPr>
        <w:t>0</w:t>
      </w:r>
    </w:p>
    <w:p>
      <w:pPr>
        <w:spacing w:line="178" w:lineRule="exact" w:before="0"/>
        <w:ind w:left="3346" w:right="0" w:firstLine="0"/>
        <w:jc w:val="left"/>
        <w:rPr>
          <w:sz w:val="16"/>
        </w:rPr>
      </w:pPr>
      <w:r>
        <w:rPr>
          <w:color w:val="231F20"/>
          <w:sz w:val="16"/>
        </w:rPr>
        <w:t>_</w:t>
      </w:r>
    </w:p>
    <w:p>
      <w:pPr>
        <w:spacing w:line="125" w:lineRule="exact" w:before="111"/>
        <w:ind w:left="3426" w:right="0" w:firstLine="0"/>
        <w:jc w:val="left"/>
        <w:rPr>
          <w:sz w:val="12"/>
        </w:rPr>
      </w:pPr>
      <w:r>
        <w:rPr/>
        <w:pict>
          <v:shape style="position:absolute;margin-left:42.221001pt;margin-top:3.237353pt;width:147.8pt;height:6.1pt;mso-position-horizontal-relative:page;mso-position-vertical-relative:paragraph;z-index:16031232" coordorigin="844,65" coordsize="2956,122" path="m967,186l3800,185m967,185l967,65m1080,185l1080,112m1193,185l1193,112m1307,185l1307,112m1420,185l1420,65m1533,185l1533,112m1647,185l1647,112m1760,185l1760,112m1873,185l1873,65m1987,185l1987,112m2100,185l2100,112m2213,185l2213,112m2327,185l2327,65m2440,185l2440,112m2553,185l2553,112m2667,185l2667,112m2780,185l2780,65m2893,185l2893,112m3007,185l3007,112m3120,185l3120,112m3233,66l3233,185m3347,185l3347,112m3460,185l3460,112m3573,185l3573,112m3687,185l3687,65m3800,185l3800,112m844,185l918,185e" filled="false" stroked="true" strokeweight=".5pt" strokecolor="#231f20">
            <v:path arrowok="t"/>
            <v:stroke dashstyle="solid"/>
            <w10:wrap type="none"/>
          </v:shape>
        </w:pict>
      </w:r>
      <w:r>
        <w:rPr/>
        <w:pict>
          <v:line style="position:absolute;mso-position-horizontal-relative:page;mso-position-vertical-relative:paragraph;z-index:16033792" from="199.932994pt,9.278353pt" to="195.399994pt,9.278353pt" stroked="true" strokeweight=".5pt" strokecolor="#231f20">
            <v:stroke dashstyle="solid"/>
            <w10:wrap type="none"/>
          </v:line>
        </w:pict>
      </w:r>
      <w:r>
        <w:rPr>
          <w:color w:val="231F20"/>
          <w:sz w:val="12"/>
        </w:rPr>
        <w:t>1</w:t>
      </w:r>
    </w:p>
    <w:p>
      <w:pPr>
        <w:tabs>
          <w:tab w:pos="933" w:val="left" w:leader="none"/>
          <w:tab w:pos="1413" w:val="left" w:leader="none"/>
          <w:tab w:pos="1866" w:val="left" w:leader="none"/>
          <w:tab w:pos="2313" w:val="left" w:leader="none"/>
          <w:tab w:pos="2693" w:val="left" w:leader="none"/>
        </w:tabs>
        <w:spacing w:line="125" w:lineRule="exact" w:before="0"/>
        <w:ind w:left="400" w:right="0" w:firstLine="0"/>
        <w:jc w:val="left"/>
        <w:rPr>
          <w:sz w:val="12"/>
        </w:rPr>
      </w:pPr>
      <w:r>
        <w:rPr>
          <w:color w:val="231F20"/>
          <w:sz w:val="12"/>
        </w:rPr>
        <w:t>1995</w:t>
        <w:tab/>
        <w:t>96</w:t>
        <w:tab/>
        <w:t>97</w:t>
        <w:tab/>
        <w:t>98</w:t>
        <w:tab/>
        <w:t>99</w:t>
        <w:tab/>
        <w:t>2000</w:t>
      </w:r>
      <w:r>
        <w:rPr>
          <w:color w:val="231F20"/>
          <w:spacing w:val="20"/>
          <w:sz w:val="12"/>
        </w:rPr>
        <w:t> </w:t>
      </w:r>
      <w:r>
        <w:rPr>
          <w:color w:val="231F20"/>
          <w:sz w:val="12"/>
        </w:rPr>
        <w:t>01</w:t>
      </w:r>
    </w:p>
    <w:p>
      <w:pPr>
        <w:pStyle w:val="BodyText"/>
        <w:rPr>
          <w:sz w:val="12"/>
        </w:rPr>
      </w:pPr>
    </w:p>
    <w:p>
      <w:pPr>
        <w:pStyle w:val="BodyText"/>
        <w:spacing w:before="1"/>
        <w:rPr>
          <w:sz w:val="16"/>
        </w:rPr>
      </w:pPr>
    </w:p>
    <w:p>
      <w:pPr>
        <w:spacing w:line="208" w:lineRule="auto" w:before="0"/>
        <w:ind w:left="150" w:right="363" w:firstLine="0"/>
        <w:jc w:val="left"/>
        <w:rPr>
          <w:sz w:val="12"/>
        </w:rPr>
      </w:pPr>
      <w:r>
        <w:rPr>
          <w:sz w:val="12"/>
        </w:rPr>
        <w:t>The fan chart depicting the probability distribution for output growth is rather like a contour map. At any given point during the forecast period, the depth of shading represents the height of the probability density function over a range of outcomes for output.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w:t>
      </w:r>
    </w:p>
    <w:p>
      <w:pPr>
        <w:spacing w:line="242" w:lineRule="auto" w:before="90"/>
        <w:ind w:left="130" w:right="138" w:firstLine="0"/>
        <w:jc w:val="left"/>
        <w:rPr>
          <w:sz w:val="24"/>
        </w:rPr>
      </w:pPr>
      <w:r>
        <w:rPr/>
        <w:br w:type="column"/>
      </w:r>
      <w:r>
        <w:rPr>
          <w:sz w:val="24"/>
        </w:rPr>
        <w:t>The Committee judges that the prospects for overall activity have changed relatively little from the February </w:t>
      </w:r>
      <w:r>
        <w:rPr>
          <w:i/>
          <w:sz w:val="24"/>
        </w:rPr>
        <w:t>Report</w:t>
      </w:r>
      <w:r>
        <w:rPr>
          <w:sz w:val="24"/>
        </w:rPr>
        <w:t>, although there are significant changes in some of the demand components. Stronger investment and the impact of lower interest rates have raised the central projection for domestic demand growth. But the additional stimulus to demand has been largely offset by a weaker outlook for net trade.</w:t>
      </w:r>
    </w:p>
    <w:p>
      <w:pPr>
        <w:pStyle w:val="BodyText"/>
        <w:spacing w:before="2"/>
        <w:rPr>
          <w:sz w:val="25"/>
        </w:rPr>
      </w:pPr>
    </w:p>
    <w:p>
      <w:pPr>
        <w:spacing w:line="242" w:lineRule="auto" w:before="1"/>
        <w:ind w:left="130" w:right="214" w:firstLine="0"/>
        <w:jc w:val="left"/>
        <w:rPr>
          <w:sz w:val="24"/>
        </w:rPr>
      </w:pPr>
      <w:r>
        <w:rPr>
          <w:sz w:val="24"/>
        </w:rPr>
        <w:t>The central projection is for the four-quarter growth rate of GDP at constant market prices to recover later this year from the current rate of between </w:t>
      </w:r>
      <w:r>
        <w:rPr>
          <w:position w:val="8"/>
          <w:sz w:val="12"/>
        </w:rPr>
        <w:t>1</w:t>
      </w:r>
      <w:r>
        <w:rPr>
          <w:sz w:val="24"/>
        </w:rPr>
        <w:t>/</w:t>
      </w:r>
      <w:r>
        <w:rPr>
          <w:sz w:val="12"/>
        </w:rPr>
        <w:t>2</w:t>
      </w:r>
      <w:r>
        <w:rPr>
          <w:sz w:val="24"/>
        </w:rPr>
        <w:t>% and 1%, as domestic demand growth strengthens, and to return to assumed trend rates by the middle of next year (see Chart 6.1).</w:t>
      </w:r>
      <w:r>
        <w:rPr>
          <w:position w:val="5"/>
          <w:sz w:val="16"/>
        </w:rPr>
        <w:t>(1) </w:t>
      </w:r>
      <w:r>
        <w:rPr>
          <w:sz w:val="24"/>
        </w:rPr>
        <w:t>The four-quarter growth rate continues to rise thereafter, as the period of weaker growth drops out of the calculation, before levelling off by the end of the two-year horizon.</w:t>
      </w:r>
    </w:p>
    <w:p>
      <w:pPr>
        <w:pStyle w:val="BodyText"/>
        <w:spacing w:before="3"/>
        <w:rPr>
          <w:sz w:val="25"/>
        </w:rPr>
      </w:pPr>
    </w:p>
    <w:p>
      <w:pPr>
        <w:spacing w:line="242" w:lineRule="auto" w:before="0"/>
        <w:ind w:left="130" w:right="152" w:firstLine="0"/>
        <w:jc w:val="left"/>
        <w:rPr>
          <w:sz w:val="24"/>
        </w:rPr>
      </w:pPr>
      <w:r>
        <w:rPr>
          <w:sz w:val="24"/>
        </w:rPr>
        <w:t>Recent survey evidence is consistent with the recovery</w:t>
      </w:r>
      <w:r>
        <w:rPr>
          <w:spacing w:val="-23"/>
          <w:sz w:val="24"/>
        </w:rPr>
        <w:t> </w:t>
      </w:r>
      <w:r>
        <w:rPr>
          <w:sz w:val="24"/>
        </w:rPr>
        <w:t>in growth in the central projection, as business confidence indicators on a broad front </w:t>
      </w:r>
      <w:r>
        <w:rPr>
          <w:spacing w:val="-3"/>
          <w:sz w:val="24"/>
        </w:rPr>
        <w:t>have </w:t>
      </w:r>
      <w:r>
        <w:rPr>
          <w:sz w:val="24"/>
        </w:rPr>
        <w:t>risen from the very weak levels of last autumn. Indeed, the survey indicators are consistent with quarterly growth rates having passed their trough.</w:t>
      </w:r>
    </w:p>
    <w:p>
      <w:pPr>
        <w:pStyle w:val="BodyText"/>
        <w:rPr>
          <w:sz w:val="25"/>
        </w:rPr>
      </w:pPr>
    </w:p>
    <w:p>
      <w:pPr>
        <w:spacing w:line="242" w:lineRule="auto" w:before="1"/>
        <w:ind w:left="130" w:right="148" w:firstLine="0"/>
        <w:jc w:val="left"/>
        <w:rPr>
          <w:sz w:val="24"/>
        </w:rPr>
      </w:pPr>
      <w:r>
        <w:rPr>
          <w:sz w:val="24"/>
        </w:rPr>
        <w:t>Although recent outturns for activity were broadly in </w:t>
      </w:r>
      <w:r>
        <w:rPr>
          <w:spacing w:val="-5"/>
          <w:sz w:val="24"/>
        </w:rPr>
        <w:t>line </w:t>
      </w:r>
      <w:r>
        <w:rPr>
          <w:sz w:val="24"/>
        </w:rPr>
        <w:t>with expectations, news on nominal variables over the past three months suggests that underlying inflationary pressures are weaker than previously thought. The exchange rate has risen appreciably. Broad money growth has continued to slow to a pace more consistent with the inflation target. Surveys of inflation expectations </w:t>
      </w:r>
      <w:r>
        <w:rPr>
          <w:spacing w:val="-3"/>
          <w:sz w:val="24"/>
        </w:rPr>
        <w:t>have </w:t>
      </w:r>
      <w:r>
        <w:rPr>
          <w:sz w:val="24"/>
        </w:rPr>
        <w:t>fallen further, which, other things being equal, should lead to lower growth in nominal wages and</w:t>
      </w:r>
      <w:r>
        <w:rPr>
          <w:spacing w:val="-1"/>
          <w:sz w:val="24"/>
        </w:rPr>
        <w:t> </w:t>
      </w:r>
      <w:r>
        <w:rPr>
          <w:sz w:val="24"/>
        </w:rPr>
        <w:t>prices.</w:t>
      </w:r>
    </w:p>
    <w:p>
      <w:pPr>
        <w:pStyle w:val="BodyText"/>
        <w:spacing w:before="5"/>
        <w:rPr>
          <w:sz w:val="25"/>
        </w:rPr>
      </w:pPr>
    </w:p>
    <w:p>
      <w:pPr>
        <w:spacing w:line="242" w:lineRule="auto" w:before="0"/>
        <w:ind w:left="130" w:right="214" w:firstLine="0"/>
        <w:jc w:val="left"/>
        <w:rPr>
          <w:sz w:val="24"/>
        </w:rPr>
      </w:pPr>
      <w:r>
        <w:rPr>
          <w:sz w:val="24"/>
        </w:rPr>
        <w:t>The Average Earnings Index (AEI) was reinstated in early March, following the review commissioned by the Chancellor. It will take time to implement all of the recommendations of the review and raise the quality of the index to the best statistical standards. In the interim, the index remains an uncertain guide. The revised AEI</w:t>
      </w:r>
    </w:p>
    <w:p>
      <w:pPr>
        <w:spacing w:after="0" w:line="242" w:lineRule="auto"/>
        <w:jc w:val="left"/>
        <w:rPr>
          <w:sz w:val="24"/>
        </w:rPr>
        <w:sectPr>
          <w:type w:val="continuous"/>
          <w:pgSz w:w="11900" w:h="16840"/>
          <w:pgMar w:top="1220" w:bottom="280" w:left="640" w:right="640"/>
          <w:cols w:num="2" w:equalWidth="0">
            <w:col w:w="3843" w:space="997"/>
            <w:col w:w="5780"/>
          </w:cols>
        </w:sectPr>
      </w:pPr>
    </w:p>
    <w:p>
      <w:pPr>
        <w:pStyle w:val="BodyText"/>
        <w:rPr>
          <w:sz w:val="20"/>
        </w:rPr>
      </w:pPr>
    </w:p>
    <w:p>
      <w:pPr>
        <w:spacing w:line="242" w:lineRule="auto" w:before="227"/>
        <w:ind w:left="4950" w:right="168" w:firstLine="0"/>
        <w:jc w:val="left"/>
        <w:rPr>
          <w:sz w:val="24"/>
        </w:rPr>
      </w:pPr>
      <w:r>
        <w:rPr>
          <w:sz w:val="24"/>
        </w:rPr>
        <w:t>suggests that nominal earnings growth fell more rapidly in the second half of 1998 than assumed at the time of the February </w:t>
      </w:r>
      <w:r>
        <w:rPr>
          <w:i/>
          <w:sz w:val="24"/>
        </w:rPr>
        <w:t>Report</w:t>
      </w:r>
      <w:r>
        <w:rPr>
          <w:sz w:val="24"/>
        </w:rPr>
        <w:t>, but from a higher peak in the spring. </w:t>
      </w:r>
      <w:r>
        <w:rPr>
          <w:spacing w:val="-4"/>
          <w:sz w:val="24"/>
        </w:rPr>
        <w:t>However, </w:t>
      </w:r>
      <w:r>
        <w:rPr>
          <w:sz w:val="24"/>
        </w:rPr>
        <w:t>the revised data for January and the preliminary estimate for February suggest that earnings growth may no longer be declining. In contrast, wage settlements in the private sector appear to be lower than</w:t>
      </w:r>
      <w:r>
        <w:rPr>
          <w:spacing w:val="-19"/>
          <w:sz w:val="24"/>
        </w:rPr>
        <w:t> </w:t>
      </w:r>
      <w:r>
        <w:rPr>
          <w:spacing w:val="-17"/>
          <w:sz w:val="24"/>
        </w:rPr>
        <w:t>a </w:t>
      </w:r>
      <w:r>
        <w:rPr>
          <w:sz w:val="24"/>
        </w:rPr>
        <w:t>year ago. It is possible that earnings growth remains substantially higher than settlements because of bonuses and merit-based </w:t>
      </w:r>
      <w:r>
        <w:rPr>
          <w:spacing w:val="-4"/>
          <w:sz w:val="24"/>
        </w:rPr>
        <w:t>pay, </w:t>
      </w:r>
      <w:r>
        <w:rPr>
          <w:sz w:val="24"/>
        </w:rPr>
        <w:t>although this is hard to assess given a statistical break in the information on irregular pay from February. Increases in the pay of some workers to meet the requirements of the National Minimum </w:t>
      </w:r>
      <w:r>
        <w:rPr>
          <w:spacing w:val="-4"/>
          <w:sz w:val="24"/>
        </w:rPr>
        <w:t>Wage, </w:t>
      </w:r>
      <w:r>
        <w:rPr>
          <w:sz w:val="24"/>
        </w:rPr>
        <w:t>outside the standard settlement, could also be a</w:t>
      </w:r>
      <w:r>
        <w:rPr>
          <w:spacing w:val="2"/>
          <w:sz w:val="24"/>
        </w:rPr>
        <w:t> </w:t>
      </w:r>
      <w:r>
        <w:rPr>
          <w:spacing w:val="-3"/>
          <w:sz w:val="24"/>
        </w:rPr>
        <w:t>factor.</w:t>
      </w:r>
    </w:p>
    <w:p>
      <w:pPr>
        <w:spacing w:line="242" w:lineRule="auto" w:before="18"/>
        <w:ind w:left="4950" w:right="206" w:firstLine="0"/>
        <w:jc w:val="left"/>
        <w:rPr>
          <w:sz w:val="24"/>
        </w:rPr>
      </w:pPr>
      <w:r>
        <w:rPr>
          <w:sz w:val="24"/>
        </w:rPr>
        <w:t>Other indicators are mixed: the Reward Index of earnings growth continued to slow in the first quarter, while the Federation of Recruitment and Employment Services survey reported an edging up of pay rates in April. Implementation of the public sector pay review bodies’ recommendations will </w:t>
      </w:r>
      <w:r>
        <w:rPr>
          <w:spacing w:val="-3"/>
          <w:sz w:val="24"/>
        </w:rPr>
        <w:t>have </w:t>
      </w:r>
      <w:r>
        <w:rPr>
          <w:sz w:val="24"/>
        </w:rPr>
        <w:t>added to earnings growth in the public sector from April. But overall, the evidence from earnings and settlements, together with information from the </w:t>
      </w:r>
      <w:r>
        <w:rPr>
          <w:spacing w:val="-3"/>
          <w:sz w:val="24"/>
        </w:rPr>
        <w:t>Bank’s </w:t>
      </w:r>
      <w:r>
        <w:rPr>
          <w:sz w:val="24"/>
        </w:rPr>
        <w:t>regional Agents, indicates </w:t>
      </w:r>
      <w:r>
        <w:rPr>
          <w:spacing w:val="-17"/>
          <w:sz w:val="24"/>
        </w:rPr>
        <w:t>a </w:t>
      </w:r>
      <w:r>
        <w:rPr>
          <w:sz w:val="24"/>
        </w:rPr>
        <w:t>weakening in nominal pay pressures. At the same time, the substantial reduction that has occurred in inflation expectations means that real earnings growth has fallen by less than nominal earnings growth and may on some measures </w:t>
      </w:r>
      <w:r>
        <w:rPr>
          <w:spacing w:val="-3"/>
          <w:sz w:val="24"/>
        </w:rPr>
        <w:t>have </w:t>
      </w:r>
      <w:r>
        <w:rPr>
          <w:sz w:val="24"/>
        </w:rPr>
        <w:t>risen.  The Committee has lowered further the central projection for nominal earnings growth since the February</w:t>
      </w:r>
      <w:r>
        <w:rPr>
          <w:spacing w:val="-2"/>
          <w:sz w:val="24"/>
        </w:rPr>
        <w:t> </w:t>
      </w:r>
      <w:r>
        <w:rPr>
          <w:i/>
          <w:sz w:val="24"/>
        </w:rPr>
        <w:t>Report</w:t>
      </w:r>
      <w:r>
        <w:rPr>
          <w:sz w:val="24"/>
        </w:rPr>
        <w:t>.</w:t>
      </w:r>
    </w:p>
    <w:p>
      <w:pPr>
        <w:pStyle w:val="BodyText"/>
        <w:spacing w:before="1"/>
        <w:rPr>
          <w:sz w:val="26"/>
        </w:rPr>
      </w:pPr>
    </w:p>
    <w:p>
      <w:pPr>
        <w:spacing w:line="242" w:lineRule="auto" w:before="0"/>
        <w:ind w:left="4950" w:right="335" w:firstLine="0"/>
        <w:jc w:val="both"/>
        <w:rPr>
          <w:sz w:val="24"/>
        </w:rPr>
      </w:pPr>
      <w:r>
        <w:rPr>
          <w:sz w:val="24"/>
        </w:rPr>
        <w:t>Over the past three months, employment has continued to rise, albeit at a slower pace than in the second half </w:t>
      </w:r>
      <w:r>
        <w:rPr>
          <w:spacing w:val="-9"/>
          <w:sz w:val="24"/>
        </w:rPr>
        <w:t>of </w:t>
      </w:r>
      <w:r>
        <w:rPr>
          <w:sz w:val="24"/>
        </w:rPr>
        <w:t>last </w:t>
      </w:r>
      <w:r>
        <w:rPr>
          <w:spacing w:val="-3"/>
          <w:sz w:val="24"/>
        </w:rPr>
        <w:t>year. </w:t>
      </w:r>
      <w:r>
        <w:rPr>
          <w:sz w:val="24"/>
        </w:rPr>
        <w:t>Unemployment has edged up from near</w:t>
      </w:r>
    </w:p>
    <w:p>
      <w:pPr>
        <w:spacing w:line="242" w:lineRule="auto" w:before="4"/>
        <w:ind w:left="4950" w:right="221" w:firstLine="0"/>
        <w:jc w:val="left"/>
        <w:rPr>
          <w:sz w:val="24"/>
        </w:rPr>
      </w:pPr>
      <w:r>
        <w:rPr>
          <w:sz w:val="24"/>
        </w:rPr>
        <w:t>20-year lows, partly as a greater number of previously inactive individuals have sought work. The central projection continues to assume that employment growth will slow further, and indeed that employment may fall for a time while output growth is below trend.</w:t>
      </w:r>
    </w:p>
    <w:p>
      <w:pPr>
        <w:pStyle w:val="BodyText"/>
        <w:spacing w:before="10"/>
        <w:rPr>
          <w:sz w:val="24"/>
        </w:rPr>
      </w:pPr>
    </w:p>
    <w:p>
      <w:pPr>
        <w:spacing w:line="242" w:lineRule="auto" w:before="0"/>
        <w:ind w:left="4950" w:right="165" w:firstLine="0"/>
        <w:jc w:val="left"/>
        <w:rPr>
          <w:sz w:val="24"/>
        </w:rPr>
      </w:pPr>
      <w:r>
        <w:rPr>
          <w:sz w:val="24"/>
        </w:rPr>
        <w:t>Productivity growth has an important influence on firms’ unit costs. As noted in the February </w:t>
      </w:r>
      <w:r>
        <w:rPr>
          <w:i/>
          <w:sz w:val="24"/>
        </w:rPr>
        <w:t>Report</w:t>
      </w:r>
      <w:r>
        <w:rPr>
          <w:sz w:val="24"/>
        </w:rPr>
        <w:t>, measured productivity growth has been below trend for several years. Moreover, productivity growth weakened further over the past year as employment continued to rise robustly when output growth was slowing. Various explanations for the recent behaviour of productivity have been reviewed further. In its central projection, the Committee has assumed that structural changes in the labour market have reduced the variability of productivity over the cycle. While the reforms are</w:t>
      </w:r>
    </w:p>
    <w:p>
      <w:pPr>
        <w:spacing w:after="0" w:line="242" w:lineRule="auto"/>
        <w:jc w:val="left"/>
        <w:rPr>
          <w:sz w:val="24"/>
        </w:rPr>
        <w:sectPr>
          <w:pgSz w:w="11900" w:h="16840"/>
          <w:pgMar w:header="586" w:footer="617" w:top="780" w:bottom="800" w:left="640" w:right="640"/>
        </w:sectPr>
      </w:pPr>
    </w:p>
    <w:p>
      <w:pPr>
        <w:pStyle w:val="BodyText"/>
        <w:rPr>
          <w:sz w:val="20"/>
        </w:rPr>
      </w:pPr>
    </w:p>
    <w:p>
      <w:pPr>
        <w:spacing w:line="242" w:lineRule="auto" w:before="227"/>
        <w:ind w:left="5000" w:right="101" w:firstLine="0"/>
        <w:jc w:val="left"/>
        <w:rPr>
          <w:sz w:val="24"/>
        </w:rPr>
      </w:pPr>
      <w:r>
        <w:rPr>
          <w:sz w:val="24"/>
        </w:rPr>
        <w:t>beneficial, they may have temporarily reduced measured productivity growth in recent years. Reforms may have encouraged firms to take on additional employees and to adjust hours worked more quickly than in the past, as well as leading to the creation of new jobs which may have lower than average levels of productivity. Although a natural corollary would be that firms would also reduce labour more quickly in a cyclical downturn, the combination of a relatively tight labour market and perceptions that the slowdown was likely to be relatively moderate may have pushed in the opposite direction in recent months. The Committee judges that productivity growth will return to its long-run historical average over the next two years, although the projected rise in measured productivity growth is somewhat less rapid than assumed in February.</w:t>
      </w:r>
    </w:p>
    <w:p>
      <w:pPr>
        <w:pStyle w:val="BodyText"/>
        <w:spacing w:before="1"/>
        <w:rPr>
          <w:sz w:val="26"/>
        </w:rPr>
      </w:pPr>
    </w:p>
    <w:p>
      <w:pPr>
        <w:spacing w:line="242" w:lineRule="auto" w:before="0"/>
        <w:ind w:left="5000" w:right="131" w:firstLine="0"/>
        <w:jc w:val="left"/>
        <w:rPr>
          <w:sz w:val="24"/>
        </w:rPr>
      </w:pPr>
      <w:r>
        <w:rPr>
          <w:sz w:val="24"/>
        </w:rPr>
        <w:t>Empirical evidence suggests that firms tend to lower prices in relation to weighted costs when demand falls relative to supply capacity, although the effect may take time to feed through </w:t>
      </w:r>
      <w:r>
        <w:rPr>
          <w:spacing w:val="-3"/>
          <w:sz w:val="24"/>
        </w:rPr>
        <w:t>fully. </w:t>
      </w:r>
      <w:r>
        <w:rPr>
          <w:sz w:val="24"/>
        </w:rPr>
        <w:t>The central projection remains that companies will reduce price-cost margins further in response to the period of weak growth through late 1998 and 1999.  The Committee judges the effects of a change in demand on pricing behaviour to be </w:t>
      </w:r>
      <w:r>
        <w:rPr>
          <w:spacing w:val="-3"/>
          <w:sz w:val="24"/>
        </w:rPr>
        <w:t>similar </w:t>
      </w:r>
      <w:r>
        <w:rPr>
          <w:sz w:val="24"/>
        </w:rPr>
        <w:t>on average over the cycle to the assumptions embodied in the February </w:t>
      </w:r>
      <w:r>
        <w:rPr>
          <w:i/>
          <w:sz w:val="24"/>
        </w:rPr>
        <w:t>Report</w:t>
      </w:r>
      <w:r>
        <w:rPr>
          <w:sz w:val="24"/>
        </w:rPr>
        <w:t>, but the central projection incorporates the view that a more flexible labour market has reduced the extent to which production is below its desired level, and hence the degree of downward pressure on margins. The Committee recognises that the cyclical behaviour of productivity and price-cost </w:t>
      </w:r>
      <w:r>
        <w:rPr>
          <w:spacing w:val="-4"/>
          <w:sz w:val="24"/>
        </w:rPr>
        <w:t>margins </w:t>
      </w:r>
      <w:r>
        <w:rPr>
          <w:sz w:val="24"/>
        </w:rPr>
        <w:t>is an area of considerable</w:t>
      </w:r>
      <w:r>
        <w:rPr>
          <w:spacing w:val="-3"/>
          <w:sz w:val="24"/>
        </w:rPr>
        <w:t> </w:t>
      </w:r>
      <w:r>
        <w:rPr>
          <w:sz w:val="24"/>
        </w:rPr>
        <w:t>uncertainty.</w:t>
      </w:r>
    </w:p>
    <w:p>
      <w:pPr>
        <w:pStyle w:val="BodyText"/>
        <w:spacing w:before="2"/>
        <w:rPr>
          <w:sz w:val="26"/>
        </w:rPr>
      </w:pPr>
    </w:p>
    <w:p>
      <w:pPr>
        <w:spacing w:line="242" w:lineRule="auto" w:before="0"/>
        <w:ind w:left="5000" w:right="95" w:firstLine="0"/>
        <w:jc w:val="left"/>
        <w:rPr>
          <w:sz w:val="24"/>
        </w:rPr>
      </w:pPr>
      <w:r>
        <w:rPr>
          <w:sz w:val="24"/>
        </w:rPr>
        <w:t>The Committee’s projection for the twelve-month RPIX inflation rate—based on the assumption that nominal interest rates are held constant at 5.25%—is shown in Chart 6.2.</w:t>
      </w:r>
      <w:r>
        <w:rPr>
          <w:position w:val="5"/>
          <w:sz w:val="16"/>
        </w:rPr>
        <w:t>(1) </w:t>
      </w:r>
      <w:r>
        <w:rPr>
          <w:sz w:val="24"/>
        </w:rPr>
        <w:t>It is presented alongside the projection from the February </w:t>
      </w:r>
      <w:r>
        <w:rPr>
          <w:i/>
          <w:sz w:val="24"/>
        </w:rPr>
        <w:t>Report</w:t>
      </w:r>
      <w:r>
        <w:rPr>
          <w:sz w:val="24"/>
        </w:rPr>
        <w:t>, which was based on constant interest rates at 5.5%.</w:t>
      </w:r>
    </w:p>
    <w:p>
      <w:pPr>
        <w:pStyle w:val="BodyText"/>
        <w:spacing w:before="11"/>
        <w:rPr>
          <w:sz w:val="24"/>
        </w:rPr>
      </w:pPr>
    </w:p>
    <w:p>
      <w:pPr>
        <w:spacing w:line="242" w:lineRule="auto" w:before="0"/>
        <w:ind w:left="5000" w:right="95" w:firstLine="0"/>
        <w:jc w:val="left"/>
        <w:rPr>
          <w:sz w:val="24"/>
        </w:rPr>
      </w:pPr>
      <w:r>
        <w:rPr>
          <w:sz w:val="24"/>
        </w:rPr>
        <w:t>There are some differences between the current inflation profile and that shown in February. The starting-point is slightly higher than in February, although this is entirely owing to the temporary effects on duties from the timing of the Budget. As this effect drops out in the second quarter, RPIX inflation is a little weaker than in the earlier projection: the combination of lower non-oil commodity prices, a higher exchange rate and slower earnings growth more than offset the impact of higher oil</w:t>
      </w:r>
    </w:p>
    <w:p>
      <w:pPr>
        <w:spacing w:after="0" w:line="242" w:lineRule="auto"/>
        <w:jc w:val="left"/>
        <w:rPr>
          <w:sz w:val="24"/>
        </w:rPr>
        <w:sectPr>
          <w:pgSz w:w="11900" w:h="16840"/>
          <w:pgMar w:header="586" w:footer="1291" w:top="780" w:bottom="1400" w:left="640" w:right="640"/>
        </w:sectPr>
      </w:pPr>
    </w:p>
    <w:p>
      <w:pPr>
        <w:pStyle w:val="BodyText"/>
        <w:rPr>
          <w:sz w:val="20"/>
        </w:rPr>
      </w:pPr>
    </w:p>
    <w:p>
      <w:pPr>
        <w:spacing w:after="0"/>
        <w:rPr>
          <w:sz w:val="20"/>
        </w:rPr>
        <w:sectPr>
          <w:pgSz w:w="11900" w:h="16840"/>
          <w:pgMar w:header="586" w:footer="617" w:top="780" w:bottom="800" w:left="640" w:right="640"/>
        </w:sectPr>
      </w:pPr>
    </w:p>
    <w:p>
      <w:pPr>
        <w:pStyle w:val="BodyText"/>
        <w:spacing w:before="1"/>
        <w:rPr>
          <w:sz w:val="21"/>
        </w:rPr>
      </w:pPr>
    </w:p>
    <w:p>
      <w:pPr>
        <w:pStyle w:val="Heading4"/>
        <w:spacing w:before="0"/>
        <w:ind w:left="150"/>
      </w:pPr>
      <w:bookmarkStart w:name="_bookmark33" w:id="79"/>
      <w:bookmarkEnd w:id="79"/>
      <w:r>
        <w:rPr>
          <w:b w:val="0"/>
        </w:rPr>
      </w:r>
      <w:r>
        <w:rPr>
          <w:color w:val="0093C1"/>
        </w:rPr>
        <w:t>Chart 6.2</w:t>
      </w:r>
    </w:p>
    <w:p>
      <w:pPr>
        <w:pStyle w:val="Heading4"/>
        <w:spacing w:line="249" w:lineRule="auto"/>
        <w:ind w:left="150" w:right="229"/>
      </w:pPr>
      <w:r>
        <w:rPr>
          <w:color w:val="0093C1"/>
        </w:rPr>
        <w:t>Current RPIX inflation projection based on constant nominal interest rates at 5.25%</w:t>
      </w:r>
    </w:p>
    <w:p>
      <w:pPr>
        <w:spacing w:before="117"/>
        <w:ind w:left="1789" w:right="0" w:firstLine="0"/>
        <w:jc w:val="left"/>
        <w:rPr>
          <w:sz w:val="12"/>
        </w:rPr>
      </w:pPr>
      <w:r>
        <w:rPr/>
        <w:pict>
          <v:line style="position:absolute;mso-position-horizontal-relative:page;mso-position-vertical-relative:paragraph;z-index:16039424" from="40.596001pt,13.784748pt" to="45.129001pt,13.784748pt" stroked="true" strokeweight=".5pt" strokecolor="#231f20">
            <v:stroke dashstyle="solid"/>
            <w10:wrap type="none"/>
          </v:line>
        </w:pict>
      </w:r>
      <w:r>
        <w:rPr/>
        <w:pict>
          <v:line style="position:absolute;mso-position-horizontal-relative:page;mso-position-vertical-relative:paragraph;z-index:-21092352" from="226.746002pt,13.826748pt" to="231.279002pt,13.826748pt" stroked="true" strokeweight=".5pt" strokecolor="#231f20">
            <v:stroke dashstyle="solid"/>
            <w10:wrap type="none"/>
          </v:line>
        </w:pict>
      </w:r>
      <w:r>
        <w:rPr>
          <w:color w:val="231F20"/>
          <w:sz w:val="12"/>
        </w:rPr>
        <w:t>Percentage increase in prices on a year earlier </w:t>
      </w:r>
      <w:r>
        <w:rPr>
          <w:color w:val="231F20"/>
          <w:position w:val="-8"/>
          <w:sz w:val="12"/>
        </w:rPr>
        <w:t>5</w:t>
      </w:r>
    </w:p>
    <w:p>
      <w:pPr>
        <w:pStyle w:val="BodyText"/>
        <w:spacing w:before="1"/>
        <w:rPr>
          <w:sz w:val="21"/>
        </w:rPr>
      </w:pPr>
      <w:r>
        <w:rPr/>
        <w:br w:type="column"/>
      </w:r>
      <w:r>
        <w:rPr>
          <w:sz w:val="21"/>
        </w:rPr>
      </w:r>
    </w:p>
    <w:p>
      <w:pPr>
        <w:pStyle w:val="Heading4"/>
        <w:spacing w:before="0"/>
        <w:ind w:left="150"/>
      </w:pPr>
      <w:r>
        <w:rPr>
          <w:color w:val="0093C1"/>
        </w:rPr>
        <w:t>Chart 6.3</w:t>
      </w:r>
    </w:p>
    <w:p>
      <w:pPr>
        <w:pStyle w:val="Heading4"/>
        <w:spacing w:line="249" w:lineRule="auto"/>
        <w:ind w:left="150" w:right="1583"/>
      </w:pPr>
      <w:r>
        <w:rPr>
          <w:color w:val="0093C1"/>
        </w:rPr>
        <w:t>RPIX inflation projection in February based on constant nominal interest rates at 5.5%</w:t>
      </w:r>
    </w:p>
    <w:p>
      <w:pPr>
        <w:spacing w:line="116" w:lineRule="exact" w:before="92"/>
        <w:ind w:left="1957" w:right="0" w:firstLine="0"/>
        <w:jc w:val="left"/>
        <w:rPr>
          <w:sz w:val="12"/>
        </w:rPr>
      </w:pPr>
      <w:r>
        <w:rPr>
          <w:sz w:val="12"/>
        </w:rPr>
        <w:t>Percentage increase in prices on a year earlier</w:t>
      </w:r>
    </w:p>
    <w:p>
      <w:pPr>
        <w:spacing w:line="116" w:lineRule="exact" w:before="0"/>
        <w:ind w:left="4225" w:right="0" w:firstLine="0"/>
        <w:jc w:val="left"/>
        <w:rPr>
          <w:sz w:val="12"/>
        </w:rPr>
      </w:pPr>
      <w:r>
        <w:rPr/>
        <w:pict>
          <v:line style="position:absolute;mso-position-horizontal-relative:page;mso-position-vertical-relative:paragraph;z-index:16045568" from="282.044006pt,3.026879pt" to="287.453006pt,3.026879pt" stroked="true" strokeweight=".5pt" strokecolor="#231f20">
            <v:stroke dashstyle="solid"/>
            <w10:wrap type="none"/>
          </v:line>
        </w:pict>
      </w:r>
      <w:r>
        <w:rPr/>
        <w:pict>
          <v:line style="position:absolute;mso-position-horizontal-relative:page;mso-position-vertical-relative:paragraph;z-index:16048128" from="479.497013pt,3.026879pt" to="474.088013pt,3.026879pt" stroked="true" strokeweight=".5pt" strokecolor="#231f20">
            <v:stroke dashstyle="solid"/>
            <w10:wrap type="none"/>
          </v:line>
        </w:pict>
      </w:r>
      <w:r>
        <w:rPr>
          <w:sz w:val="12"/>
        </w:rPr>
        <w:t>5</w:t>
      </w:r>
    </w:p>
    <w:p>
      <w:pPr>
        <w:spacing w:after="0" w:line="116" w:lineRule="exact"/>
        <w:jc w:val="left"/>
        <w:rPr>
          <w:sz w:val="12"/>
        </w:rPr>
        <w:sectPr>
          <w:type w:val="continuous"/>
          <w:pgSz w:w="11900" w:h="16840"/>
          <w:pgMar w:top="1220" w:bottom="280" w:left="640" w:right="640"/>
          <w:cols w:num="2" w:equalWidth="0">
            <w:col w:w="4138" w:space="662"/>
            <w:col w:w="5820"/>
          </w:cols>
        </w:sectPr>
      </w:pPr>
    </w:p>
    <w:p>
      <w:pPr>
        <w:pStyle w:val="BodyText"/>
        <w:rPr>
          <w:sz w:val="20"/>
        </w:rPr>
      </w:pPr>
    </w:p>
    <w:p>
      <w:pPr>
        <w:pStyle w:val="BodyText"/>
        <w:spacing w:before="6"/>
      </w:pPr>
    </w:p>
    <w:p>
      <w:pPr>
        <w:tabs>
          <w:tab w:pos="9025" w:val="left" w:leader="none"/>
        </w:tabs>
        <w:spacing w:before="0"/>
        <w:ind w:left="4037" w:right="0" w:firstLine="0"/>
        <w:jc w:val="left"/>
        <w:rPr>
          <w:sz w:val="12"/>
        </w:rPr>
      </w:pPr>
      <w:r>
        <w:rPr/>
        <w:pict>
          <v:group style="position:absolute;margin-left:47.679001pt;margin-top:.536952pt;width:183.6pt;height:89.5pt;mso-position-horizontal-relative:page;mso-position-vertical-relative:paragraph;z-index:16036352" coordorigin="954,11" coordsize="3672,1790">
            <v:shape style="position:absolute;left:3205;top:10;width:1256;height:1790" coordorigin="3206,11" coordsize="1256,1790" path="m4461,11l4322,128,4182,305,4043,394,3903,481,3764,563,3624,597,3485,705,3345,794,3206,966,3345,1149,3485,1297,3624,1425,3764,1628,3903,1665,4043,1699,4182,1792,4322,1796,4461,1801,4461,11xe" filled="true" fillcolor="#fee7de" stroked="false">
              <v:path arrowok="t"/>
              <v:fill type="solid"/>
            </v:shape>
            <v:shape style="position:absolute;left:3205;top:226;width:1256;height:1419" coordorigin="3206,227" coordsize="1256,1419" path="m4461,227l4322,330,4182,485,4043,553,3903,626,3764,693,3624,697,3485,775,3345,834,3206,962,3345,1111,3485,1236,3624,1342,3764,1523,3903,1548,4043,1570,4182,1645,4322,1632,4461,1624,4461,227xe" filled="true" fillcolor="#fcd3c4" stroked="false">
              <v:path arrowok="t"/>
              <v:fill type="solid"/>
            </v:shape>
            <v:shape style="position:absolute;left:3205;top:379;width:1256;height:1166" coordorigin="3206,380" coordsize="1256,1166" path="m4461,380l4322,471,4182,608,4043,659,3903,719,3764,777,3624,762,3485,821,3345,861,3206,960,3345,1084,3485,1193,3624,1282,3764,1446,4043,1479,4182,1545,4322,1523,4461,1510,4461,380xe" filled="true" fillcolor="#fabeac" stroked="false">
              <v:path arrowok="t"/>
              <v:fill type="solid"/>
            </v:shape>
            <v:shape style="position:absolute;left:3205;top:499;width:1256;height:970" coordorigin="3206,500" coordsize="1256,970" path="m4461,500l4322,583,4182,708,4043,746,3903,798,3764,848,3624,817,3485,861,3345,886,3206,962,3345,1068,3485,1164,3624,1242,3764,1394,3903,1405,4043,1414,4182,1469,4322,1437,4461,1416,4461,500xe" filled="true" fillcolor="#f8aa95" stroked="false">
              <v:path arrowok="t"/>
              <v:fill type="solid"/>
            </v:shape>
            <v:shape style="position:absolute;left:3205;top:603;width:1256;height:803" coordorigin="3206,603" coordsize="1256,803" path="m4461,603l4322,679,4182,793,4043,820,3903,866,3764,909,3624,865,3485,896,3345,908,3206,964,3345,1054,3485,1140,3624,1206,3764,1348,3903,1353,4043,1358,4182,1406,4322,1366,4461,1341,4461,603xe" filled="true" fillcolor="#f69780" stroked="false">
              <v:path arrowok="t"/>
              <v:fill type="solid"/>
            </v:shape>
            <v:shape style="position:absolute;left:3205;top:697;width:1256;height:649" coordorigin="3206,698" coordsize="1256,649" path="m4461,698l4322,766,4182,870,4043,887,3903,925,3764,962,3624,906,3485,925,3345,925,3206,964,3345,1039,3485,1116,3624,1173,3764,1305,3903,1305,4043,1305,4182,1346,4322,1299,4461,1269,4461,698xe" filled="true" fillcolor="#f5846d" stroked="false">
              <v:path arrowok="t"/>
              <v:fill type="solid"/>
            </v:shape>
            <v:shape style="position:absolute;left:3205;top:778;width:1256;height:512" coordorigin="3206,779" coordsize="1256,512" path="m4461,779l4322,842,4182,939,4043,948,3903,982,3764,1013,3624,945,3485,953,3345,941,3206,961,3345,1024,3485,1092,3624,1141,3764,1265,3903,1261,4043,1257,4182,1290,4322,1236,4461,1201,4461,779xe" filled="true" fillcolor="#f3715b" stroked="false">
              <v:path arrowok="t"/>
              <v:fill type="solid"/>
            </v:shape>
            <v:shape style="position:absolute;left:3205;top:855;width:1256;height:381" coordorigin="3206,856" coordsize="1256,381" path="m4461,856l4322,914,4182,1004,4043,1006,3903,1035,3764,1061,3624,982,3485,979,3345,956,3206,961,3345,1011,3485,1071,3624,1111,3764,1227,3903,1219,4043,1209,4182,1236,4322,1175,4461,1135,4461,856xe" filled="true" fillcolor="#f15b4a" stroked="false">
              <v:path arrowok="t"/>
              <v:fill type="solid"/>
            </v:shape>
            <v:shape style="position:absolute;left:3205;top:939;width:1256;height:251" coordorigin="3206,939" coordsize="1256,251" path="m4461,939l4322,991,4182,1070,4043,1061,3764,1104,3624,1016,3485,1003,3345,971,3206,961,3345,999,3485,1051,3624,1083,3764,1190,3903,1178,4043,1165,4182,1186,4322,1119,4461,1076,4461,939xe" filled="true" fillcolor="#ed1b2d" stroked="false">
              <v:path arrowok="t"/>
              <v:fill type="solid"/>
            </v:shape>
            <v:shape style="position:absolute;left:969;top:715;width:279;height:110" coordorigin="970,716" coordsize="279,110" path="m1109,826l970,800m1109,826l1249,716e" filled="false" stroked="true" strokeweight="1pt" strokecolor="#ed1b2d">
              <v:path arrowok="t"/>
              <v:stroke dashstyle="solid"/>
            </v:shape>
            <v:line style="position:absolute" from="1239,719" to="1398,719" stroked="true" strokeweight="1.321pt" strokecolor="#ed1b2d">
              <v:stroke dashstyle="solid"/>
            </v:line>
            <v:shape style="position:absolute;left:1388;top:545;width:1674;height:411" coordorigin="1388,545" coordsize="1674,411" path="m1388,722l1528,777m1528,777l1667,803m1667,803l1807,752m1946,545l1807,752m1946,545l2086,758m2086,758l2225,939m2225,939l2365,774m2504,824l2365,774m2644,946l2504,824m2783,685l2644,946m2783,685l2923,934m2923,934l3062,956e" filled="false" stroked="true" strokeweight="1pt" strokecolor="#ed1b2d">
              <v:path arrowok="t"/>
              <v:stroke dashstyle="solid"/>
            </v:shape>
            <v:line style="position:absolute" from="3052,959" to="3212,959" stroked="true" strokeweight="1.299pt" strokecolor="#ed1b2d">
              <v:stroke dashstyle="solid"/>
            </v:line>
            <v:shape style="position:absolute;left:3201;top:962;width:1256;height:192" coordorigin="3202,962" coordsize="1256,192" path="m3341,988l3202,962m3481,1031l3341,988m3481,1031l3620,1055m3620,1055l3760,1153m3760,1153l3899,1137m4039,1121l3899,1137m4178,1136l4039,1121m4178,1136l4318,1065m4457,1018l4318,1065e" filled="false" stroked="true" strokeweight=".5pt" strokecolor="#ed1b2d">
              <v:path arrowok="t"/>
              <v:stroke dashstyle="solid"/>
            </v:shape>
            <v:shape style="position:absolute;left:953;top:968;width:3672;height:2" coordorigin="954,968" coordsize="3672,0" path="m954,968l4467,968m4535,968l4626,968e" filled="false" stroked="true" strokeweight=".5pt" strokecolor="#231f20">
              <v:path arrowok="t"/>
              <v:stroke dashstyle="solid"/>
            </v:shape>
            <w10:wrap type="none"/>
          </v:group>
        </w:pict>
      </w:r>
      <w:r>
        <w:rPr/>
        <w:pict>
          <v:line style="position:absolute;mso-position-horizontal-relative:page;mso-position-vertical-relative:paragraph;z-index:16038912" from="45.129001pt,4.101952pt" to="40.596001pt,4.101952pt" stroked="true" strokeweight=".5pt" strokecolor="#231f20">
            <v:stroke dashstyle="solid"/>
            <w10:wrap type="none"/>
          </v:line>
        </w:pict>
      </w:r>
      <w:r>
        <w:rPr/>
        <w:pict>
          <v:line style="position:absolute;mso-position-horizontal-relative:page;mso-position-vertical-relative:paragraph;z-index:16041472" from="231.279002pt,4.143952pt" to="226.746002pt,4.143952pt" stroked="true" strokeweight=".5pt" strokecolor="#231f20">
            <v:stroke dashstyle="solid"/>
            <w10:wrap type="none"/>
          </v:line>
        </w:pict>
      </w:r>
      <w:r>
        <w:rPr/>
        <w:pict>
          <v:group style="position:absolute;margin-left:289.458008pt;margin-top:4.726952pt;width:179.9pt;height:91.85pt;mso-position-horizontal-relative:page;mso-position-vertical-relative:paragraph;z-index:-21091840" coordorigin="5789,95" coordsize="3598,1837">
            <v:shape style="position:absolute;left:8043;top:94;width:1343;height:1837" coordorigin="8044,95" coordsize="1343,1837" path="m9387,95l9238,197,9088,245,8939,287,8790,317,8641,329,8492,461,8342,575,8193,791,8044,965,8193,1163,8342,1313,8492,1391,8641,1439,8790,1553,8939,1673,9088,1781,9238,1883,9387,1931,9387,95xe" filled="true" fillcolor="#fee7de" stroked="false">
              <v:path arrowok="t"/>
              <v:fill type="solid"/>
            </v:shape>
            <v:shape style="position:absolute;left:8043;top:285;width:1343;height:1429" coordorigin="8044,286" coordsize="1343,1429" path="m9387,286l9238,376,9088,412,8939,442,8790,460,8641,454,8492,568,8342,658,8193,832,8044,964,8193,1120,8342,1234,8492,1288,8641,1318,8790,1421,8939,1517,9088,1607,9238,1691,9387,1715,9387,286xe" filled="true" fillcolor="#fcd3c4" stroked="false">
              <v:path arrowok="t"/>
              <v:fill type="solid"/>
            </v:shape>
            <v:shape style="position:absolute;left:8043;top:412;width:1343;height:1159" coordorigin="8044,413" coordsize="1343,1159" path="m9387,413l9238,497,9088,527,8939,545,8790,557,8641,545,8492,641,8342,719,8193,863,8044,965,8193,1097,8342,1187,8492,1229,8641,1247,8790,1337,8939,1421,9088,1493,9238,1559,9387,1572,9387,413xe" filled="true" fillcolor="#fabeac" stroked="false">
              <v:path arrowok="t"/>
              <v:fill type="solid"/>
            </v:shape>
            <v:shape style="position:absolute;left:8043;top:508;width:1343;height:943" coordorigin="8044,509" coordsize="1343,943" path="m9387,509l9238,587,9088,611,8939,629,8790,635,8641,617,8492,701,8342,761,8193,887,8044,965,8193,1079,8342,1139,8492,1175,8641,1181,8790,1265,8939,1337,9088,1397,9238,1451,9387,1451,9387,509xe" filled="true" fillcolor="#f8aa95" stroked="false">
              <v:path arrowok="t"/>
              <v:fill type="solid"/>
            </v:shape>
            <v:shape style="position:absolute;left:8043;top:595;width:1343;height:769" coordorigin="8044,596" coordsize="1343,769" path="m9387,596l9238,668,9088,686,8939,698,8790,698,8641,668,8492,746,8342,800,8193,902,8044,962,8193,1058,8342,1106,8492,1130,8641,1130,8790,1208,8939,1268,9088,1322,9238,1364,9387,1352,9387,596xe" filled="true" fillcolor="#f69780" stroked="false">
              <v:path arrowok="t"/>
              <v:fill type="solid"/>
            </v:shape>
            <v:shape style="position:absolute;left:8043;top:677;width:1343;height:607" coordorigin="8044,677" coordsize="1343,607" path="m9387,677l9238,743,9088,761,8790,761,8641,725,8492,797,8342,839,8193,924,8044,966,8193,1044,8342,1080,8492,1092,8641,1086,8790,1158,9088,1254,9238,1284,9387,1266,9387,677xe" filled="true" fillcolor="#f5846d" stroked="false">
              <v:path arrowok="t"/>
              <v:fill type="solid"/>
            </v:shape>
            <v:shape style="position:absolute;left:8043;top:747;width:1343;height:463" coordorigin="8044,747" coordsize="1343,463" path="m9387,747l9238,813,9088,819,8939,819,8790,813,8641,777,8492,831,8342,867,8193,940,8044,964,8193,1030,8342,1048,8492,1054,8641,1042,8790,1108,8939,1150,9088,1186,9238,1210,9387,1180,9387,747xe" filled="true" fillcolor="#f3715b" stroked="false">
              <v:path arrowok="t"/>
              <v:fill type="solid"/>
            </v:shape>
            <v:shape style="position:absolute;left:8043;top:812;width:1343;height:325" coordorigin="8044,813" coordsize="1343,325" path="m9387,813l9238,873,9088,879,8939,879,8790,867,8641,825,8492,873,8342,903,8193,957,8044,963,8193,1011,8342,1017,8492,1017,8641,993,8790,1059,8939,1095,9088,1119,9238,1137,9387,1101,9387,813xe" filled="true" fillcolor="#f15b4a" stroked="false">
              <v:path arrowok="t"/>
              <v:fill type="solid"/>
            </v:shape>
            <v:shape style="position:absolute;left:8043;top:874;width:1343;height:199" coordorigin="8044,874" coordsize="1343,199" path="m8644,874l8495,916,8342,934,8193,976,8044,964,8193,1000,8492,988,8641,958,8790,1018,8939,1042,9088,1060,9238,1073,9387,1024,9387,880,9238,940,9088,940,8939,934,8790,922,8644,874xe" filled="true" fillcolor="#ed1b2d" stroked="false">
              <v:path arrowok="t"/>
              <v:fill type="solid"/>
            </v:shape>
            <v:shape style="position:absolute;left:5799;top:723;width:301;height:109" coordorigin="5799,724" coordsize="301,109" path="m5801,808l5799,811m5950,832l5801,808m6099,724l5950,832e" filled="false" stroked="true" strokeweight="1pt" strokecolor="#ed1b2d">
              <v:path arrowok="t"/>
              <v:stroke dashstyle="solid"/>
            </v:shape>
            <v:line style="position:absolute" from="6089,727" to="6259,727" stroked="true" strokeweight="1.3pt" strokecolor="#ed1b2d">
              <v:stroke dashstyle="solid"/>
            </v:line>
            <v:shape style="position:absolute;left:6248;top:549;width:1791;height:415" coordorigin="6249,549" coordsize="1791,415" path="m6398,784l6249,730m6547,808l6398,784m6696,760l6547,808m6845,549l6696,760m6995,766l6845,549m7144,946l6995,766m7293,778l7144,946m7442,832l7293,778m7591,952l7442,832m7741,688l7591,952m7890,940l7741,688m8039,964l7890,940e" filled="false" stroked="true" strokeweight="1pt" strokecolor="#ed1b2d">
              <v:path arrowok="t"/>
              <v:stroke dashstyle="solid"/>
            </v:shape>
            <v:line style="position:absolute" from="5801,982" to="9383,982" stroked="true" strokeweight=".5pt" strokecolor="#000000">
              <v:stroke dashstyle="solid"/>
            </v:line>
            <w10:wrap type="none"/>
          </v:group>
        </w:pict>
      </w:r>
      <w:r>
        <w:rPr/>
        <w:pict>
          <v:line style="position:absolute;mso-position-horizontal-relative:page;mso-position-vertical-relative:paragraph;z-index:-21089280" from="282.044006pt,4.058952pt" to="287.453006pt,4.058952pt" stroked="true" strokeweight=".5pt" strokecolor="#231f20">
            <v:stroke dashstyle="solid"/>
            <w10:wrap type="none"/>
          </v:line>
        </w:pict>
      </w:r>
      <w:r>
        <w:rPr/>
        <w:pict>
          <v:line style="position:absolute;mso-position-horizontal-relative:page;mso-position-vertical-relative:paragraph;z-index:-21086720" from="479.497013pt,4.058952pt" to="474.088013pt,4.058952pt" stroked="true" strokeweight=".5pt" strokecolor="#231f20">
            <v:stroke dashstyle="solid"/>
            <w10:wrap type="none"/>
          </v:line>
        </w:pict>
      </w:r>
      <w:r>
        <w:rPr>
          <w:color w:val="231F20"/>
          <w:sz w:val="12"/>
        </w:rPr>
        <w:t>4</w:t>
        <w:tab/>
      </w:r>
      <w:r>
        <w:rPr>
          <w:position w:val="1"/>
          <w:sz w:val="12"/>
        </w:rPr>
        <w:t>4</w:t>
      </w:r>
    </w:p>
    <w:p>
      <w:pPr>
        <w:pStyle w:val="BodyText"/>
        <w:rPr>
          <w:sz w:val="20"/>
        </w:rPr>
      </w:pPr>
    </w:p>
    <w:p>
      <w:pPr>
        <w:pStyle w:val="BodyText"/>
        <w:spacing w:before="10"/>
      </w:pPr>
    </w:p>
    <w:p>
      <w:pPr>
        <w:tabs>
          <w:tab w:pos="9025" w:val="left" w:leader="none"/>
        </w:tabs>
        <w:spacing w:before="0"/>
        <w:ind w:left="4037" w:right="0" w:firstLine="0"/>
        <w:jc w:val="left"/>
        <w:rPr>
          <w:sz w:val="12"/>
        </w:rPr>
      </w:pPr>
      <w:r>
        <w:rPr/>
        <w:pict>
          <v:line style="position:absolute;mso-position-horizontal-relative:page;mso-position-vertical-relative:paragraph;z-index:16038400" from="45.129001pt,4.101371pt" to="40.596001pt,4.101371pt" stroked="true" strokeweight=".5pt" strokecolor="#231f20">
            <v:stroke dashstyle="solid"/>
            <w10:wrap type="none"/>
          </v:line>
        </w:pict>
      </w:r>
      <w:r>
        <w:rPr/>
        <w:pict>
          <v:line style="position:absolute;mso-position-horizontal-relative:page;mso-position-vertical-relative:paragraph;z-index:16040960" from="231.279002pt,4.143371pt" to="226.746002pt,4.143371pt" stroked="true" strokeweight=".5pt" strokecolor="#231f20">
            <v:stroke dashstyle="solid"/>
            <w10:wrap type="none"/>
          </v:line>
        </w:pict>
      </w:r>
      <w:r>
        <w:rPr/>
        <w:pict>
          <v:line style="position:absolute;mso-position-horizontal-relative:page;mso-position-vertical-relative:paragraph;z-index:-21089792" from="282.044006pt,4.341371pt" to="287.453006pt,4.341371pt" stroked="true" strokeweight=".5pt" strokecolor="#231f20">
            <v:stroke dashstyle="solid"/>
            <w10:wrap type="none"/>
          </v:line>
        </w:pict>
      </w:r>
      <w:r>
        <w:rPr/>
        <w:pict>
          <v:line style="position:absolute;mso-position-horizontal-relative:page;mso-position-vertical-relative:paragraph;z-index:-21087232" from="479.497013pt,4.341371pt" to="474.088013pt,4.341371pt" stroked="true" strokeweight=".5pt" strokecolor="#231f20">
            <v:stroke dashstyle="solid"/>
            <w10:wrap type="none"/>
          </v:line>
        </w:pict>
      </w:r>
      <w:r>
        <w:rPr>
          <w:color w:val="231F20"/>
          <w:sz w:val="12"/>
        </w:rPr>
        <w:t>3</w:t>
        <w:tab/>
      </w:r>
      <w:r>
        <w:rPr>
          <w:position w:val="1"/>
          <w:sz w:val="12"/>
        </w:rPr>
        <w:t>3</w:t>
      </w:r>
    </w:p>
    <w:p>
      <w:pPr>
        <w:pStyle w:val="BodyText"/>
        <w:spacing w:before="6"/>
        <w:rPr>
          <w:sz w:val="13"/>
        </w:rPr>
      </w:pPr>
    </w:p>
    <w:p>
      <w:pPr>
        <w:tabs>
          <w:tab w:pos="9036" w:val="left" w:leader="none"/>
        </w:tabs>
        <w:spacing w:before="0"/>
        <w:ind w:left="4037" w:right="0" w:firstLine="0"/>
        <w:jc w:val="left"/>
        <w:rPr>
          <w:sz w:val="12"/>
        </w:rPr>
      </w:pPr>
      <w:r>
        <w:rPr/>
        <w:pict>
          <v:line style="position:absolute;mso-position-horizontal-relative:page;mso-position-vertical-relative:paragraph;z-index:-21085696" from="479.630008pt,4.173565pt" to="474.221008pt,4.173565pt" stroked="true" strokeweight=".5pt" strokecolor="#000000">
            <v:stroke dashstyle="solid"/>
            <w10:wrap type="none"/>
          </v:line>
        </w:pict>
      </w:r>
      <w:r>
        <w:rPr>
          <w:color w:val="231F20"/>
          <w:sz w:val="12"/>
        </w:rPr>
        <w:t>2.5</w:t>
        <w:tab/>
      </w:r>
      <w:r>
        <w:rPr>
          <w:position w:val="1"/>
          <w:sz w:val="12"/>
        </w:rPr>
        <w:t>2.5</w:t>
      </w:r>
    </w:p>
    <w:p>
      <w:pPr>
        <w:pStyle w:val="BodyText"/>
        <w:spacing w:before="4"/>
        <w:rPr>
          <w:sz w:val="13"/>
        </w:rPr>
      </w:pPr>
    </w:p>
    <w:p>
      <w:pPr>
        <w:tabs>
          <w:tab w:pos="9025" w:val="left" w:leader="none"/>
        </w:tabs>
        <w:spacing w:before="0"/>
        <w:ind w:left="4037" w:right="0" w:firstLine="0"/>
        <w:jc w:val="left"/>
        <w:rPr>
          <w:sz w:val="12"/>
        </w:rPr>
      </w:pPr>
      <w:r>
        <w:rPr/>
        <w:pict>
          <v:line style="position:absolute;mso-position-horizontal-relative:page;mso-position-vertical-relative:paragraph;z-index:16037888" from="40.596001pt,3.580939pt" to="45.129001pt,3.580939pt" stroked="true" strokeweight=".5pt" strokecolor="#231f20">
            <v:stroke dashstyle="solid"/>
            <w10:wrap type="none"/>
          </v:line>
        </w:pict>
      </w:r>
      <w:r>
        <w:rPr/>
        <w:pict>
          <v:line style="position:absolute;mso-position-horizontal-relative:page;mso-position-vertical-relative:paragraph;z-index:16040448" from="226.746002pt,3.622938pt" to="231.279002pt,3.622938pt" stroked="true" strokeweight=".5pt" strokecolor="#231f20">
            <v:stroke dashstyle="solid"/>
            <w10:wrap type="none"/>
          </v:line>
        </w:pict>
      </w:r>
      <w:r>
        <w:rPr/>
        <w:pict>
          <v:line style="position:absolute;mso-position-horizontal-relative:page;mso-position-vertical-relative:paragraph;z-index:-21090304" from="282.044006pt,4.101938pt" to="287.453006pt,4.101938pt" stroked="true" strokeweight=".5pt" strokecolor="#231f20">
            <v:stroke dashstyle="solid"/>
            <w10:wrap type="none"/>
          </v:line>
        </w:pict>
      </w:r>
      <w:r>
        <w:rPr/>
        <w:pict>
          <v:line style="position:absolute;mso-position-horizontal-relative:page;mso-position-vertical-relative:paragraph;z-index:-21087744" from="479.497013pt,4.101938pt" to="474.088013pt,4.101938pt" stroked="true" strokeweight=".5pt" strokecolor="#231f20">
            <v:stroke dashstyle="solid"/>
            <w10:wrap type="none"/>
          </v:line>
        </w:pict>
      </w:r>
      <w:r>
        <w:rPr>
          <w:color w:val="231F20"/>
          <w:sz w:val="12"/>
        </w:rPr>
        <w:t>2</w:t>
        <w:tab/>
      </w:r>
      <w:r>
        <w:rPr>
          <w:sz w:val="12"/>
        </w:rPr>
        <w:t>2</w:t>
      </w:r>
    </w:p>
    <w:p>
      <w:pPr>
        <w:pStyle w:val="BodyText"/>
        <w:rPr>
          <w:sz w:val="20"/>
        </w:rPr>
      </w:pPr>
    </w:p>
    <w:p>
      <w:pPr>
        <w:pStyle w:val="BodyText"/>
        <w:spacing w:before="4"/>
        <w:rPr>
          <w:sz w:val="19"/>
        </w:rPr>
      </w:pPr>
    </w:p>
    <w:p>
      <w:pPr>
        <w:tabs>
          <w:tab w:pos="9025" w:val="left" w:leader="none"/>
        </w:tabs>
        <w:spacing w:before="0"/>
        <w:ind w:left="4037" w:right="0" w:firstLine="0"/>
        <w:jc w:val="left"/>
        <w:rPr>
          <w:sz w:val="12"/>
        </w:rPr>
      </w:pPr>
      <w:r>
        <w:rPr/>
        <w:pict>
          <v:line style="position:absolute;mso-position-horizontal-relative:page;mso-position-vertical-relative:paragraph;z-index:16037376" from="45.129001pt,3.797764pt" to="40.596001pt,3.797764pt" stroked="true" strokeweight=".5pt" strokecolor="#231f20">
            <v:stroke dashstyle="solid"/>
            <w10:wrap type="none"/>
          </v:line>
        </w:pict>
      </w:r>
      <w:r>
        <w:rPr/>
        <w:pict>
          <v:line style="position:absolute;mso-position-horizontal-relative:page;mso-position-vertical-relative:paragraph;z-index:16039936" from="231.279002pt,3.839764pt" to="226.746002pt,3.839764pt" stroked="true" strokeweight=".5pt" strokecolor="#231f20">
            <v:stroke dashstyle="solid"/>
            <w10:wrap type="none"/>
          </v:line>
        </w:pict>
      </w:r>
      <w:r>
        <w:rPr/>
        <w:pict>
          <v:line style="position:absolute;mso-position-horizontal-relative:page;mso-position-vertical-relative:paragraph;z-index:-21090816" from="282.044006pt,4.599764pt" to="287.453006pt,4.599764pt" stroked="true" strokeweight=".5pt" strokecolor="#231f20">
            <v:stroke dashstyle="solid"/>
            <w10:wrap type="none"/>
          </v:line>
        </w:pict>
      </w:r>
      <w:r>
        <w:rPr/>
        <w:pict>
          <v:line style="position:absolute;mso-position-horizontal-relative:page;mso-position-vertical-relative:paragraph;z-index:-21088256" from="479.497013pt,4.599764pt" to="474.088013pt,4.599764pt" stroked="true" strokeweight=".5pt" strokecolor="#231f20">
            <v:stroke dashstyle="solid"/>
            <w10:wrap type="none"/>
          </v:line>
        </w:pict>
      </w:r>
      <w:r>
        <w:rPr>
          <w:color w:val="231F20"/>
          <w:position w:val="1"/>
          <w:sz w:val="12"/>
        </w:rPr>
        <w:t>1</w:t>
        <w:tab/>
      </w:r>
      <w:r>
        <w:rPr>
          <w:sz w:val="12"/>
        </w:rPr>
        <w:t>1</w:t>
      </w:r>
    </w:p>
    <w:p>
      <w:pPr>
        <w:pStyle w:val="BodyText"/>
        <w:rPr>
          <w:sz w:val="20"/>
        </w:rPr>
      </w:pPr>
    </w:p>
    <w:p>
      <w:pPr>
        <w:spacing w:after="0"/>
        <w:rPr>
          <w:sz w:val="20"/>
        </w:rPr>
        <w:sectPr>
          <w:type w:val="continuous"/>
          <w:pgSz w:w="11900" w:h="16840"/>
          <w:pgMar w:top="1220" w:bottom="280" w:left="640" w:right="640"/>
        </w:sectPr>
      </w:pPr>
    </w:p>
    <w:p>
      <w:pPr>
        <w:pStyle w:val="BodyText"/>
        <w:rPr>
          <w:sz w:val="12"/>
        </w:rPr>
      </w:pPr>
    </w:p>
    <w:p>
      <w:pPr>
        <w:spacing w:line="132" w:lineRule="exact" w:before="82"/>
        <w:ind w:left="4037" w:right="0" w:firstLine="0"/>
        <w:jc w:val="left"/>
        <w:rPr>
          <w:sz w:val="12"/>
        </w:rPr>
      </w:pPr>
      <w:r>
        <w:rPr/>
        <w:pict>
          <v:shape style="position:absolute;margin-left:40.596001pt;margin-top:1.701565pt;width:190.7pt;height:6.05pt;mso-position-horizontal-relative:page;mso-position-vertical-relative:paragraph;z-index:16036864" coordorigin="812,34" coordsize="3814,121" path="m4467,154l979,154m970,34l970,154m1109,80l1109,154m1249,80l1249,154m1388,80l1388,154m1528,154l1528,34m1667,154l1667,80m1807,154l1807,80m1946,80l1946,154m2086,154l2086,34m2225,154l2225,80m2365,80l2365,154m2504,80l2504,154m2644,34l2644,154m2783,154l2783,80m2923,154l2923,80m3062,154l3062,80m3202,154l3202,34m3341,154l3341,80m3481,80l3481,154m3620,80l3620,154m3760,34l3760,154m3899,80l3899,154m4039,80l4039,154m4178,154l4178,80m4318,154l4318,34m4457,154l4457,80m903,154l812,154m4626,155l4535,155e" filled="false" stroked="true" strokeweight=".5pt" strokecolor="#231f20">
            <v:path arrowok="t"/>
            <v:stroke dashstyle="solid"/>
            <w10:wrap type="none"/>
          </v:shape>
        </w:pict>
      </w:r>
      <w:r>
        <w:rPr>
          <w:color w:val="231F20"/>
          <w:sz w:val="12"/>
        </w:rPr>
        <w:t>0</w:t>
      </w:r>
    </w:p>
    <w:p>
      <w:pPr>
        <w:tabs>
          <w:tab w:pos="1133" w:val="left" w:leader="none"/>
          <w:tab w:pos="1660" w:val="left" w:leader="none"/>
          <w:tab w:pos="2226" w:val="left" w:leader="none"/>
          <w:tab w:pos="2773" w:val="left" w:leader="none"/>
          <w:tab w:pos="3280" w:val="left" w:leader="none"/>
          <w:tab w:pos="3760" w:val="left" w:leader="none"/>
        </w:tabs>
        <w:spacing w:line="132" w:lineRule="exact" w:before="0"/>
        <w:ind w:left="460" w:right="0" w:firstLine="0"/>
        <w:jc w:val="left"/>
        <w:rPr>
          <w:sz w:val="12"/>
        </w:rPr>
      </w:pPr>
      <w:r>
        <w:rPr>
          <w:color w:val="231F20"/>
          <w:sz w:val="12"/>
        </w:rPr>
        <w:t>1995</w:t>
        <w:tab/>
        <w:t>96</w:t>
        <w:tab/>
        <w:t>97</w:t>
        <w:tab/>
        <w:t>98</w:t>
        <w:tab/>
        <w:t>99</w:t>
        <w:tab/>
        <w:t>2000</w:t>
        <w:tab/>
        <w:t>01</w:t>
      </w:r>
    </w:p>
    <w:p>
      <w:pPr>
        <w:pStyle w:val="BodyText"/>
        <w:rPr>
          <w:sz w:val="12"/>
        </w:rPr>
      </w:pPr>
      <w:r>
        <w:rPr/>
        <w:br w:type="column"/>
      </w:r>
      <w:r>
        <w:rPr>
          <w:sz w:val="12"/>
        </w:rPr>
      </w:r>
    </w:p>
    <w:p>
      <w:pPr>
        <w:pStyle w:val="BodyText"/>
        <w:rPr>
          <w:sz w:val="12"/>
        </w:rPr>
      </w:pPr>
    </w:p>
    <w:p>
      <w:pPr>
        <w:tabs>
          <w:tab w:pos="1112" w:val="left" w:leader="none"/>
        </w:tabs>
        <w:spacing w:before="98"/>
        <w:ind w:left="460" w:right="0" w:firstLine="0"/>
        <w:jc w:val="left"/>
        <w:rPr>
          <w:sz w:val="12"/>
        </w:rPr>
      </w:pPr>
      <w:r>
        <w:rPr>
          <w:sz w:val="12"/>
        </w:rPr>
        <w:t>1995</w:t>
        <w:tab/>
      </w:r>
      <w:r>
        <w:rPr>
          <w:spacing w:val="-10"/>
          <w:sz w:val="12"/>
        </w:rPr>
        <w:t>96</w:t>
      </w:r>
    </w:p>
    <w:p>
      <w:pPr>
        <w:pStyle w:val="BodyText"/>
        <w:rPr>
          <w:sz w:val="12"/>
        </w:rPr>
      </w:pPr>
      <w:r>
        <w:rPr/>
        <w:br w:type="column"/>
      </w:r>
      <w:r>
        <w:rPr>
          <w:sz w:val="12"/>
        </w:rPr>
      </w:r>
    </w:p>
    <w:p>
      <w:pPr>
        <w:pStyle w:val="BodyText"/>
        <w:rPr>
          <w:sz w:val="12"/>
        </w:rPr>
      </w:pPr>
    </w:p>
    <w:p>
      <w:pPr>
        <w:tabs>
          <w:tab w:pos="1031" w:val="left" w:leader="none"/>
        </w:tabs>
        <w:spacing w:before="98"/>
        <w:ind w:left="435" w:right="0" w:firstLine="0"/>
        <w:jc w:val="left"/>
        <w:rPr>
          <w:sz w:val="12"/>
        </w:rPr>
      </w:pPr>
      <w:r>
        <w:rPr>
          <w:sz w:val="12"/>
        </w:rPr>
        <w:t>97</w:t>
        <w:tab/>
      </w:r>
      <w:r>
        <w:rPr>
          <w:spacing w:val="-10"/>
          <w:sz w:val="12"/>
        </w:rPr>
        <w:t>98</w:t>
      </w:r>
    </w:p>
    <w:p>
      <w:pPr>
        <w:pStyle w:val="BodyText"/>
        <w:rPr>
          <w:sz w:val="12"/>
        </w:rPr>
      </w:pPr>
      <w:r>
        <w:rPr/>
        <w:br w:type="column"/>
      </w:r>
      <w:r>
        <w:rPr>
          <w:sz w:val="12"/>
        </w:rPr>
      </w:r>
    </w:p>
    <w:p>
      <w:pPr>
        <w:spacing w:before="94"/>
        <w:ind w:left="141" w:right="0" w:firstLine="0"/>
        <w:jc w:val="center"/>
        <w:rPr>
          <w:sz w:val="12"/>
        </w:rPr>
      </w:pPr>
      <w:r>
        <w:rPr>
          <w:sz w:val="12"/>
        </w:rPr>
        <w:t>0</w:t>
      </w:r>
    </w:p>
    <w:p>
      <w:pPr>
        <w:tabs>
          <w:tab w:pos="510" w:val="left" w:leader="none"/>
        </w:tabs>
        <w:spacing w:before="4"/>
        <w:ind w:left="0" w:right="1383" w:firstLine="0"/>
        <w:jc w:val="center"/>
        <w:rPr>
          <w:sz w:val="12"/>
        </w:rPr>
      </w:pPr>
      <w:r>
        <w:rPr/>
        <w:pict>
          <v:shape style="position:absolute;margin-left:282.044006pt;margin-top:-8.485409pt;width:187.3pt;height:5.85pt;mso-position-horizontal-relative:page;mso-position-vertical-relative:paragraph;z-index:16043008" coordorigin="5641,-170" coordsize="3746,117" path="m5803,-56l9383,-56m5803,-56l5803,-168m5948,-61l5948,-121m6099,-63l6099,-124m6247,-62l6247,-122m6397,-54l6397,-167m6550,-62l6550,-122m6696,-62l6696,-122m6842,-60l6842,-121m6994,-57l6994,-170m7145,-63l7145,-124m7292,-63l7292,-124m7442,-63l7442,-124m7589,-56l7589,-168m7736,-63l7736,-124m7890,-63l7890,-124m8037,-63l8037,-124m8191,-60l8191,-169m8343,-61l8343,-122m8489,-61l8489,-122m8637,-60l8637,-121m8789,-55l8789,-167m9237,-61l9237,-122m5641,-56l5749,-56m9084,-62l9084,-122m8934,-58l8934,-125m9386,-54l9386,-166e" filled="false" stroked="true" strokeweight=".5pt" strokecolor="#231f20">
            <v:path arrowok="t"/>
            <v:stroke dashstyle="solid"/>
            <w10:wrap type="none"/>
          </v:shape>
        </w:pict>
      </w:r>
      <w:r>
        <w:rPr/>
        <w:pict>
          <v:line style="position:absolute;mso-position-horizontal-relative:page;mso-position-vertical-relative:paragraph;z-index:16049152" from="479.458011pt,-3.191409pt" to="474.049011pt,-3.191409pt" stroked="true" strokeweight=".5pt" strokecolor="#000000">
            <v:stroke dashstyle="solid"/>
            <w10:wrap type="none"/>
          </v:line>
        </w:pict>
      </w:r>
      <w:r>
        <w:rPr>
          <w:sz w:val="12"/>
        </w:rPr>
        <w:t>99</w:t>
        <w:tab/>
        <w:t>2000 </w:t>
      </w:r>
      <w:r>
        <w:rPr>
          <w:spacing w:val="23"/>
          <w:sz w:val="12"/>
        </w:rPr>
        <w:t> </w:t>
      </w:r>
      <w:r>
        <w:rPr>
          <w:sz w:val="12"/>
        </w:rPr>
        <w:t>01</w:t>
      </w:r>
    </w:p>
    <w:p>
      <w:pPr>
        <w:spacing w:after="0"/>
        <w:jc w:val="center"/>
        <w:rPr>
          <w:sz w:val="12"/>
        </w:rPr>
        <w:sectPr>
          <w:type w:val="continuous"/>
          <w:pgSz w:w="11900" w:h="16840"/>
          <w:pgMar w:top="1220" w:bottom="280" w:left="640" w:right="640"/>
          <w:cols w:num="4" w:equalWidth="0">
            <w:col w:w="4138" w:space="747"/>
            <w:col w:w="1233" w:space="40"/>
            <w:col w:w="1152" w:space="39"/>
            <w:col w:w="3271"/>
          </w:cols>
        </w:sectPr>
      </w:pPr>
    </w:p>
    <w:p>
      <w:pPr>
        <w:pStyle w:val="BodyText"/>
        <w:spacing w:before="2"/>
        <w:rPr>
          <w:sz w:val="25"/>
        </w:rPr>
      </w:pPr>
    </w:p>
    <w:p>
      <w:pPr>
        <w:spacing w:line="208" w:lineRule="auto" w:before="113"/>
        <w:ind w:left="150" w:right="874" w:firstLine="0"/>
        <w:jc w:val="left"/>
        <w:rPr>
          <w:sz w:val="16"/>
        </w:rPr>
      </w:pPr>
      <w:r>
        <w:rPr>
          <w:sz w:val="16"/>
        </w:rPr>
        <w:t>The fan chart depicting the probability distribution for inflation is rather like a contour map. At any given point during the forecast period, the depth of shading represents the height of the probability density function over a range of outcomes for inflation. The darkest band includes the central (single most likely) projection and covers 10% of the probability. Each successive pair of bands is drawn to cover a further 10% of the probability, until 90% of the probability distribution is covered. The bands widen as the time horizon is extended, indicating increasing uncertainty about outcomes. See the box ‘How fan charts are drawn’ on page 52 of the February 1999 </w:t>
      </w:r>
      <w:r>
        <w:rPr>
          <w:i/>
          <w:sz w:val="16"/>
        </w:rPr>
        <w:t>Inflation Report</w:t>
      </w:r>
      <w:r>
        <w:rPr>
          <w:sz w:val="16"/>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spacing w:line="242" w:lineRule="auto" w:before="90"/>
        <w:ind w:left="4960" w:right="192" w:firstLine="0"/>
        <w:jc w:val="left"/>
        <w:rPr>
          <w:sz w:val="24"/>
        </w:rPr>
      </w:pPr>
      <w:r>
        <w:rPr>
          <w:sz w:val="24"/>
        </w:rPr>
        <w:t>prices. Inflation may fall below target for a time. As </w:t>
      </w:r>
      <w:r>
        <w:rPr>
          <w:spacing w:val="-6"/>
          <w:sz w:val="24"/>
        </w:rPr>
        <w:t>the </w:t>
      </w:r>
      <w:r>
        <w:rPr>
          <w:sz w:val="24"/>
        </w:rPr>
        <w:t>temporary effect of the higher exchange rate on imported inflation fades, lower interest rates and slightly stronger prospective output growth than in February underpin the rise in inflation to the target level in early 2001.</w:t>
      </w:r>
    </w:p>
    <w:p>
      <w:pPr>
        <w:pStyle w:val="BodyText"/>
        <w:spacing w:before="2"/>
        <w:rPr>
          <w:sz w:val="17"/>
        </w:rPr>
      </w:pPr>
    </w:p>
    <w:p>
      <w:pPr>
        <w:spacing w:after="0"/>
        <w:rPr>
          <w:sz w:val="17"/>
        </w:rPr>
        <w:sectPr>
          <w:type w:val="continuous"/>
          <w:pgSz w:w="11900" w:h="16840"/>
          <w:pgMar w:top="1220" w:bottom="280" w:left="640" w:right="640"/>
        </w:sectPr>
      </w:pPr>
    </w:p>
    <w:p>
      <w:pPr>
        <w:pStyle w:val="BodyText"/>
        <w:rPr>
          <w:sz w:val="22"/>
        </w:rPr>
      </w:pPr>
    </w:p>
    <w:p>
      <w:pPr>
        <w:pStyle w:val="BodyText"/>
        <w:rPr>
          <w:sz w:val="22"/>
        </w:rPr>
      </w:pPr>
    </w:p>
    <w:p>
      <w:pPr>
        <w:pStyle w:val="BodyText"/>
        <w:spacing w:before="6"/>
        <w:rPr>
          <w:sz w:val="28"/>
        </w:rPr>
      </w:pPr>
    </w:p>
    <w:p>
      <w:pPr>
        <w:pStyle w:val="Heading4"/>
        <w:spacing w:before="0"/>
        <w:ind w:left="158"/>
        <w:jc w:val="both"/>
      </w:pPr>
      <w:r>
        <w:rPr>
          <w:color w:val="0093C1"/>
        </w:rPr>
        <w:t>Table 6.A</w:t>
      </w:r>
    </w:p>
    <w:p>
      <w:pPr>
        <w:pStyle w:val="Heading4"/>
        <w:spacing w:line="249" w:lineRule="auto"/>
        <w:ind w:left="158" w:right="96"/>
        <w:jc w:val="both"/>
        <w:rPr>
          <w:b w:val="0"/>
          <w:sz w:val="12"/>
        </w:rPr>
      </w:pPr>
      <w:r>
        <w:rPr>
          <w:color w:val="0093C1"/>
        </w:rPr>
        <w:t>The MPC’s expectations for RPIX inflation and GDP growth based on constant nominal interest rates</w:t>
      </w:r>
      <w:r>
        <w:rPr>
          <w:b w:val="0"/>
          <w:position w:val="4"/>
          <w:sz w:val="12"/>
        </w:rPr>
        <w:t>(a)</w:t>
      </w:r>
    </w:p>
    <w:p>
      <w:pPr>
        <w:spacing w:before="99"/>
        <w:ind w:left="158" w:right="0" w:firstLine="0"/>
        <w:jc w:val="both"/>
        <w:rPr>
          <w:b/>
          <w:sz w:val="14"/>
        </w:rPr>
      </w:pPr>
      <w:r>
        <w:rPr/>
        <w:pict>
          <v:shape style="position:absolute;margin-left:37.410pt;margin-top:19.247358pt;width:217.35pt;height:133.8pt;mso-position-horizontal-relative:page;mso-position-vertical-relative:paragraph;z-index:1604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463"/>
                    <w:gridCol w:w="489"/>
                    <w:gridCol w:w="534"/>
                    <w:gridCol w:w="485"/>
                    <w:gridCol w:w="507"/>
                    <w:gridCol w:w="435"/>
                  </w:tblGrid>
                  <w:tr>
                    <w:trPr>
                      <w:trHeight w:val="174" w:hRule="atLeast"/>
                    </w:trPr>
                    <w:tc>
                      <w:tcPr>
                        <w:tcW w:w="1434" w:type="dxa"/>
                      </w:tcPr>
                      <w:p>
                        <w:pPr>
                          <w:pStyle w:val="TableParagraph"/>
                          <w:spacing w:line="155" w:lineRule="exact"/>
                          <w:ind w:left="50"/>
                          <w:rPr>
                            <w:sz w:val="14"/>
                          </w:rPr>
                        </w:pPr>
                        <w:r>
                          <w:rPr>
                            <w:sz w:val="14"/>
                          </w:rPr>
                          <w:t>Probability, per cent</w:t>
                        </w:r>
                      </w:p>
                    </w:tc>
                    <w:tc>
                      <w:tcPr>
                        <w:tcW w:w="463" w:type="dxa"/>
                        <w:tcBorders>
                          <w:bottom w:val="single" w:sz="2" w:space="0" w:color="000000"/>
                        </w:tcBorders>
                      </w:tcPr>
                      <w:p>
                        <w:pPr>
                          <w:pStyle w:val="TableParagraph"/>
                          <w:spacing w:line="155" w:lineRule="exact"/>
                          <w:rPr>
                            <w:sz w:val="14"/>
                          </w:rPr>
                        </w:pPr>
                        <w:r>
                          <w:rPr>
                            <w:sz w:val="14"/>
                          </w:rPr>
                          <w:t>Range:</w:t>
                        </w:r>
                      </w:p>
                    </w:tc>
                    <w:tc>
                      <w:tcPr>
                        <w:tcW w:w="2450" w:type="dxa"/>
                        <w:gridSpan w:val="5"/>
                        <w:tcBorders>
                          <w:bottom w:val="single" w:sz="2" w:space="0" w:color="000000"/>
                        </w:tcBorders>
                      </w:tcPr>
                      <w:p>
                        <w:pPr>
                          <w:pStyle w:val="TableParagraph"/>
                          <w:rPr>
                            <w:sz w:val="10"/>
                          </w:rPr>
                        </w:pPr>
                      </w:p>
                    </w:tc>
                  </w:tr>
                  <w:tr>
                    <w:trPr>
                      <w:trHeight w:val="147" w:hRule="atLeast"/>
                    </w:trPr>
                    <w:tc>
                      <w:tcPr>
                        <w:tcW w:w="1434" w:type="dxa"/>
                      </w:tcPr>
                      <w:p>
                        <w:pPr>
                          <w:pStyle w:val="TableParagraph"/>
                          <w:rPr>
                            <w:sz w:val="8"/>
                          </w:rPr>
                        </w:pPr>
                      </w:p>
                    </w:tc>
                    <w:tc>
                      <w:tcPr>
                        <w:tcW w:w="463" w:type="dxa"/>
                        <w:tcBorders>
                          <w:top w:val="single" w:sz="2" w:space="0" w:color="000000"/>
                        </w:tcBorders>
                      </w:tcPr>
                      <w:p>
                        <w:pPr>
                          <w:pStyle w:val="TableParagraph"/>
                          <w:spacing w:line="128" w:lineRule="exact"/>
                          <w:ind w:left="16"/>
                          <w:rPr>
                            <w:sz w:val="14"/>
                          </w:rPr>
                        </w:pPr>
                        <w:r>
                          <w:rPr>
                            <w:sz w:val="14"/>
                          </w:rPr>
                          <w:t>less</w:t>
                        </w:r>
                      </w:p>
                    </w:tc>
                    <w:tc>
                      <w:tcPr>
                        <w:tcW w:w="489" w:type="dxa"/>
                        <w:tcBorders>
                          <w:top w:val="single" w:sz="2" w:space="0" w:color="000000"/>
                        </w:tcBorders>
                      </w:tcPr>
                      <w:p>
                        <w:pPr>
                          <w:pStyle w:val="TableParagraph"/>
                          <w:spacing w:line="128" w:lineRule="exact"/>
                          <w:ind w:right="29"/>
                          <w:jc w:val="center"/>
                          <w:rPr>
                            <w:sz w:val="14"/>
                          </w:rPr>
                        </w:pPr>
                        <w:r>
                          <w:rPr>
                            <w:sz w:val="14"/>
                          </w:rPr>
                          <w:t>1.5%</w:t>
                        </w:r>
                      </w:p>
                    </w:tc>
                    <w:tc>
                      <w:tcPr>
                        <w:tcW w:w="534" w:type="dxa"/>
                        <w:tcBorders>
                          <w:top w:val="single" w:sz="2" w:space="0" w:color="000000"/>
                        </w:tcBorders>
                      </w:tcPr>
                      <w:p>
                        <w:pPr>
                          <w:pStyle w:val="TableParagraph"/>
                          <w:spacing w:line="128" w:lineRule="exact"/>
                          <w:ind w:left="113" w:right="89"/>
                          <w:jc w:val="center"/>
                          <w:rPr>
                            <w:sz w:val="14"/>
                          </w:rPr>
                        </w:pPr>
                        <w:r>
                          <w:rPr>
                            <w:sz w:val="14"/>
                          </w:rPr>
                          <w:t>2.0%</w:t>
                        </w:r>
                      </w:p>
                    </w:tc>
                    <w:tc>
                      <w:tcPr>
                        <w:tcW w:w="485" w:type="dxa"/>
                        <w:tcBorders>
                          <w:top w:val="single" w:sz="2" w:space="0" w:color="000000"/>
                        </w:tcBorders>
                      </w:tcPr>
                      <w:p>
                        <w:pPr>
                          <w:pStyle w:val="TableParagraph"/>
                          <w:spacing w:line="128" w:lineRule="exact"/>
                          <w:ind w:left="110"/>
                          <w:rPr>
                            <w:sz w:val="14"/>
                          </w:rPr>
                        </w:pPr>
                        <w:r>
                          <w:rPr>
                            <w:sz w:val="14"/>
                          </w:rPr>
                          <w:t>2.5%</w:t>
                        </w:r>
                      </w:p>
                    </w:tc>
                    <w:tc>
                      <w:tcPr>
                        <w:tcW w:w="507" w:type="dxa"/>
                        <w:tcBorders>
                          <w:top w:val="single" w:sz="2" w:space="0" w:color="000000"/>
                        </w:tcBorders>
                      </w:tcPr>
                      <w:p>
                        <w:pPr>
                          <w:pStyle w:val="TableParagraph"/>
                          <w:spacing w:line="128" w:lineRule="exact"/>
                          <w:ind w:left="108"/>
                          <w:rPr>
                            <w:sz w:val="14"/>
                          </w:rPr>
                        </w:pPr>
                        <w:r>
                          <w:rPr>
                            <w:sz w:val="14"/>
                          </w:rPr>
                          <w:t>3.0%</w:t>
                        </w:r>
                      </w:p>
                    </w:tc>
                    <w:tc>
                      <w:tcPr>
                        <w:tcW w:w="435" w:type="dxa"/>
                        <w:tcBorders>
                          <w:top w:val="single" w:sz="2" w:space="0" w:color="000000"/>
                        </w:tcBorders>
                      </w:tcPr>
                      <w:p>
                        <w:pPr>
                          <w:pStyle w:val="TableParagraph"/>
                          <w:spacing w:line="128" w:lineRule="exact"/>
                          <w:ind w:right="61"/>
                          <w:jc w:val="right"/>
                          <w:rPr>
                            <w:sz w:val="14"/>
                          </w:rPr>
                        </w:pPr>
                        <w:r>
                          <w:rPr>
                            <w:sz w:val="14"/>
                          </w:rPr>
                          <w:t>more</w:t>
                        </w:r>
                      </w:p>
                    </w:tc>
                  </w:tr>
                  <w:tr>
                    <w:trPr>
                      <w:trHeight w:val="140" w:hRule="atLeast"/>
                    </w:trPr>
                    <w:tc>
                      <w:tcPr>
                        <w:tcW w:w="1434" w:type="dxa"/>
                      </w:tcPr>
                      <w:p>
                        <w:pPr>
                          <w:pStyle w:val="TableParagraph"/>
                          <w:rPr>
                            <w:sz w:val="8"/>
                          </w:rPr>
                        </w:pPr>
                      </w:p>
                    </w:tc>
                    <w:tc>
                      <w:tcPr>
                        <w:tcW w:w="463" w:type="dxa"/>
                      </w:tcPr>
                      <w:p>
                        <w:pPr>
                          <w:pStyle w:val="TableParagraph"/>
                          <w:spacing w:line="120" w:lineRule="exact"/>
                          <w:ind w:left="16"/>
                          <w:rPr>
                            <w:sz w:val="14"/>
                          </w:rPr>
                        </w:pPr>
                        <w:r>
                          <w:rPr>
                            <w:sz w:val="14"/>
                          </w:rPr>
                          <w:t>than</w:t>
                        </w:r>
                      </w:p>
                    </w:tc>
                    <w:tc>
                      <w:tcPr>
                        <w:tcW w:w="489" w:type="dxa"/>
                      </w:tcPr>
                      <w:p>
                        <w:pPr>
                          <w:pStyle w:val="TableParagraph"/>
                          <w:spacing w:line="120" w:lineRule="exact"/>
                          <w:ind w:right="211"/>
                          <w:jc w:val="center"/>
                          <w:rPr>
                            <w:sz w:val="14"/>
                          </w:rPr>
                        </w:pPr>
                        <w:r>
                          <w:rPr>
                            <w:sz w:val="14"/>
                          </w:rPr>
                          <w:t>to</w:t>
                        </w:r>
                      </w:p>
                    </w:tc>
                    <w:tc>
                      <w:tcPr>
                        <w:tcW w:w="534" w:type="dxa"/>
                      </w:tcPr>
                      <w:p>
                        <w:pPr>
                          <w:pStyle w:val="TableParagraph"/>
                          <w:spacing w:line="120" w:lineRule="exact"/>
                          <w:ind w:left="106" w:right="261"/>
                          <w:jc w:val="center"/>
                          <w:rPr>
                            <w:sz w:val="14"/>
                          </w:rPr>
                        </w:pPr>
                        <w:r>
                          <w:rPr>
                            <w:sz w:val="14"/>
                          </w:rPr>
                          <w:t>to</w:t>
                        </w:r>
                      </w:p>
                    </w:tc>
                    <w:tc>
                      <w:tcPr>
                        <w:tcW w:w="485" w:type="dxa"/>
                      </w:tcPr>
                      <w:p>
                        <w:pPr>
                          <w:pStyle w:val="TableParagraph"/>
                          <w:spacing w:line="120" w:lineRule="exact"/>
                          <w:ind w:left="110"/>
                          <w:rPr>
                            <w:sz w:val="14"/>
                          </w:rPr>
                        </w:pPr>
                        <w:r>
                          <w:rPr>
                            <w:sz w:val="14"/>
                          </w:rPr>
                          <w:t>to</w:t>
                        </w:r>
                      </w:p>
                    </w:tc>
                    <w:tc>
                      <w:tcPr>
                        <w:tcW w:w="507" w:type="dxa"/>
                      </w:tcPr>
                      <w:p>
                        <w:pPr>
                          <w:pStyle w:val="TableParagraph"/>
                          <w:spacing w:line="120" w:lineRule="exact"/>
                          <w:ind w:left="108"/>
                          <w:rPr>
                            <w:sz w:val="14"/>
                          </w:rPr>
                        </w:pPr>
                        <w:r>
                          <w:rPr>
                            <w:sz w:val="14"/>
                          </w:rPr>
                          <w:t>to</w:t>
                        </w:r>
                      </w:p>
                    </w:tc>
                    <w:tc>
                      <w:tcPr>
                        <w:tcW w:w="435" w:type="dxa"/>
                      </w:tcPr>
                      <w:p>
                        <w:pPr>
                          <w:pStyle w:val="TableParagraph"/>
                          <w:spacing w:line="120" w:lineRule="exact"/>
                          <w:ind w:right="107"/>
                          <w:jc w:val="right"/>
                          <w:rPr>
                            <w:sz w:val="14"/>
                          </w:rPr>
                        </w:pPr>
                        <w:r>
                          <w:rPr>
                            <w:sz w:val="14"/>
                          </w:rPr>
                          <w:t>than</w:t>
                        </w:r>
                      </w:p>
                    </w:tc>
                  </w:tr>
                  <w:tr>
                    <w:trPr>
                      <w:trHeight w:val="147" w:hRule="atLeast"/>
                    </w:trPr>
                    <w:tc>
                      <w:tcPr>
                        <w:tcW w:w="1434" w:type="dxa"/>
                      </w:tcPr>
                      <w:p>
                        <w:pPr>
                          <w:pStyle w:val="TableParagraph"/>
                          <w:rPr>
                            <w:sz w:val="8"/>
                          </w:rPr>
                        </w:pPr>
                      </w:p>
                    </w:tc>
                    <w:tc>
                      <w:tcPr>
                        <w:tcW w:w="463" w:type="dxa"/>
                      </w:tcPr>
                      <w:p>
                        <w:pPr>
                          <w:pStyle w:val="TableParagraph"/>
                          <w:spacing w:line="128" w:lineRule="exact"/>
                          <w:ind w:left="16"/>
                          <w:rPr>
                            <w:sz w:val="14"/>
                          </w:rPr>
                        </w:pPr>
                        <w:r>
                          <w:rPr>
                            <w:sz w:val="14"/>
                            <w:u w:val="single"/>
                          </w:rPr>
                          <w:t>1.5%</w:t>
                        </w:r>
                      </w:p>
                    </w:tc>
                    <w:tc>
                      <w:tcPr>
                        <w:tcW w:w="489" w:type="dxa"/>
                      </w:tcPr>
                      <w:p>
                        <w:pPr>
                          <w:pStyle w:val="TableParagraph"/>
                          <w:spacing w:line="128" w:lineRule="exact"/>
                          <w:ind w:right="45"/>
                          <w:jc w:val="center"/>
                          <w:rPr>
                            <w:sz w:val="14"/>
                          </w:rPr>
                        </w:pPr>
                        <w:r>
                          <w:rPr>
                            <w:sz w:val="14"/>
                            <w:u w:val="single"/>
                          </w:rPr>
                          <w:t> 2.0%</w:t>
                        </w:r>
                      </w:p>
                    </w:tc>
                    <w:tc>
                      <w:tcPr>
                        <w:tcW w:w="534" w:type="dxa"/>
                      </w:tcPr>
                      <w:p>
                        <w:pPr>
                          <w:pStyle w:val="TableParagraph"/>
                          <w:spacing w:line="128" w:lineRule="exact"/>
                          <w:ind w:left="113" w:right="89"/>
                          <w:jc w:val="center"/>
                          <w:rPr>
                            <w:sz w:val="14"/>
                          </w:rPr>
                        </w:pPr>
                        <w:r>
                          <w:rPr>
                            <w:sz w:val="14"/>
                            <w:u w:val="single"/>
                          </w:rPr>
                          <w:t>2.5%</w:t>
                        </w:r>
                      </w:p>
                    </w:tc>
                    <w:tc>
                      <w:tcPr>
                        <w:tcW w:w="485" w:type="dxa"/>
                      </w:tcPr>
                      <w:p>
                        <w:pPr>
                          <w:pStyle w:val="TableParagraph"/>
                          <w:spacing w:line="128" w:lineRule="exact"/>
                          <w:ind w:left="110"/>
                          <w:rPr>
                            <w:sz w:val="14"/>
                          </w:rPr>
                        </w:pPr>
                        <w:r>
                          <w:rPr>
                            <w:sz w:val="14"/>
                            <w:u w:val="single"/>
                          </w:rPr>
                          <w:t>3.0%</w:t>
                        </w:r>
                      </w:p>
                    </w:tc>
                    <w:tc>
                      <w:tcPr>
                        <w:tcW w:w="507" w:type="dxa"/>
                      </w:tcPr>
                      <w:p>
                        <w:pPr>
                          <w:pStyle w:val="TableParagraph"/>
                          <w:spacing w:line="128" w:lineRule="exact"/>
                          <w:ind w:left="84"/>
                          <w:rPr>
                            <w:sz w:val="14"/>
                          </w:rPr>
                        </w:pPr>
                        <w:r>
                          <w:rPr>
                            <w:sz w:val="14"/>
                            <w:u w:val="single"/>
                          </w:rPr>
                          <w:t> 3.5%</w:t>
                        </w:r>
                      </w:p>
                    </w:tc>
                    <w:tc>
                      <w:tcPr>
                        <w:tcW w:w="435" w:type="dxa"/>
                      </w:tcPr>
                      <w:p>
                        <w:pPr>
                          <w:pStyle w:val="TableParagraph"/>
                          <w:spacing w:line="128" w:lineRule="exact"/>
                          <w:ind w:right="57"/>
                          <w:jc w:val="right"/>
                          <w:rPr>
                            <w:sz w:val="14"/>
                          </w:rPr>
                        </w:pPr>
                        <w:r>
                          <w:rPr>
                            <w:sz w:val="14"/>
                            <w:u w:val="single"/>
                          </w:rPr>
                          <w:t>3.5%</w:t>
                        </w:r>
                      </w:p>
                    </w:tc>
                  </w:tr>
                  <w:tr>
                    <w:trPr>
                      <w:trHeight w:val="232" w:hRule="atLeast"/>
                    </w:trPr>
                    <w:tc>
                      <w:tcPr>
                        <w:tcW w:w="1434" w:type="dxa"/>
                      </w:tcPr>
                      <w:p>
                        <w:pPr>
                          <w:pStyle w:val="TableParagraph"/>
                          <w:spacing w:line="133" w:lineRule="exact" w:before="79"/>
                          <w:ind w:left="50"/>
                          <w:rPr>
                            <w:sz w:val="14"/>
                          </w:rPr>
                        </w:pPr>
                        <w:r>
                          <w:rPr>
                            <w:sz w:val="14"/>
                          </w:rPr>
                          <w:t>1999 Q4</w:t>
                        </w:r>
                      </w:p>
                    </w:tc>
                    <w:tc>
                      <w:tcPr>
                        <w:tcW w:w="463" w:type="dxa"/>
                      </w:tcPr>
                      <w:p>
                        <w:pPr>
                          <w:pStyle w:val="TableParagraph"/>
                          <w:spacing w:line="133" w:lineRule="exact" w:before="79"/>
                          <w:ind w:left="126"/>
                          <w:rPr>
                            <w:sz w:val="14"/>
                          </w:rPr>
                        </w:pPr>
                        <w:r>
                          <w:rPr>
                            <w:sz w:val="14"/>
                          </w:rPr>
                          <w:t>1</w:t>
                        </w:r>
                      </w:p>
                    </w:tc>
                    <w:tc>
                      <w:tcPr>
                        <w:tcW w:w="489" w:type="dxa"/>
                      </w:tcPr>
                      <w:p>
                        <w:pPr>
                          <w:pStyle w:val="TableParagraph"/>
                          <w:spacing w:line="133" w:lineRule="exact" w:before="79"/>
                          <w:ind w:right="25"/>
                          <w:jc w:val="center"/>
                          <w:rPr>
                            <w:sz w:val="14"/>
                          </w:rPr>
                        </w:pPr>
                        <w:r>
                          <w:rPr>
                            <w:sz w:val="14"/>
                          </w:rPr>
                          <w:t>13</w:t>
                        </w:r>
                      </w:p>
                    </w:tc>
                    <w:tc>
                      <w:tcPr>
                        <w:tcW w:w="534" w:type="dxa"/>
                      </w:tcPr>
                      <w:p>
                        <w:pPr>
                          <w:pStyle w:val="TableParagraph"/>
                          <w:spacing w:line="133" w:lineRule="exact" w:before="79"/>
                          <w:ind w:left="98" w:right="89"/>
                          <w:jc w:val="center"/>
                          <w:rPr>
                            <w:sz w:val="14"/>
                          </w:rPr>
                        </w:pPr>
                        <w:r>
                          <w:rPr>
                            <w:sz w:val="14"/>
                          </w:rPr>
                          <w:t>43</w:t>
                        </w:r>
                      </w:p>
                    </w:tc>
                    <w:tc>
                      <w:tcPr>
                        <w:tcW w:w="485" w:type="dxa"/>
                      </w:tcPr>
                      <w:p>
                        <w:pPr>
                          <w:pStyle w:val="TableParagraph"/>
                          <w:spacing w:line="133" w:lineRule="exact" w:before="79"/>
                          <w:ind w:left="150"/>
                          <w:rPr>
                            <w:sz w:val="14"/>
                          </w:rPr>
                        </w:pPr>
                        <w:r>
                          <w:rPr>
                            <w:sz w:val="14"/>
                          </w:rPr>
                          <w:t>33</w:t>
                        </w:r>
                      </w:p>
                    </w:tc>
                    <w:tc>
                      <w:tcPr>
                        <w:tcW w:w="507" w:type="dxa"/>
                      </w:tcPr>
                      <w:p>
                        <w:pPr>
                          <w:pStyle w:val="TableParagraph"/>
                          <w:spacing w:line="133" w:lineRule="exact" w:before="79"/>
                          <w:ind w:left="55"/>
                          <w:jc w:val="center"/>
                          <w:rPr>
                            <w:sz w:val="14"/>
                          </w:rPr>
                        </w:pPr>
                        <w:r>
                          <w:rPr>
                            <w:sz w:val="14"/>
                          </w:rPr>
                          <w:t>9</w:t>
                        </w:r>
                      </w:p>
                    </w:tc>
                    <w:tc>
                      <w:tcPr>
                        <w:tcW w:w="435" w:type="dxa"/>
                      </w:tcPr>
                      <w:p>
                        <w:pPr>
                          <w:pStyle w:val="TableParagraph"/>
                          <w:spacing w:line="133" w:lineRule="exact" w:before="79"/>
                          <w:ind w:right="123"/>
                          <w:jc w:val="right"/>
                          <w:rPr>
                            <w:sz w:val="14"/>
                          </w:rPr>
                        </w:pPr>
                        <w:r>
                          <w:rPr>
                            <w:sz w:val="14"/>
                          </w:rPr>
                          <w:t>1</w:t>
                        </w:r>
                      </w:p>
                    </w:tc>
                  </w:tr>
                  <w:tr>
                    <w:trPr>
                      <w:trHeight w:val="140" w:hRule="atLeast"/>
                    </w:trPr>
                    <w:tc>
                      <w:tcPr>
                        <w:tcW w:w="1434" w:type="dxa"/>
                      </w:tcPr>
                      <w:p>
                        <w:pPr>
                          <w:pStyle w:val="TableParagraph"/>
                          <w:spacing w:line="120" w:lineRule="exact"/>
                          <w:ind w:left="50"/>
                          <w:rPr>
                            <w:sz w:val="14"/>
                          </w:rPr>
                        </w:pPr>
                        <w:r>
                          <w:rPr>
                            <w:sz w:val="14"/>
                          </w:rPr>
                          <w:t>2000 Q4</w:t>
                        </w:r>
                      </w:p>
                    </w:tc>
                    <w:tc>
                      <w:tcPr>
                        <w:tcW w:w="463" w:type="dxa"/>
                      </w:tcPr>
                      <w:p>
                        <w:pPr>
                          <w:pStyle w:val="TableParagraph"/>
                          <w:spacing w:line="120" w:lineRule="exact"/>
                          <w:ind w:left="56"/>
                          <w:rPr>
                            <w:sz w:val="14"/>
                          </w:rPr>
                        </w:pPr>
                        <w:r>
                          <w:rPr>
                            <w:sz w:val="14"/>
                          </w:rPr>
                          <w:t>12</w:t>
                        </w:r>
                      </w:p>
                    </w:tc>
                    <w:tc>
                      <w:tcPr>
                        <w:tcW w:w="489" w:type="dxa"/>
                      </w:tcPr>
                      <w:p>
                        <w:pPr>
                          <w:pStyle w:val="TableParagraph"/>
                          <w:spacing w:line="120" w:lineRule="exact"/>
                          <w:ind w:right="25"/>
                          <w:jc w:val="center"/>
                          <w:rPr>
                            <w:sz w:val="14"/>
                          </w:rPr>
                        </w:pPr>
                        <w:r>
                          <w:rPr>
                            <w:sz w:val="14"/>
                          </w:rPr>
                          <w:t>20</w:t>
                        </w:r>
                      </w:p>
                    </w:tc>
                    <w:tc>
                      <w:tcPr>
                        <w:tcW w:w="534" w:type="dxa"/>
                      </w:tcPr>
                      <w:p>
                        <w:pPr>
                          <w:pStyle w:val="TableParagraph"/>
                          <w:spacing w:line="120" w:lineRule="exact"/>
                          <w:ind w:left="98" w:right="89"/>
                          <w:jc w:val="center"/>
                          <w:rPr>
                            <w:sz w:val="14"/>
                          </w:rPr>
                        </w:pPr>
                        <w:r>
                          <w:rPr>
                            <w:sz w:val="14"/>
                          </w:rPr>
                          <w:t>25</w:t>
                        </w:r>
                      </w:p>
                    </w:tc>
                    <w:tc>
                      <w:tcPr>
                        <w:tcW w:w="485" w:type="dxa"/>
                      </w:tcPr>
                      <w:p>
                        <w:pPr>
                          <w:pStyle w:val="TableParagraph"/>
                          <w:spacing w:line="120" w:lineRule="exact"/>
                          <w:ind w:left="150"/>
                          <w:rPr>
                            <w:sz w:val="14"/>
                          </w:rPr>
                        </w:pPr>
                        <w:r>
                          <w:rPr>
                            <w:sz w:val="14"/>
                          </w:rPr>
                          <w:t>22</w:t>
                        </w:r>
                      </w:p>
                    </w:tc>
                    <w:tc>
                      <w:tcPr>
                        <w:tcW w:w="507" w:type="dxa"/>
                      </w:tcPr>
                      <w:p>
                        <w:pPr>
                          <w:pStyle w:val="TableParagraph"/>
                          <w:spacing w:line="120" w:lineRule="exact"/>
                          <w:ind w:left="157" w:right="169"/>
                          <w:jc w:val="center"/>
                          <w:rPr>
                            <w:sz w:val="14"/>
                          </w:rPr>
                        </w:pPr>
                        <w:r>
                          <w:rPr>
                            <w:sz w:val="14"/>
                          </w:rPr>
                          <w:t>13</w:t>
                        </w:r>
                      </w:p>
                    </w:tc>
                    <w:tc>
                      <w:tcPr>
                        <w:tcW w:w="435" w:type="dxa"/>
                      </w:tcPr>
                      <w:p>
                        <w:pPr>
                          <w:pStyle w:val="TableParagraph"/>
                          <w:spacing w:line="120" w:lineRule="exact"/>
                          <w:ind w:right="123"/>
                          <w:jc w:val="right"/>
                          <w:rPr>
                            <w:sz w:val="14"/>
                          </w:rPr>
                        </w:pPr>
                        <w:r>
                          <w:rPr>
                            <w:sz w:val="14"/>
                          </w:rPr>
                          <w:t>8</w:t>
                        </w:r>
                      </w:p>
                    </w:tc>
                  </w:tr>
                  <w:tr>
                    <w:trPr>
                      <w:trHeight w:val="210" w:hRule="atLeast"/>
                    </w:trPr>
                    <w:tc>
                      <w:tcPr>
                        <w:tcW w:w="1434" w:type="dxa"/>
                      </w:tcPr>
                      <w:p>
                        <w:pPr>
                          <w:pStyle w:val="TableParagraph"/>
                          <w:spacing w:line="148" w:lineRule="exact"/>
                          <w:ind w:left="50"/>
                          <w:rPr>
                            <w:sz w:val="14"/>
                          </w:rPr>
                        </w:pPr>
                        <w:r>
                          <w:rPr>
                            <w:sz w:val="14"/>
                          </w:rPr>
                          <w:t>2001 Q2</w:t>
                        </w:r>
                      </w:p>
                    </w:tc>
                    <w:tc>
                      <w:tcPr>
                        <w:tcW w:w="463" w:type="dxa"/>
                      </w:tcPr>
                      <w:p>
                        <w:pPr>
                          <w:pStyle w:val="TableParagraph"/>
                          <w:spacing w:line="148" w:lineRule="exact"/>
                          <w:ind w:left="56"/>
                          <w:rPr>
                            <w:sz w:val="14"/>
                          </w:rPr>
                        </w:pPr>
                        <w:r>
                          <w:rPr>
                            <w:sz w:val="14"/>
                          </w:rPr>
                          <w:t>10</w:t>
                        </w:r>
                      </w:p>
                    </w:tc>
                    <w:tc>
                      <w:tcPr>
                        <w:tcW w:w="489" w:type="dxa"/>
                      </w:tcPr>
                      <w:p>
                        <w:pPr>
                          <w:pStyle w:val="TableParagraph"/>
                          <w:spacing w:line="148" w:lineRule="exact"/>
                          <w:ind w:right="25"/>
                          <w:jc w:val="center"/>
                          <w:rPr>
                            <w:sz w:val="14"/>
                          </w:rPr>
                        </w:pPr>
                        <w:r>
                          <w:rPr>
                            <w:sz w:val="14"/>
                          </w:rPr>
                          <w:t>15</w:t>
                        </w:r>
                      </w:p>
                    </w:tc>
                    <w:tc>
                      <w:tcPr>
                        <w:tcW w:w="534" w:type="dxa"/>
                      </w:tcPr>
                      <w:p>
                        <w:pPr>
                          <w:pStyle w:val="TableParagraph"/>
                          <w:spacing w:line="148" w:lineRule="exact"/>
                          <w:ind w:left="98" w:right="89"/>
                          <w:jc w:val="center"/>
                          <w:rPr>
                            <w:sz w:val="14"/>
                          </w:rPr>
                        </w:pPr>
                        <w:r>
                          <w:rPr>
                            <w:sz w:val="14"/>
                          </w:rPr>
                          <w:t>21</w:t>
                        </w:r>
                      </w:p>
                    </w:tc>
                    <w:tc>
                      <w:tcPr>
                        <w:tcW w:w="485" w:type="dxa"/>
                      </w:tcPr>
                      <w:p>
                        <w:pPr>
                          <w:pStyle w:val="TableParagraph"/>
                          <w:spacing w:line="148" w:lineRule="exact"/>
                          <w:ind w:left="150"/>
                          <w:rPr>
                            <w:sz w:val="14"/>
                          </w:rPr>
                        </w:pPr>
                        <w:r>
                          <w:rPr>
                            <w:sz w:val="14"/>
                          </w:rPr>
                          <w:t>21</w:t>
                        </w:r>
                      </w:p>
                    </w:tc>
                    <w:tc>
                      <w:tcPr>
                        <w:tcW w:w="507" w:type="dxa"/>
                      </w:tcPr>
                      <w:p>
                        <w:pPr>
                          <w:pStyle w:val="TableParagraph"/>
                          <w:spacing w:line="148" w:lineRule="exact"/>
                          <w:ind w:left="157" w:right="169"/>
                          <w:jc w:val="center"/>
                          <w:rPr>
                            <w:sz w:val="14"/>
                          </w:rPr>
                        </w:pPr>
                        <w:r>
                          <w:rPr>
                            <w:sz w:val="14"/>
                          </w:rPr>
                          <w:t>16</w:t>
                        </w:r>
                      </w:p>
                    </w:tc>
                    <w:tc>
                      <w:tcPr>
                        <w:tcW w:w="435" w:type="dxa"/>
                      </w:tcPr>
                      <w:p>
                        <w:pPr>
                          <w:pStyle w:val="TableParagraph"/>
                          <w:spacing w:line="148" w:lineRule="exact"/>
                          <w:ind w:right="123"/>
                          <w:jc w:val="right"/>
                          <w:rPr>
                            <w:sz w:val="14"/>
                          </w:rPr>
                        </w:pPr>
                        <w:r>
                          <w:rPr>
                            <w:sz w:val="14"/>
                          </w:rPr>
                          <w:t>17</w:t>
                        </w:r>
                      </w:p>
                    </w:tc>
                  </w:tr>
                  <w:tr>
                    <w:trPr>
                      <w:trHeight w:val="280" w:hRule="atLeast"/>
                    </w:trPr>
                    <w:tc>
                      <w:tcPr>
                        <w:tcW w:w="1434" w:type="dxa"/>
                      </w:tcPr>
                      <w:p>
                        <w:pPr>
                          <w:pStyle w:val="TableParagraph"/>
                          <w:spacing w:before="56"/>
                          <w:ind w:left="50"/>
                          <w:rPr>
                            <w:b/>
                            <w:sz w:val="14"/>
                          </w:rPr>
                        </w:pPr>
                        <w:r>
                          <w:rPr>
                            <w:b/>
                            <w:sz w:val="14"/>
                          </w:rPr>
                          <w:t>GDP growth</w:t>
                        </w:r>
                      </w:p>
                    </w:tc>
                    <w:tc>
                      <w:tcPr>
                        <w:tcW w:w="463" w:type="dxa"/>
                      </w:tcPr>
                      <w:p>
                        <w:pPr>
                          <w:pStyle w:val="TableParagraph"/>
                          <w:rPr>
                            <w:sz w:val="18"/>
                          </w:rPr>
                        </w:pPr>
                      </w:p>
                    </w:tc>
                    <w:tc>
                      <w:tcPr>
                        <w:tcW w:w="489" w:type="dxa"/>
                      </w:tcPr>
                      <w:p>
                        <w:pPr>
                          <w:pStyle w:val="TableParagraph"/>
                          <w:rPr>
                            <w:sz w:val="18"/>
                          </w:rPr>
                        </w:pPr>
                      </w:p>
                    </w:tc>
                    <w:tc>
                      <w:tcPr>
                        <w:tcW w:w="534" w:type="dxa"/>
                      </w:tcPr>
                      <w:p>
                        <w:pPr>
                          <w:pStyle w:val="TableParagraph"/>
                          <w:rPr>
                            <w:sz w:val="18"/>
                          </w:rPr>
                        </w:pPr>
                      </w:p>
                    </w:tc>
                    <w:tc>
                      <w:tcPr>
                        <w:tcW w:w="485" w:type="dxa"/>
                      </w:tcPr>
                      <w:p>
                        <w:pPr>
                          <w:pStyle w:val="TableParagraph"/>
                          <w:rPr>
                            <w:sz w:val="18"/>
                          </w:rPr>
                        </w:pPr>
                      </w:p>
                    </w:tc>
                    <w:tc>
                      <w:tcPr>
                        <w:tcW w:w="507" w:type="dxa"/>
                      </w:tcPr>
                      <w:p>
                        <w:pPr>
                          <w:pStyle w:val="TableParagraph"/>
                          <w:rPr>
                            <w:sz w:val="18"/>
                          </w:rPr>
                        </w:pPr>
                      </w:p>
                    </w:tc>
                    <w:tc>
                      <w:tcPr>
                        <w:tcW w:w="435" w:type="dxa"/>
                      </w:tcPr>
                      <w:p>
                        <w:pPr>
                          <w:pStyle w:val="TableParagraph"/>
                          <w:rPr>
                            <w:sz w:val="18"/>
                          </w:rPr>
                        </w:pPr>
                      </w:p>
                    </w:tc>
                  </w:tr>
                  <w:tr>
                    <w:trPr>
                      <w:trHeight w:val="239" w:hRule="atLeast"/>
                    </w:trPr>
                    <w:tc>
                      <w:tcPr>
                        <w:tcW w:w="1434" w:type="dxa"/>
                      </w:tcPr>
                      <w:p>
                        <w:pPr>
                          <w:pStyle w:val="TableParagraph"/>
                          <w:spacing w:before="56"/>
                          <w:ind w:left="50"/>
                          <w:rPr>
                            <w:sz w:val="14"/>
                          </w:rPr>
                        </w:pPr>
                        <w:r>
                          <w:rPr>
                            <w:sz w:val="14"/>
                          </w:rPr>
                          <w:t>Probability, per cent</w:t>
                        </w:r>
                      </w:p>
                    </w:tc>
                    <w:tc>
                      <w:tcPr>
                        <w:tcW w:w="463" w:type="dxa"/>
                        <w:tcBorders>
                          <w:bottom w:val="single" w:sz="2" w:space="0" w:color="000000"/>
                        </w:tcBorders>
                      </w:tcPr>
                      <w:p>
                        <w:pPr>
                          <w:pStyle w:val="TableParagraph"/>
                          <w:spacing w:before="56"/>
                          <w:rPr>
                            <w:sz w:val="14"/>
                          </w:rPr>
                        </w:pPr>
                        <w:r>
                          <w:rPr>
                            <w:sz w:val="14"/>
                          </w:rPr>
                          <w:t>Range:</w:t>
                        </w:r>
                      </w:p>
                    </w:tc>
                    <w:tc>
                      <w:tcPr>
                        <w:tcW w:w="489" w:type="dxa"/>
                        <w:tcBorders>
                          <w:bottom w:val="single" w:sz="2" w:space="0" w:color="000000"/>
                        </w:tcBorders>
                      </w:tcPr>
                      <w:p>
                        <w:pPr>
                          <w:pStyle w:val="TableParagraph"/>
                          <w:rPr>
                            <w:sz w:val="16"/>
                          </w:rPr>
                        </w:pPr>
                      </w:p>
                    </w:tc>
                    <w:tc>
                      <w:tcPr>
                        <w:tcW w:w="534" w:type="dxa"/>
                        <w:tcBorders>
                          <w:bottom w:val="single" w:sz="2" w:space="0" w:color="000000"/>
                        </w:tcBorders>
                      </w:tcPr>
                      <w:p>
                        <w:pPr>
                          <w:pStyle w:val="TableParagraph"/>
                          <w:rPr>
                            <w:sz w:val="16"/>
                          </w:rPr>
                        </w:pPr>
                      </w:p>
                    </w:tc>
                    <w:tc>
                      <w:tcPr>
                        <w:tcW w:w="485" w:type="dxa"/>
                        <w:tcBorders>
                          <w:bottom w:val="single" w:sz="2" w:space="0" w:color="000000"/>
                        </w:tcBorders>
                      </w:tcPr>
                      <w:p>
                        <w:pPr>
                          <w:pStyle w:val="TableParagraph"/>
                          <w:rPr>
                            <w:sz w:val="16"/>
                          </w:rPr>
                        </w:pPr>
                      </w:p>
                    </w:tc>
                    <w:tc>
                      <w:tcPr>
                        <w:tcW w:w="507" w:type="dxa"/>
                        <w:tcBorders>
                          <w:bottom w:val="single" w:sz="2" w:space="0" w:color="000000"/>
                        </w:tcBorders>
                      </w:tcPr>
                      <w:p>
                        <w:pPr>
                          <w:pStyle w:val="TableParagraph"/>
                          <w:rPr>
                            <w:sz w:val="16"/>
                          </w:rPr>
                        </w:pPr>
                      </w:p>
                    </w:tc>
                    <w:tc>
                      <w:tcPr>
                        <w:tcW w:w="435" w:type="dxa"/>
                        <w:tcBorders>
                          <w:bottom w:val="single" w:sz="2" w:space="0" w:color="000000"/>
                        </w:tcBorders>
                      </w:tcPr>
                      <w:p>
                        <w:pPr>
                          <w:pStyle w:val="TableParagraph"/>
                          <w:rPr>
                            <w:sz w:val="16"/>
                          </w:rPr>
                        </w:pPr>
                      </w:p>
                    </w:tc>
                  </w:tr>
                  <w:tr>
                    <w:trPr>
                      <w:trHeight w:val="145" w:hRule="atLeast"/>
                    </w:trPr>
                    <w:tc>
                      <w:tcPr>
                        <w:tcW w:w="1434" w:type="dxa"/>
                      </w:tcPr>
                      <w:p>
                        <w:pPr>
                          <w:pStyle w:val="TableParagraph"/>
                          <w:rPr>
                            <w:sz w:val="8"/>
                          </w:rPr>
                        </w:pPr>
                      </w:p>
                    </w:tc>
                    <w:tc>
                      <w:tcPr>
                        <w:tcW w:w="463" w:type="dxa"/>
                        <w:tcBorders>
                          <w:top w:val="single" w:sz="2" w:space="0" w:color="000000"/>
                        </w:tcBorders>
                      </w:tcPr>
                      <w:p>
                        <w:pPr>
                          <w:pStyle w:val="TableParagraph"/>
                          <w:spacing w:line="120" w:lineRule="exact"/>
                          <w:ind w:left="25"/>
                          <w:rPr>
                            <w:sz w:val="14"/>
                          </w:rPr>
                        </w:pPr>
                        <w:r>
                          <w:rPr>
                            <w:sz w:val="14"/>
                          </w:rPr>
                          <w:t>less</w:t>
                        </w:r>
                      </w:p>
                    </w:tc>
                    <w:tc>
                      <w:tcPr>
                        <w:tcW w:w="489" w:type="dxa"/>
                        <w:tcBorders>
                          <w:top w:val="single" w:sz="2" w:space="0" w:color="000000"/>
                        </w:tcBorders>
                      </w:tcPr>
                      <w:p>
                        <w:pPr>
                          <w:pStyle w:val="TableParagraph"/>
                          <w:spacing w:line="120" w:lineRule="exact"/>
                          <w:ind w:right="92"/>
                          <w:jc w:val="center"/>
                          <w:rPr>
                            <w:sz w:val="14"/>
                          </w:rPr>
                        </w:pPr>
                        <w:r>
                          <w:rPr>
                            <w:sz w:val="14"/>
                          </w:rPr>
                          <w:t>0%</w:t>
                        </w:r>
                      </w:p>
                    </w:tc>
                    <w:tc>
                      <w:tcPr>
                        <w:tcW w:w="534" w:type="dxa"/>
                        <w:tcBorders>
                          <w:top w:val="single" w:sz="2" w:space="0" w:color="000000"/>
                        </w:tcBorders>
                      </w:tcPr>
                      <w:p>
                        <w:pPr>
                          <w:pStyle w:val="TableParagraph"/>
                          <w:spacing w:line="120" w:lineRule="exact"/>
                          <w:ind w:left="30" w:right="89"/>
                          <w:jc w:val="center"/>
                          <w:rPr>
                            <w:sz w:val="14"/>
                          </w:rPr>
                        </w:pPr>
                        <w:r>
                          <w:rPr>
                            <w:sz w:val="14"/>
                          </w:rPr>
                          <w:t>1%</w:t>
                        </w:r>
                      </w:p>
                    </w:tc>
                    <w:tc>
                      <w:tcPr>
                        <w:tcW w:w="485" w:type="dxa"/>
                        <w:tcBorders>
                          <w:top w:val="single" w:sz="2" w:space="0" w:color="000000"/>
                        </w:tcBorders>
                      </w:tcPr>
                      <w:p>
                        <w:pPr>
                          <w:pStyle w:val="TableParagraph"/>
                          <w:spacing w:line="120" w:lineRule="exact"/>
                          <w:ind w:left="120"/>
                          <w:rPr>
                            <w:sz w:val="14"/>
                          </w:rPr>
                        </w:pPr>
                        <w:r>
                          <w:rPr>
                            <w:sz w:val="14"/>
                          </w:rPr>
                          <w:t>2%</w:t>
                        </w:r>
                      </w:p>
                    </w:tc>
                    <w:tc>
                      <w:tcPr>
                        <w:tcW w:w="507" w:type="dxa"/>
                        <w:tcBorders>
                          <w:top w:val="single" w:sz="2" w:space="0" w:color="000000"/>
                        </w:tcBorders>
                      </w:tcPr>
                      <w:p>
                        <w:pPr>
                          <w:pStyle w:val="TableParagraph"/>
                          <w:spacing w:line="120" w:lineRule="exact"/>
                          <w:ind w:left="146"/>
                          <w:rPr>
                            <w:sz w:val="14"/>
                          </w:rPr>
                        </w:pPr>
                        <w:r>
                          <w:rPr>
                            <w:sz w:val="14"/>
                          </w:rPr>
                          <w:t>3%</w:t>
                        </w:r>
                      </w:p>
                    </w:tc>
                    <w:tc>
                      <w:tcPr>
                        <w:tcW w:w="435" w:type="dxa"/>
                        <w:tcBorders>
                          <w:top w:val="single" w:sz="2" w:space="0" w:color="000000"/>
                        </w:tcBorders>
                      </w:tcPr>
                      <w:p>
                        <w:pPr>
                          <w:pStyle w:val="TableParagraph"/>
                          <w:spacing w:line="120" w:lineRule="exact"/>
                          <w:ind w:right="61"/>
                          <w:jc w:val="right"/>
                          <w:rPr>
                            <w:sz w:val="14"/>
                          </w:rPr>
                        </w:pPr>
                        <w:r>
                          <w:rPr>
                            <w:sz w:val="14"/>
                          </w:rPr>
                          <w:t>more</w:t>
                        </w:r>
                      </w:p>
                    </w:tc>
                  </w:tr>
                  <w:tr>
                    <w:trPr>
                      <w:trHeight w:val="140" w:hRule="atLeast"/>
                    </w:trPr>
                    <w:tc>
                      <w:tcPr>
                        <w:tcW w:w="1434" w:type="dxa"/>
                      </w:tcPr>
                      <w:p>
                        <w:pPr>
                          <w:pStyle w:val="TableParagraph"/>
                          <w:rPr>
                            <w:sz w:val="8"/>
                          </w:rPr>
                        </w:pPr>
                      </w:p>
                    </w:tc>
                    <w:tc>
                      <w:tcPr>
                        <w:tcW w:w="463" w:type="dxa"/>
                      </w:tcPr>
                      <w:p>
                        <w:pPr>
                          <w:pStyle w:val="TableParagraph"/>
                          <w:spacing w:line="120" w:lineRule="exact"/>
                          <w:ind w:left="25"/>
                          <w:rPr>
                            <w:sz w:val="14"/>
                          </w:rPr>
                        </w:pPr>
                        <w:r>
                          <w:rPr>
                            <w:sz w:val="14"/>
                          </w:rPr>
                          <w:t>than</w:t>
                        </w:r>
                      </w:p>
                    </w:tc>
                    <w:tc>
                      <w:tcPr>
                        <w:tcW w:w="489" w:type="dxa"/>
                      </w:tcPr>
                      <w:p>
                        <w:pPr>
                          <w:pStyle w:val="TableParagraph"/>
                          <w:spacing w:line="120" w:lineRule="exact"/>
                          <w:ind w:right="170"/>
                          <w:jc w:val="center"/>
                          <w:rPr>
                            <w:sz w:val="14"/>
                          </w:rPr>
                        </w:pPr>
                        <w:r>
                          <w:rPr>
                            <w:sz w:val="14"/>
                          </w:rPr>
                          <w:t>to</w:t>
                        </w:r>
                      </w:p>
                    </w:tc>
                    <w:tc>
                      <w:tcPr>
                        <w:tcW w:w="534" w:type="dxa"/>
                      </w:tcPr>
                      <w:p>
                        <w:pPr>
                          <w:pStyle w:val="TableParagraph"/>
                          <w:spacing w:line="120" w:lineRule="exact"/>
                          <w:ind w:left="113" w:right="250"/>
                          <w:jc w:val="center"/>
                          <w:rPr>
                            <w:sz w:val="14"/>
                          </w:rPr>
                        </w:pPr>
                        <w:r>
                          <w:rPr>
                            <w:sz w:val="14"/>
                          </w:rPr>
                          <w:t>to</w:t>
                        </w:r>
                      </w:p>
                    </w:tc>
                    <w:tc>
                      <w:tcPr>
                        <w:tcW w:w="485" w:type="dxa"/>
                      </w:tcPr>
                      <w:p>
                        <w:pPr>
                          <w:pStyle w:val="TableParagraph"/>
                          <w:spacing w:line="120" w:lineRule="exact"/>
                          <w:ind w:left="120"/>
                          <w:rPr>
                            <w:sz w:val="14"/>
                          </w:rPr>
                        </w:pPr>
                        <w:r>
                          <w:rPr>
                            <w:sz w:val="14"/>
                          </w:rPr>
                          <w:t>to</w:t>
                        </w:r>
                      </w:p>
                    </w:tc>
                    <w:tc>
                      <w:tcPr>
                        <w:tcW w:w="507" w:type="dxa"/>
                      </w:tcPr>
                      <w:p>
                        <w:pPr>
                          <w:pStyle w:val="TableParagraph"/>
                          <w:spacing w:line="120" w:lineRule="exact"/>
                          <w:ind w:left="146"/>
                          <w:rPr>
                            <w:sz w:val="14"/>
                          </w:rPr>
                        </w:pPr>
                        <w:r>
                          <w:rPr>
                            <w:sz w:val="14"/>
                          </w:rPr>
                          <w:t>to</w:t>
                        </w:r>
                      </w:p>
                    </w:tc>
                    <w:tc>
                      <w:tcPr>
                        <w:tcW w:w="435" w:type="dxa"/>
                      </w:tcPr>
                      <w:p>
                        <w:pPr>
                          <w:pStyle w:val="TableParagraph"/>
                          <w:spacing w:line="120" w:lineRule="exact"/>
                          <w:ind w:right="107"/>
                          <w:jc w:val="right"/>
                          <w:rPr>
                            <w:sz w:val="14"/>
                          </w:rPr>
                        </w:pPr>
                        <w:r>
                          <w:rPr>
                            <w:sz w:val="14"/>
                          </w:rPr>
                          <w:t>than</w:t>
                        </w:r>
                      </w:p>
                    </w:tc>
                  </w:tr>
                  <w:tr>
                    <w:trPr>
                      <w:trHeight w:val="190" w:hRule="atLeast"/>
                    </w:trPr>
                    <w:tc>
                      <w:tcPr>
                        <w:tcW w:w="1434" w:type="dxa"/>
                      </w:tcPr>
                      <w:p>
                        <w:pPr>
                          <w:pStyle w:val="TableParagraph"/>
                          <w:rPr>
                            <w:sz w:val="12"/>
                          </w:rPr>
                        </w:pPr>
                      </w:p>
                    </w:tc>
                    <w:tc>
                      <w:tcPr>
                        <w:tcW w:w="463" w:type="dxa"/>
                      </w:tcPr>
                      <w:p>
                        <w:pPr>
                          <w:pStyle w:val="TableParagraph"/>
                          <w:spacing w:line="148" w:lineRule="exact"/>
                          <w:ind w:left="25"/>
                          <w:rPr>
                            <w:sz w:val="14"/>
                          </w:rPr>
                        </w:pPr>
                        <w:r>
                          <w:rPr>
                            <w:sz w:val="14"/>
                            <w:u w:val="single"/>
                          </w:rPr>
                          <w:t>0% </w:t>
                        </w:r>
                      </w:p>
                    </w:tc>
                    <w:tc>
                      <w:tcPr>
                        <w:tcW w:w="489" w:type="dxa"/>
                      </w:tcPr>
                      <w:p>
                        <w:pPr>
                          <w:pStyle w:val="TableParagraph"/>
                          <w:spacing w:line="148" w:lineRule="exact"/>
                          <w:ind w:right="36"/>
                          <w:jc w:val="center"/>
                          <w:rPr>
                            <w:sz w:val="14"/>
                          </w:rPr>
                        </w:pPr>
                        <w:r>
                          <w:rPr>
                            <w:sz w:val="14"/>
                            <w:u w:val="single"/>
                          </w:rPr>
                          <w:t> 1% </w:t>
                        </w:r>
                      </w:p>
                    </w:tc>
                    <w:tc>
                      <w:tcPr>
                        <w:tcW w:w="534" w:type="dxa"/>
                      </w:tcPr>
                      <w:p>
                        <w:pPr>
                          <w:pStyle w:val="TableParagraph"/>
                          <w:spacing w:line="148" w:lineRule="exact"/>
                          <w:ind w:right="14"/>
                          <w:jc w:val="center"/>
                          <w:rPr>
                            <w:sz w:val="14"/>
                          </w:rPr>
                        </w:pPr>
                        <w:r>
                          <w:rPr>
                            <w:sz w:val="14"/>
                            <w:u w:val="single"/>
                          </w:rPr>
                          <w:t> 2% </w:t>
                        </w:r>
                      </w:p>
                    </w:tc>
                    <w:tc>
                      <w:tcPr>
                        <w:tcW w:w="485" w:type="dxa"/>
                      </w:tcPr>
                      <w:p>
                        <w:pPr>
                          <w:pStyle w:val="TableParagraph"/>
                          <w:spacing w:line="148" w:lineRule="exact"/>
                          <w:ind w:left="120"/>
                          <w:rPr>
                            <w:sz w:val="14"/>
                          </w:rPr>
                        </w:pPr>
                        <w:r>
                          <w:rPr>
                            <w:sz w:val="14"/>
                            <w:u w:val="single"/>
                          </w:rPr>
                          <w:t>3% </w:t>
                        </w:r>
                      </w:p>
                    </w:tc>
                    <w:tc>
                      <w:tcPr>
                        <w:tcW w:w="507" w:type="dxa"/>
                      </w:tcPr>
                      <w:p>
                        <w:pPr>
                          <w:pStyle w:val="TableParagraph"/>
                          <w:spacing w:line="148" w:lineRule="exact"/>
                          <w:ind w:left="146"/>
                          <w:rPr>
                            <w:sz w:val="14"/>
                          </w:rPr>
                        </w:pPr>
                        <w:r>
                          <w:rPr>
                            <w:sz w:val="14"/>
                            <w:u w:val="single"/>
                          </w:rPr>
                          <w:t>4% </w:t>
                        </w:r>
                      </w:p>
                    </w:tc>
                    <w:tc>
                      <w:tcPr>
                        <w:tcW w:w="435" w:type="dxa"/>
                      </w:tcPr>
                      <w:p>
                        <w:pPr>
                          <w:pStyle w:val="TableParagraph"/>
                          <w:spacing w:line="148" w:lineRule="exact"/>
                          <w:ind w:right="68"/>
                          <w:jc w:val="right"/>
                          <w:rPr>
                            <w:sz w:val="14"/>
                          </w:rPr>
                        </w:pPr>
                        <w:r>
                          <w:rPr>
                            <w:sz w:val="14"/>
                            <w:u w:val="single"/>
                          </w:rPr>
                          <w:t>4% </w:t>
                        </w:r>
                      </w:p>
                    </w:tc>
                  </w:tr>
                  <w:tr>
                    <w:trPr>
                      <w:trHeight w:val="190" w:hRule="atLeast"/>
                    </w:trPr>
                    <w:tc>
                      <w:tcPr>
                        <w:tcW w:w="1434" w:type="dxa"/>
                      </w:tcPr>
                      <w:p>
                        <w:pPr>
                          <w:pStyle w:val="TableParagraph"/>
                          <w:spacing w:line="133" w:lineRule="exact" w:before="36"/>
                          <w:ind w:left="50"/>
                          <w:rPr>
                            <w:sz w:val="14"/>
                          </w:rPr>
                        </w:pPr>
                        <w:r>
                          <w:rPr>
                            <w:sz w:val="14"/>
                          </w:rPr>
                          <w:t>1999 Q4</w:t>
                        </w:r>
                      </w:p>
                    </w:tc>
                    <w:tc>
                      <w:tcPr>
                        <w:tcW w:w="463" w:type="dxa"/>
                      </w:tcPr>
                      <w:p>
                        <w:pPr>
                          <w:pStyle w:val="TableParagraph"/>
                          <w:spacing w:line="133" w:lineRule="exact" w:before="36"/>
                          <w:ind w:left="97"/>
                          <w:rPr>
                            <w:sz w:val="14"/>
                          </w:rPr>
                        </w:pPr>
                        <w:r>
                          <w:rPr>
                            <w:sz w:val="14"/>
                          </w:rPr>
                          <w:t>6</w:t>
                        </w:r>
                      </w:p>
                    </w:tc>
                    <w:tc>
                      <w:tcPr>
                        <w:tcW w:w="489" w:type="dxa"/>
                      </w:tcPr>
                      <w:p>
                        <w:pPr>
                          <w:pStyle w:val="TableParagraph"/>
                          <w:spacing w:line="133" w:lineRule="exact" w:before="36"/>
                          <w:ind w:right="120"/>
                          <w:jc w:val="center"/>
                          <w:rPr>
                            <w:sz w:val="14"/>
                          </w:rPr>
                        </w:pPr>
                        <w:r>
                          <w:rPr>
                            <w:sz w:val="14"/>
                          </w:rPr>
                          <w:t>32</w:t>
                        </w:r>
                      </w:p>
                    </w:tc>
                    <w:tc>
                      <w:tcPr>
                        <w:tcW w:w="534" w:type="dxa"/>
                      </w:tcPr>
                      <w:p>
                        <w:pPr>
                          <w:pStyle w:val="TableParagraph"/>
                          <w:spacing w:line="133" w:lineRule="exact" w:before="36"/>
                          <w:ind w:left="63" w:right="89"/>
                          <w:jc w:val="center"/>
                          <w:rPr>
                            <w:sz w:val="14"/>
                          </w:rPr>
                        </w:pPr>
                        <w:r>
                          <w:rPr>
                            <w:sz w:val="14"/>
                          </w:rPr>
                          <w:t>43</w:t>
                        </w:r>
                      </w:p>
                    </w:tc>
                    <w:tc>
                      <w:tcPr>
                        <w:tcW w:w="485" w:type="dxa"/>
                      </w:tcPr>
                      <w:p>
                        <w:pPr>
                          <w:pStyle w:val="TableParagraph"/>
                          <w:spacing w:line="133" w:lineRule="exact" w:before="36"/>
                          <w:ind w:left="170"/>
                          <w:rPr>
                            <w:sz w:val="14"/>
                          </w:rPr>
                        </w:pPr>
                        <w:r>
                          <w:rPr>
                            <w:sz w:val="14"/>
                          </w:rPr>
                          <w:t>17</w:t>
                        </w:r>
                      </w:p>
                    </w:tc>
                    <w:tc>
                      <w:tcPr>
                        <w:tcW w:w="507" w:type="dxa"/>
                      </w:tcPr>
                      <w:p>
                        <w:pPr>
                          <w:pStyle w:val="TableParagraph"/>
                          <w:spacing w:line="133" w:lineRule="exact" w:before="36"/>
                          <w:ind w:left="55"/>
                          <w:jc w:val="center"/>
                          <w:rPr>
                            <w:sz w:val="14"/>
                          </w:rPr>
                        </w:pPr>
                        <w:r>
                          <w:rPr>
                            <w:sz w:val="14"/>
                          </w:rPr>
                          <w:t>2</w:t>
                        </w:r>
                      </w:p>
                    </w:tc>
                    <w:tc>
                      <w:tcPr>
                        <w:tcW w:w="435" w:type="dxa"/>
                      </w:tcPr>
                      <w:p>
                        <w:pPr>
                          <w:pStyle w:val="TableParagraph"/>
                          <w:spacing w:line="133" w:lineRule="exact" w:before="36"/>
                          <w:ind w:right="131"/>
                          <w:jc w:val="right"/>
                          <w:rPr>
                            <w:sz w:val="14"/>
                          </w:rPr>
                        </w:pPr>
                        <w:r>
                          <w:rPr>
                            <w:sz w:val="14"/>
                          </w:rPr>
                          <w:t>0</w:t>
                        </w:r>
                      </w:p>
                    </w:tc>
                  </w:tr>
                  <w:tr>
                    <w:trPr>
                      <w:trHeight w:val="140" w:hRule="atLeast"/>
                    </w:trPr>
                    <w:tc>
                      <w:tcPr>
                        <w:tcW w:w="1434" w:type="dxa"/>
                      </w:tcPr>
                      <w:p>
                        <w:pPr>
                          <w:pStyle w:val="TableParagraph"/>
                          <w:spacing w:line="120" w:lineRule="exact"/>
                          <w:ind w:left="50"/>
                          <w:rPr>
                            <w:sz w:val="14"/>
                          </w:rPr>
                        </w:pPr>
                        <w:r>
                          <w:rPr>
                            <w:sz w:val="14"/>
                          </w:rPr>
                          <w:t>2000 Q4</w:t>
                        </w:r>
                      </w:p>
                    </w:tc>
                    <w:tc>
                      <w:tcPr>
                        <w:tcW w:w="463" w:type="dxa"/>
                      </w:tcPr>
                      <w:p>
                        <w:pPr>
                          <w:pStyle w:val="TableParagraph"/>
                          <w:spacing w:line="120" w:lineRule="exact"/>
                          <w:ind w:left="97"/>
                          <w:rPr>
                            <w:sz w:val="14"/>
                          </w:rPr>
                        </w:pPr>
                        <w:r>
                          <w:rPr>
                            <w:sz w:val="14"/>
                          </w:rPr>
                          <w:t>1</w:t>
                        </w:r>
                      </w:p>
                    </w:tc>
                    <w:tc>
                      <w:tcPr>
                        <w:tcW w:w="489" w:type="dxa"/>
                      </w:tcPr>
                      <w:p>
                        <w:pPr>
                          <w:pStyle w:val="TableParagraph"/>
                          <w:spacing w:line="120" w:lineRule="exact"/>
                          <w:ind w:right="50"/>
                          <w:jc w:val="center"/>
                          <w:rPr>
                            <w:sz w:val="14"/>
                          </w:rPr>
                        </w:pPr>
                        <w:r>
                          <w:rPr>
                            <w:sz w:val="14"/>
                          </w:rPr>
                          <w:t>6</w:t>
                        </w:r>
                      </w:p>
                    </w:tc>
                    <w:tc>
                      <w:tcPr>
                        <w:tcW w:w="534" w:type="dxa"/>
                      </w:tcPr>
                      <w:p>
                        <w:pPr>
                          <w:pStyle w:val="TableParagraph"/>
                          <w:spacing w:line="120" w:lineRule="exact"/>
                          <w:ind w:left="63" w:right="89"/>
                          <w:jc w:val="center"/>
                          <w:rPr>
                            <w:sz w:val="14"/>
                          </w:rPr>
                        </w:pPr>
                        <w:r>
                          <w:rPr>
                            <w:sz w:val="14"/>
                          </w:rPr>
                          <w:t>22</w:t>
                        </w:r>
                      </w:p>
                    </w:tc>
                    <w:tc>
                      <w:tcPr>
                        <w:tcW w:w="485" w:type="dxa"/>
                      </w:tcPr>
                      <w:p>
                        <w:pPr>
                          <w:pStyle w:val="TableParagraph"/>
                          <w:spacing w:line="120" w:lineRule="exact"/>
                          <w:ind w:left="170"/>
                          <w:rPr>
                            <w:sz w:val="14"/>
                          </w:rPr>
                        </w:pPr>
                        <w:r>
                          <w:rPr>
                            <w:sz w:val="14"/>
                          </w:rPr>
                          <w:t>34</w:t>
                        </w:r>
                      </w:p>
                    </w:tc>
                    <w:tc>
                      <w:tcPr>
                        <w:tcW w:w="507" w:type="dxa"/>
                      </w:tcPr>
                      <w:p>
                        <w:pPr>
                          <w:pStyle w:val="TableParagraph"/>
                          <w:spacing w:line="120" w:lineRule="exact"/>
                          <w:ind w:left="157" w:right="169"/>
                          <w:jc w:val="center"/>
                          <w:rPr>
                            <w:sz w:val="14"/>
                          </w:rPr>
                        </w:pPr>
                        <w:r>
                          <w:rPr>
                            <w:sz w:val="14"/>
                          </w:rPr>
                          <w:t>26</w:t>
                        </w:r>
                      </w:p>
                    </w:tc>
                    <w:tc>
                      <w:tcPr>
                        <w:tcW w:w="435" w:type="dxa"/>
                      </w:tcPr>
                      <w:p>
                        <w:pPr>
                          <w:pStyle w:val="TableParagraph"/>
                          <w:spacing w:line="120" w:lineRule="exact"/>
                          <w:ind w:right="131"/>
                          <w:jc w:val="right"/>
                          <w:rPr>
                            <w:sz w:val="14"/>
                          </w:rPr>
                        </w:pPr>
                        <w:r>
                          <w:rPr>
                            <w:sz w:val="14"/>
                          </w:rPr>
                          <w:t>11</w:t>
                        </w:r>
                      </w:p>
                    </w:tc>
                  </w:tr>
                  <w:tr>
                    <w:trPr>
                      <w:trHeight w:val="147" w:hRule="atLeast"/>
                    </w:trPr>
                    <w:tc>
                      <w:tcPr>
                        <w:tcW w:w="1434" w:type="dxa"/>
                      </w:tcPr>
                      <w:p>
                        <w:pPr>
                          <w:pStyle w:val="TableParagraph"/>
                          <w:spacing w:line="128" w:lineRule="exact"/>
                          <w:ind w:left="50"/>
                          <w:rPr>
                            <w:sz w:val="14"/>
                          </w:rPr>
                        </w:pPr>
                        <w:r>
                          <w:rPr>
                            <w:sz w:val="14"/>
                          </w:rPr>
                          <w:t>2001 Q2</w:t>
                        </w:r>
                      </w:p>
                    </w:tc>
                    <w:tc>
                      <w:tcPr>
                        <w:tcW w:w="463" w:type="dxa"/>
                      </w:tcPr>
                      <w:p>
                        <w:pPr>
                          <w:pStyle w:val="TableParagraph"/>
                          <w:spacing w:line="128" w:lineRule="exact"/>
                          <w:ind w:left="97"/>
                          <w:rPr>
                            <w:sz w:val="14"/>
                          </w:rPr>
                        </w:pPr>
                        <w:r>
                          <w:rPr>
                            <w:sz w:val="14"/>
                          </w:rPr>
                          <w:t>0</w:t>
                        </w:r>
                      </w:p>
                    </w:tc>
                    <w:tc>
                      <w:tcPr>
                        <w:tcW w:w="489" w:type="dxa"/>
                      </w:tcPr>
                      <w:p>
                        <w:pPr>
                          <w:pStyle w:val="TableParagraph"/>
                          <w:spacing w:line="128" w:lineRule="exact"/>
                          <w:ind w:right="50"/>
                          <w:jc w:val="center"/>
                          <w:rPr>
                            <w:sz w:val="14"/>
                          </w:rPr>
                        </w:pPr>
                        <w:r>
                          <w:rPr>
                            <w:sz w:val="14"/>
                          </w:rPr>
                          <w:t>4</w:t>
                        </w:r>
                      </w:p>
                    </w:tc>
                    <w:tc>
                      <w:tcPr>
                        <w:tcW w:w="534" w:type="dxa"/>
                      </w:tcPr>
                      <w:p>
                        <w:pPr>
                          <w:pStyle w:val="TableParagraph"/>
                          <w:spacing w:line="128" w:lineRule="exact"/>
                          <w:ind w:left="63" w:right="89"/>
                          <w:jc w:val="center"/>
                          <w:rPr>
                            <w:sz w:val="14"/>
                          </w:rPr>
                        </w:pPr>
                        <w:r>
                          <w:rPr>
                            <w:sz w:val="14"/>
                          </w:rPr>
                          <w:t>14</w:t>
                        </w:r>
                      </w:p>
                    </w:tc>
                    <w:tc>
                      <w:tcPr>
                        <w:tcW w:w="485" w:type="dxa"/>
                      </w:tcPr>
                      <w:p>
                        <w:pPr>
                          <w:pStyle w:val="TableParagraph"/>
                          <w:spacing w:line="128" w:lineRule="exact"/>
                          <w:ind w:left="170"/>
                          <w:rPr>
                            <w:sz w:val="14"/>
                          </w:rPr>
                        </w:pPr>
                        <w:r>
                          <w:rPr>
                            <w:sz w:val="14"/>
                          </w:rPr>
                          <w:t>29</w:t>
                        </w:r>
                      </w:p>
                    </w:tc>
                    <w:tc>
                      <w:tcPr>
                        <w:tcW w:w="507" w:type="dxa"/>
                      </w:tcPr>
                      <w:p>
                        <w:pPr>
                          <w:pStyle w:val="TableParagraph"/>
                          <w:spacing w:line="128" w:lineRule="exact"/>
                          <w:ind w:left="157" w:right="169"/>
                          <w:jc w:val="center"/>
                          <w:rPr>
                            <w:sz w:val="14"/>
                          </w:rPr>
                        </w:pPr>
                        <w:r>
                          <w:rPr>
                            <w:sz w:val="14"/>
                          </w:rPr>
                          <w:t>30</w:t>
                        </w:r>
                      </w:p>
                    </w:tc>
                    <w:tc>
                      <w:tcPr>
                        <w:tcW w:w="435" w:type="dxa"/>
                      </w:tcPr>
                      <w:p>
                        <w:pPr>
                          <w:pStyle w:val="TableParagraph"/>
                          <w:spacing w:line="128" w:lineRule="exact"/>
                          <w:ind w:right="131"/>
                          <w:jc w:val="right"/>
                          <w:rPr>
                            <w:sz w:val="14"/>
                          </w:rPr>
                        </w:pPr>
                        <w:r>
                          <w:rPr>
                            <w:sz w:val="14"/>
                          </w:rPr>
                          <w:t>23</w:t>
                        </w:r>
                      </w:p>
                    </w:tc>
                  </w:tr>
                </w:tbl>
                <w:p>
                  <w:pPr>
                    <w:pStyle w:val="BodyText"/>
                  </w:pPr>
                </w:p>
              </w:txbxContent>
            </v:textbox>
            <w10:wrap type="none"/>
          </v:shape>
        </w:pict>
      </w:r>
      <w:r>
        <w:rPr>
          <w:b/>
          <w:sz w:val="14"/>
        </w:rPr>
        <w:t>RPIX inflation</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spacing w:before="95"/>
        <w:ind w:left="0" w:right="1252" w:firstLine="0"/>
        <w:jc w:val="center"/>
        <w:rPr>
          <w:sz w:val="14"/>
        </w:rPr>
      </w:pPr>
      <w:r>
        <w:rPr>
          <w:spacing w:val="-2"/>
          <w:sz w:val="14"/>
          <w:u w:val="single"/>
        </w:rPr>
        <w:t> </w:t>
      </w:r>
    </w:p>
    <w:p>
      <w:pPr>
        <w:pStyle w:val="BodyText"/>
        <w:rPr>
          <w:sz w:val="16"/>
        </w:rPr>
      </w:pPr>
    </w:p>
    <w:p>
      <w:pPr>
        <w:pStyle w:val="BodyText"/>
        <w:rPr>
          <w:sz w:val="16"/>
        </w:rPr>
      </w:pPr>
    </w:p>
    <w:p>
      <w:pPr>
        <w:pStyle w:val="BodyText"/>
        <w:rPr>
          <w:sz w:val="16"/>
        </w:rPr>
      </w:pPr>
    </w:p>
    <w:p>
      <w:pPr>
        <w:spacing w:line="208" w:lineRule="auto" w:before="100"/>
        <w:ind w:left="398" w:right="0" w:hanging="240"/>
        <w:jc w:val="left"/>
        <w:rPr>
          <w:sz w:val="12"/>
        </w:rPr>
      </w:pPr>
      <w:r>
        <w:rPr>
          <w:sz w:val="12"/>
        </w:rPr>
        <w:t>(a) These figures are from the same distributions as the GDP and inflation fan charts, Charts 6.1 and 6.2.</w:t>
      </w:r>
    </w:p>
    <w:p>
      <w:pPr>
        <w:spacing w:line="242" w:lineRule="auto" w:before="90"/>
        <w:ind w:left="158" w:right="254" w:firstLine="0"/>
        <w:jc w:val="left"/>
        <w:rPr>
          <w:sz w:val="24"/>
        </w:rPr>
      </w:pPr>
      <w:r>
        <w:rPr/>
        <w:br w:type="column"/>
      </w:r>
      <w:r>
        <w:rPr>
          <w:sz w:val="24"/>
        </w:rPr>
        <w:t>Risks to activity are relatively evenly balanced throughout the forecast period, as the Committee judges that global prospects are no longer weighted to the downside around the central projection. A possible fall in equity prices is a downside risk for activity; the possibilities that sterling could be weaker and that stockbuilding could be stronger are counterbalancing upside risks. The risks to inflation are slightly on the upside in both years: the possibility that the exchange rate falls more than implied by interest rate differentials is the main factor. However, some Committee members see greater downside risks to inflation from a stronger exchange rate profile, weaker world activity and prices, and greater pressure on margins, than assumed in the central projection. Charts 6.4 and 6.5 show the overall balance of risks to inflation at the two-year horizon.</w:t>
      </w:r>
    </w:p>
    <w:p>
      <w:pPr>
        <w:spacing w:line="242" w:lineRule="auto" w:before="20"/>
        <w:ind w:left="158" w:right="254" w:firstLine="0"/>
        <w:jc w:val="left"/>
        <w:rPr>
          <w:sz w:val="24"/>
        </w:rPr>
      </w:pPr>
      <w:r>
        <w:rPr>
          <w:sz w:val="24"/>
        </w:rPr>
        <w:t>Table 6.A presents the MPC’s judgment of the probabilities of various outcomes for inflation and GDP growth.</w:t>
      </w:r>
    </w:p>
    <w:p>
      <w:pPr>
        <w:spacing w:after="0" w:line="242" w:lineRule="auto"/>
        <w:jc w:val="left"/>
        <w:rPr>
          <w:sz w:val="24"/>
        </w:rPr>
        <w:sectPr>
          <w:type w:val="continuous"/>
          <w:pgSz w:w="11900" w:h="16840"/>
          <w:pgMar w:top="1220" w:bottom="280" w:left="640" w:right="640"/>
          <w:cols w:num="2" w:equalWidth="0">
            <w:col w:w="4358" w:space="444"/>
            <w:col w:w="5818"/>
          </w:cols>
        </w:sectPr>
      </w:pPr>
    </w:p>
    <w:p>
      <w:pPr>
        <w:pStyle w:val="BodyText"/>
        <w:rPr>
          <w:sz w:val="20"/>
        </w:rPr>
      </w:pPr>
    </w:p>
    <w:p>
      <w:pPr>
        <w:spacing w:after="0"/>
        <w:rPr>
          <w:sz w:val="20"/>
        </w:rPr>
        <w:sectPr>
          <w:headerReference w:type="default" r:id="rId138"/>
          <w:headerReference w:type="even" r:id="rId139"/>
          <w:footerReference w:type="default" r:id="rId140"/>
          <w:footerReference w:type="even" r:id="rId141"/>
          <w:pgSz w:w="11900" w:h="16840"/>
          <w:pgMar w:header="586" w:footer="597" w:top="780" w:bottom="780" w:left="640" w:right="640"/>
        </w:sectPr>
      </w:pPr>
    </w:p>
    <w:p>
      <w:pPr>
        <w:pStyle w:val="BodyText"/>
        <w:spacing w:before="5"/>
        <w:rPr>
          <w:sz w:val="21"/>
        </w:rPr>
      </w:pPr>
    </w:p>
    <w:p>
      <w:pPr>
        <w:pStyle w:val="Heading4"/>
        <w:spacing w:before="0"/>
        <w:ind w:left="200"/>
      </w:pPr>
      <w:r>
        <w:rPr>
          <w:color w:val="0093C1"/>
        </w:rPr>
        <w:t>Chart 6.4</w:t>
      </w:r>
    </w:p>
    <w:p>
      <w:pPr>
        <w:pStyle w:val="Heading4"/>
        <w:spacing w:line="249" w:lineRule="auto"/>
        <w:ind w:left="200" w:right="179"/>
      </w:pPr>
      <w:r>
        <w:rPr>
          <w:color w:val="0093C1"/>
        </w:rPr>
        <w:t>Current projection for the percentage increase in RPIX in the year to 2001 Q2</w:t>
      </w:r>
    </w:p>
    <w:p>
      <w:pPr>
        <w:spacing w:line="119" w:lineRule="exact" w:before="186"/>
        <w:ind w:left="2961" w:right="0" w:firstLine="0"/>
        <w:jc w:val="left"/>
        <w:rPr>
          <w:sz w:val="12"/>
        </w:rPr>
      </w:pPr>
      <w:r>
        <w:rPr>
          <w:sz w:val="12"/>
        </w:rPr>
        <w:t>Probability in per cent (a)</w:t>
      </w:r>
    </w:p>
    <w:p>
      <w:pPr>
        <w:spacing w:line="119" w:lineRule="exact" w:before="0"/>
        <w:ind w:left="4260" w:right="0" w:firstLine="0"/>
        <w:jc w:val="left"/>
        <w:rPr>
          <w:sz w:val="12"/>
        </w:rPr>
      </w:pPr>
      <w:r>
        <w:rPr/>
        <w:pict>
          <v:line style="position:absolute;mso-position-horizontal-relative:page;mso-position-vertical-relative:paragraph;z-index:16062464" from="42.5pt,3.151855pt" to="45.5pt,3.151855pt" stroked="true" strokeweight=".5pt" strokecolor="#000000">
            <v:stroke dashstyle="solid"/>
            <w10:wrap type="none"/>
          </v:line>
        </w:pict>
      </w:r>
      <w:r>
        <w:rPr/>
        <w:pict>
          <v:line style="position:absolute;mso-position-horizontal-relative:page;mso-position-vertical-relative:paragraph;z-index:16062976" from="238.5pt,3.151855pt" to="241.5pt,3.151855pt" stroked="true" strokeweight=".5pt" strokecolor="#000000">
            <v:stroke dashstyle="solid"/>
            <w10:wrap type="none"/>
          </v:line>
        </w:pict>
      </w:r>
      <w:r>
        <w:rPr>
          <w:sz w:val="12"/>
        </w:rPr>
        <w:t>5</w:t>
      </w:r>
    </w:p>
    <w:p>
      <w:pPr>
        <w:pStyle w:val="BodyText"/>
        <w:rPr>
          <w:sz w:val="12"/>
        </w:rPr>
      </w:pPr>
    </w:p>
    <w:p>
      <w:pPr>
        <w:pStyle w:val="BodyText"/>
        <w:rPr>
          <w:sz w:val="12"/>
        </w:rPr>
      </w:pPr>
    </w:p>
    <w:p>
      <w:pPr>
        <w:pStyle w:val="BodyText"/>
        <w:spacing w:before="2"/>
        <w:rPr>
          <w:sz w:val="16"/>
        </w:rPr>
      </w:pPr>
    </w:p>
    <w:p>
      <w:pPr>
        <w:spacing w:before="1"/>
        <w:ind w:left="0" w:right="58" w:firstLine="0"/>
        <w:jc w:val="right"/>
        <w:rPr>
          <w:sz w:val="12"/>
        </w:rPr>
      </w:pPr>
      <w:r>
        <w:rPr/>
        <w:pict>
          <v:group style="position:absolute;margin-left:42.5pt;margin-top:-6.848437pt;width:199pt;height:135pt;mso-position-horizontal-relative:page;mso-position-vertical-relative:paragraph;z-index:16061952" coordorigin="850,-137" coordsize="3980,2700">
            <v:shape style="position:absolute;left:2086;top:-127;width:1620;height:2624" coordorigin="2087,-127" coordsize="1620,2624" path="m2777,-127l2707,-104,2667,-24,2607,76,2567,216,2507,376,2447,576,2407,776,2287,1176,2227,1356,2187,1496,2147,1616,2087,1816,2087,2496,3707,2496,3707,1816,3693,1796,3637,1670,3587,1536,3527,1416,3467,1256,3427,1116,3367,956,3307,816,3267,656,3207,496,3147,356,3107,236,3047,116,2927,-44,2880,-94,2827,-124,2777,-127xe" filled="true" fillcolor="#eeefef" stroked="false">
              <v:path arrowok="t"/>
              <v:fill type="solid"/>
            </v:shape>
            <v:shape style="position:absolute;left:850;top:83;width:3980;height:2420" coordorigin="850,83" coordsize="3980,2420" path="m850,83l910,83m850,703l910,703m850,1303l910,1303m850,1903l910,1903m850,2503l910,2503m4770,83l4830,83m4770,703l4830,703m4770,1303l4830,1303m4770,1903l4830,1903m4770,2503l4830,2503e" filled="false" stroked="true" strokeweight=".5pt" strokecolor="#000000">
              <v:path arrowok="t"/>
              <v:stroke dashstyle="solid"/>
            </v:shape>
            <v:shape style="position:absolute;left:956;top:-127;width:3754;height:2624" coordorigin="956,-127" coordsize="3754,2624" path="m956,2497l1396,2497,1432,2490,1490,2483,1552,2471,1657,2433,1710,2403,1810,2323,1870,2263,1910,2183,1963,2073,2014,1974,2068,1834,2125,1672,2177,1529,2237,1353,2288,1176,2348,976,2410,763,2450,583,2510,383,2570,223,2610,83,2667,-40,2727,-110,2777,-127,2833,-117,2940,-24,2990,43,3040,126,3100,246,3210,503,3270,663,3320,820,3370,963,3430,1123,3470,1263,3530,1423,3586,1548,3666,1726,3726,1841,3758,1901,3810,2003,3850,2083,3910,2163,4070,2323,4130,2363,4170,2383,4230,2416,4290,2443,4348,2453,4390,2463,4453,2473,4510,2483,4550,2483,4610,2493,4710,2493e" filled="false" stroked="true" strokeweight="1pt" strokecolor="#ed1b2d">
              <v:path arrowok="t"/>
              <v:stroke dashstyle="solid"/>
            </v:shape>
            <v:shape style="position:absolute;left:950;top:2503;width:3760;height:60" coordorigin="950,2503" coordsize="3760,60" path="m950,2503l4710,2503m950,2503l950,2563m1490,2503l1490,2563m2030,2503l2030,2563m2570,2503l2570,2563m3110,2503l3110,2563m3650,2503l3650,2563m4170,2503l4170,2563m4710,2503l4710,2563e" filled="false" stroked="true" strokeweight=".5pt" strokecolor="#000000">
              <v:path arrowok="t"/>
              <v:stroke dashstyle="solid"/>
            </v:shape>
            <v:line style="position:absolute" from="3601,346" to="3098,821" stroked="true" strokeweight=".5pt" strokecolor="#000000">
              <v:stroke dashstyle="solid"/>
            </v:line>
            <v:shape style="position:absolute;left:3050;top:793;width:77;height:73" coordorigin="3051,794" coordsize="77,73" path="m3092,794l3062,851,3051,866,3058,861,3067,856,3089,844,3109,834,3128,827,3092,794xe" filled="true" fillcolor="#000000" stroked="false">
              <v:path arrowok="t"/>
              <v:fill type="solid"/>
            </v:shape>
            <v:shape style="position:absolute;left:3413;top:202;width:1022;height:133" type="#_x0000_t202" filled="false" stroked="false">
              <v:textbox inset="0,0,0,0">
                <w:txbxContent>
                  <w:p>
                    <w:pPr>
                      <w:spacing w:line="133" w:lineRule="exact" w:before="0"/>
                      <w:ind w:left="0" w:right="0" w:firstLine="0"/>
                      <w:jc w:val="left"/>
                      <w:rPr>
                        <w:sz w:val="12"/>
                      </w:rPr>
                    </w:pPr>
                    <w:r>
                      <w:rPr>
                        <w:w w:val="105"/>
                        <w:sz w:val="12"/>
                      </w:rPr>
                      <w:t>90% probability (b)</w:t>
                    </w:r>
                  </w:p>
                </w:txbxContent>
              </v:textbox>
              <w10:wrap type="none"/>
            </v:shape>
            <w10:wrap type="none"/>
          </v:group>
        </w:pict>
      </w:r>
      <w:r>
        <w:rPr>
          <w:sz w:val="12"/>
        </w:rPr>
        <w:t>4</w:t>
      </w:r>
    </w:p>
    <w:p>
      <w:pPr>
        <w:pStyle w:val="BodyText"/>
        <w:rPr>
          <w:sz w:val="12"/>
        </w:rPr>
      </w:pPr>
    </w:p>
    <w:p>
      <w:pPr>
        <w:pStyle w:val="BodyText"/>
        <w:rPr>
          <w:sz w:val="12"/>
        </w:rPr>
      </w:pPr>
    </w:p>
    <w:p>
      <w:pPr>
        <w:pStyle w:val="BodyText"/>
        <w:spacing w:before="1"/>
        <w:rPr>
          <w:sz w:val="16"/>
        </w:rPr>
      </w:pPr>
    </w:p>
    <w:p>
      <w:pPr>
        <w:spacing w:before="1"/>
        <w:ind w:left="0" w:right="58" w:firstLine="0"/>
        <w:jc w:val="right"/>
        <w:rPr>
          <w:sz w:val="12"/>
        </w:rPr>
      </w:pPr>
      <w:r>
        <w:rPr>
          <w:sz w:val="12"/>
        </w:rPr>
        <w:t>3</w:t>
      </w:r>
    </w:p>
    <w:p>
      <w:pPr>
        <w:pStyle w:val="BodyText"/>
        <w:rPr>
          <w:sz w:val="12"/>
        </w:rPr>
      </w:pPr>
    </w:p>
    <w:p>
      <w:pPr>
        <w:pStyle w:val="BodyText"/>
        <w:rPr>
          <w:sz w:val="12"/>
        </w:rPr>
      </w:pPr>
    </w:p>
    <w:p>
      <w:pPr>
        <w:pStyle w:val="BodyText"/>
        <w:spacing w:before="10"/>
        <w:rPr>
          <w:sz w:val="17"/>
        </w:rPr>
      </w:pPr>
    </w:p>
    <w:p>
      <w:pPr>
        <w:spacing w:before="0"/>
        <w:ind w:left="0" w:right="58" w:firstLine="0"/>
        <w:jc w:val="right"/>
        <w:rPr>
          <w:sz w:val="12"/>
        </w:rPr>
      </w:pPr>
      <w:r>
        <w:rPr>
          <w:sz w:val="12"/>
        </w:rPr>
        <w:t>2</w:t>
      </w:r>
    </w:p>
    <w:p>
      <w:pPr>
        <w:pStyle w:val="BodyText"/>
        <w:rPr>
          <w:sz w:val="12"/>
        </w:rPr>
      </w:pPr>
    </w:p>
    <w:p>
      <w:pPr>
        <w:pStyle w:val="BodyText"/>
        <w:rPr>
          <w:sz w:val="12"/>
        </w:rPr>
      </w:pPr>
    </w:p>
    <w:p>
      <w:pPr>
        <w:pStyle w:val="BodyText"/>
        <w:spacing w:before="2"/>
        <w:rPr>
          <w:sz w:val="16"/>
        </w:rPr>
      </w:pPr>
    </w:p>
    <w:p>
      <w:pPr>
        <w:spacing w:before="0"/>
        <w:ind w:left="0" w:right="38" w:firstLine="0"/>
        <w:jc w:val="right"/>
        <w:rPr>
          <w:sz w:val="12"/>
        </w:rPr>
      </w:pPr>
      <w:r>
        <w:rPr>
          <w:sz w:val="12"/>
        </w:rPr>
        <w:t>1</w:t>
      </w:r>
    </w:p>
    <w:p>
      <w:pPr>
        <w:pStyle w:val="BodyText"/>
        <w:spacing w:before="9"/>
        <w:rPr>
          <w:sz w:val="25"/>
        </w:rPr>
      </w:pPr>
      <w:r>
        <w:rPr/>
        <w:br w:type="column"/>
      </w:r>
      <w:r>
        <w:rPr>
          <w:sz w:val="25"/>
        </w:rPr>
      </w:r>
    </w:p>
    <w:p>
      <w:pPr>
        <w:pStyle w:val="Heading4"/>
        <w:spacing w:before="0"/>
        <w:ind w:left="200"/>
      </w:pPr>
      <w:r>
        <w:rPr>
          <w:color w:val="0093C1"/>
        </w:rPr>
        <w:t>Chart 6.5</w:t>
      </w:r>
    </w:p>
    <w:p>
      <w:pPr>
        <w:pStyle w:val="Heading4"/>
        <w:spacing w:line="249" w:lineRule="auto"/>
        <w:ind w:left="200" w:right="1501"/>
      </w:pPr>
      <w:r>
        <w:rPr>
          <w:color w:val="0093C1"/>
        </w:rPr>
        <w:t>February projection for the percentage increase in RPIX in the year to 2001 Q1</w:t>
      </w:r>
    </w:p>
    <w:p>
      <w:pPr>
        <w:spacing w:line="127" w:lineRule="exact" w:before="113"/>
        <w:ind w:left="3082" w:right="0" w:firstLine="0"/>
        <w:jc w:val="left"/>
        <w:rPr>
          <w:sz w:val="12"/>
        </w:rPr>
      </w:pPr>
      <w:r>
        <w:rPr>
          <w:w w:val="105"/>
          <w:sz w:val="12"/>
        </w:rPr>
        <w:t>Probability in per cent (a)</w:t>
      </w:r>
    </w:p>
    <w:p>
      <w:pPr>
        <w:spacing w:line="127" w:lineRule="exact" w:before="0"/>
        <w:ind w:left="4430" w:right="0" w:firstLine="0"/>
        <w:jc w:val="left"/>
        <w:rPr>
          <w:sz w:val="12"/>
        </w:rPr>
      </w:pPr>
      <w:r>
        <w:rPr/>
        <w:pict>
          <v:shape style="position:absolute;margin-left:287.895996pt;margin-top:3.632134pt;width:5.95pt;height:.1pt;mso-position-horizontal-relative:page;mso-position-vertical-relative:paragraph;z-index:16064512" coordorigin="5758,73" coordsize="119,0" path="m5758,73l5876,73m5758,73l5876,73m5758,73l5876,73m5758,73l5876,73m5758,73l5876,73m5758,73l5876,73m5758,73l5876,73m5758,73l5876,73m5758,73l5876,73m5758,73l5876,73m5758,73l5876,73m5758,73l5876,73m5758,73l5876,73m5758,73l5876,73m5758,73l5876,73m5758,73l5876,73m5758,73l5876,73e" filled="false" stroked="true" strokeweight=".5pt" strokecolor="#000000">
            <v:path arrowok="t"/>
            <v:stroke dashstyle="solid"/>
            <w10:wrap type="none"/>
          </v:shape>
        </w:pict>
      </w:r>
      <w:r>
        <w:rPr/>
        <w:pict>
          <v:shape style="position:absolute;margin-left:485.942993pt;margin-top:3.632134pt;width:5.95pt;height:.1pt;mso-position-horizontal-relative:page;mso-position-vertical-relative:paragraph;z-index:16067072" coordorigin="9719,73" coordsize="119,0" path="m9719,73l9837,73m9719,73l9837,73m9719,73l9837,73m9719,73l9837,73m9719,73l9837,73m9719,73l9837,73m9719,73l9837,73m9719,73l9837,73m9719,73l9837,73m9719,73l9837,73m9719,73l9837,73m9719,73l9837,73m9719,73l9837,73m9719,73l9837,73m9719,73l9837,73m9719,73l9837,73m9719,73l9837,73m9719,73l9837,73m9719,73l9837,73m9719,73l9837,73m9719,73l9837,73m9719,73l9837,73m9719,73l9837,73e" filled="false" stroked="true" strokeweight=".5pt" strokecolor="#000000">
            <v:path arrowok="t"/>
            <v:stroke dashstyle="solid"/>
            <w10:wrap type="none"/>
          </v:shape>
        </w:pict>
      </w:r>
      <w:r>
        <w:rPr>
          <w:w w:val="105"/>
          <w:sz w:val="12"/>
        </w:rPr>
        <w:t>5</w:t>
      </w:r>
    </w:p>
    <w:p>
      <w:pPr>
        <w:pStyle w:val="BodyText"/>
        <w:rPr>
          <w:sz w:val="12"/>
        </w:rPr>
      </w:pPr>
    </w:p>
    <w:p>
      <w:pPr>
        <w:pStyle w:val="BodyText"/>
        <w:rPr>
          <w:sz w:val="12"/>
        </w:rPr>
      </w:pPr>
    </w:p>
    <w:p>
      <w:pPr>
        <w:pStyle w:val="BodyText"/>
        <w:spacing w:before="5"/>
        <w:rPr>
          <w:sz w:val="17"/>
        </w:rPr>
      </w:pPr>
    </w:p>
    <w:p>
      <w:pPr>
        <w:spacing w:before="0"/>
        <w:ind w:left="0" w:right="1319" w:firstLine="0"/>
        <w:jc w:val="right"/>
        <w:rPr>
          <w:sz w:val="12"/>
        </w:rPr>
      </w:pPr>
      <w:r>
        <w:rPr/>
        <w:pict>
          <v:group style="position:absolute;margin-left:287.895996pt;margin-top:-6.07544pt;width:204pt;height:134.2pt;mso-position-horizontal-relative:page;mso-position-vertical-relative:paragraph;z-index:16064000" coordorigin="5758,-122" coordsize="4080,2684">
            <v:shape style="position:absolute;left:5757;top:2505;width:2838;height:56" coordorigin="5758,2506" coordsize="2838,56" path="m5934,2506l5934,2562m5758,2506l5876,2506m6466,2506l6466,2562m6999,2506l6999,2562m7531,2506l7531,2562m8063,2506l8063,2562m8595,2506l8595,2562e" filled="false" stroked="true" strokeweight=".5pt" strokecolor="#000000">
              <v:path arrowok="t"/>
              <v:stroke dashstyle="solid"/>
            </v:shape>
            <v:shape style="position:absolute;left:6949;top:-107;width:1637;height:2608" coordorigin="6949,-106" coordsize="1637,2608" path="m7837,-106l7797,-106,7738,-69,7679,-13,7639,61,7580,155,7521,266,7462,415,7423,546,7363,713,7304,862,7265,1030,7147,1328,7107,1477,6989,1738,6949,1850,6949,2502,8586,2502,8586,1868,8526,1738,8487,1589,8369,1254,8329,1067,8270,881,8211,713,8152,527,8112,359,8053,210,7994,99,7955,-13,7896,-69,7837,-106xe" filled="true" fillcolor="#eeeeee" stroked="false">
              <v:path arrowok="t"/>
              <v:fill type="solid"/>
            </v:shape>
            <v:shape style="position:absolute;left:6949;top:-107;width:1637;height:2608" coordorigin="6949,-106" coordsize="1637,2608" path="m8586,2502l8586,1868,8526,1738,8487,1589,8369,1254,8329,1067,8270,881,8211,713,8152,527,8112,359,8053,210,7994,99,7955,-13,7896,-69,7837,-106,7797,-106,7738,-69,7679,-13,7639,61,7580,155,7521,266,7462,415,7423,546,7363,713,7304,862,7265,1030,7147,1328,7107,1477,6989,1738,6949,1850,6949,2502,8586,2502xe" filled="false" stroked="true" strokeweight="1pt" strokecolor="#eeefef">
              <v:path arrowok="t"/>
              <v:stroke dashstyle="solid"/>
            </v:shape>
            <v:line style="position:absolute" from="8595,298" to="8093,773" stroked="true" strokeweight=".5pt" strokecolor="#000000">
              <v:stroke dashstyle="solid"/>
            </v:line>
            <v:shape style="position:absolute;left:8045;top:745;width:77;height:73" coordorigin="8046,746" coordsize="77,73" path="m8087,746l8056,803,8046,818,8053,813,8062,808,8083,796,8104,786,8122,779,8087,746xe" filled="true" fillcolor="#000000" stroked="false">
              <v:path arrowok="t"/>
              <v:fill type="solid"/>
            </v:shape>
            <v:shape style="position:absolute;left:9127;top:84;width:710;height:2478" coordorigin="9128,84" coordsize="710,2478" path="m9128,2506l9128,2562m9660,2506l9660,2562m9719,2506l9837,2506m9719,84l9837,84m9719,84l9837,84m9719,84l9837,84m9719,84l9837,84m9719,84l9837,84m9719,84l9837,84m9719,84l9837,84m9719,84l9837,84m9719,84l9837,84m9719,84l9837,84m9719,84l9837,84m9719,84l9837,84m9719,84l9837,84m9719,84l9837,84m9719,84l9837,84m9719,84l9837,84m9719,84l9837,84m9719,84l9837,84m9719,84l9837,84m9719,84l9837,84m9719,84l9837,84m9719,84l9837,84m9719,84l9837,84m9719,680l9837,680m9719,680l9837,680m9719,680l9837,680m9719,680l9837,680m9719,680l9837,680m9719,680l9837,680m9719,680l9837,680m9719,680l9837,680m9719,680l9837,680m9719,680l9837,680m9719,680l9837,680m9719,680l9837,680m9719,680l9837,680m9719,680l9837,680m9719,680l9837,680m9719,680l9837,680m9719,680l9837,680m9719,680l9837,680m9719,680l9837,680m9719,680l9837,680m9719,680l9837,680m9719,680l9837,680m9719,680l9837,680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295l9837,1295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m9719,1910l9837,1910e" filled="false" stroked="true" strokeweight=".5pt" strokecolor="#000000">
              <v:path arrowok="t"/>
              <v:stroke dashstyle="solid"/>
            </v:shape>
            <v:shape style="position:absolute;left:5941;top:-112;width:3709;height:2611" coordorigin="5941,-112" coordsize="3709,2611" path="m9650,2498l9330,2498,9283,2496,9226,2487,9184,2480,9128,2468,9069,2450,9007,2420,8960,2387,8911,2350,8859,2294,8812,2245,8753,2170,8694,2077,8645,1989,8595,1877,8590,1866,8595,1872,8538,1738,8492,1600,8428,1414,8379,1258,8332,1071,8270,881,8221,717,8160,527,8112,354,8063,214,8006,95,7959,2,7896,-69,7864,-99,7797,-112,7746,-82,7686,-23,7649,30,7593,135,7521,261,7467,391,7429,523,7373,688,7333,800,7273,984,7215,1153,7162,1284,7135,1376,7058,1579,7001,1707,6963,1809,6897,1956,6844,2049,6789,2136,6742,2195,6687,2254,6641,2295,6568,2347m5941,2499l6052,2499,6087,2498,6151,2496,6210,2493,6266,2481,6309,2468,6427,2431,6466,2413,6526,2375,6568,2347e" filled="false" stroked="true" strokeweight="1pt" strokecolor="#ed1b2d">
              <v:path arrowok="t"/>
              <v:stroke dashstyle="solid"/>
            </v:shape>
            <v:line style="position:absolute" from="5934,2506" to="9660,2506" stroked="true" strokeweight=".5pt" strokecolor="#000000">
              <v:stroke dashstyle="solid"/>
            </v:line>
            <v:shape style="position:absolute;left:8408;top:154;width:1022;height:133" type="#_x0000_t202" filled="false" stroked="false">
              <v:textbox inset="0,0,0,0">
                <w:txbxContent>
                  <w:p>
                    <w:pPr>
                      <w:spacing w:line="133" w:lineRule="exact" w:before="0"/>
                      <w:ind w:left="0" w:right="0" w:firstLine="0"/>
                      <w:jc w:val="left"/>
                      <w:rPr>
                        <w:sz w:val="12"/>
                      </w:rPr>
                    </w:pPr>
                    <w:r>
                      <w:rPr>
                        <w:w w:val="105"/>
                        <w:sz w:val="12"/>
                      </w:rPr>
                      <w:t>90% probability (b)</w:t>
                    </w:r>
                  </w:p>
                </w:txbxContent>
              </v:textbox>
              <w10:wrap type="none"/>
            </v:shape>
            <w10:wrap type="none"/>
          </v:group>
        </w:pict>
      </w:r>
      <w:r>
        <w:rPr/>
        <w:pict>
          <v:shape style="position:absolute;margin-left:287.895996pt;margin-top:4.20456pt;width:5.95pt;height:.1pt;mso-position-horizontal-relative:page;mso-position-vertical-relative:paragraph;z-index:16065024" coordorigin="5758,84" coordsize="119,0" path="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e" filled="false" stroked="true" strokeweight=".5pt" strokecolor="#000000">
            <v:path arrowok="t"/>
            <v:stroke dashstyle="solid"/>
            <w10:wrap type="none"/>
          </v:shape>
        </w:pict>
      </w:r>
      <w:r>
        <w:rPr>
          <w:w w:val="105"/>
          <w:sz w:val="12"/>
        </w:rPr>
        <w:t>4</w:t>
      </w:r>
    </w:p>
    <w:p>
      <w:pPr>
        <w:pStyle w:val="BodyText"/>
        <w:rPr>
          <w:sz w:val="12"/>
        </w:rPr>
      </w:pPr>
    </w:p>
    <w:p>
      <w:pPr>
        <w:pStyle w:val="BodyText"/>
        <w:rPr>
          <w:sz w:val="12"/>
        </w:rPr>
      </w:pPr>
    </w:p>
    <w:p>
      <w:pPr>
        <w:pStyle w:val="BodyText"/>
        <w:spacing w:before="10"/>
        <w:rPr>
          <w:sz w:val="15"/>
        </w:rPr>
      </w:pPr>
    </w:p>
    <w:p>
      <w:pPr>
        <w:spacing w:before="0"/>
        <w:ind w:left="0" w:right="1319" w:firstLine="0"/>
        <w:jc w:val="right"/>
        <w:rPr>
          <w:sz w:val="12"/>
        </w:rPr>
      </w:pPr>
      <w:r>
        <w:rPr/>
        <w:pict>
          <v:shape style="position:absolute;margin-left:287.895996pt;margin-top:4.204544pt;width:5.95pt;height:.1pt;mso-position-horizontal-relative:page;mso-position-vertical-relative:paragraph;z-index:16065536" coordorigin="5758,84" coordsize="119,0" path="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e" filled="false" stroked="true" strokeweight=".5pt" strokecolor="#000000">
            <v:path arrowok="t"/>
            <v:stroke dashstyle="solid"/>
            <w10:wrap type="none"/>
          </v:shape>
        </w:pict>
      </w:r>
      <w:r>
        <w:rPr>
          <w:w w:val="105"/>
          <w:sz w:val="12"/>
        </w:rPr>
        <w:t>3</w:t>
      </w:r>
    </w:p>
    <w:p>
      <w:pPr>
        <w:pStyle w:val="BodyText"/>
        <w:rPr>
          <w:sz w:val="12"/>
        </w:rPr>
      </w:pPr>
    </w:p>
    <w:p>
      <w:pPr>
        <w:pStyle w:val="BodyText"/>
        <w:rPr>
          <w:sz w:val="12"/>
        </w:rPr>
      </w:pPr>
    </w:p>
    <w:p>
      <w:pPr>
        <w:pStyle w:val="BodyText"/>
        <w:spacing w:before="5"/>
        <w:rPr>
          <w:sz w:val="17"/>
        </w:rPr>
      </w:pPr>
    </w:p>
    <w:p>
      <w:pPr>
        <w:spacing w:before="0"/>
        <w:ind w:left="0" w:right="1319" w:firstLine="0"/>
        <w:jc w:val="right"/>
        <w:rPr>
          <w:sz w:val="12"/>
        </w:rPr>
      </w:pPr>
      <w:r>
        <w:rPr/>
        <w:pict>
          <v:shape style="position:absolute;margin-left:287.895996pt;margin-top:4.204558pt;width:5.95pt;height:.1pt;mso-position-horizontal-relative:page;mso-position-vertical-relative:paragraph;z-index:16066048" coordorigin="5758,84" coordsize="119,0" path="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m5758,84l5876,84e" filled="false" stroked="true" strokeweight=".5pt" strokecolor="#000000">
            <v:path arrowok="t"/>
            <v:stroke dashstyle="solid"/>
            <w10:wrap type="none"/>
          </v:shape>
        </w:pict>
      </w:r>
      <w:r>
        <w:rPr>
          <w:w w:val="105"/>
          <w:sz w:val="12"/>
        </w:rPr>
        <w:t>2</w:t>
      </w:r>
    </w:p>
    <w:p>
      <w:pPr>
        <w:pStyle w:val="BodyText"/>
        <w:rPr>
          <w:sz w:val="12"/>
        </w:rPr>
      </w:pPr>
    </w:p>
    <w:p>
      <w:pPr>
        <w:pStyle w:val="BodyText"/>
        <w:rPr>
          <w:sz w:val="12"/>
        </w:rPr>
      </w:pPr>
    </w:p>
    <w:p>
      <w:pPr>
        <w:pStyle w:val="BodyText"/>
        <w:spacing w:before="5"/>
        <w:rPr>
          <w:sz w:val="17"/>
        </w:rPr>
      </w:pPr>
    </w:p>
    <w:p>
      <w:pPr>
        <w:spacing w:before="1"/>
        <w:ind w:left="0" w:right="1319" w:firstLine="0"/>
        <w:jc w:val="right"/>
        <w:rPr>
          <w:sz w:val="12"/>
        </w:rPr>
      </w:pPr>
      <w:r>
        <w:rPr/>
        <w:pict>
          <v:shape style="position:absolute;margin-left:287.895996pt;margin-top:4.254535pt;width:5.95pt;height:.1pt;mso-position-horizontal-relative:page;mso-position-vertical-relative:paragraph;z-index:16066560" coordorigin="5758,85" coordsize="119,0" path="m5758,85l5876,85m5758,85l5876,85m5758,85l5876,85m5758,85l5876,85m5758,85l5876,85m5758,85l5876,85m5758,85l5876,85m5758,85l5876,85m5758,85l5876,85m5758,85l5876,85m5758,85l5876,85m5758,85l5876,85m5758,85l5876,85m5758,85l5876,85m5758,85l5876,85m5758,85l5876,85m5758,85l5876,85m5758,85l5876,85m5758,85l5876,85m5758,85l5876,85m5758,85l5876,85e" filled="false" stroked="true" strokeweight=".5pt" strokecolor="#000000">
            <v:path arrowok="t"/>
            <v:stroke dashstyle="solid"/>
            <w10:wrap type="none"/>
          </v:shape>
        </w:pict>
      </w:r>
      <w:r>
        <w:rPr>
          <w:w w:val="105"/>
          <w:sz w:val="12"/>
        </w:rPr>
        <w:t>1</w:t>
      </w:r>
    </w:p>
    <w:p>
      <w:pPr>
        <w:spacing w:after="0"/>
        <w:jc w:val="right"/>
        <w:rPr>
          <w:sz w:val="12"/>
        </w:rPr>
        <w:sectPr>
          <w:type w:val="continuous"/>
          <w:pgSz w:w="11900" w:h="16840"/>
          <w:pgMar w:top="1220" w:bottom="280" w:left="640" w:right="640"/>
          <w:cols w:num="2" w:equalWidth="0">
            <w:col w:w="4381" w:space="424"/>
            <w:col w:w="5815"/>
          </w:cols>
        </w:sectPr>
      </w:pPr>
    </w:p>
    <w:p>
      <w:pPr>
        <w:pStyle w:val="BodyText"/>
        <w:rPr>
          <w:sz w:val="20"/>
        </w:rPr>
      </w:pPr>
    </w:p>
    <w:p>
      <w:pPr>
        <w:spacing w:after="0"/>
        <w:rPr>
          <w:sz w:val="20"/>
        </w:rPr>
        <w:sectPr>
          <w:type w:val="continuous"/>
          <w:pgSz w:w="11900" w:h="16840"/>
          <w:pgMar w:top="1220" w:bottom="280" w:left="640" w:right="640"/>
        </w:sectPr>
      </w:pPr>
    </w:p>
    <w:p>
      <w:pPr>
        <w:pStyle w:val="BodyText"/>
        <w:rPr>
          <w:sz w:val="12"/>
        </w:rPr>
      </w:pPr>
    </w:p>
    <w:p>
      <w:pPr>
        <w:spacing w:before="82"/>
        <w:ind w:left="4210" w:right="0" w:firstLine="0"/>
        <w:jc w:val="center"/>
        <w:rPr>
          <w:sz w:val="12"/>
        </w:rPr>
      </w:pPr>
      <w:r>
        <w:rPr>
          <w:sz w:val="12"/>
        </w:rPr>
        <w:t>0</w:t>
      </w:r>
    </w:p>
    <w:p>
      <w:pPr>
        <w:tabs>
          <w:tab w:pos="589" w:val="left" w:leader="none"/>
          <w:tab w:pos="1125" w:val="left" w:leader="none"/>
          <w:tab w:pos="1675" w:val="left" w:leader="none"/>
          <w:tab w:pos="2224" w:val="left" w:leader="none"/>
          <w:tab w:pos="2747" w:val="left" w:leader="none"/>
          <w:tab w:pos="3276" w:val="left" w:leader="none"/>
          <w:tab w:pos="3819" w:val="left" w:leader="none"/>
        </w:tabs>
        <w:spacing w:line="132" w:lineRule="exact" w:before="28"/>
        <w:ind w:left="0" w:right="1" w:firstLine="0"/>
        <w:jc w:val="center"/>
        <w:rPr>
          <w:sz w:val="12"/>
        </w:rPr>
      </w:pPr>
      <w:r>
        <w:rPr>
          <w:color w:val="231F20"/>
          <w:sz w:val="12"/>
        </w:rPr>
        <w:t>-1</w:t>
        <w:tab/>
        <w:t>0</w:t>
        <w:tab/>
        <w:t>1</w:t>
        <w:tab/>
        <w:t>2</w:t>
        <w:tab/>
        <w:t>3</w:t>
        <w:tab/>
        <w:t>4</w:t>
        <w:tab/>
        <w:t>5</w:t>
        <w:tab/>
        <w:t>6</w:t>
      </w:r>
    </w:p>
    <w:p>
      <w:pPr>
        <w:spacing w:line="132" w:lineRule="exact" w:before="0"/>
        <w:ind w:left="50" w:right="1" w:firstLine="0"/>
        <w:jc w:val="center"/>
        <w:rPr>
          <w:sz w:val="12"/>
        </w:rPr>
      </w:pPr>
      <w:r>
        <w:rPr>
          <w:sz w:val="12"/>
        </w:rPr>
        <w:t>Inflation</w:t>
      </w:r>
    </w:p>
    <w:p>
      <w:pPr>
        <w:pStyle w:val="BodyText"/>
        <w:rPr>
          <w:sz w:val="12"/>
        </w:rPr>
      </w:pPr>
      <w:r>
        <w:rPr/>
        <w:br w:type="column"/>
      </w:r>
      <w:r>
        <w:rPr>
          <w:sz w:val="12"/>
        </w:rPr>
      </w:r>
    </w:p>
    <w:p>
      <w:pPr>
        <w:pStyle w:val="BodyText"/>
        <w:rPr>
          <w:sz w:val="12"/>
        </w:rPr>
      </w:pPr>
    </w:p>
    <w:p>
      <w:pPr>
        <w:pStyle w:val="BodyText"/>
        <w:spacing w:before="3"/>
        <w:rPr>
          <w:sz w:val="11"/>
        </w:rPr>
      </w:pPr>
    </w:p>
    <w:p>
      <w:pPr>
        <w:tabs>
          <w:tab w:pos="800" w:val="left" w:leader="none"/>
        </w:tabs>
        <w:spacing w:before="0"/>
        <w:ind w:left="233" w:right="0" w:firstLine="0"/>
        <w:jc w:val="left"/>
        <w:rPr>
          <w:sz w:val="12"/>
        </w:rPr>
      </w:pPr>
      <w:r>
        <w:rPr>
          <w:w w:val="105"/>
          <w:sz w:val="12"/>
        </w:rPr>
        <w:t>-1</w:t>
        <w:tab/>
        <w:t>0</w:t>
      </w:r>
    </w:p>
    <w:p>
      <w:pPr>
        <w:pStyle w:val="BodyText"/>
        <w:rPr>
          <w:sz w:val="12"/>
        </w:rPr>
      </w:pPr>
      <w:r>
        <w:rPr/>
        <w:br w:type="column"/>
      </w:r>
      <w:r>
        <w:rPr>
          <w:sz w:val="12"/>
        </w:rPr>
      </w:r>
    </w:p>
    <w:p>
      <w:pPr>
        <w:spacing w:before="90"/>
        <w:ind w:left="0" w:right="1313" w:firstLine="0"/>
        <w:jc w:val="right"/>
        <w:rPr>
          <w:sz w:val="12"/>
        </w:rPr>
      </w:pPr>
      <w:r>
        <w:rPr>
          <w:w w:val="105"/>
          <w:sz w:val="12"/>
        </w:rPr>
        <w:t>0</w:t>
      </w:r>
    </w:p>
    <w:p>
      <w:pPr>
        <w:tabs>
          <w:tab w:pos="755" w:val="left" w:leader="none"/>
          <w:tab w:pos="1297" w:val="left" w:leader="none"/>
          <w:tab w:pos="1820" w:val="left" w:leader="none"/>
          <w:tab w:pos="2352" w:val="left" w:leader="none"/>
          <w:tab w:pos="2894" w:val="left" w:leader="none"/>
        </w:tabs>
        <w:spacing w:line="147" w:lineRule="exact" w:before="28"/>
        <w:ind w:left="233" w:right="0" w:firstLine="0"/>
        <w:jc w:val="left"/>
        <w:rPr>
          <w:sz w:val="12"/>
        </w:rPr>
      </w:pPr>
      <w:r>
        <w:rPr>
          <w:w w:val="105"/>
          <w:position w:val="3"/>
          <w:sz w:val="12"/>
        </w:rPr>
        <w:t>1</w:t>
        <w:tab/>
      </w:r>
      <w:r>
        <w:rPr>
          <w:w w:val="105"/>
          <w:position w:val="2"/>
          <w:sz w:val="12"/>
        </w:rPr>
        <w:t>2</w:t>
        <w:tab/>
        <w:t>3</w:t>
        <w:tab/>
      </w:r>
      <w:r>
        <w:rPr>
          <w:w w:val="105"/>
          <w:position w:val="3"/>
          <w:sz w:val="12"/>
        </w:rPr>
        <w:t>4</w:t>
        <w:tab/>
      </w:r>
      <w:r>
        <w:rPr>
          <w:w w:val="105"/>
          <w:position w:val="1"/>
          <w:sz w:val="12"/>
        </w:rPr>
        <w:t>5</w:t>
        <w:tab/>
      </w:r>
      <w:r>
        <w:rPr>
          <w:w w:val="105"/>
          <w:sz w:val="12"/>
        </w:rPr>
        <w:t>6</w:t>
      </w:r>
    </w:p>
    <w:p>
      <w:pPr>
        <w:spacing w:line="117" w:lineRule="exact" w:before="0"/>
        <w:ind w:left="859" w:right="0" w:firstLine="0"/>
        <w:jc w:val="left"/>
        <w:rPr>
          <w:sz w:val="12"/>
        </w:rPr>
      </w:pPr>
      <w:r>
        <w:rPr>
          <w:w w:val="105"/>
          <w:sz w:val="12"/>
        </w:rPr>
        <w:t>Inflation</w:t>
      </w:r>
    </w:p>
    <w:p>
      <w:pPr>
        <w:spacing w:after="0" w:line="117" w:lineRule="exact"/>
        <w:jc w:val="left"/>
        <w:rPr>
          <w:sz w:val="12"/>
        </w:rPr>
        <w:sectPr>
          <w:type w:val="continuous"/>
          <w:pgSz w:w="11900" w:h="16840"/>
          <w:pgMar w:top="1220" w:bottom="280" w:left="640" w:right="640"/>
          <w:cols w:num="3" w:equalWidth="0">
            <w:col w:w="4351" w:space="641"/>
            <w:col w:w="904" w:space="204"/>
            <w:col w:w="4520"/>
          </w:cols>
        </w:sectPr>
      </w:pPr>
    </w:p>
    <w:p>
      <w:pPr>
        <w:pStyle w:val="BodyText"/>
        <w:spacing w:before="4"/>
        <w:rPr>
          <w:sz w:val="15"/>
        </w:rPr>
      </w:pPr>
    </w:p>
    <w:p>
      <w:pPr>
        <w:spacing w:before="0"/>
        <w:ind w:left="220" w:right="0" w:firstLine="0"/>
        <w:jc w:val="left"/>
        <w:rPr>
          <w:sz w:val="16"/>
        </w:rPr>
      </w:pPr>
      <w:r>
        <w:rPr>
          <w:sz w:val="16"/>
        </w:rPr>
        <w:t>Source: Bank of England.</w:t>
      </w:r>
    </w:p>
    <w:p>
      <w:pPr>
        <w:pStyle w:val="ListParagraph"/>
        <w:numPr>
          <w:ilvl w:val="0"/>
          <w:numId w:val="29"/>
        </w:numPr>
        <w:tabs>
          <w:tab w:pos="461" w:val="left" w:leader="none"/>
        </w:tabs>
        <w:spacing w:line="208" w:lineRule="auto" w:before="155" w:after="0"/>
        <w:ind w:left="460" w:right="1417" w:hanging="240"/>
        <w:jc w:val="left"/>
        <w:rPr>
          <w:sz w:val="16"/>
        </w:rPr>
      </w:pPr>
      <w:r>
        <w:rPr>
          <w:sz w:val="16"/>
        </w:rPr>
        <w:t>Probability of inflation being within ±0.05 percentage point of any given inflation rate, specified to one decimal place. For example, </w:t>
      </w:r>
      <w:r>
        <w:rPr>
          <w:spacing w:val="-6"/>
          <w:sz w:val="16"/>
        </w:rPr>
        <w:t>the </w:t>
      </w:r>
      <w:r>
        <w:rPr>
          <w:sz w:val="16"/>
        </w:rPr>
        <w:t>probability of inflation being 2.5% (between 2.45% and 2.55%) in the current projection is around 4.5%.</w:t>
      </w:r>
    </w:p>
    <w:p>
      <w:pPr>
        <w:pStyle w:val="ListParagraph"/>
        <w:numPr>
          <w:ilvl w:val="0"/>
          <w:numId w:val="29"/>
        </w:numPr>
        <w:tabs>
          <w:tab w:pos="461" w:val="left" w:leader="none"/>
        </w:tabs>
        <w:spacing w:line="208" w:lineRule="auto" w:before="0" w:after="0"/>
        <w:ind w:left="460" w:right="1272" w:hanging="240"/>
        <w:jc w:val="left"/>
        <w:rPr>
          <w:sz w:val="16"/>
        </w:rPr>
      </w:pPr>
      <w:r>
        <w:rPr>
          <w:sz w:val="16"/>
        </w:rPr>
        <w:t>The areas shaded light grey contain 90% of the probability, and are consistent with the widest bands shown in Charts 6.2 and 6.3. For further details see ‘The </w:t>
      </w:r>
      <w:r>
        <w:rPr>
          <w:i/>
          <w:sz w:val="16"/>
        </w:rPr>
        <w:t>Inflation Report </w:t>
      </w:r>
      <w:r>
        <w:rPr>
          <w:sz w:val="16"/>
        </w:rPr>
        <w:t>projections: understanding the fan chart’, February 1998 </w:t>
      </w:r>
      <w:r>
        <w:rPr>
          <w:i/>
          <w:sz w:val="16"/>
        </w:rPr>
        <w:t>Quarterly Bulletin</w:t>
      </w:r>
      <w:r>
        <w:rPr>
          <w:sz w:val="16"/>
        </w:rPr>
        <w:t>, pages 30–37, and </w:t>
      </w:r>
      <w:r>
        <w:rPr>
          <w:spacing w:val="-6"/>
          <w:sz w:val="16"/>
        </w:rPr>
        <w:t>the </w:t>
      </w:r>
      <w:r>
        <w:rPr>
          <w:sz w:val="16"/>
        </w:rPr>
        <w:t>box on page 52 of the February 1999</w:t>
      </w:r>
      <w:r>
        <w:rPr>
          <w:spacing w:val="-2"/>
          <w:sz w:val="16"/>
        </w:rPr>
        <w:t> </w:t>
      </w:r>
      <w:r>
        <w:rPr>
          <w:i/>
          <w:sz w:val="16"/>
        </w:rPr>
        <w:t>Report</w:t>
      </w:r>
      <w:r>
        <w:rPr>
          <w:sz w:val="16"/>
        </w:rPr>
        <w:t>.</w:t>
      </w:r>
    </w:p>
    <w:p>
      <w:pPr>
        <w:pStyle w:val="BodyText"/>
        <w:rPr>
          <w:sz w:val="20"/>
        </w:rPr>
      </w:pPr>
    </w:p>
    <w:p>
      <w:pPr>
        <w:pStyle w:val="BodyText"/>
        <w:spacing w:before="5"/>
        <w:rPr>
          <w:sz w:val="25"/>
        </w:rPr>
      </w:pPr>
    </w:p>
    <w:p>
      <w:pPr>
        <w:spacing w:line="242" w:lineRule="auto" w:before="89"/>
        <w:ind w:left="5000" w:right="294" w:firstLine="0"/>
        <w:jc w:val="left"/>
        <w:rPr>
          <w:sz w:val="24"/>
        </w:rPr>
      </w:pPr>
      <w:r>
        <w:rPr>
          <w:sz w:val="24"/>
        </w:rPr>
        <w:t>The market expectation of the likely path of interest rates has risen slightly since the February </w:t>
      </w:r>
      <w:r>
        <w:rPr>
          <w:i/>
          <w:sz w:val="24"/>
        </w:rPr>
        <w:t>Report</w:t>
      </w:r>
      <w:r>
        <w:rPr>
          <w:sz w:val="24"/>
        </w:rPr>
        <w:t>.  On 5 </w:t>
      </w:r>
      <w:r>
        <w:rPr>
          <w:spacing w:val="-4"/>
          <w:sz w:val="24"/>
        </w:rPr>
        <w:t>May, </w:t>
      </w:r>
      <w:r>
        <w:rPr>
          <w:sz w:val="24"/>
        </w:rPr>
        <w:t>implied interest rates on short-sterling futures contracts suggested that the market expectation was, </w:t>
      </w:r>
      <w:r>
        <w:rPr>
          <w:spacing w:val="-8"/>
          <w:sz w:val="24"/>
        </w:rPr>
        <w:t>on </w:t>
      </w:r>
      <w:r>
        <w:rPr>
          <w:sz w:val="24"/>
        </w:rPr>
        <w:t>balance, for official rates to remain close to current levels or a little below in the near term. There were some expectations of a small rise in rates in 2000. So the </w:t>
      </w:r>
      <w:r>
        <w:rPr>
          <w:spacing w:val="-3"/>
          <w:sz w:val="24"/>
        </w:rPr>
        <w:t>MPC’s </w:t>
      </w:r>
      <w:r>
        <w:rPr>
          <w:sz w:val="24"/>
        </w:rPr>
        <w:t>projections for inflation and output growth under the assumption that official rates follow market expectations are almost identical to the constant rate projection (see Charts 6.6 and 6.7).</w:t>
      </w:r>
    </w:p>
    <w:p>
      <w:pPr>
        <w:pStyle w:val="BodyText"/>
        <w:rPr>
          <w:sz w:val="20"/>
        </w:rPr>
      </w:pPr>
    </w:p>
    <w:p>
      <w:pPr>
        <w:pStyle w:val="BodyText"/>
        <w:rPr>
          <w:sz w:val="20"/>
        </w:rPr>
      </w:pPr>
    </w:p>
    <w:p>
      <w:pPr>
        <w:pStyle w:val="BodyText"/>
        <w:spacing w:before="10"/>
        <w:rPr>
          <w:sz w:val="15"/>
        </w:rPr>
      </w:pPr>
    </w:p>
    <w:p>
      <w:pPr>
        <w:spacing w:after="0"/>
        <w:rPr>
          <w:sz w:val="15"/>
        </w:rPr>
        <w:sectPr>
          <w:type w:val="continuous"/>
          <w:pgSz w:w="11900" w:h="16840"/>
          <w:pgMar w:top="1220" w:bottom="280" w:left="640" w:right="640"/>
        </w:sectPr>
      </w:pPr>
    </w:p>
    <w:p>
      <w:pPr>
        <w:pStyle w:val="Heading4"/>
        <w:spacing w:before="91"/>
        <w:ind w:left="200"/>
      </w:pPr>
      <w:r>
        <w:rPr>
          <w:color w:val="0093C1"/>
        </w:rPr>
        <w:t>Chart 6.6</w:t>
      </w:r>
    </w:p>
    <w:p>
      <w:pPr>
        <w:pStyle w:val="Heading4"/>
        <w:spacing w:line="249" w:lineRule="auto"/>
        <w:ind w:left="200" w:right="224"/>
      </w:pPr>
      <w:r>
        <w:rPr>
          <w:color w:val="0093C1"/>
        </w:rPr>
        <w:t>Current RPIX inflation projection based on market interest rate expectations</w:t>
      </w:r>
    </w:p>
    <w:p>
      <w:pPr>
        <w:spacing w:line="122" w:lineRule="exact" w:before="105"/>
        <w:ind w:left="1834" w:right="0" w:firstLine="0"/>
        <w:jc w:val="left"/>
        <w:rPr>
          <w:sz w:val="12"/>
        </w:rPr>
      </w:pPr>
      <w:r>
        <w:rPr>
          <w:color w:val="231F20"/>
          <w:sz w:val="12"/>
        </w:rPr>
        <w:t>Percentage increase in prices on a year earlier</w:t>
      </w:r>
    </w:p>
    <w:p>
      <w:pPr>
        <w:spacing w:line="122" w:lineRule="exact" w:before="0"/>
        <w:ind w:left="4082" w:right="0" w:firstLine="0"/>
        <w:jc w:val="left"/>
        <w:rPr>
          <w:sz w:val="12"/>
        </w:rPr>
      </w:pPr>
      <w:r>
        <w:rPr/>
        <w:pict>
          <v:line style="position:absolute;mso-position-horizontal-relative:page;mso-position-vertical-relative:paragraph;z-index:16053248" from="42.849998pt,2.816952pt" to="47.382998pt,2.816952pt" stroked="true" strokeweight=".5pt" strokecolor="#231f20">
            <v:stroke dashstyle="solid"/>
            <w10:wrap type="none"/>
          </v:line>
        </w:pict>
      </w:r>
      <w:r>
        <w:rPr/>
        <w:pict>
          <v:line style="position:absolute;mso-position-horizontal-relative:page;mso-position-vertical-relative:paragraph;z-index:16055808" from="229pt,2.858952pt" to="233.533pt,2.858952pt" stroked="true" strokeweight=".5pt" strokecolor="#231f20">
            <v:stroke dashstyle="solid"/>
            <w10:wrap type="none"/>
          </v:line>
        </w:pict>
      </w:r>
      <w:r>
        <w:rPr>
          <w:color w:val="231F20"/>
          <w:sz w:val="12"/>
        </w:rPr>
        <w:t>5</w:t>
      </w:r>
    </w:p>
    <w:p>
      <w:pPr>
        <w:pStyle w:val="Heading4"/>
        <w:spacing w:before="91"/>
        <w:ind w:left="200"/>
      </w:pPr>
      <w:r>
        <w:rPr>
          <w:b w:val="0"/>
        </w:rPr>
        <w:br w:type="column"/>
      </w:r>
      <w:r>
        <w:rPr>
          <w:color w:val="0093C1"/>
        </w:rPr>
        <w:t>Chart 6.7</w:t>
      </w:r>
    </w:p>
    <w:p>
      <w:pPr>
        <w:pStyle w:val="Heading4"/>
        <w:spacing w:line="249" w:lineRule="auto"/>
        <w:ind w:left="200" w:right="1334"/>
      </w:pPr>
      <w:r>
        <w:rPr>
          <w:color w:val="0093C1"/>
        </w:rPr>
        <w:t>Current GDP projection based on market interest rate expectations</w:t>
      </w:r>
    </w:p>
    <w:p>
      <w:pPr>
        <w:spacing w:line="116" w:lineRule="exact" w:before="110"/>
        <w:ind w:left="1859" w:right="0" w:firstLine="0"/>
        <w:jc w:val="left"/>
        <w:rPr>
          <w:sz w:val="12"/>
        </w:rPr>
      </w:pPr>
      <w:r>
        <w:rPr>
          <w:color w:val="231F20"/>
          <w:sz w:val="12"/>
        </w:rPr>
        <w:t>Percentage increase in output on a year earlier</w:t>
      </w:r>
    </w:p>
    <w:p>
      <w:pPr>
        <w:spacing w:line="116" w:lineRule="exact" w:before="0"/>
        <w:ind w:left="4143" w:right="0" w:firstLine="0"/>
        <w:jc w:val="left"/>
        <w:rPr>
          <w:sz w:val="12"/>
        </w:rPr>
      </w:pPr>
      <w:r>
        <w:rPr/>
        <w:pict>
          <v:line style="position:absolute;mso-position-horizontal-relative:page;mso-position-vertical-relative:paragraph;z-index:16058880" from="282.971008pt,2.484855pt" to="287.504008pt,2.484855pt" stroked="true" strokeweight=".5pt" strokecolor="#231f20">
            <v:stroke dashstyle="solid"/>
            <w10:wrap type="none"/>
          </v:line>
        </w:pict>
      </w:r>
      <w:r>
        <w:rPr/>
        <w:pict>
          <v:line style="position:absolute;mso-position-horizontal-relative:page;mso-position-vertical-relative:paragraph;z-index:16060928" from="471.246002pt,2.526855pt" to="475.779002pt,2.526855pt" stroked="true" strokeweight=".5pt" strokecolor="#231f20">
            <v:stroke dashstyle="solid"/>
            <w10:wrap type="none"/>
          </v:line>
        </w:pict>
      </w:r>
      <w:r>
        <w:rPr>
          <w:color w:val="231F20"/>
          <w:sz w:val="12"/>
        </w:rPr>
        <w:t>6</w:t>
      </w:r>
    </w:p>
    <w:p>
      <w:pPr>
        <w:spacing w:after="0" w:line="116" w:lineRule="exact"/>
        <w:jc w:val="left"/>
        <w:rPr>
          <w:sz w:val="12"/>
        </w:rPr>
        <w:sectPr>
          <w:type w:val="continuous"/>
          <w:pgSz w:w="11900" w:h="16840"/>
          <w:pgMar w:top="1220" w:bottom="280" w:left="640" w:right="640"/>
          <w:cols w:num="2" w:equalWidth="0">
            <w:col w:w="4183" w:space="617"/>
            <w:col w:w="5820"/>
          </w:cols>
        </w:sectPr>
      </w:pPr>
    </w:p>
    <w:p>
      <w:pPr>
        <w:pStyle w:val="BodyText"/>
        <w:spacing w:before="4"/>
        <w:rPr>
          <w:sz w:val="14"/>
        </w:rPr>
      </w:pPr>
    </w:p>
    <w:p>
      <w:pPr>
        <w:spacing w:before="96"/>
        <w:ind w:left="8943" w:right="0" w:firstLine="0"/>
        <w:jc w:val="left"/>
        <w:rPr>
          <w:sz w:val="12"/>
        </w:rPr>
      </w:pPr>
      <w:r>
        <w:rPr/>
        <w:pict>
          <v:group style="position:absolute;margin-left:285.096008pt;margin-top:8.838159pt;width:190.7pt;height:108.35pt;mso-position-horizontal-relative:page;mso-position-vertical-relative:paragraph;z-index:-21078016" coordorigin="5702,177" coordsize="3814,2167">
            <v:shape style="position:absolute;left:8093;top:178;width:1256;height:2166" coordorigin="8093,178" coordsize="1256,2166" path="m9349,178l9209,245,9070,431,8930,701,8791,828,8651,981,8512,1180,8372,1436,8233,1745,8093,1985,8233,2171,8372,2288,8512,2344,8651,2287,8791,2247,8930,2171,9070,1979,9209,1871,9349,1856,9349,178xe" filled="true" fillcolor="#dbeae4" stroked="false">
              <v:path arrowok="t"/>
              <v:fill type="solid"/>
            </v:shape>
            <v:shape style="position:absolute;left:8093;top:369;width:1256;height:1861" coordorigin="8093,369" coordsize="1256,1861" path="m9349,369l9209,432,9070,612,8930,875,8791,998,8651,1138,8512,1321,8372,1542,8233,1802,8093,1994,8233,2135,8372,2207,8512,2230,8651,2158,8791,2107,8930,2023,9070,1820,9209,1700,9349,1677,9349,369xe" filled="true" fillcolor="#bfdbcf" stroked="false">
              <v:path arrowok="t"/>
              <v:fill type="solid"/>
            </v:shape>
            <v:shape style="position:absolute;left:8093;top:487;width:1256;height:1658" coordorigin="8093,487" coordsize="1256,1658" path="m9349,487l9209,548,9070,726,8930,986,8791,1108,8651,1239,8512,1410,8372,1606,8233,1832,8093,1989,8233,2100,8372,2143,8512,2145,8651,2063,8791,2004,8930,1915,9070,1703,9209,1574,9349,1545,9349,487xe" filled="true" fillcolor="#a4cdbd" stroked="false">
              <v:path arrowok="t"/>
              <v:fill type="solid"/>
            </v:shape>
            <v:shape style="position:absolute;left:8093;top:591;width:1256;height:1506" coordorigin="8093,591" coordsize="1256,1506" path="m9349,591l9209,650,9070,823,8930,1080,8791,1199,8651,1323,8512,1485,8372,1661,8233,1860,8093,1990,8233,2078,8372,2097,8512,2081,8651,1991,8791,1925,8930,1832,9070,1615,9209,1481,9349,1449,9349,591xe" filled="true" fillcolor="#8abfab" stroked="false">
              <v:path arrowok="t"/>
              <v:fill type="solid"/>
            </v:shape>
            <v:shape style="position:absolute;left:8093;top:670;width:1256;height:1386" coordorigin="8093,670" coordsize="1256,1386" path="m9349,670l9209,728,9070,900,8930,1155,8791,1274,8651,1391,8512,1546,8372,1705,8233,1881,8093,1989,8233,2056,8372,2054,8512,2023,8651,1927,8791,1856,8930,1759,9070,1535,9209,1395,9349,1358,9349,670xe" filled="true" fillcolor="#6fb39a" stroked="false">
              <v:path arrowok="t"/>
              <v:fill type="solid"/>
            </v:shape>
            <v:shape style="position:absolute;left:8093;top:747;width:1256;height:1292" coordorigin="8093,747" coordsize="1256,1292" path="m9349,747l9209,803,9070,973,8930,1226,8791,1342,8651,1455,8512,1603,8372,1746,8233,1902,8093,1989,8233,2039,8372,2019,8512,1975,8651,1873,8791,1797,8930,1696,9070,1468,9209,1322,9349,1283,9349,747xe" filled="true" fillcolor="#53a78b" stroked="false">
              <v:path arrowok="t"/>
              <v:fill type="solid"/>
            </v:shape>
            <v:shape style="position:absolute;left:8093;top:819;width:1256;height:1202" coordorigin="8093,819" coordsize="1256,1202" path="m9349,819l9209,872,9070,1038,8930,1287,8791,1401,8651,1509,8512,1651,8372,1782,8233,1920,8093,1989,8233,2020,8372,1983,8512,1926,8651,1817,8791,1737,8930,1635,9070,1403,9209,1255,9349,1214,9349,819xe" filled="true" fillcolor="#309d7d" stroked="false">
              <v:path arrowok="t"/>
              <v:fill type="solid"/>
            </v:shape>
            <v:shape style="position:absolute;left:8093;top:889;width:1256;height:1119" coordorigin="8093,889" coordsize="1256,1119" path="m9349,889l9209,942,9070,1106,8930,1354,8791,1467,8651,1570,8512,1705,8372,1822,8233,1941,8093,1991,8233,2008,8372,1955,8512,1887,8651,1773,8791,1688,8930,1583,9070,1346,9209,1193,9349,1148,9349,889xe" filled="true" fillcolor="#00936f" stroked="false">
              <v:path arrowok="t"/>
              <v:fill type="solid"/>
            </v:shape>
            <v:shape style="position:absolute;left:8093;top:948;width:1256;height:1039" coordorigin="8093,948" coordsize="1256,1039" path="m9349,948l9209,999,9070,1161,8930,1406,8791,1518,8651,1616,8512,1746,8372,1850,8233,1953,8093,1986,8233,1986,8372,1917,8512,1836,8651,1717,8791,1628,8930,1521,9070,1282,9209,1126,9349,1080,9349,948xe" filled="true" fillcolor="#008256" stroked="false">
              <v:path arrowok="t"/>
              <v:fill type="solid"/>
            </v:shape>
            <v:shape style="position:absolute;left:5701;top:610;width:91;height:425" coordorigin="5702,611" coordsize="91,425" path="m5793,1036l5702,1036m5702,611l5793,611e" filled="false" stroked="true" strokeweight=".5pt" strokecolor="#231f20">
              <v:path arrowok="t"/>
              <v:stroke dashstyle="solid"/>
            </v:shape>
            <v:shape style="position:absolute;left:5859;top:601;width:558;height:888" coordorigin="5860,602" coordsize="558,888" path="m5999,983l5860,602m6139,1399l5999,983m6278,1490l6139,1399m6418,1239l6278,1490e" filled="false" stroked="true" strokeweight="1pt" strokecolor="#008256">
              <v:path arrowok="t"/>
              <v:stroke dashstyle="solid"/>
            </v:shape>
            <v:line style="position:absolute" from="6408,1247" to="6567,1247" stroked="true" strokeweight="1.737pt" strokecolor="#008256">
              <v:stroke dashstyle="solid"/>
            </v:line>
            <v:line style="position:absolute" from="6557,1254" to="6697,1208" stroked="true" strokeweight="1pt" strokecolor="#008256">
              <v:stroke dashstyle="solid"/>
            </v:line>
            <v:line style="position:absolute" from="6687,1201" to="6846,1201" stroked="true" strokeweight="1.649pt" strokecolor="#008256">
              <v:stroke dashstyle="solid"/>
            </v:line>
            <v:shape style="position:absolute;left:6836;top:641;width:1256;height:1346" coordorigin="6836,642" coordsize="1256,1346" path="m6836,1195l6976,1092m7115,796l6976,1092m7115,796l7255,694m7394,642l7255,694m7534,1008l7394,642m7673,1318l7534,1008m7673,1318l7813,1545m7952,1851l7813,1545m7952,1851l8092,1988e" filled="false" stroked="true" strokeweight="1pt" strokecolor="#008256">
              <v:path arrowok="t"/>
              <v:stroke dashstyle="solid"/>
            </v:shape>
            <v:shape style="position:absolute;left:8091;top:1012;width:1256;height:975" coordorigin="8092,1013" coordsize="1256,975" path="m8231,1971l8092,1988m8231,1971l8371,1887m8510,1795l8371,1887m8510,1795l8650,1671m8650,1671l8789,1578m8789,1578l8929,1467m8929,1467l9068,1223m9208,1063l9068,1223m9347,1013l9208,1063e" filled="false" stroked="true" strokeweight=".5pt" strokecolor="#008256">
              <v:path arrowok="t"/>
              <v:stroke dashstyle="solid"/>
            </v:shape>
            <v:shape style="position:absolute;left:5701;top:181;width:3814;height:2130" coordorigin="5702,182" coordsize="3814,2130" path="m5793,2310l5702,2310m9516,2310l9425,2310m5844,2311l9357,2311m9425,1461l9516,1461m9509,182l9418,182e" filled="false" stroked="true" strokeweight=".5pt" strokecolor="#231f20">
              <v:path arrowok="t"/>
              <v:stroke dashstyle="solid"/>
            </v:shape>
            <w10:wrap type="none"/>
          </v:group>
        </w:pict>
      </w:r>
      <w:r>
        <w:rPr/>
        <w:pict>
          <v:line style="position:absolute;mso-position-horizontal-relative:page;mso-position-vertical-relative:paragraph;z-index:16058368" from="285.096008pt,9.305159pt" to="289.629008pt,9.305159pt" stroked="true" strokeweight=".5pt" strokecolor="#231f20">
            <v:stroke dashstyle="solid"/>
            <w10:wrap type="none"/>
          </v:line>
        </w:pict>
      </w:r>
      <w:r>
        <w:rPr>
          <w:color w:val="231F20"/>
          <w:sz w:val="12"/>
        </w:rPr>
        <w:t>5</w:t>
      </w:r>
    </w:p>
    <w:p>
      <w:pPr>
        <w:spacing w:before="58"/>
        <w:ind w:left="0" w:right="2392" w:firstLine="0"/>
        <w:jc w:val="center"/>
        <w:rPr>
          <w:sz w:val="12"/>
        </w:rPr>
      </w:pPr>
      <w:r>
        <w:rPr/>
        <w:pict>
          <v:group style="position:absolute;margin-left:49.932999pt;margin-top:2.934558pt;width:183.6pt;height:89.5pt;mso-position-horizontal-relative:page;mso-position-vertical-relative:paragraph;z-index:16050176" coordorigin="999,59" coordsize="3672,1790">
            <v:shape style="position:absolute;left:3251;top:58;width:1256;height:1790" coordorigin="3251,59" coordsize="1256,1790" path="m4507,59l4367,162,4228,339,4088,427,3949,513,3809,597,3670,636,3530,746,3391,837,3251,1005,3391,1192,3530,1338,3670,1464,3809,1662,4088,1731,4228,1826,4367,1830,4507,1849,4507,59xe" filled="true" fillcolor="#fee7de" stroked="false">
              <v:path arrowok="t"/>
              <v:fill type="solid"/>
            </v:shape>
            <v:shape style="position:absolute;left:3251;top:277;width:1256;height:1405" coordorigin="3251,278" coordsize="1256,1405" path="m4507,278l4367,366,4228,523,4088,588,3949,661,3809,730,3670,739,3530,820,3391,881,3251,1003,3391,1157,3530,1281,3670,1384,3809,1560,4088,1605,4228,1682,4367,1669,4507,1675,4507,278xe" filled="true" fillcolor="#fcd3c4" stroked="false">
              <v:path arrowok="t"/>
              <v:fill type="solid"/>
            </v:shape>
            <v:shape style="position:absolute;left:3251;top:437;width:1256;height:1152" coordorigin="3251,438" coordsize="1256,1152" path="m4507,438l4367,515,4228,653,4088,701,3949,761,3809,821,3670,811,3530,873,3391,915,3251,1009,3391,1138,3530,1244,3670,1331,3809,1490,3949,1505,4088,1522,4228,1590,4367,1567,4507,1568,4507,438xe" filled="true" fillcolor="#fabeac" stroked="false">
              <v:path arrowok="t"/>
              <v:fill type="solid"/>
            </v:shape>
            <v:shape style="position:absolute;left:3251;top:552;width:1256;height:956" coordorigin="3251,552" coordsize="1256,956" path="m4507,552l4367,621,4228,746,4088,782,3809,886,3670,860,3530,907,3391,933,3251,1004,3391,1115,3530,1210,3670,1285,3809,1432,3949,1441,4088,1450,4228,1508,4367,1475,4507,1468,4507,552xe" filled="true" fillcolor="#f8aa95" stroked="false">
              <v:path arrowok="t"/>
              <v:fill type="solid"/>
            </v:shape>
            <v:shape style="position:absolute;left:3251;top:652;width:1256;height:789" coordorigin="3251,653" coordsize="1256,789" path="m4507,653l4367,714,4228,829,4088,854,3809,945,3670,906,3530,939,3391,953,3251,1004,3391,1099,3530,1183,3670,1247,3809,1384,3949,1387,4088,1392,4228,1442,4367,1402,4507,1390,4507,653xe" filled="true" fillcolor="#f69780" stroked="false">
              <v:path arrowok="t"/>
              <v:fill type="solid"/>
            </v:shape>
            <v:shape style="position:absolute;left:3251;top:748;width:1256;height:635" coordorigin="3251,749" coordsize="1256,635" path="m4507,749l4367,803,4228,907,4088,921,3949,959,3809,999,3670,948,3530,970,3391,971,3251,1005,3391,1085,3530,1160,3670,1215,3809,1341,3949,1340,4088,1340,4228,1383,4367,1336,4507,1320,4507,749xe" filled="true" fillcolor="#f5846d" stroked="false">
              <v:path arrowok="t"/>
              <v:fill type="solid"/>
            </v:shape>
            <v:shape style="position:absolute;left:3251;top:831;width:1256;height:498" coordorigin="3251,831" coordsize="1256,498" path="m4507,831l4367,881,4228,978,4088,985,3809,1052,3670,989,3530,998,3391,988,3251,1004,3391,1072,3530,1138,3670,1185,3809,1303,3949,1298,4088,1293,4228,1329,4367,1274,4507,1253,4507,831xe" filled="true" fillcolor="#f3715b" stroked="false">
              <v:path arrowok="t"/>
              <v:fill type="solid"/>
            </v:shape>
            <v:shape style="position:absolute;left:3251;top:909;width:1256;height:367" coordorigin="3251,909" coordsize="1256,367" path="m4507,909l4367,954,4228,1044,4088,1044,3809,1100,3670,1027,3530,1026,3391,1005,3251,1004,3391,1060,3530,1118,3670,1156,3809,1266,4088,1247,4228,1276,4367,1214,4507,1189,4507,909xe" filled="true" fillcolor="#f15b4a" stroked="false">
              <v:path arrowok="t"/>
              <v:fill type="solid"/>
            </v:shape>
            <v:shape style="position:absolute;left:3251;top:990;width:1256;height:237" coordorigin="3251,990" coordsize="1256,237" path="m4507,990l4367,1028,4228,1107,4088,1096,3949,1118,3809,1141,3670,1058,3530,1047,3391,1017,3251,1002,3391,1046,3530,1095,3670,1125,3809,1227,3949,1213,4088,1200,4228,1223,4367,1156,4507,1127,4507,990xe" filled="true" fillcolor="#ed1b2d" stroked="false">
              <v:path arrowok="t"/>
              <v:fill type="solid"/>
            </v:shape>
            <v:shape style="position:absolute;left:1015;top:763;width:279;height:110" coordorigin="1015,764" coordsize="279,110" path="m1155,874l1015,848m1155,874l1294,764e" filled="false" stroked="true" strokeweight="1pt" strokecolor="#ed1b2d">
              <v:path arrowok="t"/>
              <v:stroke dashstyle="solid"/>
            </v:shape>
            <v:line style="position:absolute" from="1284,767" to="1444,767" stroked="true" strokeweight="1.321pt" strokecolor="#ed1b2d">
              <v:stroke dashstyle="solid"/>
            </v:line>
            <v:shape style="position:absolute;left:1433;top:593;width:1674;height:411" coordorigin="1434,593" coordsize="1674,411" path="m1434,770l1573,825m1573,825l1713,851m1713,851l1852,800m1991,593l1852,800m1991,593l2131,805m2131,805l2270,987m2270,987l2410,822m2549,872l2410,822m2689,994l2549,872m2828,733l2689,994m2828,733l2968,982m2968,982l3107,1004e" filled="false" stroked="true" strokeweight="1pt" strokecolor="#ed1b2d">
              <v:path arrowok="t"/>
              <v:stroke dashstyle="solid"/>
            </v:shape>
            <v:line style="position:absolute" from="3097,1006" to="3257,1006" stroked="true" strokeweight="1.143pt" strokecolor="#ed1b2d">
              <v:stroke dashstyle="solid"/>
            </v:line>
            <v:shape style="position:absolute;left:3246;top:1007;width:1256;height:184" coordorigin="3247,1007" coordsize="1256,184" path="m3247,1007l3386,1035m3386,1035l3526,1076m3665,1097l3526,1076m3805,1191l3665,1097m3805,1191l3944,1173m4084,1156l3944,1173m4084,1156l4223,1174m4223,1174l4363,1102m4502,1069l4363,1102e" filled="false" stroked="true" strokeweight=".5pt" strokecolor="#ed1b2d">
              <v:path arrowok="t"/>
              <v:stroke dashstyle="solid"/>
            </v:shape>
            <v:shape style="position:absolute;left:998;top:1022;width:3672;height:2" coordorigin="999,1022" coordsize="3672,0" path="m999,1022l4512,1022m4580,1022l4671,1022e" filled="false" stroked="true" strokeweight=".5pt" strokecolor="#231f20">
              <v:path arrowok="t"/>
              <v:stroke dashstyle="solid"/>
            </v:shape>
            <w10:wrap type="none"/>
          </v:group>
        </w:pict>
      </w:r>
      <w:r>
        <w:rPr/>
        <w:pict>
          <v:line style="position:absolute;mso-position-horizontal-relative:page;mso-position-vertical-relative:paragraph;z-index:16052736" from="47.382998pt,6.499558pt" to="42.849998pt,6.499558pt" stroked="true" strokeweight=".5pt" strokecolor="#231f20">
            <v:stroke dashstyle="solid"/>
            <w10:wrap type="none"/>
          </v:line>
        </w:pict>
      </w:r>
      <w:r>
        <w:rPr/>
        <w:pict>
          <v:line style="position:absolute;mso-position-horizontal-relative:page;mso-position-vertical-relative:paragraph;z-index:16055296" from="233.533pt,6.541558pt" to="229pt,6.541558pt" stroked="true" strokeweight=".5pt" strokecolor="#231f20">
            <v:stroke dashstyle="solid"/>
            <w10:wrap type="none"/>
          </v:line>
        </w:pict>
      </w:r>
      <w:r>
        <w:rPr>
          <w:color w:val="231F20"/>
          <w:sz w:val="12"/>
        </w:rPr>
        <w:t>4</w:t>
      </w:r>
    </w:p>
    <w:p>
      <w:pPr>
        <w:spacing w:before="74"/>
        <w:ind w:left="8943" w:right="0" w:firstLine="0"/>
        <w:jc w:val="left"/>
        <w:rPr>
          <w:sz w:val="12"/>
        </w:rPr>
      </w:pPr>
      <w:r>
        <w:rPr/>
        <w:pict>
          <v:line style="position:absolute;mso-position-horizontal-relative:page;mso-position-vertical-relative:paragraph;z-index:16060416" from="475.779002pt,8.946164pt" to="471.246002pt,8.946164pt" stroked="true" strokeweight=".5pt" strokecolor="#231f20">
            <v:stroke dashstyle="solid"/>
            <w10:wrap type="none"/>
          </v:line>
        </w:pict>
      </w:r>
      <w:r>
        <w:rPr>
          <w:color w:val="231F20"/>
          <w:sz w:val="12"/>
        </w:rPr>
        <w:t>4</w:t>
      </w:r>
    </w:p>
    <w:p>
      <w:pPr>
        <w:pStyle w:val="BodyText"/>
        <w:rPr>
          <w:sz w:val="13"/>
        </w:rPr>
      </w:pPr>
    </w:p>
    <w:p>
      <w:pPr>
        <w:tabs>
          <w:tab w:pos="8943" w:val="left" w:leader="none"/>
        </w:tabs>
        <w:spacing w:before="95"/>
        <w:ind w:left="4082" w:right="0" w:firstLine="0"/>
        <w:jc w:val="left"/>
        <w:rPr>
          <w:sz w:val="12"/>
        </w:rPr>
      </w:pPr>
      <w:r>
        <w:rPr/>
        <w:pict>
          <v:line style="position:absolute;mso-position-horizontal-relative:page;mso-position-vertical-relative:paragraph;z-index:16052224" from="47.382998pt,8.349556pt" to="42.849998pt,8.349556pt" stroked="true" strokeweight=".5pt" strokecolor="#231f20">
            <v:stroke dashstyle="solid"/>
            <w10:wrap type="none"/>
          </v:line>
        </w:pict>
      </w:r>
      <w:r>
        <w:rPr/>
        <w:pict>
          <v:line style="position:absolute;mso-position-horizontal-relative:page;mso-position-vertical-relative:paragraph;z-index:16054784" from="233.533pt,8.391557pt" to="229pt,8.391557pt" stroked="true" strokeweight=".5pt" strokecolor="#231f20">
            <v:stroke dashstyle="solid"/>
            <w10:wrap type="none"/>
          </v:line>
        </w:pict>
      </w:r>
      <w:r>
        <w:rPr/>
        <w:pict>
          <v:line style="position:absolute;mso-position-horizontal-relative:page;mso-position-vertical-relative:paragraph;z-index:-21074432" from="475.779002pt,11.842556pt" to="471.246002pt,11.842556pt" stroked="true" strokeweight=".5pt" strokecolor="#231f20">
            <v:stroke dashstyle="solid"/>
            <w10:wrap type="none"/>
          </v:line>
        </w:pict>
      </w:r>
      <w:r>
        <w:rPr>
          <w:color w:val="231F20"/>
          <w:sz w:val="12"/>
        </w:rPr>
        <w:t>3</w:t>
        <w:tab/>
      </w:r>
      <w:r>
        <w:rPr>
          <w:color w:val="231F20"/>
          <w:position w:val="-6"/>
          <w:sz w:val="12"/>
        </w:rPr>
        <w:t>3</w:t>
      </w:r>
    </w:p>
    <w:p>
      <w:pPr>
        <w:spacing w:before="83"/>
        <w:ind w:left="4082" w:right="0" w:firstLine="0"/>
        <w:jc w:val="left"/>
        <w:rPr>
          <w:sz w:val="12"/>
        </w:rPr>
      </w:pPr>
      <w:r>
        <w:rPr>
          <w:color w:val="231F20"/>
          <w:sz w:val="12"/>
        </w:rPr>
        <w:t>2.5</w:t>
      </w:r>
    </w:p>
    <w:p>
      <w:pPr>
        <w:tabs>
          <w:tab w:pos="8943" w:val="left" w:leader="none"/>
        </w:tabs>
        <w:spacing w:before="77"/>
        <w:ind w:left="4082" w:right="0" w:firstLine="0"/>
        <w:jc w:val="left"/>
        <w:rPr>
          <w:sz w:val="12"/>
        </w:rPr>
      </w:pPr>
      <w:r>
        <w:rPr/>
        <w:pict>
          <v:line style="position:absolute;mso-position-horizontal-relative:page;mso-position-vertical-relative:paragraph;z-index:16051712" from="42.849998pt,11.875566pt" to="47.382998pt,11.875566pt" stroked="true" strokeweight=".5pt" strokecolor="#231f20">
            <v:stroke dashstyle="solid"/>
            <w10:wrap type="none"/>
          </v:line>
        </w:pict>
      </w:r>
      <w:r>
        <w:rPr/>
        <w:pict>
          <v:line style="position:absolute;mso-position-horizontal-relative:page;mso-position-vertical-relative:paragraph;z-index:16054272" from="229pt,11.917566pt" to="233.533pt,11.917566pt" stroked="true" strokeweight=".5pt" strokecolor="#231f20">
            <v:stroke dashstyle="solid"/>
            <w10:wrap type="none"/>
          </v:line>
        </w:pict>
      </w:r>
      <w:r>
        <w:rPr/>
        <w:pict>
          <v:line style="position:absolute;mso-position-horizontal-relative:page;mso-position-vertical-relative:paragraph;z-index:-21076480" from="289.629008pt,7.202566pt" to="285.096008pt,7.202566pt" stroked="true" strokeweight=".5pt" strokecolor="#231f20">
            <v:stroke dashstyle="solid"/>
            <w10:wrap type="none"/>
          </v:line>
        </w:pict>
      </w:r>
      <w:r>
        <w:rPr>
          <w:color w:val="231F20"/>
          <w:position w:val="-8"/>
          <w:sz w:val="12"/>
        </w:rPr>
        <w:t>2</w:t>
        <w:tab/>
      </w:r>
      <w:r>
        <w:rPr>
          <w:color w:val="231F20"/>
          <w:sz w:val="12"/>
        </w:rPr>
        <w:t>2</w:t>
      </w:r>
    </w:p>
    <w:p>
      <w:pPr>
        <w:spacing w:after="0"/>
        <w:jc w:val="left"/>
        <w:rPr>
          <w:sz w:val="12"/>
        </w:rPr>
        <w:sectPr>
          <w:type w:val="continuous"/>
          <w:pgSz w:w="11900" w:h="16840"/>
          <w:pgMar w:top="1220" w:bottom="280" w:left="640" w:right="640"/>
        </w:sectPr>
      </w:pPr>
    </w:p>
    <w:p>
      <w:pPr>
        <w:pStyle w:val="BodyText"/>
        <w:rPr>
          <w:sz w:val="12"/>
        </w:rPr>
      </w:pPr>
    </w:p>
    <w:p>
      <w:pPr>
        <w:pStyle w:val="BodyText"/>
        <w:rPr>
          <w:sz w:val="12"/>
        </w:rPr>
      </w:pPr>
    </w:p>
    <w:p>
      <w:pPr>
        <w:pStyle w:val="BodyText"/>
        <w:spacing w:before="7"/>
        <w:rPr>
          <w:sz w:val="15"/>
        </w:rPr>
      </w:pPr>
    </w:p>
    <w:p>
      <w:pPr>
        <w:spacing w:before="0"/>
        <w:ind w:left="4082" w:right="0" w:firstLine="0"/>
        <w:jc w:val="left"/>
        <w:rPr>
          <w:sz w:val="12"/>
        </w:rPr>
      </w:pPr>
      <w:r>
        <w:rPr/>
        <w:pict>
          <v:line style="position:absolute;mso-position-horizontal-relative:page;mso-position-vertical-relative:paragraph;z-index:16051200" from="47.382998pt,3.601561pt" to="42.849998pt,3.601561pt" stroked="true" strokeweight=".5pt" strokecolor="#231f20">
            <v:stroke dashstyle="solid"/>
            <w10:wrap type="none"/>
          </v:line>
        </w:pict>
      </w:r>
      <w:r>
        <w:rPr/>
        <w:pict>
          <v:line style="position:absolute;mso-position-horizontal-relative:page;mso-position-vertical-relative:paragraph;z-index:16053760" from="233.533pt,3.643561pt" to="229pt,3.643561pt" stroked="true" strokeweight=".5pt" strokecolor="#231f20">
            <v:stroke dashstyle="solid"/>
            <w10:wrap type="none"/>
          </v:line>
        </w:pict>
      </w:r>
      <w:r>
        <w:rPr>
          <w:color w:val="231F20"/>
          <w:sz w:val="12"/>
        </w:rPr>
        <w:t>1</w:t>
      </w:r>
    </w:p>
    <w:p>
      <w:pPr>
        <w:pStyle w:val="BodyText"/>
        <w:rPr>
          <w:sz w:val="12"/>
        </w:rPr>
      </w:pPr>
    </w:p>
    <w:p>
      <w:pPr>
        <w:pStyle w:val="BodyText"/>
        <w:rPr>
          <w:sz w:val="12"/>
        </w:rPr>
      </w:pPr>
    </w:p>
    <w:p>
      <w:pPr>
        <w:pStyle w:val="BodyText"/>
        <w:spacing w:before="8"/>
        <w:rPr>
          <w:sz w:val="15"/>
        </w:rPr>
      </w:pPr>
    </w:p>
    <w:p>
      <w:pPr>
        <w:spacing w:line="132" w:lineRule="exact" w:before="0"/>
        <w:ind w:left="4082" w:right="0" w:firstLine="0"/>
        <w:jc w:val="left"/>
        <w:rPr>
          <w:sz w:val="12"/>
        </w:rPr>
      </w:pPr>
      <w:r>
        <w:rPr/>
        <w:pict>
          <v:shape style="position:absolute;margin-left:42.849998pt;margin-top:-2.398441pt;width:190.7pt;height:6pt;mso-position-horizontal-relative:page;mso-position-vertical-relative:paragraph;z-index:16050688" coordorigin="857,-48" coordsize="3814,120" path="m4512,72l1024,72m1015,-48l1015,65m1155,-2l1155,72m1294,-2l1294,72m1433,-2l1433,72m1573,72l1573,-48m1713,72l1713,-2m1852,72l1852,-2m1991,-2l1991,72m2131,65l2131,-48m2270,72l2270,-2m2410,-2l2410,72m2549,-2l2549,72m2689,-48l2689,65m2828,72l2828,-2m2968,72l2968,-2m3107,72l3107,-2m3247,72l3247,-48m3386,72l3386,-2m3526,-2l3526,72m3665,-2l3665,72m3805,-48l3805,72m3944,-2l3944,72m4084,-2l4084,72m4223,72l4223,-2m4363,72l4363,-48m4502,72l4502,-2m948,72l857,72m4671,71l4580,71e" filled="false" stroked="true" strokeweight=".5pt" strokecolor="#231f20">
            <v:path arrowok="t"/>
            <v:stroke dashstyle="solid"/>
            <w10:wrap type="none"/>
          </v:shape>
        </w:pict>
      </w:r>
      <w:r>
        <w:rPr>
          <w:color w:val="231F20"/>
          <w:sz w:val="12"/>
        </w:rPr>
        <w:t>0</w:t>
      </w:r>
    </w:p>
    <w:p>
      <w:pPr>
        <w:tabs>
          <w:tab w:pos="1178" w:val="left" w:leader="none"/>
          <w:tab w:pos="1705" w:val="left" w:leader="none"/>
          <w:tab w:pos="2271" w:val="left" w:leader="none"/>
          <w:tab w:pos="2818" w:val="left" w:leader="none"/>
          <w:tab w:pos="3325" w:val="left" w:leader="none"/>
          <w:tab w:pos="3805" w:val="left" w:leader="none"/>
        </w:tabs>
        <w:spacing w:line="132" w:lineRule="exact" w:before="0"/>
        <w:ind w:left="505" w:right="0" w:firstLine="0"/>
        <w:jc w:val="left"/>
        <w:rPr>
          <w:sz w:val="12"/>
        </w:rPr>
      </w:pPr>
      <w:r>
        <w:rPr>
          <w:color w:val="231F20"/>
          <w:sz w:val="12"/>
        </w:rPr>
        <w:t>1995</w:t>
        <w:tab/>
        <w:t>96</w:t>
        <w:tab/>
        <w:t>97</w:t>
        <w:tab/>
        <w:t>98</w:t>
        <w:tab/>
        <w:t>99</w:t>
        <w:tab/>
        <w:t>2000</w:t>
        <w:tab/>
        <w:t>01</w:t>
      </w:r>
    </w:p>
    <w:p>
      <w:pPr>
        <w:pStyle w:val="BodyText"/>
        <w:spacing w:before="6"/>
        <w:rPr>
          <w:sz w:val="14"/>
        </w:rPr>
      </w:pPr>
      <w:r>
        <w:rPr/>
        <w:br w:type="column"/>
      </w:r>
      <w:r>
        <w:rPr>
          <w:sz w:val="14"/>
        </w:rPr>
      </w:r>
    </w:p>
    <w:p>
      <w:pPr>
        <w:spacing w:before="0"/>
        <w:ind w:left="4098" w:right="0" w:firstLine="0"/>
        <w:jc w:val="left"/>
        <w:rPr>
          <w:sz w:val="12"/>
        </w:rPr>
      </w:pPr>
      <w:r>
        <w:rPr>
          <w:color w:val="231F20"/>
          <w:sz w:val="12"/>
        </w:rPr>
        <w:t>1</w:t>
      </w:r>
    </w:p>
    <w:p>
      <w:pPr>
        <w:spacing w:before="86"/>
        <w:ind w:left="4018" w:right="0" w:firstLine="0"/>
        <w:jc w:val="left"/>
        <w:rPr>
          <w:sz w:val="16"/>
        </w:rPr>
      </w:pPr>
      <w:r>
        <w:rPr/>
        <w:pict>
          <v:line style="position:absolute;mso-position-horizontal-relative:page;mso-position-vertical-relative:paragraph;z-index:16057344" from="285.096008pt,-2.041250pt" to="289.629008pt,-2.041250pt" stroked="true" strokeweight=".5pt" strokecolor="#231f20">
            <v:stroke dashstyle="solid"/>
            <w10:wrap type="none"/>
          </v:line>
        </w:pict>
      </w:r>
      <w:r>
        <w:rPr/>
        <w:pict>
          <v:line style="position:absolute;mso-position-horizontal-relative:page;mso-position-vertical-relative:paragraph;z-index:16059392" from="471.246002pt,-1.89725pt" to="475.779002pt,-1.89725pt" stroked="true" strokeweight=".5pt" strokecolor="#231f20">
            <v:stroke dashstyle="solid"/>
            <w10:wrap type="none"/>
          </v:line>
        </w:pict>
      </w:r>
      <w:r>
        <w:rPr>
          <w:color w:val="231F20"/>
          <w:sz w:val="16"/>
        </w:rPr>
        <w:t>+</w:t>
      </w:r>
    </w:p>
    <w:p>
      <w:pPr>
        <w:spacing w:line="132" w:lineRule="exact" w:before="43"/>
        <w:ind w:left="4098" w:right="0" w:firstLine="0"/>
        <w:jc w:val="left"/>
        <w:rPr>
          <w:sz w:val="12"/>
        </w:rPr>
      </w:pPr>
      <w:r>
        <w:rPr>
          <w:color w:val="231F20"/>
          <w:sz w:val="12"/>
        </w:rPr>
        <w:t>0</w:t>
      </w:r>
    </w:p>
    <w:p>
      <w:pPr>
        <w:spacing w:line="178" w:lineRule="exact" w:before="0"/>
        <w:ind w:left="4018" w:right="0" w:firstLine="0"/>
        <w:jc w:val="left"/>
        <w:rPr>
          <w:sz w:val="16"/>
        </w:rPr>
      </w:pPr>
      <w:r>
        <w:rPr>
          <w:color w:val="231F20"/>
          <w:sz w:val="16"/>
        </w:rPr>
        <w:t>_</w:t>
      </w:r>
    </w:p>
    <w:p>
      <w:pPr>
        <w:spacing w:line="134" w:lineRule="exact" w:before="111"/>
        <w:ind w:left="4098" w:right="0" w:firstLine="0"/>
        <w:jc w:val="left"/>
        <w:rPr>
          <w:sz w:val="12"/>
        </w:rPr>
      </w:pPr>
      <w:r>
        <w:rPr/>
        <w:pict>
          <v:shape style="position:absolute;margin-left:285.511993pt;margin-top:2.945363pt;width:190.3pt;height:6.45pt;mso-position-horizontal-relative:page;mso-position-vertical-relative:paragraph;z-index:16056832" coordorigin="5710,59" coordsize="3806,129" path="m9357,187l5869,187m5860,67l5860,186m5999,112l5999,187m6139,187l6139,112m6278,112l6278,187m6418,187l6418,59m6557,112l6557,187m6697,187l6697,112m6836,112l6836,187m6976,188l6976,59m7115,112l7115,187m7255,187l7255,112m7394,112l7394,187m7534,188l7534,59m7673,112l7673,187m7813,112l7813,187m7952,187l7952,112m8092,187l8092,59m8231,187l8231,112m8371,126l8371,186m8510,187l8510,112m8650,59l8650,186m8789,112l8789,187m8929,112l8929,187m9068,112l9068,187m9208,59l9208,187m9347,112l9347,187m5801,186l5710,186m9516,186l9425,186e" filled="false" stroked="true" strokeweight=".5pt" strokecolor="#231f20">
            <v:path arrowok="t"/>
            <v:stroke dashstyle="solid"/>
            <w10:wrap type="none"/>
          </v:shape>
        </w:pict>
      </w:r>
      <w:r>
        <w:rPr>
          <w:color w:val="231F20"/>
          <w:sz w:val="12"/>
        </w:rPr>
        <w:t>1</w:t>
      </w:r>
    </w:p>
    <w:p>
      <w:pPr>
        <w:tabs>
          <w:tab w:pos="1178" w:val="left" w:leader="none"/>
          <w:tab w:pos="1705" w:val="left" w:leader="none"/>
          <w:tab w:pos="2271" w:val="left" w:leader="none"/>
          <w:tab w:pos="2818" w:val="left" w:leader="none"/>
          <w:tab w:pos="3325" w:val="left" w:leader="none"/>
          <w:tab w:pos="3805" w:val="left" w:leader="none"/>
        </w:tabs>
        <w:spacing w:line="134" w:lineRule="exact" w:before="0"/>
        <w:ind w:left="505" w:right="0" w:firstLine="0"/>
        <w:jc w:val="left"/>
        <w:rPr>
          <w:sz w:val="12"/>
        </w:rPr>
      </w:pPr>
      <w:r>
        <w:rPr>
          <w:color w:val="231F20"/>
          <w:sz w:val="12"/>
        </w:rPr>
        <w:t>1995</w:t>
        <w:tab/>
        <w:t>96</w:t>
        <w:tab/>
        <w:t>97</w:t>
        <w:tab/>
        <w:t>98</w:t>
        <w:tab/>
        <w:t>99</w:t>
        <w:tab/>
        <w:t>2000</w:t>
        <w:tab/>
        <w:t>01</w:t>
      </w:r>
    </w:p>
    <w:p>
      <w:pPr>
        <w:spacing w:after="0" w:line="134" w:lineRule="exact"/>
        <w:jc w:val="left"/>
        <w:rPr>
          <w:sz w:val="12"/>
        </w:rPr>
        <w:sectPr>
          <w:type w:val="continuous"/>
          <w:pgSz w:w="11900" w:h="16840"/>
          <w:pgMar w:top="1220" w:bottom="280" w:left="640" w:right="640"/>
          <w:cols w:num="2" w:equalWidth="0">
            <w:col w:w="4183" w:space="662"/>
            <w:col w:w="5775"/>
          </w:cols>
        </w:sectPr>
      </w:pPr>
    </w:p>
    <w:p>
      <w:pPr>
        <w:pStyle w:val="BodyText"/>
        <w:rPr>
          <w:sz w:val="20"/>
        </w:rPr>
      </w:pPr>
    </w:p>
    <w:p>
      <w:pPr>
        <w:spacing w:after="0"/>
        <w:rPr>
          <w:sz w:val="20"/>
        </w:rPr>
        <w:sectPr>
          <w:pgSz w:w="11900" w:h="16840"/>
          <w:pgMar w:header="586" w:footer="617" w:top="780" w:bottom="800" w:left="640" w:right="640"/>
        </w:sectPr>
      </w:pPr>
    </w:p>
    <w:p>
      <w:pPr>
        <w:pStyle w:val="BodyText"/>
        <w:rPr>
          <w:sz w:val="21"/>
        </w:rPr>
      </w:pPr>
    </w:p>
    <w:p>
      <w:pPr>
        <w:pStyle w:val="Heading4"/>
        <w:spacing w:before="0"/>
        <w:ind w:left="160"/>
      </w:pPr>
      <w:bookmarkStart w:name="Other forecasts" w:id="80"/>
      <w:bookmarkEnd w:id="80"/>
      <w:r>
        <w:rPr>
          <w:b w:val="0"/>
        </w:rPr>
      </w:r>
      <w:bookmarkStart w:name="_bookmark34" w:id="81"/>
      <w:bookmarkEnd w:id="81"/>
      <w:r>
        <w:rPr>
          <w:b w:val="0"/>
        </w:rPr>
      </w:r>
      <w:r>
        <w:rPr>
          <w:color w:val="0093C1"/>
        </w:rPr>
        <w:t>Chart 6.8</w:t>
      </w:r>
    </w:p>
    <w:p>
      <w:pPr>
        <w:pStyle w:val="Heading4"/>
        <w:spacing w:line="249" w:lineRule="auto"/>
        <w:ind w:left="160" w:right="862"/>
      </w:pPr>
      <w:r>
        <w:rPr>
          <w:color w:val="0093C1"/>
        </w:rPr>
        <w:t>Distribution of RPIX inflation forecasts for 2001 Q2</w:t>
      </w:r>
    </w:p>
    <w:p>
      <w:pPr>
        <w:spacing w:before="126"/>
        <w:ind w:left="2505" w:right="0" w:firstLine="0"/>
        <w:jc w:val="left"/>
        <w:rPr>
          <w:sz w:val="12"/>
        </w:rPr>
      </w:pPr>
      <w:r>
        <w:rPr/>
        <w:pict>
          <v:group style="position:absolute;margin-left:40pt;margin-top:22.151379pt;width:166pt;height:145.25pt;mso-position-horizontal-relative:page;mso-position-vertical-relative:paragraph;z-index:16067584" coordorigin="800,443" coordsize="3320,2905">
            <v:shape style="position:absolute;left:960;top:3305;width:1202;height:2" coordorigin="960,3306" coordsize="1202,0" path="m960,3306l1411,3306m1551,3306l2161,3306e" filled="false" stroked="true" strokeweight=".25pt" strokecolor="#000000">
              <v:path arrowok="t"/>
              <v:stroke dashstyle="solid"/>
            </v:shape>
            <v:shape style="position:absolute;left:2455;top:3303;width:1505;height:3" coordorigin="2455,3304" coordsize="1505,3" path="m2455,3304l3960,3304m2455,3306l3960,3306e" filled="false" stroked="true" strokeweight=".063pt" strokecolor="#000000">
              <v:path arrowok="t"/>
              <v:stroke dashstyle="solid"/>
            </v:shape>
            <v:line style="position:absolute" from="960,3311" to="3960,3311" stroked="true" strokeweight=".25pt" strokecolor="#000000">
              <v:stroke dashstyle="solid"/>
            </v:line>
            <v:shape style="position:absolute;left:1000;top:3308;width:60;height:2" coordorigin="1000,3308" coordsize="60,0" path="m1000,3308l1060,3308,1000,3308e" filled="false" stroked="true" strokeweight=".5pt" strokecolor="#000000">
              <v:path arrowok="t"/>
              <v:stroke dashstyle="solid"/>
            </v:shape>
            <v:shape style="position:absolute;left:1020;top:3308;width:40;height:2" coordorigin="1020,3308" coordsize="40,0" path="m1020,3308l1020,3308m1060,3308l1060,3308e" filled="false" stroked="true" strokeweight=".5pt" strokecolor="#000000">
              <v:path arrowok="t"/>
              <v:stroke dashstyle="solid"/>
            </v:shape>
            <v:shape style="position:absolute;left:1140;top:3308;width:60;height:2" coordorigin="1140,3308" coordsize="60,0" path="m1140,3308l1200,3308,1140,3308e" filled="false" stroked="true" strokeweight=".5pt" strokecolor="#000000">
              <v:path arrowok="t"/>
              <v:stroke dashstyle="solid"/>
            </v:shape>
            <v:shape style="position:absolute;left:1140;top:3308;width:40;height:2" coordorigin="1140,3308" coordsize="40,0" path="m1140,3308l1140,3308m1160,3308l1160,3308m1180,3308l1180,3308e" filled="false" stroked="true" strokeweight=".5pt" strokecolor="#000000">
              <v:path arrowok="t"/>
              <v:stroke dashstyle="solid"/>
            </v:shape>
            <v:shape style="position:absolute;left:1260;top:3308;width:80;height:2" coordorigin="1260,3308" coordsize="80,0" path="m1260,3308l1340,3308,1260,3308e" filled="false" stroked="true" strokeweight=".5pt" strokecolor="#000000">
              <v:path arrowok="t"/>
              <v:stroke dashstyle="solid"/>
            </v:shape>
            <v:shape style="position:absolute;left:1260;top:3308;width:60;height:2" coordorigin="1260,3308" coordsize="60,0" path="m1260,3308l1260,3308m1300,3308l1300,3308m1320,3308l1320,3308e" filled="false" stroked="true" strokeweight=".5pt" strokecolor="#000000">
              <v:path arrowok="t"/>
              <v:stroke dashstyle="solid"/>
            </v:shape>
            <v:shape style="position:absolute;left:1400;top:3305;width:80;height:5" coordorigin="1400,3306" coordsize="80,5" path="m1400,3306l1480,3306m1400,3311l1480,3311e" filled="false" stroked="true" strokeweight=".25pt" strokecolor="#000000">
              <v:path arrowok="t"/>
              <v:stroke dashstyle="solid"/>
            </v:shape>
            <v:line style="position:absolute" from="1400,3308" to="1400,3308" stroked="true" strokeweight=".5pt" strokecolor="#000000">
              <v:stroke dashstyle="solid"/>
            </v:line>
            <v:shape style="position:absolute;left:1440;top:3308;width:20;height:5" coordorigin="1440,3308" coordsize="20,5" path="m1440,3308l1440,3313m1460,3308l1460,3313e" filled="false" stroked="true" strokeweight="0pt" strokecolor="#000000">
              <v:path arrowok="t"/>
              <v:stroke dashstyle="solid"/>
            </v:shape>
            <v:shape style="position:absolute;left:1540;top:3305;width:60;height:5" coordorigin="1540,3306" coordsize="60,5" path="m1540,3306l1600,3306m1540,3311l1600,3311e" filled="false" stroked="true" strokeweight=".25pt" strokecolor="#000000">
              <v:path arrowok="t"/>
              <v:stroke dashstyle="solid"/>
            </v:shape>
            <v:line style="position:absolute" from="1540,3308" to="1540,3313" stroked="true" strokeweight="0pt" strokecolor="#000000">
              <v:stroke dashstyle="solid"/>
            </v:line>
            <v:shape style="position:absolute;left:1580;top:3308;width:20;height:2" coordorigin="1580,3308" coordsize="20,0" path="m1580,3308l1580,3308m1600,3308l1600,3308e" filled="false" stroked="true" strokeweight=".5pt" strokecolor="#000000">
              <v:path arrowok="t"/>
              <v:stroke dashstyle="solid"/>
            </v:shape>
            <v:line style="position:absolute" from="2360,3311" to="2440,3311" stroked="true" strokeweight=".25pt" strokecolor="#000000">
              <v:stroke dashstyle="solid"/>
            </v:line>
            <v:shape style="position:absolute;left:2360;top:3308;width:60;height:5" coordorigin="2360,3308" coordsize="60,5" path="m2360,3308l2360,3313m2380,3308l2380,3313m2420,3308l2420,3313e" filled="false" stroked="true" strokeweight="0pt" strokecolor="#000000">
              <v:path arrowok="t"/>
              <v:stroke dashstyle="solid"/>
            </v:shape>
            <v:shape style="position:absolute;left:2640;top:3308;width:60;height:2" coordorigin="2640,3308" coordsize="60,0" path="m2640,3308l2700,3308,2640,3308e" filled="false" stroked="true" strokeweight=".5pt" strokecolor="#000000">
              <v:path arrowok="t"/>
              <v:stroke dashstyle="solid"/>
            </v:shape>
            <v:shape style="position:absolute;left:2640;top:3308;width:60;height:2" coordorigin="2640,3308" coordsize="60,0" path="m2640,3308l2640,3308m2660,3308l2660,3308m2700,3308l2700,3308e" filled="false" stroked="true" strokeweight=".5pt" strokecolor="#000000">
              <v:path arrowok="t"/>
              <v:stroke dashstyle="solid"/>
            </v:shape>
            <v:shape style="position:absolute;left:2780;top:3308;width:60;height:2" coordorigin="2780,3308" coordsize="60,0" path="m2780,3308l2840,3308,2780,3308e" filled="false" stroked="true" strokeweight=".5pt" strokecolor="#000000">
              <v:path arrowok="t"/>
              <v:stroke dashstyle="solid"/>
            </v:shape>
            <v:shape style="position:absolute;left:2780;top:3308;width:40;height:2" coordorigin="2780,3308" coordsize="40,0" path="m2780,3308l2780,3308m2800,3308l2800,3308m2820,3308l2820,3308e" filled="false" stroked="true" strokeweight=".5pt" strokecolor="#000000">
              <v:path arrowok="t"/>
              <v:stroke dashstyle="solid"/>
            </v:shape>
            <v:shape style="position:absolute;left:2900;top:3308;width:80;height:2" coordorigin="2900,3308" coordsize="80,0" path="m2900,3308l2980,3308,2900,3308e" filled="false" stroked="true" strokeweight=".5pt" strokecolor="#000000">
              <v:path arrowok="t"/>
              <v:stroke dashstyle="solid"/>
            </v:shape>
            <v:shape style="position:absolute;left:2900;top:3308;width:60;height:2" coordorigin="2900,3308" coordsize="60,0" path="m2900,3308l2900,3308m2940,3308l2940,3308m2960,3308l2960,3308e" filled="false" stroked="true" strokeweight=".5pt" strokecolor="#000000">
              <v:path arrowok="t"/>
              <v:stroke dashstyle="solid"/>
            </v:shape>
            <v:shape style="position:absolute;left:3040;top:3308;width:80;height:2" coordorigin="3040,3308" coordsize="80,0" path="m3040,3308l3120,3308,3040,3308e" filled="false" stroked="true" strokeweight=".5pt" strokecolor="#000000">
              <v:path arrowok="t"/>
              <v:stroke dashstyle="solid"/>
            </v:shape>
            <v:shape style="position:absolute;left:3040;top:3308;width:60;height:2" coordorigin="3040,3308" coordsize="60,0" path="m3040,3308l3040,3308m3080,3308l3080,3308m3100,3308l3100,3308e" filled="false" stroked="true" strokeweight=".5pt" strokecolor="#000000">
              <v:path arrowok="t"/>
              <v:stroke dashstyle="solid"/>
            </v:shape>
            <v:shape style="position:absolute;left:3180;top:3308;width:60;height:2" coordorigin="3180,3308" coordsize="60,0" path="m3180,3308l3240,3308,3180,3308e" filled="false" stroked="true" strokeweight=".5pt" strokecolor="#000000">
              <v:path arrowok="t"/>
              <v:stroke dashstyle="solid"/>
            </v:shape>
            <v:shape style="position:absolute;left:3180;top:3308;width:60;height:2" coordorigin="3180,3308" coordsize="60,0" path="m3180,3308l3180,3308m3220,3308l3220,3308m3240,3308l3240,3308e" filled="false" stroked="true" strokeweight=".5pt" strokecolor="#000000">
              <v:path arrowok="t"/>
              <v:stroke dashstyle="solid"/>
            </v:shape>
            <v:shape style="position:absolute;left:3320;top:3308;width:60;height:2" coordorigin="3320,3308" coordsize="60,0" path="m3320,3308l3380,3308,3320,3308e" filled="false" stroked="true" strokeweight=".5pt" strokecolor="#000000">
              <v:path arrowok="t"/>
              <v:stroke dashstyle="solid"/>
            </v:shape>
            <v:shape style="position:absolute;left:3320;top:3308;width:60;height:2" coordorigin="3320,3308" coordsize="60,0" path="m3320,3308l3320,3308m3340,3308l3340,3308m3380,3308l3380,3308e" filled="false" stroked="true" strokeweight=".5pt" strokecolor="#000000">
              <v:path arrowok="t"/>
              <v:stroke dashstyle="solid"/>
            </v:shape>
            <v:shape style="position:absolute;left:3460;top:3308;width:60;height:2" coordorigin="3460,3308" coordsize="60,0" path="m3460,3308l3520,3308,3460,3308e" filled="false" stroked="true" strokeweight=".5pt" strokecolor="#000000">
              <v:path arrowok="t"/>
              <v:stroke dashstyle="solid"/>
            </v:shape>
            <v:shape style="position:absolute;left:3460;top:3308;width:60;height:2" coordorigin="3460,3308" coordsize="60,0" path="m3460,3308l3460,3308m3480,3308l3480,3308m3520,3308l3520,3308e" filled="false" stroked="true" strokeweight=".5pt" strokecolor="#000000">
              <v:path arrowok="t"/>
              <v:stroke dashstyle="solid"/>
            </v:shape>
            <v:shape style="position:absolute;left:3600;top:3308;width:60;height:2" coordorigin="3600,3308" coordsize="60,0" path="m3600,3308l3660,3308,3600,3308e" filled="false" stroked="true" strokeweight=".5pt" strokecolor="#000000">
              <v:path arrowok="t"/>
              <v:stroke dashstyle="solid"/>
            </v:shape>
            <v:shape style="position:absolute;left:3600;top:3308;width:60;height:2" coordorigin="3600,3308" coordsize="60,0" path="m3600,3308l3600,3308m3620,3308l3620,3308m3660,3308l3660,3308e" filled="false" stroked="true" strokeweight=".5pt" strokecolor="#000000">
              <v:path arrowok="t"/>
              <v:stroke dashstyle="solid"/>
            </v:shape>
            <v:shape style="position:absolute;left:3740;top:3308;width:60;height:2" coordorigin="3740,3308" coordsize="60,0" path="m3740,3308l3800,3308,3740,3308e" filled="false" stroked="true" strokeweight=".5pt" strokecolor="#000000">
              <v:path arrowok="t"/>
              <v:stroke dashstyle="solid"/>
            </v:shape>
            <v:shape style="position:absolute;left:3740;top:3308;width:40;height:2" coordorigin="3740,3308" coordsize="40,0" path="m3740,3308l3740,3308m3760,3308l3760,3308m3780,3308l3780,3308e" filled="false" stroked="true" strokeweight=".5pt" strokecolor="#000000">
              <v:path arrowok="t"/>
              <v:stroke dashstyle="solid"/>
            </v:shape>
            <v:shape style="position:absolute;left:3860;top:3308;width:80;height:2" coordorigin="3860,3308" coordsize="80,0" path="m3860,3308l3940,3308,3860,3308e" filled="false" stroked="true" strokeweight=".5pt" strokecolor="#000000">
              <v:path arrowok="t"/>
              <v:stroke dashstyle="solid"/>
            </v:shape>
            <v:shape style="position:absolute;left:960;top:3308;width:2960;height:40" coordorigin="960,3308" coordsize="2960,40" path="m3860,3308l3860,3308m3900,3308l3900,3308m3920,3308l3920,3308m960,3308l960,3348m2760,3308l2760,3348m1110,3308l1110,3348m1260,3308l1260,3348m1410,3308l1410,3348m1560,3308l1560,3348m1710,3308l1710,3348m1860,3308l1860,3348m2010,3308l2010,3348m2160,3308l2160,3348e" filled="false" stroked="true" strokeweight=".5pt" strokecolor="#000000">
              <v:path arrowok="t"/>
              <v:stroke dashstyle="solid"/>
            </v:shape>
            <v:line style="position:absolute" from="2308,3303" to="2308,3348" stroked="true" strokeweight=".686pt" strokecolor="#000000">
              <v:stroke dashstyle="solid"/>
            </v:line>
            <v:shape style="position:absolute;left:2460;top:3308;width:1500;height:40" coordorigin="2460,3308" coordsize="1500,40" path="m2460,3308l2460,3348m2610,3308l2610,3348m2910,3308l2910,3348m3060,3308l3060,3348m3210,3308l3210,3348m3360,3308l3360,3348m3510,3308l3510,3348m3660,3308l3660,3348m3810,3308l3810,3348m3960,3308l3960,3348e" filled="false" stroked="true" strokeweight=".5pt" strokecolor="#000000">
              <v:path arrowok="t"/>
              <v:stroke dashstyle="solid"/>
            </v:shape>
            <v:line style="position:absolute" from="2140,3308" to="2140,3313" stroked="true" strokeweight="0pt" strokecolor="#000000">
              <v:stroke dashstyle="solid"/>
            </v:line>
            <v:line style="position:absolute" from="4120,3308" to="4020,3308" stroked="true" strokeweight=".5pt" strokecolor="#000000">
              <v:stroke dashstyle="solid"/>
            </v:line>
            <v:rect style="position:absolute;left:2008;top:2648;width:140;height:660" filled="true" fillcolor="#ed1b2d" stroked="false">
              <v:fill type="solid"/>
            </v:rect>
            <v:rect style="position:absolute;left:2008;top:2648;width:140;height:660" filled="false" stroked="true" strokeweight=".5pt" strokecolor="#000000">
              <v:stroke dashstyle="solid"/>
            </v:rect>
            <v:rect style="position:absolute;left:2161;top:448;width:141;height:2860" filled="true" fillcolor="#ed1b2d" stroked="false">
              <v:fill type="solid"/>
            </v:rect>
            <v:rect style="position:absolute;left:2161;top:448;width:141;height:2860" filled="false" stroked="true" strokeweight=".5pt" strokecolor="#000000">
              <v:stroke dashstyle="solid"/>
            </v:rect>
            <v:rect style="position:absolute;left:2315;top:2808;width:140;height:500" filled="true" fillcolor="#ed1b2d" stroked="false">
              <v:fill type="solid"/>
            </v:rect>
            <v:rect style="position:absolute;left:2315;top:2808;width:140;height:500" filled="false" stroked="true" strokeweight=".5pt" strokecolor="#000000">
              <v:stroke dashstyle="solid"/>
            </v:rect>
            <v:rect style="position:absolute;left:2466;top:3144;width:140;height:160" filled="true" fillcolor="#ed1b2d" stroked="false">
              <v:fill type="solid"/>
            </v:rect>
            <v:rect style="position:absolute;left:2466;top:3144;width:140;height:160" filled="false" stroked="true" strokeweight=".5pt" strokecolor="#000000">
              <v:stroke dashstyle="solid"/>
            </v:rect>
            <v:shape style="position:absolute;left:800;top:628;width:100;height:2680" coordorigin="800,628" coordsize="100,2680" path="m900,3308l800,3308m900,2968l800,2968m900,2628l800,2628m900,2308l800,2308m900,1968l800,1968m900,1628l800,1628m900,1308l800,1308m900,968l800,968m900,628l800,628e" filled="false" stroked="true" strokeweight=".5pt" strokecolor="#000000">
              <v:path arrowok="t"/>
              <v:stroke dashstyle="solid"/>
            </v:shape>
            <v:rect style="position:absolute;left:1411;top:3148;width:141;height:160" filled="true" fillcolor="#ed1b2d" stroked="false">
              <v:fill type="solid"/>
            </v:rect>
            <v:rect style="position:absolute;left:1411;top:3148;width:141;height:160" filled="false" stroked="true" strokeweight=".5pt" strokecolor="#000000">
              <v:stroke dashstyle="solid"/>
            </v:rect>
            <w10:wrap type="none"/>
          </v:group>
        </w:pict>
      </w:r>
      <w:r>
        <w:rPr/>
        <w:pict>
          <v:line style="position:absolute;mso-position-horizontal-relative:page;mso-position-vertical-relative:paragraph;z-index:-21062144" from="206pt,14.40138pt" to="201pt,14.40138pt" stroked="true" strokeweight=".5pt" strokecolor="#000000">
            <v:stroke dashstyle="solid"/>
            <w10:wrap type="none"/>
          </v:line>
        </w:pict>
      </w:r>
      <w:r>
        <w:rPr/>
        <w:pict>
          <v:line style="position:absolute;mso-position-horizontal-relative:page;mso-position-vertical-relative:paragraph;z-index:16072704" from="45pt,14.40138pt" to="40pt,14.40138pt" stroked="true" strokeweight=".5pt" strokecolor="#000000">
            <v:stroke dashstyle="solid"/>
            <w10:wrap type="none"/>
          </v:line>
        </w:pict>
      </w:r>
      <w:r>
        <w:rPr>
          <w:sz w:val="12"/>
        </w:rPr>
        <w:t>Number of</w:t>
      </w:r>
      <w:r>
        <w:rPr>
          <w:spacing w:val="5"/>
          <w:sz w:val="12"/>
        </w:rPr>
        <w:t> </w:t>
      </w:r>
      <w:r>
        <w:rPr>
          <w:sz w:val="12"/>
        </w:rPr>
        <w:t>forecasts</w:t>
      </w:r>
      <w:r>
        <w:rPr>
          <w:position w:val="-8"/>
          <w:sz w:val="12"/>
        </w:rPr>
        <w:t>18</w:t>
      </w:r>
    </w:p>
    <w:p>
      <w:pPr>
        <w:spacing w:before="195"/>
        <w:ind w:left="0" w:right="809" w:firstLine="0"/>
        <w:jc w:val="right"/>
        <w:rPr>
          <w:sz w:val="12"/>
        </w:rPr>
      </w:pPr>
      <w:r>
        <w:rPr/>
        <w:pict>
          <v:line style="position:absolute;mso-position-horizontal-relative:page;mso-position-vertical-relative:paragraph;z-index:16071680" from="206pt,13.721558pt" to="201pt,13.721558pt" stroked="true" strokeweight=".5pt" strokecolor="#000000">
            <v:stroke dashstyle="solid"/>
            <w10:wrap type="none"/>
          </v:line>
        </w:pict>
      </w:r>
      <w:r>
        <w:rPr>
          <w:sz w:val="12"/>
        </w:rPr>
        <w:t>16</w:t>
      </w:r>
    </w:p>
    <w:p>
      <w:pPr>
        <w:pStyle w:val="BodyText"/>
        <w:spacing w:before="2"/>
        <w:rPr>
          <w:sz w:val="17"/>
        </w:rPr>
      </w:pPr>
    </w:p>
    <w:p>
      <w:pPr>
        <w:spacing w:before="1"/>
        <w:ind w:left="0" w:right="809" w:firstLine="0"/>
        <w:jc w:val="right"/>
        <w:rPr>
          <w:sz w:val="12"/>
        </w:rPr>
      </w:pPr>
      <w:r>
        <w:rPr/>
        <w:pict>
          <v:line style="position:absolute;mso-position-horizontal-relative:page;mso-position-vertical-relative:paragraph;z-index:16071168" from="206pt,4.225537pt" to="201pt,4.225537pt" stroked="true" strokeweight=".5pt" strokecolor="#000000">
            <v:stroke dashstyle="solid"/>
            <w10:wrap type="none"/>
          </v:line>
        </w:pict>
      </w:r>
      <w:r>
        <w:rPr>
          <w:sz w:val="12"/>
        </w:rPr>
        <w:t>14</w:t>
      </w:r>
    </w:p>
    <w:p>
      <w:pPr>
        <w:pStyle w:val="BodyText"/>
        <w:spacing w:before="2"/>
        <w:rPr>
          <w:sz w:val="17"/>
        </w:rPr>
      </w:pPr>
    </w:p>
    <w:p>
      <w:pPr>
        <w:spacing w:before="0"/>
        <w:ind w:left="0" w:right="809" w:firstLine="0"/>
        <w:jc w:val="right"/>
        <w:rPr>
          <w:sz w:val="12"/>
        </w:rPr>
      </w:pPr>
      <w:r>
        <w:rPr/>
        <w:pict>
          <v:line style="position:absolute;mso-position-horizontal-relative:page;mso-position-vertical-relative:paragraph;z-index:16070656" from="206pt,4.379578pt" to="201pt,4.379578pt" stroked="true" strokeweight=".5pt" strokecolor="#000000">
            <v:stroke dashstyle="solid"/>
            <w10:wrap type="none"/>
          </v:line>
        </w:pict>
      </w:r>
      <w:r>
        <w:rPr>
          <w:sz w:val="12"/>
        </w:rPr>
        <w:t>12</w:t>
      </w:r>
    </w:p>
    <w:p>
      <w:pPr>
        <w:pStyle w:val="BodyText"/>
        <w:spacing w:before="2"/>
        <w:rPr>
          <w:sz w:val="17"/>
        </w:rPr>
      </w:pPr>
    </w:p>
    <w:p>
      <w:pPr>
        <w:spacing w:before="0"/>
        <w:ind w:left="0" w:right="809" w:firstLine="0"/>
        <w:jc w:val="right"/>
        <w:rPr>
          <w:sz w:val="12"/>
        </w:rPr>
      </w:pPr>
      <w:r>
        <w:rPr/>
        <w:pict>
          <v:line style="position:absolute;mso-position-horizontal-relative:page;mso-position-vertical-relative:paragraph;z-index:16070144" from="206pt,3.582581pt" to="201pt,3.582581pt" stroked="true" strokeweight=".5pt" strokecolor="#000000">
            <v:stroke dashstyle="solid"/>
            <w10:wrap type="none"/>
          </v:line>
        </w:pict>
      </w:r>
      <w:r>
        <w:rPr>
          <w:sz w:val="12"/>
        </w:rPr>
        <w:t>10</w:t>
      </w:r>
    </w:p>
    <w:p>
      <w:pPr>
        <w:pStyle w:val="BodyText"/>
        <w:spacing w:before="3"/>
        <w:rPr>
          <w:sz w:val="17"/>
        </w:rPr>
      </w:pPr>
    </w:p>
    <w:p>
      <w:pPr>
        <w:spacing w:before="0"/>
        <w:ind w:left="0" w:right="809" w:firstLine="0"/>
        <w:jc w:val="right"/>
        <w:rPr>
          <w:sz w:val="12"/>
        </w:rPr>
      </w:pPr>
      <w:r>
        <w:rPr/>
        <w:pict>
          <v:line style="position:absolute;mso-position-horizontal-relative:page;mso-position-vertical-relative:paragraph;z-index:16069632" from="206pt,3.78656pt" to="201pt,3.78656pt" stroked="true" strokeweight=".5pt" strokecolor="#000000">
            <v:stroke dashstyle="solid"/>
            <w10:wrap type="none"/>
          </v:line>
        </w:pict>
      </w:r>
      <w:r>
        <w:rPr>
          <w:sz w:val="12"/>
        </w:rPr>
        <w:t>8</w:t>
      </w:r>
    </w:p>
    <w:p>
      <w:pPr>
        <w:pStyle w:val="BodyText"/>
        <w:spacing w:before="2"/>
        <w:rPr>
          <w:sz w:val="17"/>
        </w:rPr>
      </w:pPr>
    </w:p>
    <w:p>
      <w:pPr>
        <w:spacing w:before="0"/>
        <w:ind w:left="0" w:right="809" w:firstLine="0"/>
        <w:jc w:val="right"/>
        <w:rPr>
          <w:sz w:val="12"/>
        </w:rPr>
      </w:pPr>
      <w:r>
        <w:rPr/>
        <w:pict>
          <v:line style="position:absolute;mso-position-horizontal-relative:page;mso-position-vertical-relative:paragraph;z-index:16069120" from="206pt,3.99054pt" to="201pt,3.99054pt" stroked="true" strokeweight=".5pt" strokecolor="#000000">
            <v:stroke dashstyle="solid"/>
            <w10:wrap type="none"/>
          </v:line>
        </w:pict>
      </w:r>
      <w:r>
        <w:rPr>
          <w:sz w:val="12"/>
        </w:rPr>
        <w:t>6</w:t>
      </w:r>
    </w:p>
    <w:p>
      <w:pPr>
        <w:pStyle w:val="BodyText"/>
        <w:spacing w:before="3"/>
        <w:rPr>
          <w:sz w:val="17"/>
        </w:rPr>
      </w:pPr>
    </w:p>
    <w:p>
      <w:pPr>
        <w:spacing w:before="0"/>
        <w:ind w:left="0" w:right="809" w:firstLine="0"/>
        <w:jc w:val="right"/>
        <w:rPr>
          <w:sz w:val="12"/>
        </w:rPr>
      </w:pPr>
      <w:r>
        <w:rPr/>
        <w:pict>
          <v:line style="position:absolute;mso-position-horizontal-relative:page;mso-position-vertical-relative:paragraph;z-index:16068608" from="206pt,3.19458pt" to="201pt,3.19458pt" stroked="true" strokeweight=".5pt" strokecolor="#000000">
            <v:stroke dashstyle="solid"/>
            <w10:wrap type="none"/>
          </v:line>
        </w:pict>
      </w:r>
      <w:r>
        <w:rPr>
          <w:sz w:val="12"/>
        </w:rPr>
        <w:t>4</w:t>
      </w:r>
    </w:p>
    <w:p>
      <w:pPr>
        <w:pStyle w:val="BodyText"/>
        <w:spacing w:before="2"/>
        <w:rPr>
          <w:sz w:val="17"/>
        </w:rPr>
      </w:pPr>
    </w:p>
    <w:p>
      <w:pPr>
        <w:spacing w:before="0"/>
        <w:ind w:left="0" w:right="809" w:firstLine="0"/>
        <w:jc w:val="right"/>
        <w:rPr>
          <w:sz w:val="12"/>
        </w:rPr>
      </w:pPr>
      <w:r>
        <w:rPr/>
        <w:pict>
          <v:line style="position:absolute;mso-position-horizontal-relative:page;mso-position-vertical-relative:paragraph;z-index:16068096" from="206pt,3.397583pt" to="201pt,3.397583pt" stroked="true" strokeweight=".5pt" strokecolor="#000000">
            <v:stroke dashstyle="solid"/>
            <w10:wrap type="none"/>
          </v:line>
        </w:pict>
      </w:r>
      <w:r>
        <w:rPr>
          <w:sz w:val="12"/>
        </w:rPr>
        <w:t>2</w:t>
      </w:r>
    </w:p>
    <w:p>
      <w:pPr>
        <w:pStyle w:val="BodyText"/>
        <w:spacing w:before="3"/>
        <w:rPr>
          <w:sz w:val="17"/>
        </w:rPr>
      </w:pPr>
    </w:p>
    <w:p>
      <w:pPr>
        <w:spacing w:line="137" w:lineRule="exact" w:before="0"/>
        <w:ind w:left="2740" w:right="0" w:firstLine="0"/>
        <w:jc w:val="center"/>
        <w:rPr>
          <w:sz w:val="12"/>
        </w:rPr>
      </w:pPr>
      <w:r>
        <w:rPr>
          <w:sz w:val="12"/>
        </w:rPr>
        <w:t>0</w:t>
      </w:r>
    </w:p>
    <w:p>
      <w:pPr>
        <w:spacing w:line="137" w:lineRule="exact" w:before="0"/>
        <w:ind w:left="176" w:right="948" w:firstLine="0"/>
        <w:jc w:val="center"/>
        <w:rPr>
          <w:sz w:val="12"/>
        </w:rPr>
      </w:pPr>
      <w:r>
        <w:rPr>
          <w:color w:val="231F20"/>
          <w:sz w:val="12"/>
        </w:rPr>
        <w:t>0.0 0.6 1.2 1.8 2.4 3.0 3.6 4.2 4.8 5.4 6.0</w:t>
      </w:r>
    </w:p>
    <w:p>
      <w:pPr>
        <w:spacing w:before="15"/>
        <w:ind w:left="176" w:right="933" w:firstLine="0"/>
        <w:jc w:val="center"/>
        <w:rPr>
          <w:sz w:val="12"/>
        </w:rPr>
      </w:pPr>
      <w:r>
        <w:rPr>
          <w:sz w:val="12"/>
        </w:rPr>
        <w:t>Range of forecasts</w:t>
      </w:r>
    </w:p>
    <w:p>
      <w:pPr>
        <w:spacing w:before="56"/>
        <w:ind w:left="176" w:right="1154" w:firstLine="0"/>
        <w:jc w:val="center"/>
        <w:rPr>
          <w:sz w:val="12"/>
        </w:rPr>
      </w:pPr>
      <w:r>
        <w:rPr>
          <w:sz w:val="12"/>
        </w:rPr>
        <w:t>Source: Forecasts of 26 outside forecasters as of 23 April 1999.</w:t>
      </w:r>
    </w:p>
    <w:p>
      <w:pPr>
        <w:pStyle w:val="BodyText"/>
        <w:rPr>
          <w:sz w:val="12"/>
        </w:rPr>
      </w:pPr>
    </w:p>
    <w:p>
      <w:pPr>
        <w:pStyle w:val="BodyText"/>
        <w:rPr>
          <w:sz w:val="12"/>
        </w:rPr>
      </w:pPr>
    </w:p>
    <w:p>
      <w:pPr>
        <w:pStyle w:val="BodyText"/>
        <w:spacing w:before="5"/>
        <w:rPr>
          <w:sz w:val="10"/>
        </w:rPr>
      </w:pPr>
    </w:p>
    <w:p>
      <w:pPr>
        <w:pStyle w:val="Heading4"/>
        <w:spacing w:before="0"/>
        <w:ind w:left="181"/>
      </w:pPr>
      <w:r>
        <w:rPr>
          <w:color w:val="0093C1"/>
        </w:rPr>
        <w:t>Table 6.B</w:t>
      </w:r>
    </w:p>
    <w:p>
      <w:pPr>
        <w:pStyle w:val="Heading4"/>
        <w:spacing w:line="249" w:lineRule="auto"/>
        <w:ind w:left="181" w:right="25"/>
        <w:rPr>
          <w:b w:val="0"/>
          <w:sz w:val="12"/>
        </w:rPr>
      </w:pPr>
      <w:r>
        <w:rPr>
          <w:color w:val="0093C1"/>
        </w:rPr>
        <w:t>Other forecasters’ expectations of RPIX inflation and GDP growth</w:t>
      </w:r>
      <w:r>
        <w:rPr>
          <w:b w:val="0"/>
          <w:position w:val="4"/>
          <w:sz w:val="12"/>
        </w:rPr>
        <w:t>(a)</w:t>
      </w:r>
    </w:p>
    <w:p>
      <w:pPr>
        <w:spacing w:before="98"/>
        <w:ind w:left="181" w:right="0" w:firstLine="0"/>
        <w:jc w:val="left"/>
        <w:rPr>
          <w:b/>
          <w:sz w:val="14"/>
        </w:rPr>
      </w:pPr>
      <w:r>
        <w:rPr>
          <w:b/>
          <w:sz w:val="14"/>
        </w:rPr>
        <w:t>RPIX inflation</w:t>
      </w:r>
    </w:p>
    <w:p>
      <w:pPr>
        <w:tabs>
          <w:tab w:pos="1565" w:val="left" w:leader="none"/>
          <w:tab w:pos="4379" w:val="left" w:leader="none"/>
        </w:tabs>
        <w:spacing w:before="119"/>
        <w:ind w:left="181" w:right="0" w:firstLine="0"/>
        <w:jc w:val="left"/>
        <w:rPr>
          <w:sz w:val="14"/>
        </w:rPr>
      </w:pPr>
      <w:r>
        <w:rPr/>
        <w:pict>
          <v:shape style="position:absolute;margin-left:107.769897pt;margin-top:15.247249pt;width:144.2pt;height:124.8pt;mso-position-horizontal-relative:page;mso-position-vertical-relative:paragraph;z-index:1607321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
                    <w:gridCol w:w="229"/>
                    <w:gridCol w:w="339"/>
                    <w:gridCol w:w="125"/>
                    <w:gridCol w:w="317"/>
                    <w:gridCol w:w="189"/>
                    <w:gridCol w:w="341"/>
                    <w:gridCol w:w="133"/>
                    <w:gridCol w:w="320"/>
                    <w:gridCol w:w="160"/>
                    <w:gridCol w:w="384"/>
                  </w:tblGrid>
                  <w:tr>
                    <w:trPr>
                      <w:trHeight w:val="295" w:hRule="atLeast"/>
                    </w:trPr>
                    <w:tc>
                      <w:tcPr>
                        <w:tcW w:w="347" w:type="dxa"/>
                      </w:tcPr>
                      <w:p>
                        <w:pPr>
                          <w:pStyle w:val="TableParagraph"/>
                          <w:spacing w:line="140" w:lineRule="exact" w:before="12"/>
                          <w:ind w:left="50" w:right="35"/>
                          <w:rPr>
                            <w:sz w:val="14"/>
                          </w:rPr>
                        </w:pPr>
                        <w:r>
                          <w:rPr>
                            <w:sz w:val="14"/>
                          </w:rPr>
                          <w:t>less than</w:t>
                        </w:r>
                      </w:p>
                    </w:tc>
                    <w:tc>
                      <w:tcPr>
                        <w:tcW w:w="568" w:type="dxa"/>
                        <w:gridSpan w:val="2"/>
                      </w:tcPr>
                      <w:p>
                        <w:pPr>
                          <w:pStyle w:val="TableParagraph"/>
                          <w:spacing w:line="145" w:lineRule="exact"/>
                          <w:ind w:left="228"/>
                          <w:rPr>
                            <w:sz w:val="14"/>
                          </w:rPr>
                        </w:pPr>
                        <w:r>
                          <w:rPr>
                            <w:sz w:val="14"/>
                          </w:rPr>
                          <w:t>1.5%</w:t>
                        </w:r>
                      </w:p>
                      <w:p>
                        <w:pPr>
                          <w:pStyle w:val="TableParagraph"/>
                          <w:spacing w:line="130" w:lineRule="exact"/>
                          <w:ind w:left="228"/>
                          <w:rPr>
                            <w:sz w:val="14"/>
                          </w:rPr>
                        </w:pPr>
                        <w:r>
                          <w:rPr>
                            <w:sz w:val="14"/>
                          </w:rPr>
                          <w:t>to</w:t>
                        </w:r>
                      </w:p>
                    </w:tc>
                    <w:tc>
                      <w:tcPr>
                        <w:tcW w:w="442" w:type="dxa"/>
                        <w:gridSpan w:val="2"/>
                      </w:tcPr>
                      <w:p>
                        <w:pPr>
                          <w:pStyle w:val="TableParagraph"/>
                          <w:spacing w:line="145" w:lineRule="exact"/>
                          <w:ind w:left="145"/>
                          <w:rPr>
                            <w:sz w:val="14"/>
                          </w:rPr>
                        </w:pPr>
                        <w:r>
                          <w:rPr>
                            <w:sz w:val="14"/>
                          </w:rPr>
                          <w:t>2.0%</w:t>
                        </w:r>
                      </w:p>
                      <w:p>
                        <w:pPr>
                          <w:pStyle w:val="TableParagraph"/>
                          <w:spacing w:line="130" w:lineRule="exact"/>
                          <w:ind w:left="145"/>
                          <w:rPr>
                            <w:sz w:val="14"/>
                          </w:rPr>
                        </w:pPr>
                        <w:r>
                          <w:rPr>
                            <w:sz w:val="14"/>
                          </w:rPr>
                          <w:t>to</w:t>
                        </w:r>
                      </w:p>
                    </w:tc>
                    <w:tc>
                      <w:tcPr>
                        <w:tcW w:w="530" w:type="dxa"/>
                        <w:gridSpan w:val="2"/>
                      </w:tcPr>
                      <w:p>
                        <w:pPr>
                          <w:pStyle w:val="TableParagraph"/>
                          <w:spacing w:line="145" w:lineRule="exact"/>
                          <w:ind w:left="188"/>
                          <w:rPr>
                            <w:sz w:val="14"/>
                          </w:rPr>
                        </w:pPr>
                        <w:r>
                          <w:rPr>
                            <w:sz w:val="14"/>
                          </w:rPr>
                          <w:t>2.5%</w:t>
                        </w:r>
                      </w:p>
                      <w:p>
                        <w:pPr>
                          <w:pStyle w:val="TableParagraph"/>
                          <w:spacing w:line="130" w:lineRule="exact"/>
                          <w:ind w:left="189"/>
                          <w:rPr>
                            <w:sz w:val="14"/>
                          </w:rPr>
                        </w:pPr>
                        <w:r>
                          <w:rPr>
                            <w:sz w:val="14"/>
                          </w:rPr>
                          <w:t>to</w:t>
                        </w:r>
                      </w:p>
                    </w:tc>
                    <w:tc>
                      <w:tcPr>
                        <w:tcW w:w="453" w:type="dxa"/>
                        <w:gridSpan w:val="2"/>
                      </w:tcPr>
                      <w:p>
                        <w:pPr>
                          <w:pStyle w:val="TableParagraph"/>
                          <w:spacing w:line="145" w:lineRule="exact"/>
                          <w:ind w:left="153"/>
                          <w:rPr>
                            <w:sz w:val="14"/>
                          </w:rPr>
                        </w:pPr>
                        <w:r>
                          <w:rPr>
                            <w:sz w:val="14"/>
                          </w:rPr>
                          <w:t>3.0%</w:t>
                        </w:r>
                      </w:p>
                      <w:p>
                        <w:pPr>
                          <w:pStyle w:val="TableParagraph"/>
                          <w:spacing w:line="130" w:lineRule="exact"/>
                          <w:ind w:left="154"/>
                          <w:rPr>
                            <w:sz w:val="14"/>
                          </w:rPr>
                        </w:pPr>
                        <w:r>
                          <w:rPr>
                            <w:sz w:val="14"/>
                          </w:rPr>
                          <w:t>to</w:t>
                        </w:r>
                      </w:p>
                    </w:tc>
                    <w:tc>
                      <w:tcPr>
                        <w:tcW w:w="544" w:type="dxa"/>
                        <w:gridSpan w:val="2"/>
                      </w:tcPr>
                      <w:p>
                        <w:pPr>
                          <w:pStyle w:val="TableParagraph"/>
                          <w:spacing w:line="140" w:lineRule="exact" w:before="12"/>
                          <w:ind w:left="206" w:right="31" w:hanging="1"/>
                          <w:rPr>
                            <w:sz w:val="14"/>
                          </w:rPr>
                        </w:pPr>
                        <w:r>
                          <w:rPr>
                            <w:sz w:val="14"/>
                          </w:rPr>
                          <w:t>more than</w:t>
                        </w:r>
                      </w:p>
                    </w:tc>
                  </w:tr>
                  <w:tr>
                    <w:trPr>
                      <w:trHeight w:val="182" w:hRule="atLeast"/>
                    </w:trPr>
                    <w:tc>
                      <w:tcPr>
                        <w:tcW w:w="347" w:type="dxa"/>
                      </w:tcPr>
                      <w:p>
                        <w:pPr>
                          <w:pStyle w:val="TableParagraph"/>
                          <w:spacing w:line="155" w:lineRule="exact"/>
                          <w:ind w:left="50"/>
                          <w:rPr>
                            <w:sz w:val="14"/>
                          </w:rPr>
                        </w:pPr>
                        <w:r>
                          <w:rPr>
                            <w:sz w:val="14"/>
                            <w:u w:val="single"/>
                          </w:rPr>
                          <w:t>1.5%</w:t>
                        </w:r>
                      </w:p>
                    </w:tc>
                    <w:tc>
                      <w:tcPr>
                        <w:tcW w:w="229" w:type="dxa"/>
                      </w:tcPr>
                      <w:p>
                        <w:pPr>
                          <w:pStyle w:val="TableParagraph"/>
                          <w:rPr>
                            <w:sz w:val="12"/>
                          </w:rPr>
                        </w:pPr>
                      </w:p>
                    </w:tc>
                    <w:tc>
                      <w:tcPr>
                        <w:tcW w:w="339" w:type="dxa"/>
                      </w:tcPr>
                      <w:p>
                        <w:pPr>
                          <w:pStyle w:val="TableParagraph"/>
                          <w:spacing w:line="155" w:lineRule="exact"/>
                          <w:ind w:left="-1" w:right="45"/>
                          <w:jc w:val="center"/>
                          <w:rPr>
                            <w:sz w:val="14"/>
                          </w:rPr>
                        </w:pPr>
                        <w:r>
                          <w:rPr>
                            <w:sz w:val="14"/>
                            <w:u w:val="single"/>
                          </w:rPr>
                          <w:t>2.0%</w:t>
                        </w:r>
                      </w:p>
                    </w:tc>
                    <w:tc>
                      <w:tcPr>
                        <w:tcW w:w="125" w:type="dxa"/>
                      </w:tcPr>
                      <w:p>
                        <w:pPr>
                          <w:pStyle w:val="TableParagraph"/>
                          <w:rPr>
                            <w:sz w:val="12"/>
                          </w:rPr>
                        </w:pPr>
                      </w:p>
                    </w:tc>
                    <w:tc>
                      <w:tcPr>
                        <w:tcW w:w="317" w:type="dxa"/>
                      </w:tcPr>
                      <w:p>
                        <w:pPr>
                          <w:pStyle w:val="TableParagraph"/>
                          <w:spacing w:line="155" w:lineRule="exact"/>
                          <w:ind w:left="-1" w:right="2"/>
                          <w:jc w:val="center"/>
                          <w:rPr>
                            <w:sz w:val="14"/>
                          </w:rPr>
                        </w:pPr>
                        <w:r>
                          <w:rPr>
                            <w:spacing w:val="-15"/>
                            <w:sz w:val="14"/>
                            <w:u w:val="single"/>
                          </w:rPr>
                          <w:t> </w:t>
                        </w:r>
                        <w:r>
                          <w:rPr>
                            <w:spacing w:val="-4"/>
                            <w:sz w:val="14"/>
                            <w:u w:val="single"/>
                          </w:rPr>
                          <w:t>2.5%</w:t>
                        </w:r>
                      </w:p>
                    </w:tc>
                    <w:tc>
                      <w:tcPr>
                        <w:tcW w:w="189" w:type="dxa"/>
                      </w:tcPr>
                      <w:p>
                        <w:pPr>
                          <w:pStyle w:val="TableParagraph"/>
                          <w:rPr>
                            <w:sz w:val="12"/>
                          </w:rPr>
                        </w:pPr>
                      </w:p>
                    </w:tc>
                    <w:tc>
                      <w:tcPr>
                        <w:tcW w:w="341" w:type="dxa"/>
                      </w:tcPr>
                      <w:p>
                        <w:pPr>
                          <w:pStyle w:val="TableParagraph"/>
                          <w:spacing w:line="155" w:lineRule="exact"/>
                          <w:ind w:left="-1" w:right="47"/>
                          <w:jc w:val="right"/>
                          <w:rPr>
                            <w:sz w:val="14"/>
                          </w:rPr>
                        </w:pPr>
                        <w:r>
                          <w:rPr>
                            <w:sz w:val="14"/>
                            <w:u w:val="single"/>
                          </w:rPr>
                          <w:t>3.0%</w:t>
                        </w:r>
                      </w:p>
                    </w:tc>
                    <w:tc>
                      <w:tcPr>
                        <w:tcW w:w="133" w:type="dxa"/>
                      </w:tcPr>
                      <w:p>
                        <w:pPr>
                          <w:pStyle w:val="TableParagraph"/>
                          <w:rPr>
                            <w:sz w:val="12"/>
                          </w:rPr>
                        </w:pPr>
                      </w:p>
                    </w:tc>
                    <w:tc>
                      <w:tcPr>
                        <w:tcW w:w="320" w:type="dxa"/>
                      </w:tcPr>
                      <w:p>
                        <w:pPr>
                          <w:pStyle w:val="TableParagraph"/>
                          <w:spacing w:line="155" w:lineRule="exact"/>
                          <w:ind w:left="-1" w:right="5"/>
                          <w:jc w:val="center"/>
                          <w:rPr>
                            <w:sz w:val="14"/>
                          </w:rPr>
                        </w:pPr>
                        <w:r>
                          <w:rPr>
                            <w:spacing w:val="-14"/>
                            <w:sz w:val="14"/>
                            <w:u w:val="single"/>
                          </w:rPr>
                          <w:t> </w:t>
                        </w:r>
                        <w:r>
                          <w:rPr>
                            <w:spacing w:val="-5"/>
                            <w:sz w:val="14"/>
                            <w:u w:val="single"/>
                          </w:rPr>
                          <w:t>3.5%</w:t>
                        </w:r>
                      </w:p>
                    </w:tc>
                    <w:tc>
                      <w:tcPr>
                        <w:tcW w:w="160" w:type="dxa"/>
                      </w:tcPr>
                      <w:p>
                        <w:pPr>
                          <w:pStyle w:val="TableParagraph"/>
                          <w:rPr>
                            <w:sz w:val="12"/>
                          </w:rPr>
                        </w:pPr>
                      </w:p>
                    </w:tc>
                    <w:tc>
                      <w:tcPr>
                        <w:tcW w:w="384" w:type="dxa"/>
                      </w:tcPr>
                      <w:p>
                        <w:pPr>
                          <w:pStyle w:val="TableParagraph"/>
                          <w:spacing w:line="155" w:lineRule="exact"/>
                          <w:ind w:left="26" w:right="26"/>
                          <w:jc w:val="center"/>
                          <w:rPr>
                            <w:sz w:val="14"/>
                          </w:rPr>
                        </w:pPr>
                        <w:r>
                          <w:rPr>
                            <w:sz w:val="14"/>
                            <w:u w:val="single"/>
                          </w:rPr>
                          <w:t>3.5%</w:t>
                        </w:r>
                      </w:p>
                    </w:tc>
                  </w:tr>
                  <w:tr>
                    <w:trPr>
                      <w:trHeight w:val="190" w:hRule="atLeast"/>
                    </w:trPr>
                    <w:tc>
                      <w:tcPr>
                        <w:tcW w:w="347" w:type="dxa"/>
                      </w:tcPr>
                      <w:p>
                        <w:pPr>
                          <w:pStyle w:val="TableParagraph"/>
                          <w:spacing w:line="133" w:lineRule="exact" w:before="36"/>
                          <w:ind w:left="102"/>
                          <w:rPr>
                            <w:sz w:val="14"/>
                          </w:rPr>
                        </w:pPr>
                        <w:r>
                          <w:rPr>
                            <w:sz w:val="14"/>
                          </w:rPr>
                          <w:t>10</w:t>
                        </w:r>
                      </w:p>
                    </w:tc>
                    <w:tc>
                      <w:tcPr>
                        <w:tcW w:w="229" w:type="dxa"/>
                      </w:tcPr>
                      <w:p>
                        <w:pPr>
                          <w:pStyle w:val="TableParagraph"/>
                          <w:rPr>
                            <w:sz w:val="12"/>
                          </w:rPr>
                        </w:pPr>
                      </w:p>
                    </w:tc>
                    <w:tc>
                      <w:tcPr>
                        <w:tcW w:w="339" w:type="dxa"/>
                      </w:tcPr>
                      <w:p>
                        <w:pPr>
                          <w:pStyle w:val="TableParagraph"/>
                          <w:spacing w:line="133" w:lineRule="exact" w:before="36"/>
                          <w:ind w:left="31" w:right="127"/>
                          <w:jc w:val="center"/>
                          <w:rPr>
                            <w:sz w:val="14"/>
                          </w:rPr>
                        </w:pPr>
                        <w:r>
                          <w:rPr>
                            <w:sz w:val="14"/>
                          </w:rPr>
                          <w:t>23</w:t>
                        </w:r>
                      </w:p>
                    </w:tc>
                    <w:tc>
                      <w:tcPr>
                        <w:tcW w:w="125" w:type="dxa"/>
                      </w:tcPr>
                      <w:p>
                        <w:pPr>
                          <w:pStyle w:val="TableParagraph"/>
                          <w:rPr>
                            <w:sz w:val="12"/>
                          </w:rPr>
                        </w:pPr>
                      </w:p>
                    </w:tc>
                    <w:tc>
                      <w:tcPr>
                        <w:tcW w:w="317" w:type="dxa"/>
                      </w:tcPr>
                      <w:p>
                        <w:pPr>
                          <w:pStyle w:val="TableParagraph"/>
                          <w:spacing w:line="133" w:lineRule="exact" w:before="36"/>
                          <w:ind w:left="46" w:right="88"/>
                          <w:jc w:val="center"/>
                          <w:rPr>
                            <w:sz w:val="14"/>
                          </w:rPr>
                        </w:pPr>
                        <w:r>
                          <w:rPr>
                            <w:sz w:val="14"/>
                          </w:rPr>
                          <w:t>41</w:t>
                        </w:r>
                      </w:p>
                    </w:tc>
                    <w:tc>
                      <w:tcPr>
                        <w:tcW w:w="189" w:type="dxa"/>
                      </w:tcPr>
                      <w:p>
                        <w:pPr>
                          <w:pStyle w:val="TableParagraph"/>
                          <w:rPr>
                            <w:sz w:val="12"/>
                          </w:rPr>
                        </w:pPr>
                      </w:p>
                    </w:tc>
                    <w:tc>
                      <w:tcPr>
                        <w:tcW w:w="341" w:type="dxa"/>
                      </w:tcPr>
                      <w:p>
                        <w:pPr>
                          <w:pStyle w:val="TableParagraph"/>
                          <w:spacing w:line="133" w:lineRule="exact" w:before="36"/>
                          <w:ind w:left="-1" w:right="147"/>
                          <w:jc w:val="right"/>
                          <w:rPr>
                            <w:sz w:val="14"/>
                          </w:rPr>
                        </w:pPr>
                        <w:r>
                          <w:rPr>
                            <w:sz w:val="14"/>
                          </w:rPr>
                          <w:t>19</w:t>
                        </w:r>
                      </w:p>
                    </w:tc>
                    <w:tc>
                      <w:tcPr>
                        <w:tcW w:w="133" w:type="dxa"/>
                      </w:tcPr>
                      <w:p>
                        <w:pPr>
                          <w:pStyle w:val="TableParagraph"/>
                          <w:rPr>
                            <w:sz w:val="12"/>
                          </w:rPr>
                        </w:pPr>
                      </w:p>
                    </w:tc>
                    <w:tc>
                      <w:tcPr>
                        <w:tcW w:w="320" w:type="dxa"/>
                      </w:tcPr>
                      <w:p>
                        <w:pPr>
                          <w:pStyle w:val="TableParagraph"/>
                          <w:spacing w:line="133" w:lineRule="exact" w:before="36"/>
                          <w:ind w:left="15"/>
                          <w:jc w:val="center"/>
                          <w:rPr>
                            <w:sz w:val="14"/>
                          </w:rPr>
                        </w:pPr>
                        <w:r>
                          <w:rPr>
                            <w:sz w:val="14"/>
                          </w:rPr>
                          <w:t>6</w:t>
                        </w:r>
                      </w:p>
                    </w:tc>
                    <w:tc>
                      <w:tcPr>
                        <w:tcW w:w="160" w:type="dxa"/>
                      </w:tcPr>
                      <w:p>
                        <w:pPr>
                          <w:pStyle w:val="TableParagraph"/>
                          <w:rPr>
                            <w:sz w:val="12"/>
                          </w:rPr>
                        </w:pPr>
                      </w:p>
                    </w:tc>
                    <w:tc>
                      <w:tcPr>
                        <w:tcW w:w="384" w:type="dxa"/>
                      </w:tcPr>
                      <w:p>
                        <w:pPr>
                          <w:pStyle w:val="TableParagraph"/>
                          <w:spacing w:line="133" w:lineRule="exact" w:before="36"/>
                          <w:ind w:right="36"/>
                          <w:jc w:val="center"/>
                          <w:rPr>
                            <w:sz w:val="14"/>
                          </w:rPr>
                        </w:pPr>
                        <w:r>
                          <w:rPr>
                            <w:sz w:val="14"/>
                          </w:rPr>
                          <w:t>2</w:t>
                        </w:r>
                      </w:p>
                    </w:tc>
                  </w:tr>
                  <w:tr>
                    <w:trPr>
                      <w:trHeight w:val="140" w:hRule="atLeast"/>
                    </w:trPr>
                    <w:tc>
                      <w:tcPr>
                        <w:tcW w:w="347" w:type="dxa"/>
                      </w:tcPr>
                      <w:p>
                        <w:pPr>
                          <w:pStyle w:val="TableParagraph"/>
                          <w:spacing w:line="120" w:lineRule="exact"/>
                          <w:ind w:left="102"/>
                          <w:rPr>
                            <w:sz w:val="14"/>
                          </w:rPr>
                        </w:pPr>
                        <w:r>
                          <w:rPr>
                            <w:sz w:val="14"/>
                          </w:rPr>
                          <w:t>10</w:t>
                        </w:r>
                      </w:p>
                    </w:tc>
                    <w:tc>
                      <w:tcPr>
                        <w:tcW w:w="229" w:type="dxa"/>
                      </w:tcPr>
                      <w:p>
                        <w:pPr>
                          <w:pStyle w:val="TableParagraph"/>
                          <w:rPr>
                            <w:sz w:val="8"/>
                          </w:rPr>
                        </w:pPr>
                      </w:p>
                    </w:tc>
                    <w:tc>
                      <w:tcPr>
                        <w:tcW w:w="339" w:type="dxa"/>
                      </w:tcPr>
                      <w:p>
                        <w:pPr>
                          <w:pStyle w:val="TableParagraph"/>
                          <w:spacing w:line="120" w:lineRule="exact"/>
                          <w:ind w:left="31" w:right="127"/>
                          <w:jc w:val="center"/>
                          <w:rPr>
                            <w:sz w:val="14"/>
                          </w:rPr>
                        </w:pPr>
                        <w:r>
                          <w:rPr>
                            <w:sz w:val="14"/>
                          </w:rPr>
                          <w:t>18</w:t>
                        </w:r>
                      </w:p>
                    </w:tc>
                    <w:tc>
                      <w:tcPr>
                        <w:tcW w:w="125" w:type="dxa"/>
                      </w:tcPr>
                      <w:p>
                        <w:pPr>
                          <w:pStyle w:val="TableParagraph"/>
                          <w:rPr>
                            <w:sz w:val="8"/>
                          </w:rPr>
                        </w:pPr>
                      </w:p>
                    </w:tc>
                    <w:tc>
                      <w:tcPr>
                        <w:tcW w:w="317" w:type="dxa"/>
                      </w:tcPr>
                      <w:p>
                        <w:pPr>
                          <w:pStyle w:val="TableParagraph"/>
                          <w:spacing w:line="120" w:lineRule="exact"/>
                          <w:ind w:left="46" w:right="88"/>
                          <w:jc w:val="center"/>
                          <w:rPr>
                            <w:sz w:val="14"/>
                          </w:rPr>
                        </w:pPr>
                        <w:r>
                          <w:rPr>
                            <w:sz w:val="14"/>
                          </w:rPr>
                          <w:t>35</w:t>
                        </w:r>
                      </w:p>
                    </w:tc>
                    <w:tc>
                      <w:tcPr>
                        <w:tcW w:w="189" w:type="dxa"/>
                      </w:tcPr>
                      <w:p>
                        <w:pPr>
                          <w:pStyle w:val="TableParagraph"/>
                          <w:rPr>
                            <w:sz w:val="8"/>
                          </w:rPr>
                        </w:pPr>
                      </w:p>
                    </w:tc>
                    <w:tc>
                      <w:tcPr>
                        <w:tcW w:w="341" w:type="dxa"/>
                      </w:tcPr>
                      <w:p>
                        <w:pPr>
                          <w:pStyle w:val="TableParagraph"/>
                          <w:spacing w:line="120" w:lineRule="exact"/>
                          <w:ind w:left="-1" w:right="147"/>
                          <w:jc w:val="right"/>
                          <w:rPr>
                            <w:sz w:val="14"/>
                          </w:rPr>
                        </w:pPr>
                        <w:r>
                          <w:rPr>
                            <w:sz w:val="14"/>
                          </w:rPr>
                          <w:t>24</w:t>
                        </w:r>
                      </w:p>
                    </w:tc>
                    <w:tc>
                      <w:tcPr>
                        <w:tcW w:w="133" w:type="dxa"/>
                      </w:tcPr>
                      <w:p>
                        <w:pPr>
                          <w:pStyle w:val="TableParagraph"/>
                          <w:rPr>
                            <w:sz w:val="8"/>
                          </w:rPr>
                        </w:pPr>
                      </w:p>
                    </w:tc>
                    <w:tc>
                      <w:tcPr>
                        <w:tcW w:w="320" w:type="dxa"/>
                      </w:tcPr>
                      <w:p>
                        <w:pPr>
                          <w:pStyle w:val="TableParagraph"/>
                          <w:spacing w:line="120" w:lineRule="exact"/>
                          <w:ind w:left="15"/>
                          <w:jc w:val="center"/>
                          <w:rPr>
                            <w:sz w:val="14"/>
                          </w:rPr>
                        </w:pPr>
                        <w:r>
                          <w:rPr>
                            <w:sz w:val="14"/>
                          </w:rPr>
                          <w:t>9</w:t>
                        </w:r>
                      </w:p>
                    </w:tc>
                    <w:tc>
                      <w:tcPr>
                        <w:tcW w:w="160" w:type="dxa"/>
                      </w:tcPr>
                      <w:p>
                        <w:pPr>
                          <w:pStyle w:val="TableParagraph"/>
                          <w:rPr>
                            <w:sz w:val="8"/>
                          </w:rPr>
                        </w:pPr>
                      </w:p>
                    </w:tc>
                    <w:tc>
                      <w:tcPr>
                        <w:tcW w:w="384" w:type="dxa"/>
                      </w:tcPr>
                      <w:p>
                        <w:pPr>
                          <w:pStyle w:val="TableParagraph"/>
                          <w:spacing w:line="120" w:lineRule="exact"/>
                          <w:ind w:right="36"/>
                          <w:jc w:val="center"/>
                          <w:rPr>
                            <w:sz w:val="14"/>
                          </w:rPr>
                        </w:pPr>
                        <w:r>
                          <w:rPr>
                            <w:sz w:val="14"/>
                          </w:rPr>
                          <w:t>4</w:t>
                        </w:r>
                      </w:p>
                    </w:tc>
                  </w:tr>
                  <w:tr>
                    <w:trPr>
                      <w:trHeight w:val="719" w:hRule="atLeast"/>
                    </w:trPr>
                    <w:tc>
                      <w:tcPr>
                        <w:tcW w:w="576" w:type="dxa"/>
                        <w:gridSpan w:val="2"/>
                        <w:tcBorders>
                          <w:bottom w:val="single" w:sz="2" w:space="0" w:color="000000"/>
                        </w:tcBorders>
                      </w:tcPr>
                      <w:p>
                        <w:pPr>
                          <w:pStyle w:val="TableParagraph"/>
                          <w:spacing w:line="148" w:lineRule="exact"/>
                          <w:ind w:right="159"/>
                          <w:jc w:val="center"/>
                          <w:rPr>
                            <w:sz w:val="14"/>
                          </w:rPr>
                        </w:pPr>
                        <w:r>
                          <w:rPr>
                            <w:sz w:val="14"/>
                          </w:rPr>
                          <w:t>8</w:t>
                        </w:r>
                      </w:p>
                      <w:p>
                        <w:pPr>
                          <w:pStyle w:val="TableParagraph"/>
                          <w:rPr>
                            <w:b/>
                            <w:sz w:val="16"/>
                          </w:rPr>
                        </w:pPr>
                      </w:p>
                      <w:p>
                        <w:pPr>
                          <w:pStyle w:val="TableParagraph"/>
                          <w:spacing w:before="8"/>
                          <w:rPr>
                            <w:b/>
                            <w:sz w:val="18"/>
                          </w:rPr>
                        </w:pPr>
                      </w:p>
                      <w:p>
                        <w:pPr>
                          <w:pStyle w:val="TableParagraph"/>
                          <w:spacing w:line="153" w:lineRule="exact"/>
                          <w:ind w:left="31" w:right="108"/>
                          <w:jc w:val="center"/>
                          <w:rPr>
                            <w:sz w:val="14"/>
                          </w:rPr>
                        </w:pPr>
                        <w:r>
                          <w:rPr>
                            <w:sz w:val="14"/>
                          </w:rPr>
                          <w:t>Range:</w:t>
                        </w:r>
                      </w:p>
                    </w:tc>
                    <w:tc>
                      <w:tcPr>
                        <w:tcW w:w="339" w:type="dxa"/>
                        <w:tcBorders>
                          <w:bottom w:val="single" w:sz="2" w:space="0" w:color="000000"/>
                        </w:tcBorders>
                      </w:tcPr>
                      <w:p>
                        <w:pPr>
                          <w:pStyle w:val="TableParagraph"/>
                          <w:spacing w:line="148" w:lineRule="exact"/>
                          <w:ind w:left="30" w:right="127"/>
                          <w:jc w:val="center"/>
                          <w:rPr>
                            <w:sz w:val="14"/>
                          </w:rPr>
                        </w:pPr>
                        <w:r>
                          <w:rPr>
                            <w:sz w:val="14"/>
                          </w:rPr>
                          <w:t>15</w:t>
                        </w:r>
                      </w:p>
                    </w:tc>
                    <w:tc>
                      <w:tcPr>
                        <w:tcW w:w="125" w:type="dxa"/>
                        <w:tcBorders>
                          <w:bottom w:val="single" w:sz="2" w:space="0" w:color="000000"/>
                        </w:tcBorders>
                      </w:tcPr>
                      <w:p>
                        <w:pPr>
                          <w:pStyle w:val="TableParagraph"/>
                          <w:rPr>
                            <w:sz w:val="18"/>
                          </w:rPr>
                        </w:pPr>
                      </w:p>
                    </w:tc>
                    <w:tc>
                      <w:tcPr>
                        <w:tcW w:w="317" w:type="dxa"/>
                        <w:tcBorders>
                          <w:bottom w:val="single" w:sz="2" w:space="0" w:color="000000"/>
                        </w:tcBorders>
                      </w:tcPr>
                      <w:p>
                        <w:pPr>
                          <w:pStyle w:val="TableParagraph"/>
                          <w:spacing w:line="148" w:lineRule="exact"/>
                          <w:ind w:left="45" w:right="89"/>
                          <w:jc w:val="center"/>
                          <w:rPr>
                            <w:sz w:val="14"/>
                          </w:rPr>
                        </w:pPr>
                        <w:r>
                          <w:rPr>
                            <w:sz w:val="14"/>
                          </w:rPr>
                          <w:t>32</w:t>
                        </w:r>
                      </w:p>
                    </w:tc>
                    <w:tc>
                      <w:tcPr>
                        <w:tcW w:w="189" w:type="dxa"/>
                        <w:tcBorders>
                          <w:bottom w:val="single" w:sz="2" w:space="0" w:color="000000"/>
                        </w:tcBorders>
                      </w:tcPr>
                      <w:p>
                        <w:pPr>
                          <w:pStyle w:val="TableParagraph"/>
                          <w:rPr>
                            <w:sz w:val="18"/>
                          </w:rPr>
                        </w:pPr>
                      </w:p>
                    </w:tc>
                    <w:tc>
                      <w:tcPr>
                        <w:tcW w:w="341" w:type="dxa"/>
                        <w:tcBorders>
                          <w:bottom w:val="single" w:sz="2" w:space="0" w:color="000000"/>
                        </w:tcBorders>
                      </w:tcPr>
                      <w:p>
                        <w:pPr>
                          <w:pStyle w:val="TableParagraph"/>
                          <w:spacing w:line="148" w:lineRule="exact"/>
                          <w:ind w:left="-1" w:right="147"/>
                          <w:jc w:val="right"/>
                          <w:rPr>
                            <w:sz w:val="14"/>
                          </w:rPr>
                        </w:pPr>
                        <w:r>
                          <w:rPr>
                            <w:sz w:val="14"/>
                          </w:rPr>
                          <w:t>29</w:t>
                        </w:r>
                      </w:p>
                    </w:tc>
                    <w:tc>
                      <w:tcPr>
                        <w:tcW w:w="133" w:type="dxa"/>
                        <w:tcBorders>
                          <w:bottom w:val="single" w:sz="2" w:space="0" w:color="000000"/>
                        </w:tcBorders>
                      </w:tcPr>
                      <w:p>
                        <w:pPr>
                          <w:pStyle w:val="TableParagraph"/>
                          <w:rPr>
                            <w:sz w:val="18"/>
                          </w:rPr>
                        </w:pPr>
                      </w:p>
                    </w:tc>
                    <w:tc>
                      <w:tcPr>
                        <w:tcW w:w="320" w:type="dxa"/>
                        <w:tcBorders>
                          <w:bottom w:val="single" w:sz="2" w:space="0" w:color="000000"/>
                        </w:tcBorders>
                      </w:tcPr>
                      <w:p>
                        <w:pPr>
                          <w:pStyle w:val="TableParagraph"/>
                          <w:spacing w:line="148" w:lineRule="exact"/>
                          <w:ind w:left="43" w:right="97"/>
                          <w:jc w:val="center"/>
                          <w:rPr>
                            <w:sz w:val="14"/>
                          </w:rPr>
                        </w:pPr>
                        <w:r>
                          <w:rPr>
                            <w:sz w:val="14"/>
                          </w:rPr>
                          <w:t>11</w:t>
                        </w:r>
                      </w:p>
                    </w:tc>
                    <w:tc>
                      <w:tcPr>
                        <w:tcW w:w="160" w:type="dxa"/>
                        <w:tcBorders>
                          <w:bottom w:val="single" w:sz="2" w:space="0" w:color="000000"/>
                        </w:tcBorders>
                      </w:tcPr>
                      <w:p>
                        <w:pPr>
                          <w:pStyle w:val="TableParagraph"/>
                          <w:rPr>
                            <w:sz w:val="18"/>
                          </w:rPr>
                        </w:pPr>
                      </w:p>
                    </w:tc>
                    <w:tc>
                      <w:tcPr>
                        <w:tcW w:w="384" w:type="dxa"/>
                        <w:tcBorders>
                          <w:bottom w:val="single" w:sz="2" w:space="0" w:color="000000"/>
                        </w:tcBorders>
                      </w:tcPr>
                      <w:p>
                        <w:pPr>
                          <w:pStyle w:val="TableParagraph"/>
                          <w:spacing w:line="148" w:lineRule="exact"/>
                          <w:ind w:right="37"/>
                          <w:jc w:val="center"/>
                          <w:rPr>
                            <w:sz w:val="14"/>
                          </w:rPr>
                        </w:pPr>
                        <w:r>
                          <w:rPr>
                            <w:sz w:val="14"/>
                          </w:rPr>
                          <w:t>6</w:t>
                        </w:r>
                      </w:p>
                    </w:tc>
                  </w:tr>
                  <w:tr>
                    <w:trPr>
                      <w:trHeight w:val="457" w:hRule="atLeast"/>
                    </w:trPr>
                    <w:tc>
                      <w:tcPr>
                        <w:tcW w:w="347" w:type="dxa"/>
                        <w:tcBorders>
                          <w:top w:val="single" w:sz="2" w:space="0" w:color="000000"/>
                          <w:bottom w:val="single" w:sz="2" w:space="0" w:color="000000"/>
                        </w:tcBorders>
                      </w:tcPr>
                      <w:p>
                        <w:pPr>
                          <w:pStyle w:val="TableParagraph"/>
                          <w:spacing w:line="140" w:lineRule="exact" w:before="21"/>
                          <w:ind w:left="49" w:right="53"/>
                          <w:jc w:val="both"/>
                          <w:rPr>
                            <w:sz w:val="14"/>
                          </w:rPr>
                        </w:pPr>
                        <w:r>
                          <w:rPr>
                            <w:sz w:val="14"/>
                          </w:rPr>
                          <w:t>less than 0%</w:t>
                        </w:r>
                      </w:p>
                    </w:tc>
                    <w:tc>
                      <w:tcPr>
                        <w:tcW w:w="229" w:type="dxa"/>
                        <w:tcBorders>
                          <w:top w:val="single" w:sz="2" w:space="0" w:color="000000"/>
                        </w:tcBorders>
                      </w:tcPr>
                      <w:p>
                        <w:pPr>
                          <w:pStyle w:val="TableParagraph"/>
                          <w:rPr>
                            <w:sz w:val="18"/>
                          </w:rPr>
                        </w:pPr>
                      </w:p>
                    </w:tc>
                    <w:tc>
                      <w:tcPr>
                        <w:tcW w:w="339" w:type="dxa"/>
                        <w:tcBorders>
                          <w:top w:val="single" w:sz="2" w:space="0" w:color="000000"/>
                          <w:bottom w:val="single" w:sz="2" w:space="0" w:color="000000"/>
                        </w:tcBorders>
                      </w:tcPr>
                      <w:p>
                        <w:pPr>
                          <w:pStyle w:val="TableParagraph"/>
                          <w:spacing w:line="150" w:lineRule="exact" w:before="2"/>
                          <w:ind w:left="50"/>
                          <w:rPr>
                            <w:sz w:val="14"/>
                          </w:rPr>
                        </w:pPr>
                        <w:r>
                          <w:rPr>
                            <w:sz w:val="14"/>
                          </w:rPr>
                          <w:t>0%</w:t>
                        </w:r>
                      </w:p>
                      <w:p>
                        <w:pPr>
                          <w:pStyle w:val="TableParagraph"/>
                          <w:spacing w:line="140" w:lineRule="exact" w:before="8"/>
                          <w:ind w:left="50" w:right="82" w:hanging="1"/>
                          <w:rPr>
                            <w:sz w:val="14"/>
                          </w:rPr>
                        </w:pPr>
                        <w:r>
                          <w:rPr>
                            <w:sz w:val="14"/>
                          </w:rPr>
                          <w:t>to 1%</w:t>
                        </w:r>
                      </w:p>
                    </w:tc>
                    <w:tc>
                      <w:tcPr>
                        <w:tcW w:w="125" w:type="dxa"/>
                        <w:tcBorders>
                          <w:top w:val="single" w:sz="2" w:space="0" w:color="000000"/>
                        </w:tcBorders>
                      </w:tcPr>
                      <w:p>
                        <w:pPr>
                          <w:pStyle w:val="TableParagraph"/>
                          <w:rPr>
                            <w:sz w:val="18"/>
                          </w:rPr>
                        </w:pPr>
                      </w:p>
                    </w:tc>
                    <w:tc>
                      <w:tcPr>
                        <w:tcW w:w="317" w:type="dxa"/>
                        <w:tcBorders>
                          <w:top w:val="single" w:sz="2" w:space="0" w:color="000000"/>
                          <w:bottom w:val="single" w:sz="2" w:space="0" w:color="000000"/>
                        </w:tcBorders>
                      </w:tcPr>
                      <w:p>
                        <w:pPr>
                          <w:pStyle w:val="TableParagraph"/>
                          <w:spacing w:line="150" w:lineRule="exact" w:before="2"/>
                          <w:ind w:left="51"/>
                          <w:rPr>
                            <w:sz w:val="14"/>
                          </w:rPr>
                        </w:pPr>
                        <w:r>
                          <w:rPr>
                            <w:sz w:val="14"/>
                          </w:rPr>
                          <w:t>1%</w:t>
                        </w:r>
                      </w:p>
                      <w:p>
                        <w:pPr>
                          <w:pStyle w:val="TableParagraph"/>
                          <w:spacing w:line="140" w:lineRule="exact" w:before="8"/>
                          <w:ind w:left="51" w:right="59"/>
                          <w:rPr>
                            <w:sz w:val="14"/>
                          </w:rPr>
                        </w:pPr>
                        <w:r>
                          <w:rPr>
                            <w:sz w:val="14"/>
                          </w:rPr>
                          <w:t>to 2%</w:t>
                        </w:r>
                      </w:p>
                    </w:tc>
                    <w:tc>
                      <w:tcPr>
                        <w:tcW w:w="189" w:type="dxa"/>
                        <w:tcBorders>
                          <w:top w:val="single" w:sz="2" w:space="0" w:color="000000"/>
                        </w:tcBorders>
                      </w:tcPr>
                      <w:p>
                        <w:pPr>
                          <w:pStyle w:val="TableParagraph"/>
                          <w:rPr>
                            <w:sz w:val="18"/>
                          </w:rPr>
                        </w:pPr>
                      </w:p>
                    </w:tc>
                    <w:tc>
                      <w:tcPr>
                        <w:tcW w:w="341" w:type="dxa"/>
                        <w:tcBorders>
                          <w:top w:val="single" w:sz="2" w:space="0" w:color="000000"/>
                          <w:bottom w:val="single" w:sz="2" w:space="0" w:color="000000"/>
                        </w:tcBorders>
                      </w:tcPr>
                      <w:p>
                        <w:pPr>
                          <w:pStyle w:val="TableParagraph"/>
                          <w:spacing w:line="150" w:lineRule="exact" w:before="2"/>
                          <w:ind w:left="63"/>
                          <w:rPr>
                            <w:sz w:val="14"/>
                          </w:rPr>
                        </w:pPr>
                        <w:r>
                          <w:rPr>
                            <w:sz w:val="14"/>
                          </w:rPr>
                          <w:t>2%</w:t>
                        </w:r>
                      </w:p>
                      <w:p>
                        <w:pPr>
                          <w:pStyle w:val="TableParagraph"/>
                          <w:spacing w:line="140" w:lineRule="exact" w:before="8"/>
                          <w:ind w:left="63" w:right="71"/>
                          <w:rPr>
                            <w:sz w:val="14"/>
                          </w:rPr>
                        </w:pPr>
                        <w:r>
                          <w:rPr>
                            <w:sz w:val="14"/>
                          </w:rPr>
                          <w:t>to 3%</w:t>
                        </w:r>
                      </w:p>
                    </w:tc>
                    <w:tc>
                      <w:tcPr>
                        <w:tcW w:w="133" w:type="dxa"/>
                        <w:tcBorders>
                          <w:top w:val="single" w:sz="2" w:space="0" w:color="000000"/>
                        </w:tcBorders>
                      </w:tcPr>
                      <w:p>
                        <w:pPr>
                          <w:pStyle w:val="TableParagraph"/>
                          <w:rPr>
                            <w:sz w:val="18"/>
                          </w:rPr>
                        </w:pPr>
                      </w:p>
                    </w:tc>
                    <w:tc>
                      <w:tcPr>
                        <w:tcW w:w="320" w:type="dxa"/>
                        <w:tcBorders>
                          <w:top w:val="single" w:sz="2" w:space="0" w:color="000000"/>
                          <w:bottom w:val="single" w:sz="2" w:space="0" w:color="000000"/>
                        </w:tcBorders>
                      </w:tcPr>
                      <w:p>
                        <w:pPr>
                          <w:pStyle w:val="TableParagraph"/>
                          <w:spacing w:line="150" w:lineRule="exact" w:before="2"/>
                          <w:ind w:left="66"/>
                          <w:rPr>
                            <w:sz w:val="14"/>
                          </w:rPr>
                        </w:pPr>
                        <w:r>
                          <w:rPr>
                            <w:sz w:val="14"/>
                          </w:rPr>
                          <w:t>3%</w:t>
                        </w:r>
                      </w:p>
                      <w:p>
                        <w:pPr>
                          <w:pStyle w:val="TableParagraph"/>
                          <w:spacing w:line="140" w:lineRule="exact" w:before="8"/>
                          <w:ind w:left="66" w:right="47"/>
                          <w:rPr>
                            <w:sz w:val="14"/>
                          </w:rPr>
                        </w:pPr>
                        <w:r>
                          <w:rPr>
                            <w:sz w:val="14"/>
                          </w:rPr>
                          <w:t>to 4%</w:t>
                        </w:r>
                      </w:p>
                    </w:tc>
                    <w:tc>
                      <w:tcPr>
                        <w:tcW w:w="160" w:type="dxa"/>
                        <w:tcBorders>
                          <w:top w:val="single" w:sz="2" w:space="0" w:color="000000"/>
                        </w:tcBorders>
                      </w:tcPr>
                      <w:p>
                        <w:pPr>
                          <w:pStyle w:val="TableParagraph"/>
                          <w:rPr>
                            <w:sz w:val="18"/>
                          </w:rPr>
                        </w:pPr>
                      </w:p>
                    </w:tc>
                    <w:tc>
                      <w:tcPr>
                        <w:tcW w:w="384" w:type="dxa"/>
                        <w:tcBorders>
                          <w:top w:val="single" w:sz="2" w:space="0" w:color="000000"/>
                          <w:bottom w:val="single" w:sz="2" w:space="0" w:color="000000"/>
                        </w:tcBorders>
                      </w:tcPr>
                      <w:p>
                        <w:pPr>
                          <w:pStyle w:val="TableParagraph"/>
                          <w:spacing w:line="140" w:lineRule="exact" w:before="21"/>
                          <w:ind w:left="6" w:right="70"/>
                          <w:rPr>
                            <w:sz w:val="14"/>
                          </w:rPr>
                        </w:pPr>
                        <w:r>
                          <w:rPr>
                            <w:sz w:val="14"/>
                          </w:rPr>
                          <w:t>more than 4%</w:t>
                        </w:r>
                      </w:p>
                    </w:tc>
                  </w:tr>
                  <w:tr>
                    <w:trPr>
                      <w:trHeight w:val="213" w:hRule="atLeast"/>
                    </w:trPr>
                    <w:tc>
                      <w:tcPr>
                        <w:tcW w:w="347" w:type="dxa"/>
                        <w:tcBorders>
                          <w:top w:val="single" w:sz="2" w:space="0" w:color="000000"/>
                        </w:tcBorders>
                      </w:tcPr>
                      <w:p>
                        <w:pPr>
                          <w:pStyle w:val="TableParagraph"/>
                          <w:spacing w:line="133" w:lineRule="exact" w:before="59"/>
                          <w:ind w:left="172"/>
                          <w:rPr>
                            <w:sz w:val="14"/>
                          </w:rPr>
                        </w:pPr>
                        <w:r>
                          <w:rPr>
                            <w:sz w:val="14"/>
                          </w:rPr>
                          <w:t>9</w:t>
                        </w:r>
                      </w:p>
                    </w:tc>
                    <w:tc>
                      <w:tcPr>
                        <w:tcW w:w="229" w:type="dxa"/>
                      </w:tcPr>
                      <w:p>
                        <w:pPr>
                          <w:pStyle w:val="TableParagraph"/>
                          <w:rPr>
                            <w:sz w:val="14"/>
                          </w:rPr>
                        </w:pPr>
                      </w:p>
                    </w:tc>
                    <w:tc>
                      <w:tcPr>
                        <w:tcW w:w="339" w:type="dxa"/>
                        <w:tcBorders>
                          <w:top w:val="single" w:sz="2" w:space="0" w:color="000000"/>
                        </w:tcBorders>
                      </w:tcPr>
                      <w:p>
                        <w:pPr>
                          <w:pStyle w:val="TableParagraph"/>
                          <w:spacing w:line="133" w:lineRule="exact" w:before="59"/>
                          <w:ind w:left="13" w:right="45"/>
                          <w:jc w:val="center"/>
                          <w:rPr>
                            <w:sz w:val="14"/>
                          </w:rPr>
                        </w:pPr>
                        <w:r>
                          <w:rPr>
                            <w:sz w:val="14"/>
                          </w:rPr>
                          <w:t>37</w:t>
                        </w:r>
                      </w:p>
                    </w:tc>
                    <w:tc>
                      <w:tcPr>
                        <w:tcW w:w="125" w:type="dxa"/>
                      </w:tcPr>
                      <w:p>
                        <w:pPr>
                          <w:pStyle w:val="TableParagraph"/>
                          <w:rPr>
                            <w:sz w:val="14"/>
                          </w:rPr>
                        </w:pPr>
                      </w:p>
                    </w:tc>
                    <w:tc>
                      <w:tcPr>
                        <w:tcW w:w="317" w:type="dxa"/>
                        <w:tcBorders>
                          <w:top w:val="single" w:sz="2" w:space="0" w:color="000000"/>
                        </w:tcBorders>
                      </w:tcPr>
                      <w:p>
                        <w:pPr>
                          <w:pStyle w:val="TableParagraph"/>
                          <w:spacing w:line="133" w:lineRule="exact" w:before="59"/>
                          <w:ind w:left="10" w:right="2"/>
                          <w:jc w:val="center"/>
                          <w:rPr>
                            <w:sz w:val="14"/>
                          </w:rPr>
                        </w:pPr>
                        <w:r>
                          <w:rPr>
                            <w:sz w:val="14"/>
                          </w:rPr>
                          <w:t>36</w:t>
                        </w:r>
                      </w:p>
                    </w:tc>
                    <w:tc>
                      <w:tcPr>
                        <w:tcW w:w="189" w:type="dxa"/>
                      </w:tcPr>
                      <w:p>
                        <w:pPr>
                          <w:pStyle w:val="TableParagraph"/>
                          <w:rPr>
                            <w:sz w:val="14"/>
                          </w:rPr>
                        </w:pPr>
                      </w:p>
                    </w:tc>
                    <w:tc>
                      <w:tcPr>
                        <w:tcW w:w="341" w:type="dxa"/>
                        <w:tcBorders>
                          <w:top w:val="single" w:sz="2" w:space="0" w:color="000000"/>
                        </w:tcBorders>
                      </w:tcPr>
                      <w:p>
                        <w:pPr>
                          <w:pStyle w:val="TableParagraph"/>
                          <w:spacing w:line="133" w:lineRule="exact" w:before="59"/>
                          <w:ind w:left="-1" w:right="118"/>
                          <w:jc w:val="right"/>
                          <w:rPr>
                            <w:sz w:val="14"/>
                          </w:rPr>
                        </w:pPr>
                        <w:r>
                          <w:rPr>
                            <w:sz w:val="14"/>
                          </w:rPr>
                          <w:t>14</w:t>
                        </w:r>
                      </w:p>
                    </w:tc>
                    <w:tc>
                      <w:tcPr>
                        <w:tcW w:w="133" w:type="dxa"/>
                      </w:tcPr>
                      <w:p>
                        <w:pPr>
                          <w:pStyle w:val="TableParagraph"/>
                          <w:rPr>
                            <w:sz w:val="14"/>
                          </w:rPr>
                        </w:pPr>
                      </w:p>
                    </w:tc>
                    <w:tc>
                      <w:tcPr>
                        <w:tcW w:w="320" w:type="dxa"/>
                        <w:tcBorders>
                          <w:top w:val="single" w:sz="2" w:space="0" w:color="000000"/>
                        </w:tcBorders>
                      </w:tcPr>
                      <w:p>
                        <w:pPr>
                          <w:pStyle w:val="TableParagraph"/>
                          <w:spacing w:line="133" w:lineRule="exact" w:before="59"/>
                          <w:ind w:left="75"/>
                          <w:jc w:val="center"/>
                          <w:rPr>
                            <w:sz w:val="14"/>
                          </w:rPr>
                        </w:pPr>
                        <w:r>
                          <w:rPr>
                            <w:sz w:val="14"/>
                          </w:rPr>
                          <w:t>3</w:t>
                        </w:r>
                      </w:p>
                    </w:tc>
                    <w:tc>
                      <w:tcPr>
                        <w:tcW w:w="160" w:type="dxa"/>
                      </w:tcPr>
                      <w:p>
                        <w:pPr>
                          <w:pStyle w:val="TableParagraph"/>
                          <w:rPr>
                            <w:sz w:val="14"/>
                          </w:rPr>
                        </w:pPr>
                      </w:p>
                    </w:tc>
                    <w:tc>
                      <w:tcPr>
                        <w:tcW w:w="384" w:type="dxa"/>
                        <w:tcBorders>
                          <w:top w:val="single" w:sz="2" w:space="0" w:color="000000"/>
                        </w:tcBorders>
                      </w:tcPr>
                      <w:p>
                        <w:pPr>
                          <w:pStyle w:val="TableParagraph"/>
                          <w:spacing w:line="133" w:lineRule="exact" w:before="59"/>
                          <w:ind w:left="21"/>
                          <w:jc w:val="center"/>
                          <w:rPr>
                            <w:sz w:val="14"/>
                          </w:rPr>
                        </w:pPr>
                        <w:r>
                          <w:rPr>
                            <w:sz w:val="14"/>
                          </w:rPr>
                          <w:t>1</w:t>
                        </w:r>
                      </w:p>
                    </w:tc>
                  </w:tr>
                  <w:tr>
                    <w:trPr>
                      <w:trHeight w:val="140" w:hRule="atLeast"/>
                    </w:trPr>
                    <w:tc>
                      <w:tcPr>
                        <w:tcW w:w="347" w:type="dxa"/>
                      </w:tcPr>
                      <w:p>
                        <w:pPr>
                          <w:pStyle w:val="TableParagraph"/>
                          <w:spacing w:line="120" w:lineRule="exact"/>
                          <w:ind w:left="172"/>
                          <w:rPr>
                            <w:sz w:val="14"/>
                          </w:rPr>
                        </w:pPr>
                        <w:r>
                          <w:rPr>
                            <w:sz w:val="14"/>
                          </w:rPr>
                          <w:t>4</w:t>
                        </w:r>
                      </w:p>
                    </w:tc>
                    <w:tc>
                      <w:tcPr>
                        <w:tcW w:w="229" w:type="dxa"/>
                      </w:tcPr>
                      <w:p>
                        <w:pPr>
                          <w:pStyle w:val="TableParagraph"/>
                          <w:rPr>
                            <w:sz w:val="8"/>
                          </w:rPr>
                        </w:pPr>
                      </w:p>
                    </w:tc>
                    <w:tc>
                      <w:tcPr>
                        <w:tcW w:w="339" w:type="dxa"/>
                      </w:tcPr>
                      <w:p>
                        <w:pPr>
                          <w:pStyle w:val="TableParagraph"/>
                          <w:spacing w:line="120" w:lineRule="exact"/>
                          <w:ind w:left="13" w:right="45"/>
                          <w:jc w:val="center"/>
                          <w:rPr>
                            <w:sz w:val="14"/>
                          </w:rPr>
                        </w:pPr>
                        <w:r>
                          <w:rPr>
                            <w:sz w:val="14"/>
                          </w:rPr>
                          <w:t>12</w:t>
                        </w:r>
                      </w:p>
                    </w:tc>
                    <w:tc>
                      <w:tcPr>
                        <w:tcW w:w="125" w:type="dxa"/>
                      </w:tcPr>
                      <w:p>
                        <w:pPr>
                          <w:pStyle w:val="TableParagraph"/>
                          <w:rPr>
                            <w:sz w:val="8"/>
                          </w:rPr>
                        </w:pPr>
                      </w:p>
                    </w:tc>
                    <w:tc>
                      <w:tcPr>
                        <w:tcW w:w="317" w:type="dxa"/>
                      </w:tcPr>
                      <w:p>
                        <w:pPr>
                          <w:pStyle w:val="TableParagraph"/>
                          <w:spacing w:line="120" w:lineRule="exact"/>
                          <w:ind w:left="10" w:right="2"/>
                          <w:jc w:val="center"/>
                          <w:rPr>
                            <w:sz w:val="14"/>
                          </w:rPr>
                        </w:pPr>
                        <w:r>
                          <w:rPr>
                            <w:sz w:val="14"/>
                          </w:rPr>
                          <w:t>25</w:t>
                        </w:r>
                      </w:p>
                    </w:tc>
                    <w:tc>
                      <w:tcPr>
                        <w:tcW w:w="189" w:type="dxa"/>
                      </w:tcPr>
                      <w:p>
                        <w:pPr>
                          <w:pStyle w:val="TableParagraph"/>
                          <w:rPr>
                            <w:sz w:val="8"/>
                          </w:rPr>
                        </w:pPr>
                      </w:p>
                    </w:tc>
                    <w:tc>
                      <w:tcPr>
                        <w:tcW w:w="341" w:type="dxa"/>
                      </w:tcPr>
                      <w:p>
                        <w:pPr>
                          <w:pStyle w:val="TableParagraph"/>
                          <w:spacing w:line="120" w:lineRule="exact"/>
                          <w:ind w:left="-1" w:right="118"/>
                          <w:jc w:val="right"/>
                          <w:rPr>
                            <w:sz w:val="14"/>
                          </w:rPr>
                        </w:pPr>
                        <w:r>
                          <w:rPr>
                            <w:sz w:val="14"/>
                          </w:rPr>
                          <w:t>38</w:t>
                        </w:r>
                      </w:p>
                    </w:tc>
                    <w:tc>
                      <w:tcPr>
                        <w:tcW w:w="133" w:type="dxa"/>
                      </w:tcPr>
                      <w:p>
                        <w:pPr>
                          <w:pStyle w:val="TableParagraph"/>
                          <w:rPr>
                            <w:sz w:val="8"/>
                          </w:rPr>
                        </w:pPr>
                      </w:p>
                    </w:tc>
                    <w:tc>
                      <w:tcPr>
                        <w:tcW w:w="320" w:type="dxa"/>
                      </w:tcPr>
                      <w:p>
                        <w:pPr>
                          <w:pStyle w:val="TableParagraph"/>
                          <w:spacing w:line="120" w:lineRule="exact"/>
                          <w:ind w:left="10" w:right="5"/>
                          <w:jc w:val="center"/>
                          <w:rPr>
                            <w:sz w:val="14"/>
                          </w:rPr>
                        </w:pPr>
                        <w:r>
                          <w:rPr>
                            <w:sz w:val="14"/>
                          </w:rPr>
                          <w:t>14</w:t>
                        </w:r>
                      </w:p>
                    </w:tc>
                    <w:tc>
                      <w:tcPr>
                        <w:tcW w:w="160" w:type="dxa"/>
                      </w:tcPr>
                      <w:p>
                        <w:pPr>
                          <w:pStyle w:val="TableParagraph"/>
                          <w:rPr>
                            <w:sz w:val="8"/>
                          </w:rPr>
                        </w:pPr>
                      </w:p>
                    </w:tc>
                    <w:tc>
                      <w:tcPr>
                        <w:tcW w:w="384" w:type="dxa"/>
                      </w:tcPr>
                      <w:p>
                        <w:pPr>
                          <w:pStyle w:val="TableParagraph"/>
                          <w:spacing w:line="120" w:lineRule="exact"/>
                          <w:ind w:left="21"/>
                          <w:jc w:val="center"/>
                          <w:rPr>
                            <w:sz w:val="14"/>
                          </w:rPr>
                        </w:pPr>
                        <w:r>
                          <w:rPr>
                            <w:sz w:val="14"/>
                          </w:rPr>
                          <w:t>6</w:t>
                        </w:r>
                      </w:p>
                    </w:tc>
                  </w:tr>
                  <w:tr>
                    <w:trPr>
                      <w:trHeight w:val="147" w:hRule="atLeast"/>
                    </w:trPr>
                    <w:tc>
                      <w:tcPr>
                        <w:tcW w:w="347" w:type="dxa"/>
                      </w:tcPr>
                      <w:p>
                        <w:pPr>
                          <w:pStyle w:val="TableParagraph"/>
                          <w:spacing w:line="128" w:lineRule="exact"/>
                          <w:ind w:left="172"/>
                          <w:rPr>
                            <w:sz w:val="14"/>
                          </w:rPr>
                        </w:pPr>
                        <w:r>
                          <w:rPr>
                            <w:sz w:val="14"/>
                          </w:rPr>
                          <w:t>3</w:t>
                        </w:r>
                      </w:p>
                    </w:tc>
                    <w:tc>
                      <w:tcPr>
                        <w:tcW w:w="229" w:type="dxa"/>
                      </w:tcPr>
                      <w:p>
                        <w:pPr>
                          <w:pStyle w:val="TableParagraph"/>
                          <w:rPr>
                            <w:sz w:val="8"/>
                          </w:rPr>
                        </w:pPr>
                      </w:p>
                    </w:tc>
                    <w:tc>
                      <w:tcPr>
                        <w:tcW w:w="339" w:type="dxa"/>
                      </w:tcPr>
                      <w:p>
                        <w:pPr>
                          <w:pStyle w:val="TableParagraph"/>
                          <w:spacing w:line="128" w:lineRule="exact"/>
                          <w:ind w:left="35"/>
                          <w:jc w:val="center"/>
                          <w:rPr>
                            <w:sz w:val="14"/>
                          </w:rPr>
                        </w:pPr>
                        <w:r>
                          <w:rPr>
                            <w:sz w:val="14"/>
                          </w:rPr>
                          <w:t>8</w:t>
                        </w:r>
                      </w:p>
                    </w:tc>
                    <w:tc>
                      <w:tcPr>
                        <w:tcW w:w="125" w:type="dxa"/>
                      </w:tcPr>
                      <w:p>
                        <w:pPr>
                          <w:pStyle w:val="TableParagraph"/>
                          <w:rPr>
                            <w:sz w:val="8"/>
                          </w:rPr>
                        </w:pPr>
                      </w:p>
                    </w:tc>
                    <w:tc>
                      <w:tcPr>
                        <w:tcW w:w="317" w:type="dxa"/>
                      </w:tcPr>
                      <w:p>
                        <w:pPr>
                          <w:pStyle w:val="TableParagraph"/>
                          <w:spacing w:line="128" w:lineRule="exact"/>
                          <w:ind w:left="10" w:right="2"/>
                          <w:jc w:val="center"/>
                          <w:rPr>
                            <w:sz w:val="14"/>
                          </w:rPr>
                        </w:pPr>
                        <w:r>
                          <w:rPr>
                            <w:sz w:val="14"/>
                          </w:rPr>
                          <w:t>20</w:t>
                        </w:r>
                      </w:p>
                    </w:tc>
                    <w:tc>
                      <w:tcPr>
                        <w:tcW w:w="189" w:type="dxa"/>
                      </w:tcPr>
                      <w:p>
                        <w:pPr>
                          <w:pStyle w:val="TableParagraph"/>
                          <w:rPr>
                            <w:sz w:val="8"/>
                          </w:rPr>
                        </w:pPr>
                      </w:p>
                    </w:tc>
                    <w:tc>
                      <w:tcPr>
                        <w:tcW w:w="341" w:type="dxa"/>
                      </w:tcPr>
                      <w:p>
                        <w:pPr>
                          <w:pStyle w:val="TableParagraph"/>
                          <w:spacing w:line="128" w:lineRule="exact"/>
                          <w:ind w:left="-1" w:right="117"/>
                          <w:jc w:val="right"/>
                          <w:rPr>
                            <w:sz w:val="14"/>
                          </w:rPr>
                        </w:pPr>
                        <w:r>
                          <w:rPr>
                            <w:sz w:val="14"/>
                          </w:rPr>
                          <w:t>37</w:t>
                        </w:r>
                      </w:p>
                    </w:tc>
                    <w:tc>
                      <w:tcPr>
                        <w:tcW w:w="133" w:type="dxa"/>
                      </w:tcPr>
                      <w:p>
                        <w:pPr>
                          <w:pStyle w:val="TableParagraph"/>
                          <w:rPr>
                            <w:sz w:val="8"/>
                          </w:rPr>
                        </w:pPr>
                      </w:p>
                    </w:tc>
                    <w:tc>
                      <w:tcPr>
                        <w:tcW w:w="320" w:type="dxa"/>
                      </w:tcPr>
                      <w:p>
                        <w:pPr>
                          <w:pStyle w:val="TableParagraph"/>
                          <w:spacing w:line="128" w:lineRule="exact"/>
                          <w:ind w:left="10" w:right="5"/>
                          <w:jc w:val="center"/>
                          <w:rPr>
                            <w:sz w:val="14"/>
                          </w:rPr>
                        </w:pPr>
                        <w:r>
                          <w:rPr>
                            <w:sz w:val="14"/>
                          </w:rPr>
                          <w:t>22</w:t>
                        </w:r>
                      </w:p>
                    </w:tc>
                    <w:tc>
                      <w:tcPr>
                        <w:tcW w:w="160" w:type="dxa"/>
                      </w:tcPr>
                      <w:p>
                        <w:pPr>
                          <w:pStyle w:val="TableParagraph"/>
                          <w:rPr>
                            <w:sz w:val="8"/>
                          </w:rPr>
                        </w:pPr>
                      </w:p>
                    </w:tc>
                    <w:tc>
                      <w:tcPr>
                        <w:tcW w:w="384" w:type="dxa"/>
                      </w:tcPr>
                      <w:p>
                        <w:pPr>
                          <w:pStyle w:val="TableParagraph"/>
                          <w:spacing w:line="128" w:lineRule="exact"/>
                          <w:ind w:left="26" w:right="72"/>
                          <w:jc w:val="center"/>
                          <w:rPr>
                            <w:sz w:val="14"/>
                          </w:rPr>
                        </w:pPr>
                        <w:r>
                          <w:rPr>
                            <w:sz w:val="14"/>
                          </w:rPr>
                          <w:t>10</w:t>
                        </w:r>
                      </w:p>
                    </w:tc>
                  </w:tr>
                </w:tbl>
                <w:p>
                  <w:pPr>
                    <w:pStyle w:val="BodyText"/>
                  </w:pPr>
                </w:p>
              </w:txbxContent>
            </v:textbox>
            <w10:wrap type="none"/>
          </v:shape>
        </w:pict>
      </w:r>
      <w:r>
        <w:rPr>
          <w:sz w:val="14"/>
        </w:rPr>
        <w:t>Probability, per cent</w:t>
        <w:tab/>
      </w:r>
      <w:r>
        <w:rPr>
          <w:sz w:val="14"/>
          <w:u w:val="single"/>
        </w:rPr>
        <w:t>Range:</w:t>
        <w:tab/>
      </w:r>
    </w:p>
    <w:p>
      <w:pPr>
        <w:pStyle w:val="BodyText"/>
        <w:rPr>
          <w:sz w:val="16"/>
        </w:rPr>
      </w:pPr>
    </w:p>
    <w:p>
      <w:pPr>
        <w:pStyle w:val="BodyText"/>
        <w:rPr>
          <w:sz w:val="16"/>
        </w:rPr>
      </w:pPr>
    </w:p>
    <w:p>
      <w:pPr>
        <w:pStyle w:val="BodyText"/>
        <w:spacing w:before="10"/>
        <w:rPr>
          <w:sz w:val="14"/>
        </w:rPr>
      </w:pPr>
    </w:p>
    <w:p>
      <w:pPr>
        <w:spacing w:line="150" w:lineRule="exact" w:before="0"/>
        <w:ind w:left="181" w:right="0" w:firstLine="0"/>
        <w:jc w:val="left"/>
        <w:rPr>
          <w:sz w:val="14"/>
        </w:rPr>
      </w:pPr>
      <w:r>
        <w:rPr>
          <w:sz w:val="14"/>
        </w:rPr>
        <w:t>1999 Q4</w:t>
      </w:r>
    </w:p>
    <w:p>
      <w:pPr>
        <w:spacing w:line="140" w:lineRule="exact" w:before="0"/>
        <w:ind w:left="181" w:right="0" w:firstLine="0"/>
        <w:jc w:val="left"/>
        <w:rPr>
          <w:sz w:val="14"/>
        </w:rPr>
      </w:pPr>
      <w:r>
        <w:rPr>
          <w:sz w:val="14"/>
        </w:rPr>
        <w:t>2000 Q4</w:t>
      </w:r>
    </w:p>
    <w:p>
      <w:pPr>
        <w:spacing w:line="150" w:lineRule="exact" w:before="0"/>
        <w:ind w:left="181" w:right="0" w:firstLine="0"/>
        <w:jc w:val="left"/>
        <w:rPr>
          <w:sz w:val="12"/>
        </w:rPr>
      </w:pPr>
      <w:r>
        <w:rPr>
          <w:sz w:val="14"/>
        </w:rPr>
        <w:t>2001 Q2 </w:t>
      </w:r>
      <w:r>
        <w:rPr>
          <w:sz w:val="12"/>
        </w:rPr>
        <w:t>(b)</w:t>
      </w:r>
    </w:p>
    <w:p>
      <w:pPr>
        <w:spacing w:before="119"/>
        <w:ind w:left="181" w:right="0" w:firstLine="0"/>
        <w:jc w:val="left"/>
        <w:rPr>
          <w:b/>
          <w:sz w:val="14"/>
        </w:rPr>
      </w:pPr>
      <w:r>
        <w:rPr>
          <w:b/>
          <w:sz w:val="14"/>
        </w:rPr>
        <w:t>GDP growth</w:t>
      </w:r>
    </w:p>
    <w:p>
      <w:pPr>
        <w:spacing w:before="119"/>
        <w:ind w:left="181" w:right="0" w:firstLine="0"/>
        <w:jc w:val="left"/>
        <w:rPr>
          <w:sz w:val="14"/>
        </w:rPr>
      </w:pPr>
      <w:r>
        <w:rPr>
          <w:sz w:val="14"/>
        </w:rPr>
        <w:t>Probability, per cent</w:t>
      </w:r>
    </w:p>
    <w:p>
      <w:pPr>
        <w:pStyle w:val="BodyText"/>
        <w:rPr>
          <w:sz w:val="16"/>
        </w:rPr>
      </w:pPr>
    </w:p>
    <w:p>
      <w:pPr>
        <w:pStyle w:val="BodyText"/>
        <w:rPr>
          <w:sz w:val="16"/>
        </w:rPr>
      </w:pPr>
    </w:p>
    <w:p>
      <w:pPr>
        <w:pStyle w:val="BodyText"/>
        <w:spacing w:before="10"/>
        <w:rPr>
          <w:sz w:val="14"/>
        </w:rPr>
      </w:pPr>
    </w:p>
    <w:p>
      <w:pPr>
        <w:spacing w:line="150" w:lineRule="exact" w:before="0"/>
        <w:ind w:left="181" w:right="0" w:firstLine="0"/>
        <w:jc w:val="left"/>
        <w:rPr>
          <w:sz w:val="14"/>
        </w:rPr>
      </w:pPr>
      <w:r>
        <w:rPr>
          <w:sz w:val="14"/>
        </w:rPr>
        <w:t>1999 Q4</w:t>
      </w:r>
    </w:p>
    <w:p>
      <w:pPr>
        <w:spacing w:line="140" w:lineRule="exact" w:before="0"/>
        <w:ind w:left="181" w:right="0" w:firstLine="0"/>
        <w:jc w:val="left"/>
        <w:rPr>
          <w:sz w:val="14"/>
        </w:rPr>
      </w:pPr>
      <w:r>
        <w:rPr>
          <w:sz w:val="14"/>
        </w:rPr>
        <w:t>2000 Q4</w:t>
      </w:r>
    </w:p>
    <w:p>
      <w:pPr>
        <w:spacing w:line="150" w:lineRule="exact" w:before="0"/>
        <w:ind w:left="181" w:right="0" w:firstLine="0"/>
        <w:jc w:val="left"/>
        <w:rPr>
          <w:sz w:val="12"/>
        </w:rPr>
      </w:pPr>
      <w:r>
        <w:rPr>
          <w:sz w:val="14"/>
        </w:rPr>
        <w:t>2001 Q2 </w:t>
      </w:r>
      <w:r>
        <w:rPr>
          <w:sz w:val="12"/>
        </w:rPr>
        <w:t>(b)</w:t>
      </w:r>
    </w:p>
    <w:p>
      <w:pPr>
        <w:pStyle w:val="ListParagraph"/>
        <w:numPr>
          <w:ilvl w:val="0"/>
          <w:numId w:val="30"/>
        </w:numPr>
        <w:tabs>
          <w:tab w:pos="422" w:val="left" w:leader="none"/>
        </w:tabs>
        <w:spacing w:line="208" w:lineRule="auto" w:before="132" w:after="0"/>
        <w:ind w:left="421" w:right="77" w:hanging="240"/>
        <w:jc w:val="left"/>
        <w:rPr>
          <w:sz w:val="12"/>
        </w:rPr>
      </w:pPr>
      <w:r>
        <w:rPr>
          <w:sz w:val="12"/>
        </w:rPr>
        <w:t>27 other forecasters provided the Bank with their assessment of the likelihood, at three time horizons, of expected twelve-month RPIX inflation and four-quarter output growth falling in the ranges shown above. This table represents the </w:t>
      </w:r>
      <w:r>
        <w:rPr>
          <w:spacing w:val="-4"/>
          <w:sz w:val="12"/>
        </w:rPr>
        <w:t>means </w:t>
      </w:r>
      <w:r>
        <w:rPr>
          <w:sz w:val="12"/>
        </w:rPr>
        <w:t>of the responses for each range. For example, on average, forecasters assign a probability of 8% to inflation turning out to be less than 1.5% in 2001 Q2. Rows may not sum to 100 because of rounding.</w:t>
      </w:r>
    </w:p>
    <w:p>
      <w:pPr>
        <w:pStyle w:val="ListParagraph"/>
        <w:numPr>
          <w:ilvl w:val="0"/>
          <w:numId w:val="30"/>
        </w:numPr>
        <w:tabs>
          <w:tab w:pos="422" w:val="left" w:leader="none"/>
        </w:tabs>
        <w:spacing w:line="123" w:lineRule="exact" w:before="0" w:after="0"/>
        <w:ind w:left="421" w:right="0" w:hanging="241"/>
        <w:jc w:val="left"/>
        <w:rPr>
          <w:sz w:val="12"/>
        </w:rPr>
      </w:pPr>
      <w:r>
        <w:rPr>
          <w:sz w:val="12"/>
        </w:rPr>
        <w:t>26 forecasters.</w:t>
      </w:r>
    </w:p>
    <w:p>
      <w:pPr>
        <w:pStyle w:val="ListParagraph"/>
        <w:numPr>
          <w:ilvl w:val="1"/>
          <w:numId w:val="28"/>
        </w:numPr>
        <w:tabs>
          <w:tab w:pos="3609" w:val="left" w:leader="none"/>
          <w:tab w:pos="3610" w:val="left" w:leader="none"/>
        </w:tabs>
        <w:spacing w:line="240" w:lineRule="auto" w:before="218" w:after="0"/>
        <w:ind w:left="3609" w:right="0" w:hanging="3450"/>
        <w:jc w:val="left"/>
        <w:rPr>
          <w:b/>
          <w:sz w:val="28"/>
        </w:rPr>
      </w:pPr>
      <w:r>
        <w:rPr>
          <w:b/>
          <w:color w:val="009483"/>
          <w:sz w:val="28"/>
          <w:u w:val="thick" w:color="0093C1"/>
        </w:rPr>
        <w:br w:type="column"/>
        <w:t>Other</w:t>
      </w:r>
      <w:r>
        <w:rPr>
          <w:b/>
          <w:color w:val="009483"/>
          <w:spacing w:val="-3"/>
          <w:sz w:val="28"/>
          <w:u w:val="thick" w:color="0093C1"/>
        </w:rPr>
        <w:t> </w:t>
      </w:r>
      <w:r>
        <w:rPr>
          <w:b/>
          <w:color w:val="009483"/>
          <w:sz w:val="28"/>
          <w:u w:val="thick" w:color="0093C1"/>
        </w:rPr>
        <w:t>forecasts</w:t>
      </w:r>
      <w:r>
        <w:rPr>
          <w:b/>
          <w:color w:val="009483"/>
          <w:spacing w:val="-11"/>
          <w:sz w:val="28"/>
          <w:u w:val="thick" w:color="0093C1"/>
        </w:rPr>
        <w:t> </w:t>
      </w:r>
    </w:p>
    <w:p>
      <w:pPr>
        <w:pStyle w:val="BodyText"/>
        <w:spacing w:before="10"/>
        <w:rPr>
          <w:b/>
          <w:sz w:val="23"/>
        </w:rPr>
      </w:pPr>
    </w:p>
    <w:p>
      <w:pPr>
        <w:spacing w:line="242" w:lineRule="auto" w:before="1"/>
        <w:ind w:left="160" w:right="241" w:firstLine="0"/>
        <w:jc w:val="left"/>
        <w:rPr>
          <w:sz w:val="24"/>
        </w:rPr>
      </w:pPr>
      <w:r>
        <w:rPr>
          <w:sz w:val="24"/>
        </w:rPr>
        <w:t>Chart 6.8 shows the distribution of central forecasts for the twelve-month rate of RPIX inflation in 2001 Q2, based on information gathered from 26 forecasters surveyed by the Bank in late April. The mean forecast for the year to 1999 Q4 was 2.2%, rising to 2.3% in 2000 Q4, and reaching 2.4% in 2001 Q2. The estimates for 1999 and 2000 are slightly higher than the projections made at the time of the January survey. The forecasters assign a 45% probability to inflation being above the target in the second quarter of 2001, and a 55% probability to it being below (see Table 6.B).</w:t>
      </w:r>
    </w:p>
    <w:p>
      <w:pPr>
        <w:spacing w:line="242" w:lineRule="auto" w:before="14"/>
        <w:ind w:left="160" w:right="668" w:firstLine="0"/>
        <w:jc w:val="left"/>
        <w:rPr>
          <w:sz w:val="24"/>
        </w:rPr>
      </w:pPr>
      <w:r>
        <w:rPr>
          <w:sz w:val="24"/>
        </w:rPr>
        <w:t>These estimates have changed slightly since the February </w:t>
      </w:r>
      <w:r>
        <w:rPr>
          <w:i/>
          <w:sz w:val="24"/>
        </w:rPr>
        <w:t>Report</w:t>
      </w:r>
      <w:r>
        <w:rPr>
          <w:sz w:val="24"/>
        </w:rPr>
        <w:t>, with more weight being placed on higher outturns for inflation.</w:t>
      </w:r>
    </w:p>
    <w:p>
      <w:pPr>
        <w:pStyle w:val="BodyText"/>
        <w:spacing w:before="7"/>
        <w:rPr>
          <w:sz w:val="24"/>
        </w:rPr>
      </w:pPr>
    </w:p>
    <w:p>
      <w:pPr>
        <w:spacing w:line="242" w:lineRule="auto" w:before="0"/>
        <w:ind w:left="160" w:right="235" w:firstLine="0"/>
        <w:jc w:val="left"/>
        <w:rPr>
          <w:sz w:val="24"/>
        </w:rPr>
      </w:pPr>
      <w:r>
        <w:rPr>
          <w:sz w:val="24"/>
        </w:rPr>
        <w:t>The forecasters’ average projection for GDP growth in the year to 1999 Q4 is 1</w:t>
      </w:r>
      <w:r>
        <w:rPr>
          <w:position w:val="8"/>
          <w:sz w:val="12"/>
        </w:rPr>
        <w:t>1</w:t>
      </w:r>
      <w:r>
        <w:rPr>
          <w:sz w:val="24"/>
        </w:rPr>
        <w:t>/</w:t>
      </w:r>
      <w:r>
        <w:rPr>
          <w:sz w:val="12"/>
        </w:rPr>
        <w:t>4</w:t>
      </w:r>
      <w:r>
        <w:rPr>
          <w:sz w:val="24"/>
        </w:rPr>
        <w:t>% (with a range of projections from </w:t>
      </w:r>
      <w:r>
        <w:rPr>
          <w:position w:val="8"/>
          <w:sz w:val="12"/>
        </w:rPr>
        <w:t>1</w:t>
      </w:r>
      <w:r>
        <w:rPr>
          <w:sz w:val="24"/>
        </w:rPr>
        <w:t>/</w:t>
      </w:r>
      <w:r>
        <w:rPr>
          <w:sz w:val="12"/>
        </w:rPr>
        <w:t>4</w:t>
      </w:r>
      <w:r>
        <w:rPr>
          <w:sz w:val="24"/>
        </w:rPr>
        <w:t>% to 2</w:t>
      </w:r>
      <w:r>
        <w:rPr>
          <w:position w:val="8"/>
          <w:sz w:val="12"/>
        </w:rPr>
        <w:t>1</w:t>
      </w:r>
      <w:r>
        <w:rPr>
          <w:sz w:val="24"/>
        </w:rPr>
        <w:t>/</w:t>
      </w:r>
      <w:r>
        <w:rPr>
          <w:sz w:val="12"/>
        </w:rPr>
        <w:t>4</w:t>
      </w:r>
      <w:r>
        <w:rPr>
          <w:sz w:val="24"/>
        </w:rPr>
        <w:t>%), rising to 3% in the year to 2001 Q2 (with a range of 2% to 3</w:t>
      </w:r>
      <w:r>
        <w:rPr>
          <w:position w:val="8"/>
          <w:sz w:val="12"/>
        </w:rPr>
        <w:t>3</w:t>
      </w:r>
      <w:r>
        <w:rPr>
          <w:sz w:val="24"/>
        </w:rPr>
        <w:t>/</w:t>
      </w:r>
      <w:r>
        <w:rPr>
          <w:sz w:val="12"/>
        </w:rPr>
        <w:t>4</w:t>
      </w:r>
      <w:r>
        <w:rPr>
          <w:sz w:val="24"/>
        </w:rPr>
        <w:t>%). The mean projections are both half a percentage point higher than in January. The forecasters on average assign a 9% probability to output growth falling below zero in the year to 1999 Q4, compared with 20% at the time of the January survey.</w:t>
      </w:r>
    </w:p>
    <w:p>
      <w:pPr>
        <w:pStyle w:val="BodyText"/>
        <w:rPr>
          <w:sz w:val="26"/>
        </w:rPr>
      </w:pPr>
    </w:p>
    <w:p>
      <w:pPr>
        <w:pStyle w:val="BodyText"/>
        <w:rPr>
          <w:sz w:val="26"/>
        </w:rPr>
      </w:pPr>
    </w:p>
    <w:p>
      <w:pPr>
        <w:pStyle w:val="BodyText"/>
        <w:spacing w:before="11"/>
        <w:rPr>
          <w:sz w:val="21"/>
        </w:rPr>
      </w:pPr>
    </w:p>
    <w:p>
      <w:pPr>
        <w:spacing w:line="242" w:lineRule="auto" w:before="0"/>
        <w:ind w:left="160" w:right="480" w:firstLine="0"/>
        <w:jc w:val="left"/>
        <w:rPr>
          <w:b/>
          <w:sz w:val="24"/>
        </w:rPr>
      </w:pPr>
      <w:r>
        <w:rPr>
          <w:b/>
          <w:sz w:val="24"/>
        </w:rPr>
        <w:t>The implications of the latest projections for the stance of monetary policy are discussed in the </w:t>
      </w:r>
      <w:hyperlink w:history="true" w:anchor="_bookmark0">
        <w:r>
          <w:rPr>
            <w:b/>
            <w:sz w:val="24"/>
          </w:rPr>
          <w:t>Overview</w:t>
        </w:r>
      </w:hyperlink>
      <w:r>
        <w:rPr>
          <w:b/>
          <w:sz w:val="24"/>
        </w:rPr>
        <w:t> at the beginning of the </w:t>
      </w:r>
      <w:r>
        <w:rPr>
          <w:b/>
          <w:i/>
          <w:color w:val="231F20"/>
          <w:sz w:val="24"/>
        </w:rPr>
        <w:t>Report</w:t>
      </w:r>
      <w:r>
        <w:rPr>
          <w:b/>
          <w:color w:val="231F20"/>
          <w:sz w:val="24"/>
        </w:rPr>
        <w:t>.</w:t>
      </w:r>
    </w:p>
    <w:p>
      <w:pPr>
        <w:spacing w:after="0" w:line="242" w:lineRule="auto"/>
        <w:jc w:val="left"/>
        <w:rPr>
          <w:sz w:val="24"/>
        </w:rPr>
        <w:sectPr>
          <w:type w:val="continuous"/>
          <w:pgSz w:w="11900" w:h="16840"/>
          <w:pgMar w:top="1220" w:bottom="280" w:left="640" w:right="640"/>
          <w:cols w:num="2" w:equalWidth="0">
            <w:col w:w="4420" w:space="379"/>
            <w:col w:w="5821"/>
          </w:cols>
        </w:sectPr>
      </w:pPr>
    </w:p>
    <w:p>
      <w:pPr>
        <w:pStyle w:val="BodyText"/>
        <w:rPr>
          <w:b/>
          <w:sz w:val="20"/>
        </w:rPr>
      </w:pPr>
      <w:r>
        <w:rPr/>
        <w:pict>
          <v:group style="position:absolute;margin-left:39pt;margin-top:39.669998pt;width:517pt;height:740.35pt;mso-position-horizontal-relative:page;mso-position-vertical-relative:page;z-index:-21060608" coordorigin="780,793" coordsize="10340,14807">
            <v:shape style="position:absolute;left:940;top:953;width:10020;height:14487" coordorigin="940,953" coordsize="10020,14487" path="m10960,953l5964,953,5936,953,940,953,940,8168,940,8226,940,15440,5936,15440,5964,15440,10960,15440,10960,8225,10960,8168,10960,953xe" filled="true" fillcolor="#c3e0dc" stroked="false">
              <v:path arrowok="t"/>
              <v:fill type="solid"/>
            </v:shape>
            <v:shape style="position:absolute;left:1016;top:1073;width:9867;height:14248" coordorigin="1017,1073" coordsize="9867,14248" path="m5950,1073l1017,8197,5950,15320,10883,8197,5950,1073xe" filled="true" fillcolor="#c4e1dd" stroked="false">
              <v:path arrowok="t"/>
              <v:fill type="solid"/>
            </v:shape>
            <v:shape style="position:absolute;left:1113;top:1212;width:9673;height:13968" coordorigin="1113,1213" coordsize="9673,13968" path="m5950,1213l1113,8197,5950,15180,10786,8197,5950,1213xe" filled="true" fillcolor="#c5e1dd" stroked="false">
              <v:path arrowok="t"/>
              <v:fill type="solid"/>
            </v:shape>
            <v:shape style="position:absolute;left:1210;top:1352;width:9480;height:13689" coordorigin="1210,1352" coordsize="9480,13689" path="m5950,1352l1210,8197,5950,15041,10690,8197,5950,1352xe" filled="true" fillcolor="#c6e2de" stroked="false">
              <v:path arrowok="t"/>
              <v:fill type="solid"/>
            </v:shape>
            <v:shape style="position:absolute;left:1306;top:1492;width:9286;height:13410" coordorigin="1307,1492" coordsize="9286,13410" path="m5950,1492l1307,8197,5950,14901,10593,8197,5950,1492xe" filled="true" fillcolor="#c7e2df" stroked="false">
              <v:path arrowok="t"/>
              <v:fill type="solid"/>
            </v:shape>
            <v:shape style="position:absolute;left:1403;top:1631;width:9093;height:13130" coordorigin="1404,1632" coordsize="9093,13130" path="m5950,1632l1404,8197,5950,14761,10496,8197,5950,1632xe" filled="true" fillcolor="#c8e3df" stroked="false">
              <v:path arrowok="t"/>
              <v:fill type="solid"/>
            </v:shape>
            <v:shape style="position:absolute;left:1500;top:1771;width:8900;height:12851" coordorigin="1500,1771" coordsize="8900,12851" path="m5950,1771l1500,8197,5950,14622,10399,8197,5950,1771xe" filled="true" fillcolor="#c9e3e0" stroked="false">
              <v:path arrowok="t"/>
              <v:fill type="solid"/>
            </v:shape>
            <v:shape style="position:absolute;left:1597;top:1911;width:8706;height:12571" coordorigin="1597,1911" coordsize="8706,12571" path="m5950,1911l1597,8197,5950,14482,10303,8197,5950,1911xe" filled="true" fillcolor="#cae4e0" stroked="false">
              <v:path arrowok="t"/>
              <v:fill type="solid"/>
            </v:shape>
            <v:shape style="position:absolute;left:1693;top:2050;width:8513;height:12292" coordorigin="1694,2051" coordsize="8513,12292" path="m5950,2051l1694,8197,5950,14342,10206,8197,5950,2051xe" filled="true" fillcolor="#cbe4e1" stroked="false">
              <v:path arrowok="t"/>
              <v:fill type="solid"/>
            </v:shape>
            <v:shape style="position:absolute;left:1790;top:2190;width:8319;height:12013" coordorigin="1791,2191" coordsize="8319,12013" path="m5950,2191l1791,8197,5950,14203,10109,8197,5950,2191xe" filled="true" fillcolor="#cce5e1" stroked="false">
              <v:path arrowok="t"/>
              <v:fill type="solid"/>
            </v:shape>
            <v:shape style="position:absolute;left:1887;top:2330;width:8126;height:11733" coordorigin="1887,2330" coordsize="8126,11733" path="m5950,2330l1887,8197,5950,14063,10012,8197,5950,2330xe" filled="true" fillcolor="#cde5e2" stroked="false">
              <v:path arrowok="t"/>
              <v:fill type="solid"/>
            </v:shape>
            <v:shape style="position:absolute;left:1984;top:2469;width:7932;height:11454" coordorigin="1984,2470" coordsize="7932,11454" path="m5950,2470l1984,8197,5950,13923,9916,8197,5950,2470xe" filled="true" fillcolor="#cee6e3" stroked="false">
              <v:path arrowok="t"/>
              <v:fill type="solid"/>
            </v:shape>
            <v:shape style="position:absolute;left:2080;top:2609;width:7739;height:11175" coordorigin="2081,2610" coordsize="7739,11175" path="m5950,2610l2081,8197,5950,13784,9819,8197,5950,2610xe" filled="true" fillcolor="#cfe6e3" stroked="false">
              <v:path arrowok="t"/>
              <v:fill type="solid"/>
            </v:shape>
            <v:shape style="position:absolute;left:2177;top:2749;width:7545;height:10895" coordorigin="2177,2749" coordsize="7545,10895" path="m5950,2749l2177,8197,5950,13644,9722,8197,5950,2749xe" filled="true" fillcolor="#d0e7e4" stroked="false">
              <v:path arrowok="t"/>
              <v:fill type="solid"/>
            </v:shape>
            <v:shape style="position:absolute;left:2274;top:2888;width:7352;height:10616" coordorigin="2274,2889" coordsize="7352,10616" path="m5950,2889l2274,8197,5950,13504,9626,8197,5950,2889xe" filled="true" fillcolor="#d1e7e4" stroked="false">
              <v:path arrowok="t"/>
              <v:fill type="solid"/>
            </v:shape>
            <v:shape style="position:absolute;left:2370;top:3028;width:7158;height:10337" coordorigin="2371,3029" coordsize="7158,10337" path="m5950,3029l2371,8197,5950,13365,9529,8197,5950,3029xe" filled="true" fillcolor="#d3e8e5" stroked="false">
              <v:path arrowok="t"/>
              <v:fill type="solid"/>
            </v:shape>
            <v:shape style="position:absolute;left:2467;top:3168;width:6965;height:10057" coordorigin="2468,3168" coordsize="6965,10057" path="m5950,3168l2468,8197,5950,13225,9432,8197,5950,3168xe" filled="true" fillcolor="#d4e8e5" stroked="false">
              <v:path arrowok="t"/>
              <v:fill type="solid"/>
            </v:shape>
            <v:shape style="position:absolute;left:2564;top:3307;width:6771;height:9778" coordorigin="2564,3308" coordsize="6771,9778" path="m5950,3308l2564,8197,5950,13085,9335,8197,5950,3308xe" filled="true" fillcolor="#d5e9e6" stroked="false">
              <v:path arrowok="t"/>
              <v:fill type="solid"/>
            </v:shape>
            <v:shape style="position:absolute;left:2661;top:3447;width:6578;height:9499" coordorigin="2661,3448" coordsize="6578,9499" path="m5950,3448l2661,8197,5950,12946,9239,8197,5950,3448xe" filled="true" fillcolor="#d6eae7" stroked="false">
              <v:path arrowok="t"/>
              <v:fill type="solid"/>
            </v:shape>
            <v:shape style="position:absolute;left:2757;top:3587;width:6385;height:9219" coordorigin="2758,3587" coordsize="6385,9219" path="m5950,3587l2758,8197,5950,12806,9142,8197,5950,3587xe" filled="true" fillcolor="#d7eae7" stroked="false">
              <v:path arrowok="t"/>
              <v:fill type="solid"/>
            </v:shape>
            <v:shape style="position:absolute;left:2854;top:3726;width:6191;height:8940" coordorigin="2855,3727" coordsize="6191,8940" path="m5950,3727l2855,8197,5950,12666,9045,8197,5950,3727xe" filled="true" fillcolor="#d8ebe8" stroked="false">
              <v:path arrowok="t"/>
              <v:fill type="solid"/>
            </v:shape>
            <v:shape style="position:absolute;left:2951;top:3866;width:5998;height:8660" coordorigin="2951,3867" coordsize="5998,8660" path="m5950,3867l2951,8197,5950,12527,8948,8197,5950,3867xe" filled="true" fillcolor="#d9ebe8" stroked="false">
              <v:path arrowok="t"/>
              <v:fill type="solid"/>
            </v:shape>
            <v:shape style="position:absolute;left:3048;top:4006;width:5804;height:8381" coordorigin="3048,4006" coordsize="5804,8381" path="m5950,4006l3048,8197,5950,12387,8852,8197,5950,4006xe" filled="true" fillcolor="#daece9" stroked="false">
              <v:path arrowok="t"/>
              <v:fill type="solid"/>
            </v:shape>
            <v:shape style="position:absolute;left:3144;top:4145;width:5611;height:8102" coordorigin="3145,4146" coordsize="5611,8102" path="m5950,4146l3145,8197,5950,12247,8755,8197,5950,4146xe" filled="true" fillcolor="#dbece9" stroked="false">
              <v:path arrowok="t"/>
              <v:fill type="solid"/>
            </v:shape>
            <v:shape style="position:absolute;left:3241;top:4285;width:5417;height:7822" coordorigin="3241,4286" coordsize="5417,7822" path="m5950,4286l3241,8197,5950,12108,8658,8197,5950,4286xe" filled="true" fillcolor="#dcedea" stroked="false">
              <v:path arrowok="t"/>
              <v:fill type="solid"/>
            </v:shape>
            <v:shape style="position:absolute;left:3338;top:4425;width:5224;height:7543" coordorigin="3338,4425" coordsize="5224,7543" path="m5950,4425l3338,8197,5950,11968,8562,8197,5950,4425xe" filled="true" fillcolor="#ddedeb" stroked="false">
              <v:path arrowok="t"/>
              <v:fill type="solid"/>
            </v:shape>
            <v:shape style="position:absolute;left:3434;top:4565;width:5030;height:7264" coordorigin="3435,4565" coordsize="5030,7264" path="m5950,4565l3435,8197,5950,11828,8465,8197,5950,4565xe" filled="true" fillcolor="#deeeeb" stroked="false">
              <v:path arrowok="t"/>
              <v:fill type="solid"/>
            </v:shape>
            <v:shape style="position:absolute;left:3531;top:4704;width:4837;height:6984" coordorigin="3532,4705" coordsize="4837,6984" path="m5950,4705l3532,8197,5950,11689,8368,8197,5950,4705xe" filled="true" fillcolor="#e0efec" stroked="false">
              <v:path arrowok="t"/>
              <v:fill type="solid"/>
            </v:shape>
            <v:shape style="position:absolute;left:3628;top:4844;width:4643;height:6705" coordorigin="3628,4844" coordsize="4643,6705" path="m5950,4844l3628,8197,5950,11549,8271,8197,5950,4844xe" filled="true" fillcolor="#e1efec" stroked="false">
              <v:path arrowok="t"/>
              <v:fill type="solid"/>
            </v:shape>
            <v:shape style="position:absolute;left:3725;top:4984;width:4450;height:6426" coordorigin="3725,4984" coordsize="4450,6426" path="m5950,4984l3725,8197,5950,11409,8175,8197,5950,4984xe" filled="true" fillcolor="#e2f0ed" stroked="false">
              <v:path arrowok="t"/>
              <v:fill type="solid"/>
            </v:shape>
            <v:shape style="position:absolute;left:3821;top:5123;width:4257;height:6146" coordorigin="3822,5124" coordsize="4257,6146" path="m5950,5124l3822,8197,5950,11270,8078,8197,5950,5124xe" filled="true" fillcolor="#e3f0ee" stroked="false">
              <v:path arrowok="t"/>
              <v:fill type="solid"/>
            </v:shape>
            <v:shape style="position:absolute;left:3918;top:5263;width:4063;height:5867" coordorigin="3919,5263" coordsize="4063,5867" path="m5950,5263l3919,8197,5950,11130,7981,8197,5950,5263xe" filled="true" fillcolor="#e4f1ee" stroked="false">
              <v:path arrowok="t"/>
              <v:fill type="solid"/>
            </v:shape>
            <v:shape style="position:absolute;left:4015;top:5403;width:3870;height:5588" coordorigin="4015,5403" coordsize="3870,5588" path="m5950,5403l4015,8197,5950,10990,7884,8197,5950,5403xe" filled="true" fillcolor="#e5f1ef" stroked="false">
              <v:path arrowok="t"/>
              <v:fill type="solid"/>
            </v:shape>
            <v:shape style="position:absolute;left:4112;top:5542;width:3676;height:5308" coordorigin="4112,5543" coordsize="3676,5308" path="m5950,5543l4112,8197,5950,10851,7788,8197,5950,5543xe" filled="true" fillcolor="#e6f2ef" stroked="false">
              <v:path arrowok="t"/>
              <v:fill type="solid"/>
            </v:shape>
            <v:shape style="position:absolute;left:4208;top:5682;width:3483;height:5029" coordorigin="4209,5682" coordsize="3483,5029" path="m5950,5682l4209,8197,5950,10711,7691,8197,5950,5682xe" filled="true" fillcolor="#e7f3f0" stroked="false">
              <v:path arrowok="t"/>
              <v:fill type="solid"/>
            </v:shape>
            <v:shape style="position:absolute;left:4305;top:5822;width:3289;height:4750" coordorigin="4305,5822" coordsize="3289,4750" path="m5950,5822l4305,8197,5950,10571,7594,8197,5950,5822xe" filled="true" fillcolor="#e9f3f1" stroked="false">
              <v:path arrowok="t"/>
              <v:fill type="solid"/>
            </v:shape>
            <v:shape style="position:absolute;left:4402;top:5961;width:3096;height:4470" coordorigin="4402,5962" coordsize="3096,4470" path="m5950,5962l4402,8197,5950,10431,7498,8197,5950,5962xe" filled="true" fillcolor="#eaf4f2" stroked="false">
              <v:path arrowok="t"/>
              <v:fill type="solid"/>
            </v:shape>
            <v:shape style="position:absolute;left:4498;top:6101;width:2902;height:4191" coordorigin="4499,6101" coordsize="2902,4191" path="m5950,6101l4499,8197,5950,10292,7401,8197,5950,6101xe" filled="true" fillcolor="#ebf4f2" stroked="false">
              <v:path arrowok="t"/>
              <v:fill type="solid"/>
            </v:shape>
            <v:shape style="position:absolute;left:4595;top:6241;width:2709;height:3911" coordorigin="4596,6241" coordsize="2709,3911" path="m5950,6241l4596,8197,5950,10152,7304,8197,5950,6241xe" filled="true" fillcolor="#ecf5f3" stroked="false">
              <v:path arrowok="t"/>
              <v:fill type="solid"/>
            </v:shape>
            <v:shape style="position:absolute;left:4692;top:6380;width:2515;height:3632" coordorigin="4692,6381" coordsize="2515,3632" path="m5950,6381l4692,8197,5950,10012,7207,8197,5950,6381xe" filled="true" fillcolor="#edf6f4" stroked="false">
              <v:path arrowok="t"/>
              <v:fill type="solid"/>
            </v:shape>
            <v:shape style="position:absolute;left:4789;top:6520;width:2322;height:3353" coordorigin="4789,6521" coordsize="2322,3353" path="m5950,6521l4789,8197,5950,9873,7111,8197,5950,6521xe" filled="true" fillcolor="#eff7f5" stroked="false">
              <v:path arrowok="t"/>
              <v:fill type="solid"/>
            </v:shape>
            <v:shape style="position:absolute;left:4885;top:6660;width:2129;height:3073" coordorigin="4886,6660" coordsize="2129,3073" path="m5950,6660l4886,8197,5950,9733,7014,8197,5950,6660xe" filled="true" fillcolor="#f0f7f5" stroked="false">
              <v:path arrowok="t"/>
              <v:fill type="solid"/>
            </v:shape>
            <v:shape style="position:absolute;left:4982;top:6799;width:1935;height:2794" coordorigin="4983,6800" coordsize="1935,2794" path="m5950,6800l4983,8197,5950,9593,6917,8197,5950,6800xe" filled="true" fillcolor="#f1f8f6" stroked="false">
              <v:path arrowok="t"/>
              <v:fill type="solid"/>
            </v:shape>
            <v:shape style="position:absolute;left:5079;top:6939;width:1742;height:2515" coordorigin="5079,6940" coordsize="1742,2515" path="m5950,6940l5079,8197,5950,9454,6820,8197,5950,6940xe" filled="true" fillcolor="#f2f8f7" stroked="false">
              <v:path arrowok="t"/>
              <v:fill type="solid"/>
            </v:shape>
            <v:shape style="position:absolute;left:5176;top:7079;width:1548;height:2235" coordorigin="5176,7079" coordsize="1548,2235" path="m5950,7079l5176,8197,5950,9314,6724,8197,5950,7079xe" filled="true" fillcolor="#f3f9f8" stroked="false">
              <v:path arrowok="t"/>
              <v:fill type="solid"/>
            </v:shape>
            <v:shape style="position:absolute;left:5272;top:7218;width:1355;height:1956" coordorigin="5273,7219" coordsize="1355,1956" path="m5950,7219l5273,8197,5950,9174,6627,8197,5950,7219xe" filled="true" fillcolor="#f5f9f8" stroked="false">
              <v:path arrowok="t"/>
              <v:fill type="solid"/>
            </v:shape>
            <v:shape style="position:absolute;left:5369;top:7358;width:1161;height:1677" coordorigin="5370,7359" coordsize="1161,1677" path="m5950,7359l5370,8197,5950,9035,6530,8197,5950,7359xe" filled="true" fillcolor="#f6faf9" stroked="false">
              <v:path arrowok="t"/>
              <v:fill type="solid"/>
            </v:shape>
            <v:shape style="position:absolute;left:5466;top:7498;width:968;height:1397" coordorigin="5466,7498" coordsize="968,1397" path="m5950,7498l5466,8197,5950,8895,6434,8197,5950,7498xe" filled="true" fillcolor="#f8fbfa" stroked="false">
              <v:path arrowok="t"/>
              <v:fill type="solid"/>
            </v:shape>
            <v:shape style="position:absolute;left:5562;top:7637;width:774;height:1118" coordorigin="5563,7638" coordsize="774,1118" path="m5950,7638l5563,8197,5950,8755,6337,8197,5950,7638xe" filled="true" fillcolor="#f9fcfc" stroked="false">
              <v:path arrowok="t"/>
              <v:fill type="solid"/>
            </v:shape>
            <v:shape style="position:absolute;left:5659;top:7777;width:581;height:839" coordorigin="5660,7778" coordsize="581,839" path="m5950,7778l5660,8197,5950,8616,6240,8197,5950,7778xe" filled="true" fillcolor="#fbfdfd" stroked="false">
              <v:path arrowok="t"/>
              <v:fill type="solid"/>
            </v:shape>
            <v:shape style="position:absolute;left:5756;top:7917;width:387;height:559" coordorigin="5756,7917" coordsize="387,559" path="m5950,7917l5756,8197,5950,8476,6143,8197,5950,7917xe" filled="true" fillcolor="#fdfefe" stroked="false">
              <v:path arrowok="t"/>
              <v:fill type="solid"/>
            </v:shape>
            <v:shape style="position:absolute;left:5853;top:8056;width:194;height:280" coordorigin="5853,8057" coordsize="194,280" path="m5950,8057l5853,8197,5950,8336,6047,8197,5950,8057xe" filled="true" fillcolor="#ffffff" stroked="false">
              <v:path arrowok="t"/>
              <v:fill type="solid"/>
            </v:shape>
            <v:rect style="position:absolute;left:820;top:833;width:10260;height:14727" filled="false" stroked="true" strokeweight="4pt" strokecolor="#009483">
              <v:stroke dashstyle="solid"/>
            </v:rect>
            <v:rect style="position:absolute;left:926;top:939;width:10048;height:14515" filled="false" stroked="true" strokeweight="1.37pt" strokecolor="#009483">
              <v:stroke dashstyle="solid"/>
            </v:rect>
            <v:rect style="position:absolute;left:1533;top:1473;width:8840;height:13460" filled="false" stroked="true" strokeweight="2pt" strokecolor="#009483">
              <v:stroke dashstyle="solid"/>
            </v:rect>
            <v:rect style="position:absolute;left:1587;top:1527;width:8733;height:13353" filled="false" stroked="true" strokeweight=".62pt" strokecolor="#009483">
              <v:stroke dashstyle="solid"/>
            </v:rect>
            <v:shape style="position:absolute;left:3078;top:7233;width:5863;height:5887" type="#_x0000_t75" stroked="false">
              <v:imagedata r:id="rId144" o:title=""/>
            </v:shape>
            <w10:wrap type="none"/>
          </v:group>
        </w:pict>
      </w:r>
    </w:p>
    <w:p>
      <w:pPr>
        <w:pStyle w:val="BodyText"/>
        <w:rPr>
          <w:b/>
          <w:sz w:val="20"/>
        </w:rPr>
      </w:pPr>
    </w:p>
    <w:p>
      <w:pPr>
        <w:pStyle w:val="BodyText"/>
        <w:rPr>
          <w:b/>
          <w:sz w:val="20"/>
        </w:rPr>
      </w:pPr>
    </w:p>
    <w:p>
      <w:pPr>
        <w:pStyle w:val="BodyText"/>
        <w:rPr>
          <w:b/>
          <w:sz w:val="20"/>
        </w:rPr>
      </w:pPr>
    </w:p>
    <w:p>
      <w:pPr>
        <w:pStyle w:val="BodyText"/>
        <w:rPr>
          <w:b/>
          <w:sz w:val="20"/>
        </w:rPr>
      </w:pPr>
    </w:p>
    <w:p>
      <w:pPr>
        <w:spacing w:line="665" w:lineRule="exact" w:before="212"/>
        <w:ind w:left="1971" w:right="1858" w:firstLine="0"/>
        <w:jc w:val="center"/>
        <w:rPr>
          <w:b/>
          <w:sz w:val="60"/>
        </w:rPr>
      </w:pPr>
      <w:bookmarkStart w:name="Monetary Policy Commitee meeting minutes" w:id="82"/>
      <w:bookmarkEnd w:id="82"/>
      <w:r>
        <w:rPr/>
      </w:r>
      <w:bookmarkStart w:name="_bookmark35" w:id="83"/>
      <w:bookmarkEnd w:id="83"/>
      <w:r>
        <w:rPr/>
      </w:r>
      <w:r>
        <w:rPr>
          <w:b/>
          <w:color w:val="231F20"/>
          <w:sz w:val="60"/>
        </w:rPr>
        <w:t>Annex:</w:t>
      </w:r>
    </w:p>
    <w:p>
      <w:pPr>
        <w:spacing w:line="223" w:lineRule="auto" w:before="15"/>
        <w:ind w:left="1975" w:right="1858" w:firstLine="0"/>
        <w:jc w:val="center"/>
        <w:rPr>
          <w:b/>
          <w:sz w:val="60"/>
        </w:rPr>
      </w:pPr>
      <w:r>
        <w:rPr>
          <w:b/>
          <w:color w:val="231F20"/>
          <w:sz w:val="60"/>
        </w:rPr>
        <w:t>Minutes and Press Notices of the monthly</w:t>
      </w:r>
    </w:p>
    <w:p>
      <w:pPr>
        <w:spacing w:line="223" w:lineRule="auto" w:before="0"/>
        <w:ind w:left="1734" w:right="1618" w:firstLine="0"/>
        <w:jc w:val="center"/>
        <w:rPr>
          <w:b/>
          <w:sz w:val="60"/>
        </w:rPr>
      </w:pPr>
      <w:r>
        <w:rPr>
          <w:b/>
          <w:color w:val="231F20"/>
          <w:sz w:val="60"/>
        </w:rPr>
        <w:t>Monetary Policy Committee meetings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6"/>
        </w:rPr>
      </w:pPr>
    </w:p>
    <w:p>
      <w:pPr>
        <w:spacing w:before="93"/>
        <w:ind w:left="0" w:right="159" w:firstLine="0"/>
        <w:jc w:val="right"/>
        <w:rPr>
          <w:sz w:val="16"/>
        </w:rPr>
      </w:pPr>
      <w:r>
        <w:rPr>
          <w:color w:val="231F20"/>
          <w:sz w:val="16"/>
        </w:rPr>
        <w:t>55</w:t>
      </w:r>
    </w:p>
    <w:p>
      <w:pPr>
        <w:spacing w:after="0"/>
        <w:jc w:val="right"/>
        <w:rPr>
          <w:sz w:val="16"/>
        </w:rPr>
        <w:sectPr>
          <w:headerReference w:type="default" r:id="rId142"/>
          <w:footerReference w:type="default" r:id="rId143"/>
          <w:pgSz w:w="11900" w:h="16840"/>
          <w:pgMar w:header="0" w:footer="0" w:top="800" w:bottom="280" w:left="640" w:right="640"/>
        </w:sectPr>
      </w:pPr>
    </w:p>
    <w:p>
      <w:pPr>
        <w:pStyle w:val="BodyText"/>
        <w:rPr>
          <w:sz w:val="20"/>
        </w:rPr>
      </w:pPr>
    </w:p>
    <w:p>
      <w:pPr>
        <w:pStyle w:val="BodyText"/>
        <w:rPr>
          <w:sz w:val="20"/>
        </w:rPr>
      </w:pPr>
    </w:p>
    <w:p>
      <w:pPr>
        <w:pStyle w:val="BodyText"/>
        <w:spacing w:before="2"/>
        <w:rPr>
          <w:sz w:val="20"/>
        </w:rPr>
      </w:pPr>
    </w:p>
    <w:p>
      <w:pPr>
        <w:spacing w:before="86"/>
        <w:ind w:left="170" w:right="0" w:firstLine="0"/>
        <w:jc w:val="left"/>
        <w:rPr>
          <w:b/>
          <w:sz w:val="32"/>
        </w:rPr>
      </w:pPr>
      <w:bookmarkStart w:name="February minutes" w:id="84"/>
      <w:bookmarkEnd w:id="84"/>
      <w:r>
        <w:rPr/>
      </w:r>
      <w:bookmarkStart w:name="_bookmark36" w:id="85"/>
      <w:bookmarkEnd w:id="85"/>
      <w:r>
        <w:rPr/>
      </w:r>
      <w:r>
        <w:rPr>
          <w:b/>
          <w:color w:val="009483"/>
          <w:sz w:val="32"/>
        </w:rPr>
        <w:t>Minutes of the Monetary Policy Committee meeting on 3–4 February 1999</w:t>
      </w:r>
    </w:p>
    <w:p>
      <w:pPr>
        <w:pStyle w:val="BodyText"/>
        <w:spacing w:before="1"/>
        <w:rPr>
          <w:b/>
          <w:sz w:val="28"/>
        </w:rPr>
      </w:pPr>
    </w:p>
    <w:p>
      <w:pPr>
        <w:spacing w:after="0"/>
        <w:rPr>
          <w:sz w:val="28"/>
        </w:rPr>
        <w:sectPr>
          <w:headerReference w:type="default" r:id="rId145"/>
          <w:headerReference w:type="even" r:id="rId146"/>
          <w:footerReference w:type="default" r:id="rId147"/>
          <w:footerReference w:type="even" r:id="rId148"/>
          <w:pgSz w:w="11900" w:h="16840"/>
          <w:pgMar w:header="566" w:footer="597" w:top="760" w:bottom="780" w:left="640" w:right="640"/>
          <w:pgNumType w:start="57"/>
        </w:sectPr>
      </w:pPr>
    </w:p>
    <w:p>
      <w:pPr>
        <w:pStyle w:val="ListParagraph"/>
        <w:numPr>
          <w:ilvl w:val="0"/>
          <w:numId w:val="31"/>
        </w:numPr>
        <w:tabs>
          <w:tab w:pos="639" w:val="left" w:leader="none"/>
          <w:tab w:pos="641" w:val="left" w:leader="none"/>
        </w:tabs>
        <w:spacing w:line="232" w:lineRule="auto" w:before="97" w:after="0"/>
        <w:ind w:left="160" w:right="38" w:firstLine="0"/>
        <w:jc w:val="left"/>
        <w:rPr>
          <w:sz w:val="18"/>
        </w:rPr>
      </w:pPr>
      <w:r>
        <w:rPr>
          <w:color w:val="231F20"/>
          <w:sz w:val="18"/>
        </w:rPr>
        <w:t>While finalising its quarterly inflation and output growth projections, the Committee discussed the international </w:t>
      </w:r>
      <w:r>
        <w:rPr>
          <w:color w:val="231F20"/>
          <w:spacing w:val="-2"/>
          <w:sz w:val="18"/>
        </w:rPr>
        <w:t>environment, </w:t>
      </w:r>
      <w:r>
        <w:rPr>
          <w:color w:val="231F20"/>
          <w:sz w:val="18"/>
        </w:rPr>
        <w:t>including world price developments;  domestic monetary conditions; household balance sheets and consumption; and labour and product market conditions, including possible explanations for recent below trend productivity growth.</w:t>
      </w:r>
    </w:p>
    <w:p>
      <w:pPr>
        <w:pStyle w:val="BodyText"/>
        <w:spacing w:before="3"/>
        <w:rPr>
          <w:sz w:val="20"/>
        </w:rPr>
      </w:pPr>
    </w:p>
    <w:p>
      <w:pPr>
        <w:pStyle w:val="Heading3"/>
      </w:pPr>
      <w:r>
        <w:rPr>
          <w:color w:val="009483"/>
        </w:rPr>
        <w:t>The international environment:</w:t>
      </w:r>
      <w:r>
        <w:rPr>
          <w:color w:val="009483"/>
          <w:spacing w:val="52"/>
        </w:rPr>
        <w:t> </w:t>
      </w:r>
      <w:r>
        <w:rPr>
          <w:color w:val="009483"/>
        </w:rPr>
        <w:t>activity</w:t>
      </w:r>
    </w:p>
    <w:p>
      <w:pPr>
        <w:pStyle w:val="ListParagraph"/>
        <w:numPr>
          <w:ilvl w:val="0"/>
          <w:numId w:val="31"/>
        </w:numPr>
        <w:tabs>
          <w:tab w:pos="639" w:val="left" w:leader="none"/>
          <w:tab w:pos="641" w:val="left" w:leader="none"/>
        </w:tabs>
        <w:spacing w:line="232" w:lineRule="auto" w:before="110" w:after="0"/>
        <w:ind w:left="160" w:right="218" w:firstLine="0"/>
        <w:jc w:val="left"/>
        <w:rPr>
          <w:sz w:val="18"/>
        </w:rPr>
      </w:pPr>
      <w:r>
        <w:rPr>
          <w:color w:val="231F20"/>
          <w:sz w:val="18"/>
        </w:rPr>
        <w:t>The Committee’s interest rate reductions over the past few months had been heavily influenced by a weakening </w:t>
      </w:r>
      <w:r>
        <w:rPr>
          <w:color w:val="231F20"/>
          <w:spacing w:val="-2"/>
          <w:sz w:val="18"/>
        </w:rPr>
        <w:t>international </w:t>
      </w:r>
      <w:r>
        <w:rPr>
          <w:color w:val="231F20"/>
          <w:sz w:val="18"/>
        </w:rPr>
        <w:t>environment. In preparing its February </w:t>
      </w:r>
      <w:r>
        <w:rPr>
          <w:i/>
          <w:color w:val="231F20"/>
          <w:sz w:val="18"/>
        </w:rPr>
        <w:t>Inflation Report</w:t>
      </w:r>
      <w:r>
        <w:rPr>
          <w:color w:val="231F20"/>
          <w:sz w:val="18"/>
        </w:rPr>
        <w:t>, it had assessed the cumulative news since its November projections.</w:t>
      </w:r>
    </w:p>
    <w:p>
      <w:pPr>
        <w:pStyle w:val="BodyText"/>
        <w:spacing w:before="1"/>
        <w:rPr>
          <w:sz w:val="17"/>
        </w:rPr>
      </w:pPr>
    </w:p>
    <w:p>
      <w:pPr>
        <w:pStyle w:val="ListParagraph"/>
        <w:numPr>
          <w:ilvl w:val="0"/>
          <w:numId w:val="31"/>
        </w:numPr>
        <w:tabs>
          <w:tab w:pos="639" w:val="left" w:leader="none"/>
          <w:tab w:pos="641" w:val="left" w:leader="none"/>
        </w:tabs>
        <w:spacing w:line="232" w:lineRule="auto" w:before="0" w:after="0"/>
        <w:ind w:left="160" w:right="43" w:firstLine="0"/>
        <w:jc w:val="left"/>
        <w:rPr>
          <w:sz w:val="18"/>
        </w:rPr>
      </w:pPr>
      <w:r>
        <w:rPr>
          <w:color w:val="231F20"/>
          <w:sz w:val="18"/>
        </w:rPr>
        <w:t>The strength of the US economy continued to surprise. The official estimate of GDP growth in 1998 Q4 was significantly higher than the Committee had been expecting. The longer such strong growth persisted, the greater the risk that the economy </w:t>
      </w:r>
      <w:r>
        <w:rPr>
          <w:color w:val="231F20"/>
          <w:spacing w:val="-4"/>
          <w:sz w:val="18"/>
        </w:rPr>
        <w:t>would </w:t>
      </w:r>
      <w:r>
        <w:rPr>
          <w:color w:val="231F20"/>
          <w:sz w:val="18"/>
        </w:rPr>
        <w:t>encounter capacity constraints and rising inflationary pressures, but so far US inflation had remained low. There was also a risk of a negative shock to demand. The strength in the US stock market, and therefore household wealth, was obviously contributing to buoyant consumption, encouraging low private sector savings out of income. The outlook was vulnerable to the possibility of a sharp equity market correction. It was also possible that the increasing trade deficit associated with such strong demand growth would intensify trade policy tensions, although it had to be recognised that the US economy was operating at or above capacity overall. Any possible trade tensions might be ameliorated by the recent appreciation of the yen, although that potentially exacerbated the weakness of aggregate demand in Japan. While continuing robust US demand growth was possible in the short run and was helping </w:t>
      </w:r>
      <w:r>
        <w:rPr>
          <w:color w:val="231F20"/>
          <w:spacing w:val="-7"/>
          <w:sz w:val="18"/>
        </w:rPr>
        <w:t>to </w:t>
      </w:r>
      <w:r>
        <w:rPr>
          <w:color w:val="231F20"/>
          <w:sz w:val="18"/>
        </w:rPr>
        <w:t>sustain global activity, the balance of risks in the medium term was on the downside.</w:t>
      </w:r>
    </w:p>
    <w:p>
      <w:pPr>
        <w:pStyle w:val="BodyText"/>
        <w:rPr>
          <w:sz w:val="16"/>
        </w:rPr>
      </w:pPr>
    </w:p>
    <w:p>
      <w:pPr>
        <w:pStyle w:val="ListParagraph"/>
        <w:numPr>
          <w:ilvl w:val="0"/>
          <w:numId w:val="31"/>
        </w:numPr>
        <w:tabs>
          <w:tab w:pos="639" w:val="left" w:leader="none"/>
          <w:tab w:pos="641" w:val="left" w:leader="none"/>
        </w:tabs>
        <w:spacing w:line="232" w:lineRule="auto" w:before="1" w:after="0"/>
        <w:ind w:left="160" w:right="88" w:firstLine="0"/>
        <w:jc w:val="left"/>
        <w:rPr>
          <w:sz w:val="18"/>
        </w:rPr>
      </w:pPr>
      <w:r>
        <w:rPr>
          <w:color w:val="231F20"/>
          <w:sz w:val="18"/>
        </w:rPr>
        <w:t>The prospects for the global economy would be better if there were a more positive outlook for demand growth in the euro area. While consumer confidence indicators were quite strong, measures of industrial sentiment were weak. It was not clear whether this reflected recent weakness in activity growth, or whether it was a leading indicator of further output weakness. Possible explanations for the fall in business confidence in continental Europe included the cumulative effects of the emerging market economy crises on export markets and import competition; and uncertainty about economic policies. There seemed to be divergent views in the euro area on the importance of supply-side policies, including structural reform of labour markets; and on the desirable mix of fiscal and monetary policy. A related area of uncertainty was the prospective policy response of the European Central Bank (ECB) if the outlook for demand remained sluggish. Some commentators had speculated that as long as inflation (as measured by the Harmonised Index of Consumer Prices) was in </w:t>
      </w:r>
      <w:r>
        <w:rPr>
          <w:color w:val="231F20"/>
          <w:spacing w:val="-6"/>
          <w:sz w:val="18"/>
        </w:rPr>
        <w:t>the </w:t>
      </w:r>
      <w:r>
        <w:rPr>
          <w:color w:val="231F20"/>
          <w:sz w:val="18"/>
        </w:rPr>
        <w:t>range 0%–2%, the ECB’s definition of price stability, ECB interest rate policy would be in a ‘zone of inaction’; ie that the ECB might not respond to expected changes in inflation so long as it was set to remain in that range. Uncertainty about ECB policy at this early point was probably inevitable. It was also noted that the outlook in some of the smaller EMU countries was more buoyant than in Germany, France and Italy; and that the ECB’s figures for the three-month centred average of the annual rate of growth of euro area broad money remained slightly above its 4.5% reference rate.</w:t>
      </w:r>
    </w:p>
    <w:p>
      <w:pPr>
        <w:pStyle w:val="ListParagraph"/>
        <w:numPr>
          <w:ilvl w:val="0"/>
          <w:numId w:val="31"/>
        </w:numPr>
        <w:tabs>
          <w:tab w:pos="639" w:val="left" w:leader="none"/>
          <w:tab w:pos="641" w:val="left" w:leader="none"/>
        </w:tabs>
        <w:spacing w:line="232" w:lineRule="auto" w:before="179" w:after="0"/>
        <w:ind w:left="160" w:right="68" w:firstLine="0"/>
        <w:jc w:val="left"/>
        <w:rPr>
          <w:sz w:val="18"/>
        </w:rPr>
      </w:pPr>
      <w:r>
        <w:rPr>
          <w:color w:val="231F20"/>
          <w:sz w:val="18"/>
        </w:rPr>
        <w:t>Japan remained a concern, with the recession likely to last longer than thought earlier and with the balance of risks in the </w:t>
      </w:r>
      <w:r>
        <w:rPr>
          <w:color w:val="231F20"/>
          <w:spacing w:val="-4"/>
          <w:sz w:val="18"/>
        </w:rPr>
        <w:t>short </w:t>
      </w:r>
      <w:r>
        <w:rPr>
          <w:color w:val="231F20"/>
          <w:sz w:val="18"/>
        </w:rPr>
        <w:t>run on the downside. There were some positive signs that policymakers would tackle the structural problems in the financial</w:t>
      </w:r>
    </w:p>
    <w:p>
      <w:pPr>
        <w:pStyle w:val="BodyText"/>
        <w:spacing w:line="232" w:lineRule="auto" w:before="97"/>
        <w:ind w:left="160" w:right="226"/>
      </w:pPr>
      <w:r>
        <w:rPr/>
        <w:br w:type="column"/>
      </w:r>
      <w:r>
        <w:rPr>
          <w:color w:val="231F20"/>
        </w:rPr>
        <w:t>sector. If embarked upon with determination, this would not only be beneficial in itself but might also give a positive signal about policy more generally, and so help to restore confidence. In addition, a consequence of the long recession was that corporate balance sheets were also generally weak, so that financial sector reform—while necessary and important—might well not be sufficient to restore growth.</w:t>
      </w:r>
    </w:p>
    <w:p>
      <w:pPr>
        <w:pStyle w:val="BodyText"/>
        <w:spacing w:before="10"/>
        <w:rPr>
          <w:sz w:val="16"/>
        </w:rPr>
      </w:pPr>
    </w:p>
    <w:p>
      <w:pPr>
        <w:pStyle w:val="ListParagraph"/>
        <w:numPr>
          <w:ilvl w:val="0"/>
          <w:numId w:val="31"/>
        </w:numPr>
        <w:tabs>
          <w:tab w:pos="639" w:val="left" w:leader="none"/>
          <w:tab w:pos="641" w:val="left" w:leader="none"/>
        </w:tabs>
        <w:spacing w:line="232" w:lineRule="auto" w:before="1" w:after="0"/>
        <w:ind w:left="160" w:right="159" w:firstLine="0"/>
        <w:jc w:val="left"/>
        <w:rPr>
          <w:sz w:val="18"/>
        </w:rPr>
      </w:pPr>
      <w:r>
        <w:rPr>
          <w:color w:val="231F20"/>
          <w:sz w:val="18"/>
        </w:rPr>
        <w:t>In the emerging market economies, the main event since the Committee’s January meeting had been the floating of the Brazilian real, and the questions which that had raised about Brazil’s monetary policy and about fiscal sustainability given the structure of its domestic and external debt. So far direct spillover effects seemed to have been small, perhaps because the float had been discounted by markets. The spread of the yield on emerging </w:t>
      </w:r>
      <w:r>
        <w:rPr>
          <w:color w:val="231F20"/>
          <w:spacing w:val="-3"/>
          <w:sz w:val="18"/>
        </w:rPr>
        <w:t>market </w:t>
      </w:r>
      <w:r>
        <w:rPr>
          <w:color w:val="231F20"/>
          <w:sz w:val="18"/>
        </w:rPr>
        <w:t>US $ bonds over US Treasury Bond yields had, however, risen back towards the highs seen shortly after Russia’s default in</w:t>
      </w:r>
    </w:p>
    <w:p>
      <w:pPr>
        <w:pStyle w:val="BodyText"/>
        <w:spacing w:line="195" w:lineRule="exact"/>
        <w:ind w:left="160"/>
      </w:pPr>
      <w:r>
        <w:rPr>
          <w:color w:val="231F20"/>
        </w:rPr>
        <w:t>mid-1998. The situation remained fragile.</w:t>
      </w:r>
    </w:p>
    <w:p>
      <w:pPr>
        <w:pStyle w:val="BodyText"/>
        <w:spacing w:before="2"/>
        <w:rPr>
          <w:sz w:val="17"/>
        </w:rPr>
      </w:pPr>
    </w:p>
    <w:p>
      <w:pPr>
        <w:pStyle w:val="ListParagraph"/>
        <w:numPr>
          <w:ilvl w:val="0"/>
          <w:numId w:val="31"/>
        </w:numPr>
        <w:tabs>
          <w:tab w:pos="639" w:val="left" w:leader="none"/>
          <w:tab w:pos="641" w:val="left" w:leader="none"/>
        </w:tabs>
        <w:spacing w:line="232" w:lineRule="auto" w:before="0" w:after="0"/>
        <w:ind w:left="160" w:right="169" w:firstLine="0"/>
        <w:jc w:val="left"/>
        <w:rPr>
          <w:sz w:val="18"/>
        </w:rPr>
      </w:pPr>
      <w:r>
        <w:rPr>
          <w:color w:val="231F20"/>
          <w:sz w:val="18"/>
        </w:rPr>
        <w:t>Taking these developments together, the Committee agreed that the recent news about the international environment underlined its concerns about the world economic outlook, rather than substantially shifted its view compared with a month ago. In particular, the Committee remained concerned about the current and prospective imbalances in the global economy. Given reduced net capital flows to many emerging market economies, the industrialised world probably needed to stimulate domestic demand, to help offset weaker net trade, if world demand growth was to be sustained. So far, with domestic demand very weak in Japan and sluggish in the euro area, the United States had effectively been acting as ‘consumer of last resort’. But it was uncertain how long that could last, given the already prolonged period of above-trend growth in the United States. While the balance of risks to activity in Japan was on the downside in the short run but possibly on the upside in the medium run, it was probably the other way round in the United States. The industrialised world therefore faced a formidable challenge in balancing current and prospective aggregate world demand with potential supply. It would be difficult to manage the scale and timing of any adjustments to domestic demand; and industrial countries would need to accept larger current account deficits (or smaller surpluses) while domestic demand was stimulated. The process might in principle be helped by exchange-rate adjustments amongst the major floating currencies, but this was highly uncertain in practice.</w:t>
      </w:r>
    </w:p>
    <w:p>
      <w:pPr>
        <w:pStyle w:val="BodyText"/>
        <w:spacing w:before="11"/>
      </w:pPr>
    </w:p>
    <w:p>
      <w:pPr>
        <w:pStyle w:val="Heading3"/>
      </w:pPr>
      <w:r>
        <w:rPr>
          <w:color w:val="009483"/>
        </w:rPr>
        <w:t>The international environment:</w:t>
      </w:r>
      <w:r>
        <w:rPr>
          <w:color w:val="009483"/>
          <w:spacing w:val="38"/>
        </w:rPr>
        <w:t> </w:t>
      </w:r>
      <w:r>
        <w:rPr>
          <w:color w:val="009483"/>
        </w:rPr>
        <w:t>prices</w:t>
      </w:r>
    </w:p>
    <w:p>
      <w:pPr>
        <w:pStyle w:val="ListParagraph"/>
        <w:numPr>
          <w:ilvl w:val="0"/>
          <w:numId w:val="31"/>
        </w:numPr>
        <w:tabs>
          <w:tab w:pos="639" w:val="left" w:leader="none"/>
          <w:tab w:pos="641" w:val="left" w:leader="none"/>
        </w:tabs>
        <w:spacing w:line="232" w:lineRule="auto" w:before="109" w:after="0"/>
        <w:ind w:left="160" w:right="209" w:firstLine="0"/>
        <w:jc w:val="left"/>
        <w:rPr>
          <w:sz w:val="18"/>
        </w:rPr>
      </w:pPr>
      <w:r>
        <w:rPr>
          <w:color w:val="231F20"/>
          <w:sz w:val="18"/>
        </w:rPr>
        <w:t>Against this background, the Committee debated the proposition that the world economy could conceivably be on a path to generalised price deflation. The prices of a range of internationally traded goods and services had been falling. Evidence from further along the price chain could be seen in UK manufacturing input and output prices: following a fall of nearly 9% in the twelve months to December, input prices were down to the level prevailing in 1986, and output price growth (which reflected labour costs as well as input prices) had been flat for the first time since 1960. The risk of domestic inflation expectations falling sharply could, on this view, be exacerbated by the coincidence of weak world prices with the prospect of the RPI falling to historically low levels on account of the recent reductions in mortgage interest rates.</w:t>
      </w:r>
    </w:p>
    <w:p>
      <w:pPr>
        <w:pStyle w:val="BodyText"/>
        <w:spacing w:before="5"/>
        <w:rPr>
          <w:sz w:val="16"/>
        </w:rPr>
      </w:pPr>
    </w:p>
    <w:p>
      <w:pPr>
        <w:pStyle w:val="ListParagraph"/>
        <w:numPr>
          <w:ilvl w:val="0"/>
          <w:numId w:val="31"/>
        </w:numPr>
        <w:tabs>
          <w:tab w:pos="639" w:val="left" w:leader="none"/>
          <w:tab w:pos="641" w:val="left" w:leader="none"/>
        </w:tabs>
        <w:spacing w:line="232" w:lineRule="auto" w:before="1" w:after="0"/>
        <w:ind w:left="160" w:right="214" w:firstLine="0"/>
        <w:jc w:val="left"/>
        <w:rPr>
          <w:sz w:val="18"/>
        </w:rPr>
      </w:pPr>
      <w:r>
        <w:rPr>
          <w:color w:val="231F20"/>
          <w:sz w:val="18"/>
        </w:rPr>
        <w:t>A number of arguments were made against the prospect of global price deflation. First, the prices of some higher-value-added internationally traded goods and services were still rising. Second,</w:t>
      </w:r>
    </w:p>
    <w:p>
      <w:pPr>
        <w:spacing w:after="0" w:line="232" w:lineRule="auto"/>
        <w:jc w:val="left"/>
        <w:rPr>
          <w:sz w:val="18"/>
        </w:rPr>
        <w:sectPr>
          <w:type w:val="continuous"/>
          <w:pgSz w:w="11900" w:h="16840"/>
          <w:pgMar w:top="1220" w:bottom="280" w:left="640" w:right="640"/>
          <w:cols w:num="2" w:equalWidth="0">
            <w:col w:w="5109" w:space="281"/>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74" w:right="71"/>
      </w:pPr>
      <w:r>
        <w:rPr>
          <w:color w:val="231F20"/>
        </w:rPr>
        <w:t>the path of sterling input prices over the past couple of years had been affected by sterling’s large appreciation from August 1996. Third, many G7 central banks were pursuing </w:t>
      </w:r>
      <w:r>
        <w:rPr>
          <w:i/>
          <w:color w:val="231F20"/>
        </w:rPr>
        <w:t>de facto </w:t>
      </w:r>
      <w:r>
        <w:rPr>
          <w:color w:val="231F20"/>
        </w:rPr>
        <w:t>inflation targets (ie annual increases in average prices) of around 2%; for example, the UK’s target was 2</w:t>
      </w:r>
      <w:r>
        <w:rPr>
          <w:color w:val="231F20"/>
          <w:position w:val="6"/>
          <w:sz w:val="9"/>
        </w:rPr>
        <w:t>1</w:t>
      </w:r>
      <w:r>
        <w:rPr>
          <w:color w:val="231F20"/>
        </w:rPr>
        <w:t>/</w:t>
      </w:r>
      <w:r>
        <w:rPr>
          <w:color w:val="231F20"/>
          <w:sz w:val="9"/>
        </w:rPr>
        <w:t>2</w:t>
      </w:r>
      <w:r>
        <w:rPr>
          <w:color w:val="231F20"/>
        </w:rPr>
        <w:t>% and the ECB defined price stability as 0%–2%. Achieving sustained low inflation was consistent with—indeed probably required—falls in the nominal price of some goods and services while those of others rose, reflecting for example different rates of productivity growth in different sectors, and/or shifting patterns of relative demand. Not all firms could rely on rises in the nominal price of their products and some might have to accept that their prices would normally </w:t>
      </w:r>
      <w:r>
        <w:rPr>
          <w:color w:val="231F20"/>
          <w:spacing w:val="-9"/>
        </w:rPr>
        <w:t>be </w:t>
      </w:r>
      <w:r>
        <w:rPr>
          <w:color w:val="231F20"/>
        </w:rPr>
        <w:t>falling; but, given the UK’s poor inflationary record over the</w:t>
      </w:r>
    </w:p>
    <w:p>
      <w:pPr>
        <w:pStyle w:val="BodyText"/>
        <w:spacing w:line="232" w:lineRule="auto"/>
        <w:ind w:left="174" w:right="381"/>
      </w:pPr>
      <w:r>
        <w:rPr>
          <w:color w:val="231F20"/>
        </w:rPr>
        <w:t>past 25 years or so, it might take time for this to be reflected </w:t>
      </w:r>
      <w:r>
        <w:rPr>
          <w:color w:val="231F20"/>
          <w:spacing w:val="-9"/>
        </w:rPr>
        <w:t>in </w:t>
      </w:r>
      <w:r>
        <w:rPr>
          <w:color w:val="231F20"/>
        </w:rPr>
        <w:t>firms’ behaviour. Fourth, money growth in the United States and in Europe remained reasonably strong. In the medium to long run central banks should be able to determine the average rate of inflation, and the average rate of money growth was a</w:t>
      </w:r>
    </w:p>
    <w:p>
      <w:pPr>
        <w:pStyle w:val="BodyText"/>
        <w:spacing w:line="232" w:lineRule="auto"/>
        <w:ind w:left="174" w:right="132"/>
      </w:pPr>
      <w:r>
        <w:rPr>
          <w:color w:val="231F20"/>
        </w:rPr>
        <w:t>reasonable broad indicator of the trend rate of increase of nominal variables.</w:t>
      </w:r>
    </w:p>
    <w:p>
      <w:pPr>
        <w:pStyle w:val="BodyText"/>
        <w:spacing w:before="5"/>
        <w:rPr>
          <w:sz w:val="19"/>
        </w:rPr>
      </w:pPr>
    </w:p>
    <w:p>
      <w:pPr>
        <w:pStyle w:val="ListParagraph"/>
        <w:numPr>
          <w:ilvl w:val="0"/>
          <w:numId w:val="31"/>
        </w:numPr>
        <w:tabs>
          <w:tab w:pos="654" w:val="left" w:leader="none"/>
          <w:tab w:pos="655" w:val="left" w:leader="none"/>
        </w:tabs>
        <w:spacing w:line="232" w:lineRule="auto" w:before="1" w:after="0"/>
        <w:ind w:left="174" w:right="92" w:firstLine="0"/>
        <w:jc w:val="left"/>
        <w:rPr>
          <w:sz w:val="18"/>
        </w:rPr>
      </w:pPr>
      <w:r>
        <w:rPr>
          <w:color w:val="231F20"/>
          <w:sz w:val="18"/>
        </w:rPr>
        <w:t>Overall, the Committee agreed that in the short term there were downside risks to UK domestic prices from weaker than expected world prices. Judgments on the extent of this risk</w:t>
      </w:r>
      <w:r>
        <w:rPr>
          <w:color w:val="231F20"/>
          <w:spacing w:val="4"/>
          <w:sz w:val="18"/>
        </w:rPr>
        <w:t> </w:t>
      </w:r>
      <w:r>
        <w:rPr>
          <w:color w:val="231F20"/>
          <w:spacing w:val="-3"/>
          <w:sz w:val="18"/>
        </w:rPr>
        <w:t>varied.</w:t>
      </w:r>
    </w:p>
    <w:p>
      <w:pPr>
        <w:pStyle w:val="BodyText"/>
        <w:spacing w:before="10"/>
        <w:rPr>
          <w:sz w:val="23"/>
        </w:rPr>
      </w:pPr>
    </w:p>
    <w:p>
      <w:pPr>
        <w:pStyle w:val="Heading3"/>
        <w:spacing w:before="1"/>
        <w:ind w:left="174"/>
      </w:pPr>
      <w:r>
        <w:rPr>
          <w:color w:val="009483"/>
        </w:rPr>
        <w:t>Monetary conditions</w:t>
      </w:r>
    </w:p>
    <w:p>
      <w:pPr>
        <w:pStyle w:val="ListParagraph"/>
        <w:numPr>
          <w:ilvl w:val="0"/>
          <w:numId w:val="31"/>
        </w:numPr>
        <w:tabs>
          <w:tab w:pos="654" w:val="left" w:leader="none"/>
          <w:tab w:pos="655" w:val="left" w:leader="none"/>
        </w:tabs>
        <w:spacing w:line="232" w:lineRule="auto" w:before="129" w:after="0"/>
        <w:ind w:left="174" w:right="187" w:firstLine="0"/>
        <w:jc w:val="left"/>
        <w:rPr>
          <w:sz w:val="18"/>
        </w:rPr>
      </w:pPr>
      <w:r>
        <w:rPr>
          <w:color w:val="231F20"/>
          <w:sz w:val="18"/>
        </w:rPr>
        <w:t>Sterling’s effective exchange rate had not changed much over the past month. The Committee noted that its recent </w:t>
      </w:r>
      <w:r>
        <w:rPr>
          <w:color w:val="231F20"/>
          <w:spacing w:val="-3"/>
          <w:sz w:val="18"/>
        </w:rPr>
        <w:t>interest </w:t>
      </w:r>
      <w:r>
        <w:rPr>
          <w:color w:val="231F20"/>
          <w:sz w:val="18"/>
        </w:rPr>
        <w:t>rate reductions had not been accompanied by a fall in sterling.</w:t>
      </w:r>
    </w:p>
    <w:p>
      <w:pPr>
        <w:pStyle w:val="BodyText"/>
        <w:spacing w:before="10"/>
      </w:pPr>
    </w:p>
    <w:p>
      <w:pPr>
        <w:pStyle w:val="ListParagraph"/>
        <w:numPr>
          <w:ilvl w:val="0"/>
          <w:numId w:val="31"/>
        </w:numPr>
        <w:tabs>
          <w:tab w:pos="654" w:val="left" w:leader="none"/>
          <w:tab w:pos="655" w:val="left" w:leader="none"/>
        </w:tabs>
        <w:spacing w:line="232" w:lineRule="auto" w:before="1" w:after="0"/>
        <w:ind w:left="174" w:right="132" w:firstLine="0"/>
        <w:jc w:val="left"/>
        <w:rPr>
          <w:sz w:val="18"/>
        </w:rPr>
      </w:pPr>
      <w:r>
        <w:rPr>
          <w:color w:val="231F20"/>
          <w:sz w:val="18"/>
        </w:rPr>
        <w:t>Inflation expectations, as measured by surveys, had fallen further over the past month. It was suggested that they might </w:t>
      </w:r>
      <w:r>
        <w:rPr>
          <w:color w:val="231F20"/>
          <w:spacing w:val="-6"/>
          <w:sz w:val="18"/>
        </w:rPr>
        <w:t>now </w:t>
      </w:r>
      <w:r>
        <w:rPr>
          <w:color w:val="231F20"/>
          <w:sz w:val="18"/>
        </w:rPr>
        <w:t>be better anchored around the 2</w:t>
      </w:r>
      <w:r>
        <w:rPr>
          <w:color w:val="231F20"/>
          <w:position w:val="6"/>
          <w:sz w:val="9"/>
        </w:rPr>
        <w:t>1</w:t>
      </w:r>
      <w:r>
        <w:rPr>
          <w:color w:val="231F20"/>
          <w:sz w:val="18"/>
        </w:rPr>
        <w:t>/</w:t>
      </w:r>
      <w:r>
        <w:rPr>
          <w:color w:val="231F20"/>
          <w:sz w:val="9"/>
        </w:rPr>
        <w:t>2</w:t>
      </w:r>
      <w:r>
        <w:rPr>
          <w:color w:val="231F20"/>
          <w:sz w:val="18"/>
        </w:rPr>
        <w:t>% target.</w:t>
      </w:r>
    </w:p>
    <w:p>
      <w:pPr>
        <w:pStyle w:val="BodyText"/>
        <w:spacing w:before="2"/>
        <w:rPr>
          <w:sz w:val="17"/>
        </w:rPr>
      </w:pPr>
    </w:p>
    <w:p>
      <w:pPr>
        <w:pStyle w:val="ListParagraph"/>
        <w:numPr>
          <w:ilvl w:val="0"/>
          <w:numId w:val="31"/>
        </w:numPr>
        <w:tabs>
          <w:tab w:pos="654" w:val="left" w:leader="none"/>
          <w:tab w:pos="655" w:val="left" w:leader="none"/>
        </w:tabs>
        <w:spacing w:line="232" w:lineRule="auto" w:before="0" w:after="0"/>
        <w:ind w:left="174" w:right="38" w:firstLine="0"/>
        <w:jc w:val="left"/>
        <w:rPr>
          <w:sz w:val="18"/>
        </w:rPr>
      </w:pPr>
      <w:r>
        <w:rPr>
          <w:color w:val="231F20"/>
          <w:sz w:val="18"/>
        </w:rPr>
        <w:t>The recent trend in the broad money numbers had been </w:t>
      </w:r>
      <w:r>
        <w:rPr>
          <w:color w:val="231F20"/>
          <w:spacing w:val="-5"/>
          <w:sz w:val="18"/>
        </w:rPr>
        <w:t>more </w:t>
      </w:r>
      <w:r>
        <w:rPr>
          <w:color w:val="231F20"/>
          <w:sz w:val="18"/>
        </w:rPr>
        <w:t>comforting than during much of 1998.  Annual growth in December was 8.1%, and the three and six-month growth rates slightly lower. M4 lending growth had also eased back. Much of the recent fall had been accounted for by the Other Financial Companies sector, and it was too early to tell whether this simply reflected a larger-than-usual seasonal shrinking of balance sheets around the year-end. Household broad money growth, at around 6</w:t>
      </w:r>
      <w:r>
        <w:rPr>
          <w:color w:val="231F20"/>
          <w:position w:val="6"/>
          <w:sz w:val="9"/>
        </w:rPr>
        <w:t>1</w:t>
      </w:r>
      <w:r>
        <w:rPr>
          <w:color w:val="231F20"/>
          <w:sz w:val="18"/>
        </w:rPr>
        <w:t>/</w:t>
      </w:r>
      <w:r>
        <w:rPr>
          <w:color w:val="231F20"/>
          <w:sz w:val="9"/>
        </w:rPr>
        <w:t>2</w:t>
      </w:r>
      <w:r>
        <w:rPr>
          <w:color w:val="231F20"/>
          <w:sz w:val="18"/>
        </w:rPr>
        <w:t>%, was higher in December than during most of 1998.</w:t>
      </w:r>
    </w:p>
    <w:p>
      <w:pPr>
        <w:pStyle w:val="BodyText"/>
        <w:spacing w:before="9"/>
        <w:rPr>
          <w:sz w:val="16"/>
        </w:rPr>
      </w:pPr>
    </w:p>
    <w:p>
      <w:pPr>
        <w:pStyle w:val="ListParagraph"/>
        <w:numPr>
          <w:ilvl w:val="0"/>
          <w:numId w:val="31"/>
        </w:numPr>
        <w:tabs>
          <w:tab w:pos="654" w:val="left" w:leader="none"/>
          <w:tab w:pos="655" w:val="left" w:leader="none"/>
        </w:tabs>
        <w:spacing w:line="232" w:lineRule="auto" w:before="0" w:after="0"/>
        <w:ind w:left="174" w:right="67" w:firstLine="0"/>
        <w:jc w:val="left"/>
        <w:rPr>
          <w:sz w:val="18"/>
        </w:rPr>
      </w:pPr>
      <w:r>
        <w:rPr>
          <w:color w:val="231F20"/>
          <w:sz w:val="18"/>
        </w:rPr>
        <w:t>Unsecured consumer credit taken out by the household sector had continued to grow strongly. However, it appeared possible that over the past few years this had mirrored lower borrowing via mortgage equity withdrawal, which had been negative since the early 1990s. Work by Bank staff suggested that there had not been a marked change in the relationship between consumption and total borrowing for consumption (as measured </w:t>
      </w:r>
      <w:r>
        <w:rPr>
          <w:color w:val="231F20"/>
          <w:spacing w:val="-9"/>
          <w:sz w:val="18"/>
        </w:rPr>
        <w:t>by </w:t>
      </w:r>
      <w:r>
        <w:rPr>
          <w:color w:val="231F20"/>
          <w:sz w:val="18"/>
        </w:rPr>
        <w:t>unsecured borrowing plus mortgage equity withdrawal).</w:t>
      </w:r>
    </w:p>
    <w:p>
      <w:pPr>
        <w:pStyle w:val="BodyText"/>
        <w:spacing w:before="9"/>
        <w:rPr>
          <w:sz w:val="16"/>
        </w:rPr>
      </w:pPr>
    </w:p>
    <w:p>
      <w:pPr>
        <w:pStyle w:val="ListParagraph"/>
        <w:numPr>
          <w:ilvl w:val="0"/>
          <w:numId w:val="31"/>
        </w:numPr>
        <w:tabs>
          <w:tab w:pos="654" w:val="left" w:leader="none"/>
          <w:tab w:pos="655" w:val="left" w:leader="none"/>
        </w:tabs>
        <w:spacing w:line="232" w:lineRule="auto" w:before="1" w:after="0"/>
        <w:ind w:left="174" w:right="62" w:firstLine="0"/>
        <w:jc w:val="left"/>
        <w:rPr>
          <w:sz w:val="18"/>
        </w:rPr>
      </w:pPr>
      <w:r>
        <w:rPr>
          <w:color w:val="231F20"/>
          <w:sz w:val="18"/>
        </w:rPr>
        <w:t>Overall, the Committee judged that, since its November projections were finalised, the upside risks to inflation from cumulatively strong money growth had eased; and that there was </w:t>
      </w:r>
      <w:r>
        <w:rPr>
          <w:color w:val="231F20"/>
          <w:spacing w:val="-17"/>
          <w:sz w:val="18"/>
        </w:rPr>
        <w:t>a </w:t>
      </w:r>
      <w:r>
        <w:rPr>
          <w:color w:val="231F20"/>
          <w:sz w:val="18"/>
        </w:rPr>
        <w:t>smaller risk of sterling depreciating by more than implied by interest rate differentials.</w:t>
      </w:r>
    </w:p>
    <w:p>
      <w:pPr>
        <w:pStyle w:val="BodyText"/>
        <w:spacing w:before="3"/>
        <w:rPr>
          <w:sz w:val="20"/>
        </w:rPr>
      </w:pPr>
    </w:p>
    <w:p>
      <w:pPr>
        <w:pStyle w:val="Heading3"/>
        <w:spacing w:line="266" w:lineRule="auto"/>
        <w:ind w:left="174" w:right="71"/>
      </w:pPr>
      <w:r>
        <w:rPr>
          <w:color w:val="009483"/>
        </w:rPr>
        <w:t>Domestic demand: household balance sheets and consumption</w:t>
      </w:r>
    </w:p>
    <w:p>
      <w:pPr>
        <w:pStyle w:val="ListParagraph"/>
        <w:numPr>
          <w:ilvl w:val="0"/>
          <w:numId w:val="31"/>
        </w:numPr>
        <w:tabs>
          <w:tab w:pos="654" w:val="left" w:leader="none"/>
          <w:tab w:pos="655" w:val="left" w:leader="none"/>
        </w:tabs>
        <w:spacing w:line="232" w:lineRule="auto" w:before="81" w:after="0"/>
        <w:ind w:left="174" w:right="52" w:firstLine="0"/>
        <w:jc w:val="left"/>
        <w:rPr>
          <w:sz w:val="18"/>
        </w:rPr>
      </w:pPr>
      <w:r>
        <w:rPr>
          <w:color w:val="231F20"/>
          <w:sz w:val="18"/>
        </w:rPr>
        <w:t>The Committee noted that the preliminary estimate of 0.2% GDP growth in 1998 Q4 was consistent with the degree of slowdown expected in its November central projection. Some members had feared lower growth, and the possibility of revisions remained. Surveys suggested that consumer and business sentiment had stopped deteriorating and had perhaps improved slightly, possibly helped by the 150 basis point reduction in </w:t>
      </w:r>
      <w:r>
        <w:rPr>
          <w:color w:val="231F20"/>
          <w:spacing w:val="-3"/>
          <w:sz w:val="18"/>
        </w:rPr>
        <w:t>official </w:t>
      </w:r>
      <w:r>
        <w:rPr>
          <w:color w:val="231F20"/>
          <w:sz w:val="18"/>
        </w:rPr>
        <w:t>interest rates since October. The preliminary data on Q4</w:t>
      </w:r>
    </w:p>
    <w:p>
      <w:pPr>
        <w:pStyle w:val="BodyText"/>
        <w:spacing w:before="4"/>
        <w:rPr>
          <w:sz w:val="21"/>
        </w:rPr>
      </w:pPr>
      <w:r>
        <w:rPr/>
        <w:br w:type="column"/>
      </w:r>
      <w:r>
        <w:rPr>
          <w:sz w:val="21"/>
        </w:rPr>
      </w:r>
    </w:p>
    <w:p>
      <w:pPr>
        <w:pStyle w:val="BodyText"/>
        <w:spacing w:line="232" w:lineRule="auto" w:before="1"/>
        <w:ind w:left="174" w:right="423"/>
      </w:pPr>
      <w:r>
        <w:rPr>
          <w:color w:val="231F20"/>
        </w:rPr>
        <w:t>expenditure suggested, however, that household spending might have grown by less in relation to income and wealth than the Committee had assumed in November.</w:t>
      </w:r>
    </w:p>
    <w:p>
      <w:pPr>
        <w:pStyle w:val="BodyText"/>
        <w:spacing w:before="2"/>
        <w:rPr>
          <w:sz w:val="17"/>
        </w:rPr>
      </w:pPr>
    </w:p>
    <w:p>
      <w:pPr>
        <w:pStyle w:val="ListParagraph"/>
        <w:numPr>
          <w:ilvl w:val="0"/>
          <w:numId w:val="31"/>
        </w:numPr>
        <w:tabs>
          <w:tab w:pos="654" w:val="left" w:leader="none"/>
          <w:tab w:pos="655" w:val="left" w:leader="none"/>
        </w:tabs>
        <w:spacing w:line="232" w:lineRule="auto" w:before="0" w:after="0"/>
        <w:ind w:left="174" w:right="202" w:firstLine="0"/>
        <w:jc w:val="left"/>
        <w:rPr>
          <w:sz w:val="18"/>
        </w:rPr>
      </w:pPr>
      <w:r>
        <w:rPr>
          <w:color w:val="231F20"/>
          <w:sz w:val="18"/>
        </w:rPr>
        <w:t>In this context, the Committee discussed the household sector balance sheet. The ratio of debt-to-net worth was lower </w:t>
      </w:r>
      <w:r>
        <w:rPr>
          <w:color w:val="231F20"/>
          <w:spacing w:val="-5"/>
          <w:sz w:val="18"/>
        </w:rPr>
        <w:t>than </w:t>
      </w:r>
      <w:r>
        <w:rPr>
          <w:color w:val="231F20"/>
          <w:sz w:val="18"/>
        </w:rPr>
        <w:t>in recent cycles, but this was in part attributable to high equity prices, and so was potentially vulnerable to a fall in the stock market, which among other things might be triggered by a fall in the US market. The ratio of debt service charges-to-household income was also low by recent standards, although this largely reflected low nominal interest rates. On the other hand, the</w:t>
      </w:r>
    </w:p>
    <w:p>
      <w:pPr>
        <w:pStyle w:val="BodyText"/>
        <w:spacing w:line="232" w:lineRule="auto"/>
        <w:ind w:left="174" w:right="249"/>
      </w:pPr>
      <w:r>
        <w:rPr>
          <w:color w:val="231F20"/>
        </w:rPr>
        <w:t>debt-to-income ratio was quite high. Overall the Committee did not regard this as a material concern: the personal sector had increased its debt following the financial liberalisations of the 1980s, so that earlier periods were not a good guide. On this </w:t>
      </w:r>
      <w:r>
        <w:rPr>
          <w:color w:val="231F20"/>
          <w:spacing w:val="-4"/>
        </w:rPr>
        <w:t>view, </w:t>
      </w:r>
      <w:r>
        <w:rPr>
          <w:color w:val="231F20"/>
        </w:rPr>
        <w:t>the state of household balance sheets was unlikely to provide an explanation for the weaker-than-expected consumption.</w:t>
      </w:r>
    </w:p>
    <w:p>
      <w:pPr>
        <w:pStyle w:val="BodyText"/>
        <w:spacing w:before="5"/>
        <w:rPr>
          <w:sz w:val="16"/>
        </w:rPr>
      </w:pPr>
    </w:p>
    <w:p>
      <w:pPr>
        <w:pStyle w:val="ListParagraph"/>
        <w:numPr>
          <w:ilvl w:val="0"/>
          <w:numId w:val="31"/>
        </w:numPr>
        <w:tabs>
          <w:tab w:pos="654" w:val="left" w:leader="none"/>
          <w:tab w:pos="655" w:val="left" w:leader="none"/>
        </w:tabs>
        <w:spacing w:line="232" w:lineRule="auto" w:before="0" w:after="0"/>
        <w:ind w:left="174" w:right="201" w:firstLine="0"/>
        <w:jc w:val="left"/>
        <w:rPr>
          <w:sz w:val="18"/>
        </w:rPr>
      </w:pPr>
      <w:r>
        <w:rPr>
          <w:color w:val="231F20"/>
          <w:sz w:val="18"/>
        </w:rPr>
        <w:t>The Committee noted that some savers had been adversely affected by the fall in interest rates. Some commentators had argued that this would reduce aggregate demand. A number of observations were made about this. The fall in medium-long run nominal interest rates—for example conventional gilt yields— largely reflected quite a large fall in expected inflation. The earlier higher nominal yields had been compensating for the erosion, via inflation, of the real value of their wealth, so that households may in the past have been consuming part of the real capital value of their investment. They could continue to do so in a low inflation environment, but this would mean realising part of their investment rather than spending from high nominal income receipts. It was possible that not all savers understood this, in which case lower nominal rates on savings products might have had a small dampening affect on consumption. But it was unclear why this inflation illusion should influence savers more than borrowers.</w:t>
      </w:r>
    </w:p>
    <w:p>
      <w:pPr>
        <w:pStyle w:val="BodyText"/>
        <w:spacing w:before="3"/>
        <w:rPr>
          <w:sz w:val="16"/>
        </w:rPr>
      </w:pPr>
    </w:p>
    <w:p>
      <w:pPr>
        <w:pStyle w:val="ListParagraph"/>
        <w:numPr>
          <w:ilvl w:val="0"/>
          <w:numId w:val="31"/>
        </w:numPr>
        <w:tabs>
          <w:tab w:pos="654" w:val="left" w:leader="none"/>
          <w:tab w:pos="655" w:val="left" w:leader="none"/>
        </w:tabs>
        <w:spacing w:line="232" w:lineRule="auto" w:before="1" w:after="0"/>
        <w:ind w:left="174" w:right="287" w:firstLine="0"/>
        <w:jc w:val="left"/>
        <w:rPr>
          <w:sz w:val="18"/>
        </w:rPr>
      </w:pPr>
      <w:r>
        <w:rPr>
          <w:color w:val="231F20"/>
          <w:sz w:val="18"/>
        </w:rPr>
        <w:t>Against this background and its earlier discussions on this broad issue (reported in the minutes of its December meeting), </w:t>
      </w:r>
      <w:r>
        <w:rPr>
          <w:color w:val="231F20"/>
          <w:spacing w:val="-6"/>
          <w:sz w:val="18"/>
        </w:rPr>
        <w:t>the </w:t>
      </w:r>
      <w:r>
        <w:rPr>
          <w:color w:val="231F20"/>
          <w:sz w:val="18"/>
        </w:rPr>
        <w:t>Committee noted that it had decided, in preparing its latest projections, to make some allowance for the possibility that consumption growth over the forecast period might not offset the weaker-than-expected outturns of the past few quarters.</w:t>
      </w:r>
    </w:p>
    <w:p>
      <w:pPr>
        <w:pStyle w:val="BodyText"/>
        <w:spacing w:before="2"/>
        <w:rPr>
          <w:sz w:val="20"/>
        </w:rPr>
      </w:pPr>
    </w:p>
    <w:p>
      <w:pPr>
        <w:pStyle w:val="Heading3"/>
        <w:spacing w:before="1"/>
        <w:ind w:left="174"/>
      </w:pPr>
      <w:r>
        <w:rPr>
          <w:color w:val="009483"/>
        </w:rPr>
        <w:t>Conditions in labour and product</w:t>
      </w:r>
      <w:r>
        <w:rPr>
          <w:color w:val="009483"/>
          <w:spacing w:val="-7"/>
        </w:rPr>
        <w:t> </w:t>
      </w:r>
      <w:r>
        <w:rPr>
          <w:color w:val="009483"/>
        </w:rPr>
        <w:t>markets</w:t>
      </w:r>
    </w:p>
    <w:p>
      <w:pPr>
        <w:pStyle w:val="ListParagraph"/>
        <w:numPr>
          <w:ilvl w:val="0"/>
          <w:numId w:val="31"/>
        </w:numPr>
        <w:tabs>
          <w:tab w:pos="654" w:val="left" w:leader="none"/>
          <w:tab w:pos="655" w:val="left" w:leader="none"/>
        </w:tabs>
        <w:spacing w:line="232" w:lineRule="auto" w:before="109" w:after="0"/>
        <w:ind w:left="174" w:right="407" w:firstLine="0"/>
        <w:jc w:val="left"/>
        <w:rPr>
          <w:sz w:val="18"/>
        </w:rPr>
      </w:pPr>
      <w:r>
        <w:rPr>
          <w:color w:val="231F20"/>
          <w:sz w:val="18"/>
        </w:rPr>
        <w:t>The outlook for conditions in the labour market was very uncertain. In particular, the recent rate of earnings growth was unusually uncertain, given the continued absence of the </w:t>
      </w:r>
      <w:r>
        <w:rPr>
          <w:color w:val="231F20"/>
          <w:spacing w:val="-3"/>
          <w:sz w:val="18"/>
        </w:rPr>
        <w:t>Average </w:t>
      </w:r>
      <w:r>
        <w:rPr>
          <w:color w:val="231F20"/>
          <w:sz w:val="18"/>
        </w:rPr>
        <w:t>Earnings Index; and it was unclear why measured productivity growth had recently been below trend.</w:t>
      </w:r>
    </w:p>
    <w:p>
      <w:pPr>
        <w:pStyle w:val="BodyText"/>
        <w:spacing w:before="1"/>
        <w:rPr>
          <w:sz w:val="17"/>
        </w:rPr>
      </w:pPr>
    </w:p>
    <w:p>
      <w:pPr>
        <w:pStyle w:val="ListParagraph"/>
        <w:numPr>
          <w:ilvl w:val="0"/>
          <w:numId w:val="31"/>
        </w:numPr>
        <w:tabs>
          <w:tab w:pos="654" w:val="left" w:leader="none"/>
          <w:tab w:pos="655" w:val="left" w:leader="none"/>
        </w:tabs>
        <w:spacing w:line="232" w:lineRule="auto" w:before="0" w:after="0"/>
        <w:ind w:left="174" w:right="246" w:firstLine="0"/>
        <w:jc w:val="left"/>
        <w:rPr>
          <w:sz w:val="18"/>
        </w:rPr>
      </w:pPr>
      <w:r>
        <w:rPr>
          <w:color w:val="231F20"/>
          <w:sz w:val="18"/>
        </w:rPr>
        <w:t>As regards earnings growth, the Committee considered the outlook for pay settlements and for wage drift (the difference between earnings growth and settlements). Settlements had been fairly stable since the middle of 1998; and an informal survey undertaken by the Bank’s regional Agents had recorded that more firms expected settlements in 1999 to be below the 1998 level </w:t>
      </w:r>
      <w:r>
        <w:rPr>
          <w:color w:val="231F20"/>
          <w:spacing w:val="-5"/>
          <w:sz w:val="18"/>
        </w:rPr>
        <w:t>than </w:t>
      </w:r>
      <w:r>
        <w:rPr>
          <w:color w:val="231F20"/>
          <w:sz w:val="18"/>
        </w:rPr>
        <w:t>expected them to be above: wage drift also seemed likely to moderate. Average hours worked had in fact already fallen, so there had probably been a fall in overtime payments. The Reward Index was suggesting that earnings growth had been slowing. The Working Time Directive and the National Minimum Wage were, by contrast, likely to put upward pressure on labour costs. The Committee noted that lower growth in nominal earnings than previously expected would be consistent with the fall in</w:t>
      </w:r>
    </w:p>
    <w:p>
      <w:pPr>
        <w:pStyle w:val="BodyText"/>
        <w:spacing w:line="232" w:lineRule="auto"/>
        <w:ind w:left="174" w:right="298"/>
      </w:pPr>
      <w:r>
        <w:rPr>
          <w:color w:val="231F20"/>
        </w:rPr>
        <w:t>survey-based measures of inflation expectations. The Committee also received an oral progress report on the independent review, commissioned by the Chancellor of the Exchequer, of the official Average Earnings Index. No figures were yet available for the Committee, but the indications were that the review would not be inconsistent at least with the starting point for the path of nominal earnings growth assumed by the Committee.</w:t>
      </w:r>
    </w:p>
    <w:p>
      <w:pPr>
        <w:spacing w:after="0" w:line="232" w:lineRule="auto"/>
        <w:sectPr>
          <w:type w:val="continuous"/>
          <w:pgSz w:w="11900" w:h="16840"/>
          <w:pgMar w:top="1220" w:bottom="280" w:left="640" w:right="640"/>
          <w:cols w:num="2" w:equalWidth="0">
            <w:col w:w="5084" w:space="299"/>
            <w:col w:w="5237"/>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6"/>
        <w:rPr>
          <w:sz w:val="20"/>
        </w:rPr>
      </w:pPr>
    </w:p>
    <w:p>
      <w:pPr>
        <w:pStyle w:val="ListParagraph"/>
        <w:numPr>
          <w:ilvl w:val="0"/>
          <w:numId w:val="31"/>
        </w:numPr>
        <w:tabs>
          <w:tab w:pos="659" w:val="left" w:leader="none"/>
          <w:tab w:pos="661" w:val="left" w:leader="none"/>
        </w:tabs>
        <w:spacing w:line="232" w:lineRule="auto" w:before="0" w:after="0"/>
        <w:ind w:left="180" w:right="208" w:firstLine="0"/>
        <w:jc w:val="left"/>
        <w:rPr>
          <w:sz w:val="18"/>
        </w:rPr>
      </w:pPr>
      <w:r>
        <w:rPr>
          <w:color w:val="231F20"/>
          <w:sz w:val="18"/>
        </w:rPr>
        <w:t>Some members of the Committee were concerned about the potential knock-on effects from the recently announced settlements for public sector workers. Other members thought that, with a reasonably integrated labour market, the public </w:t>
      </w:r>
      <w:r>
        <w:rPr>
          <w:color w:val="231F20"/>
          <w:spacing w:val="-3"/>
          <w:sz w:val="18"/>
        </w:rPr>
        <w:t>sector</w:t>
      </w:r>
    </w:p>
    <w:p>
      <w:pPr>
        <w:pStyle w:val="BodyText"/>
        <w:spacing w:line="232" w:lineRule="auto"/>
        <w:ind w:left="180" w:right="57"/>
      </w:pPr>
      <w:r>
        <w:rPr>
          <w:color w:val="231F20"/>
        </w:rPr>
        <w:t>could be expected to settle close to the economy-wide average over time.</w:t>
      </w:r>
    </w:p>
    <w:p>
      <w:pPr>
        <w:pStyle w:val="BodyText"/>
        <w:rPr>
          <w:sz w:val="17"/>
        </w:rPr>
      </w:pPr>
    </w:p>
    <w:p>
      <w:pPr>
        <w:pStyle w:val="ListParagraph"/>
        <w:numPr>
          <w:ilvl w:val="0"/>
          <w:numId w:val="31"/>
        </w:numPr>
        <w:tabs>
          <w:tab w:pos="659" w:val="left" w:leader="none"/>
          <w:tab w:pos="661" w:val="left" w:leader="none"/>
        </w:tabs>
        <w:spacing w:line="232" w:lineRule="auto" w:before="0" w:after="0"/>
        <w:ind w:left="180" w:right="168" w:firstLine="0"/>
        <w:jc w:val="left"/>
        <w:rPr>
          <w:sz w:val="18"/>
        </w:rPr>
      </w:pPr>
      <w:r>
        <w:rPr>
          <w:color w:val="231F20"/>
          <w:sz w:val="18"/>
        </w:rPr>
        <w:t>The Committee agreed to incorporate a materially lower profile for nominal earnings growth in its February projection compared with November, although its central projection was </w:t>
      </w:r>
      <w:r>
        <w:rPr>
          <w:color w:val="231F20"/>
          <w:spacing w:val="-4"/>
          <w:sz w:val="18"/>
        </w:rPr>
        <w:t>still </w:t>
      </w:r>
      <w:r>
        <w:rPr>
          <w:color w:val="231F20"/>
          <w:sz w:val="18"/>
        </w:rPr>
        <w:t>above the average of outside forecasts.</w:t>
      </w:r>
    </w:p>
    <w:p>
      <w:pPr>
        <w:pStyle w:val="BodyText"/>
        <w:spacing w:before="1"/>
        <w:rPr>
          <w:sz w:val="17"/>
        </w:rPr>
      </w:pPr>
    </w:p>
    <w:p>
      <w:pPr>
        <w:pStyle w:val="ListParagraph"/>
        <w:numPr>
          <w:ilvl w:val="0"/>
          <w:numId w:val="31"/>
        </w:numPr>
        <w:tabs>
          <w:tab w:pos="659" w:val="left" w:leader="none"/>
          <w:tab w:pos="661" w:val="left" w:leader="none"/>
        </w:tabs>
        <w:spacing w:line="232" w:lineRule="auto" w:before="0" w:after="0"/>
        <w:ind w:left="180" w:right="53" w:firstLine="0"/>
        <w:jc w:val="left"/>
        <w:rPr>
          <w:sz w:val="18"/>
        </w:rPr>
      </w:pPr>
      <w:r>
        <w:rPr>
          <w:color w:val="231F20"/>
          <w:sz w:val="18"/>
        </w:rPr>
        <w:t>There was considerable uncertainty about recent and prospective growth in productivity, and so in unit labour costs. Employment having risen strongly over the past few years, productivity growth had, at around 1</w:t>
      </w:r>
      <w:r>
        <w:rPr>
          <w:color w:val="231F20"/>
          <w:position w:val="6"/>
          <w:sz w:val="9"/>
        </w:rPr>
        <w:t>1</w:t>
      </w:r>
      <w:r>
        <w:rPr>
          <w:color w:val="231F20"/>
          <w:sz w:val="18"/>
        </w:rPr>
        <w:t>/</w:t>
      </w:r>
      <w:r>
        <w:rPr>
          <w:color w:val="231F20"/>
          <w:sz w:val="9"/>
        </w:rPr>
        <w:t>2</w:t>
      </w:r>
      <w:r>
        <w:rPr>
          <w:color w:val="231F20"/>
          <w:sz w:val="18"/>
        </w:rPr>
        <w:t>% annually, been significantly below trend. The various possible explanations had quite different implications for the outlook for inflation. One possibility was simply mismeasurement. A second was that firms thought the slowdown in activity growth would not last long so that, given the costs of adjusting the size of their labour forces, </w:t>
      </w:r>
      <w:r>
        <w:rPr>
          <w:color w:val="231F20"/>
          <w:spacing w:val="-5"/>
          <w:sz w:val="18"/>
        </w:rPr>
        <w:t>they </w:t>
      </w:r>
      <w:r>
        <w:rPr>
          <w:color w:val="231F20"/>
          <w:sz w:val="18"/>
        </w:rPr>
        <w:t>were content to employ more people than needed for current activity levels; ie they were hoarding labour. That would mean current levels of employment exaggerated the degree of capacity utilisation at present. Correcting for this would imply lower margins and inflationary pressures.</w:t>
      </w:r>
    </w:p>
    <w:p>
      <w:pPr>
        <w:pStyle w:val="BodyText"/>
        <w:spacing w:before="5"/>
        <w:rPr>
          <w:sz w:val="16"/>
        </w:rPr>
      </w:pPr>
    </w:p>
    <w:p>
      <w:pPr>
        <w:pStyle w:val="ListParagraph"/>
        <w:numPr>
          <w:ilvl w:val="0"/>
          <w:numId w:val="31"/>
        </w:numPr>
        <w:tabs>
          <w:tab w:pos="659" w:val="left" w:leader="none"/>
          <w:tab w:pos="661" w:val="left" w:leader="none"/>
        </w:tabs>
        <w:spacing w:line="232" w:lineRule="auto" w:before="1" w:after="0"/>
        <w:ind w:left="180" w:right="127" w:firstLine="0"/>
        <w:jc w:val="left"/>
        <w:rPr>
          <w:sz w:val="18"/>
        </w:rPr>
      </w:pPr>
      <w:r>
        <w:rPr>
          <w:color w:val="231F20"/>
          <w:sz w:val="18"/>
        </w:rPr>
        <w:t>A third possibility was that as unemployment had fallen so had productivity growth, through people entering the workforce into lower productivity jobs, with lower pay, following the </w:t>
      </w:r>
      <w:r>
        <w:rPr>
          <w:color w:val="231F20"/>
          <w:spacing w:val="-3"/>
          <w:sz w:val="18"/>
        </w:rPr>
        <w:t>various </w:t>
      </w:r>
      <w:r>
        <w:rPr>
          <w:color w:val="231F20"/>
          <w:sz w:val="18"/>
        </w:rPr>
        <w:t>structural reforms to the labour market. In that case, productivity would be expected to grow in the future at its past trend rate but starting from a lower average level. Productive capacity, at any particular level of employment, would in that case be lower than implied by previous relationships. This would have less benign implications for inflation than the labour hoarding explanation.</w:t>
      </w:r>
    </w:p>
    <w:p>
      <w:pPr>
        <w:pStyle w:val="BodyText"/>
        <w:spacing w:before="8"/>
        <w:rPr>
          <w:sz w:val="16"/>
        </w:rPr>
      </w:pPr>
    </w:p>
    <w:p>
      <w:pPr>
        <w:pStyle w:val="ListParagraph"/>
        <w:numPr>
          <w:ilvl w:val="0"/>
          <w:numId w:val="31"/>
        </w:numPr>
        <w:tabs>
          <w:tab w:pos="659" w:val="left" w:leader="none"/>
          <w:tab w:pos="661" w:val="left" w:leader="none"/>
        </w:tabs>
        <w:spacing w:line="232" w:lineRule="auto" w:before="1" w:after="0"/>
        <w:ind w:left="180" w:right="133" w:firstLine="0"/>
        <w:jc w:val="left"/>
        <w:rPr>
          <w:sz w:val="18"/>
        </w:rPr>
      </w:pPr>
      <w:r>
        <w:rPr>
          <w:color w:val="231F20"/>
          <w:sz w:val="18"/>
        </w:rPr>
        <w:t>The Committee agreed to give some weight to each of </w:t>
      </w:r>
      <w:r>
        <w:rPr>
          <w:color w:val="231F20"/>
          <w:spacing w:val="-4"/>
          <w:sz w:val="18"/>
        </w:rPr>
        <w:t>these </w:t>
      </w:r>
      <w:r>
        <w:rPr>
          <w:color w:val="231F20"/>
          <w:sz w:val="18"/>
        </w:rPr>
        <w:t>possible explanations in its central projection. However, some members did not attach weight to the third possible explanation, pointing to recent robust growth in labour productivity in the United States despite very low unemployment there; excluding it would reduce the central projection for inflation by around</w:t>
      </w:r>
    </w:p>
    <w:p>
      <w:pPr>
        <w:pStyle w:val="BodyText"/>
        <w:spacing w:line="197" w:lineRule="exact"/>
        <w:ind w:left="180"/>
      </w:pPr>
      <w:r>
        <w:rPr>
          <w:color w:val="231F20"/>
        </w:rPr>
        <w:t>0.2 percentage points.</w:t>
      </w:r>
    </w:p>
    <w:p>
      <w:pPr>
        <w:pStyle w:val="BodyText"/>
        <w:spacing w:before="5"/>
        <w:rPr>
          <w:sz w:val="20"/>
        </w:rPr>
      </w:pPr>
    </w:p>
    <w:p>
      <w:pPr>
        <w:pStyle w:val="Heading3"/>
        <w:ind w:left="180"/>
      </w:pPr>
      <w:r>
        <w:rPr>
          <w:color w:val="009483"/>
        </w:rPr>
        <w:t>The MPC’s February projections</w:t>
      </w:r>
    </w:p>
    <w:p>
      <w:pPr>
        <w:pStyle w:val="ListParagraph"/>
        <w:numPr>
          <w:ilvl w:val="0"/>
          <w:numId w:val="31"/>
        </w:numPr>
        <w:tabs>
          <w:tab w:pos="659" w:val="left" w:leader="none"/>
          <w:tab w:pos="661" w:val="left" w:leader="none"/>
        </w:tabs>
        <w:spacing w:line="232" w:lineRule="auto" w:before="110" w:after="0"/>
        <w:ind w:left="180" w:right="173" w:firstLine="0"/>
        <w:jc w:val="left"/>
        <w:rPr>
          <w:sz w:val="18"/>
        </w:rPr>
      </w:pPr>
      <w:r>
        <w:rPr>
          <w:color w:val="231F20"/>
          <w:sz w:val="18"/>
        </w:rPr>
        <w:t>The Committee reviewed its projections, which were described more fully in the </w:t>
      </w:r>
      <w:r>
        <w:rPr>
          <w:i/>
          <w:color w:val="231F20"/>
          <w:sz w:val="18"/>
        </w:rPr>
        <w:t>Inflation Report </w:t>
      </w:r>
      <w:r>
        <w:rPr>
          <w:color w:val="231F20"/>
          <w:sz w:val="18"/>
        </w:rPr>
        <w:t>published in the </w:t>
      </w:r>
      <w:r>
        <w:rPr>
          <w:color w:val="231F20"/>
          <w:spacing w:val="-4"/>
          <w:sz w:val="18"/>
        </w:rPr>
        <w:t>week </w:t>
      </w:r>
      <w:r>
        <w:rPr>
          <w:color w:val="231F20"/>
          <w:sz w:val="18"/>
        </w:rPr>
        <w:t>following the meeting.</w:t>
      </w:r>
    </w:p>
    <w:p>
      <w:pPr>
        <w:pStyle w:val="BodyText"/>
        <w:spacing w:before="2"/>
        <w:rPr>
          <w:sz w:val="17"/>
        </w:rPr>
      </w:pPr>
    </w:p>
    <w:p>
      <w:pPr>
        <w:pStyle w:val="ListParagraph"/>
        <w:numPr>
          <w:ilvl w:val="0"/>
          <w:numId w:val="31"/>
        </w:numPr>
        <w:tabs>
          <w:tab w:pos="659" w:val="left" w:leader="none"/>
          <w:tab w:pos="661" w:val="left" w:leader="none"/>
        </w:tabs>
        <w:spacing w:line="232" w:lineRule="auto" w:before="0" w:after="0"/>
        <w:ind w:left="180" w:right="38" w:firstLine="0"/>
        <w:jc w:val="left"/>
        <w:rPr>
          <w:sz w:val="18"/>
        </w:rPr>
      </w:pPr>
      <w:r>
        <w:rPr>
          <w:color w:val="231F20"/>
          <w:sz w:val="18"/>
        </w:rPr>
        <w:t>Output growth was expected to fall during 1999 but to recover during 2000, partly reflecting planned increases in public sector spending. As in November, the balance of risks to activity was on the downside over the whole of the forecast period. The shape of the central projection for inflation was broadly flat over most of the forecast period, rising slightly towards the two year horizon. The balance of risks to inflation was slightly on the </w:t>
      </w:r>
      <w:r>
        <w:rPr>
          <w:color w:val="231F20"/>
          <w:spacing w:val="-3"/>
          <w:sz w:val="18"/>
        </w:rPr>
        <w:t>upside </w:t>
      </w:r>
      <w:r>
        <w:rPr>
          <w:color w:val="231F20"/>
          <w:sz w:val="18"/>
        </w:rPr>
        <w:t>until the middle of the year 2000 and then slightly on the downside. Uncertainty about the projections (ie the variance) had been adjusted to reflect the continuing suspension of the Average Earnings Index.</w:t>
      </w:r>
    </w:p>
    <w:p>
      <w:pPr>
        <w:pStyle w:val="BodyText"/>
        <w:spacing w:before="7"/>
        <w:rPr>
          <w:sz w:val="16"/>
        </w:rPr>
      </w:pPr>
    </w:p>
    <w:p>
      <w:pPr>
        <w:pStyle w:val="ListParagraph"/>
        <w:numPr>
          <w:ilvl w:val="0"/>
          <w:numId w:val="31"/>
        </w:numPr>
        <w:tabs>
          <w:tab w:pos="659" w:val="left" w:leader="none"/>
          <w:tab w:pos="661" w:val="left" w:leader="none"/>
        </w:tabs>
        <w:spacing w:line="232" w:lineRule="auto" w:before="0" w:after="0"/>
        <w:ind w:left="180" w:right="148" w:firstLine="0"/>
        <w:jc w:val="left"/>
        <w:rPr>
          <w:sz w:val="18"/>
        </w:rPr>
      </w:pPr>
      <w:r>
        <w:rPr>
          <w:color w:val="231F20"/>
          <w:sz w:val="18"/>
        </w:rPr>
        <w:t>For any given level of interest rates, the </w:t>
      </w:r>
      <w:r>
        <w:rPr>
          <w:color w:val="231F20"/>
          <w:sz w:val="18"/>
          <w:u w:val="single" w:color="231F20"/>
        </w:rPr>
        <w:t>level</w:t>
      </w:r>
      <w:r>
        <w:rPr>
          <w:color w:val="231F20"/>
          <w:sz w:val="18"/>
        </w:rPr>
        <w:t> of the projections for both output growth and inflation was lower than in November. The main changes to the output projection were </w:t>
      </w:r>
      <w:r>
        <w:rPr>
          <w:color w:val="231F20"/>
          <w:spacing w:val="-4"/>
          <w:sz w:val="18"/>
        </w:rPr>
        <w:t>lower </w:t>
      </w:r>
      <w:r>
        <w:rPr>
          <w:color w:val="231F20"/>
          <w:sz w:val="18"/>
        </w:rPr>
        <w:t>consumption and the weaker outlook for world demand and UK exports. The inflation projection was also affected by the lower path assumed for nominal earnings growth. If interest rates were left at 6%, both the central projection for inflation and the average projection (taking account of the balance of risks)—ie both the mode and the mean—were materially below the 2</w:t>
      </w:r>
      <w:r>
        <w:rPr>
          <w:color w:val="231F20"/>
          <w:position w:val="6"/>
          <w:sz w:val="9"/>
        </w:rPr>
        <w:t>1</w:t>
      </w:r>
      <w:r>
        <w:rPr>
          <w:color w:val="231F20"/>
          <w:sz w:val="18"/>
        </w:rPr>
        <w:t>/</w:t>
      </w:r>
      <w:r>
        <w:rPr>
          <w:color w:val="231F20"/>
          <w:sz w:val="9"/>
        </w:rPr>
        <w:t>2</w:t>
      </w:r>
      <w:r>
        <w:rPr>
          <w:color w:val="231F20"/>
          <w:sz w:val="18"/>
        </w:rPr>
        <w:t>%</w:t>
      </w:r>
      <w:r>
        <w:rPr>
          <w:color w:val="231F20"/>
          <w:spacing w:val="-1"/>
          <w:sz w:val="18"/>
        </w:rPr>
        <w:t> </w:t>
      </w:r>
      <w:r>
        <w:rPr>
          <w:color w:val="231F20"/>
          <w:sz w:val="18"/>
        </w:rPr>
        <w:t>inflation</w:t>
      </w:r>
    </w:p>
    <w:p>
      <w:pPr>
        <w:pStyle w:val="BodyText"/>
        <w:spacing w:before="6"/>
        <w:rPr>
          <w:sz w:val="20"/>
        </w:rPr>
      </w:pPr>
      <w:r>
        <w:rPr/>
        <w:br w:type="column"/>
      </w:r>
      <w:r>
        <w:rPr>
          <w:sz w:val="20"/>
        </w:rPr>
      </w:r>
    </w:p>
    <w:p>
      <w:pPr>
        <w:pStyle w:val="BodyText"/>
        <w:spacing w:line="232" w:lineRule="auto"/>
        <w:ind w:left="180" w:right="213"/>
      </w:pPr>
      <w:r>
        <w:rPr>
          <w:color w:val="231F20"/>
        </w:rPr>
        <w:t>target. The projections therefore pointed towards a further reduction in interest rates.</w:t>
      </w:r>
    </w:p>
    <w:p>
      <w:pPr>
        <w:pStyle w:val="BodyText"/>
        <w:spacing w:before="3"/>
        <w:rPr>
          <w:sz w:val="17"/>
        </w:rPr>
      </w:pPr>
    </w:p>
    <w:p>
      <w:pPr>
        <w:pStyle w:val="ListParagraph"/>
        <w:numPr>
          <w:ilvl w:val="0"/>
          <w:numId w:val="31"/>
        </w:numPr>
        <w:tabs>
          <w:tab w:pos="659" w:val="left" w:leader="none"/>
          <w:tab w:pos="661" w:val="left" w:leader="none"/>
        </w:tabs>
        <w:spacing w:line="232" w:lineRule="auto" w:before="0" w:after="0"/>
        <w:ind w:left="180" w:right="201" w:firstLine="0"/>
        <w:jc w:val="left"/>
        <w:rPr>
          <w:sz w:val="18"/>
        </w:rPr>
      </w:pPr>
      <w:r>
        <w:rPr>
          <w:color w:val="231F20"/>
          <w:sz w:val="18"/>
        </w:rPr>
        <w:t>The Committee discussed the predictions of a sample of outside forecasters. The median forecast for inflation was around 2</w:t>
      </w:r>
      <w:r>
        <w:rPr>
          <w:color w:val="231F20"/>
          <w:position w:val="6"/>
          <w:sz w:val="9"/>
        </w:rPr>
        <w:t>1</w:t>
      </w:r>
      <w:r>
        <w:rPr>
          <w:color w:val="231F20"/>
          <w:sz w:val="18"/>
        </w:rPr>
        <w:t>/</w:t>
      </w:r>
      <w:r>
        <w:rPr>
          <w:color w:val="231F20"/>
          <w:sz w:val="9"/>
        </w:rPr>
        <w:t>2</w:t>
      </w:r>
      <w:r>
        <w:rPr>
          <w:color w:val="231F20"/>
          <w:sz w:val="18"/>
        </w:rPr>
        <w:t>% in 2001 Q1. It was possible that this simply reflected a </w:t>
      </w:r>
      <w:r>
        <w:rPr>
          <w:color w:val="231F20"/>
          <w:spacing w:val="-3"/>
          <w:sz w:val="18"/>
        </w:rPr>
        <w:t>belief </w:t>
      </w:r>
      <w:r>
        <w:rPr>
          <w:color w:val="231F20"/>
          <w:sz w:val="18"/>
        </w:rPr>
        <w:t>that the Committee would pursue a policy that would succeed in achieving the 2</w:t>
      </w:r>
      <w:r>
        <w:rPr>
          <w:color w:val="231F20"/>
          <w:position w:val="6"/>
          <w:sz w:val="9"/>
        </w:rPr>
        <w:t>1</w:t>
      </w:r>
      <w:r>
        <w:rPr>
          <w:color w:val="231F20"/>
          <w:sz w:val="18"/>
        </w:rPr>
        <w:t>/</w:t>
      </w:r>
      <w:r>
        <w:rPr>
          <w:color w:val="231F20"/>
          <w:sz w:val="9"/>
        </w:rPr>
        <w:t>2</w:t>
      </w:r>
      <w:r>
        <w:rPr>
          <w:color w:val="231F20"/>
          <w:sz w:val="18"/>
        </w:rPr>
        <w:t>% target at that horizon. The assumptions of outside forecasters about interest rates were also likely to differ from the constant rate assumption used in the Bank’s own projections.</w:t>
      </w:r>
    </w:p>
    <w:p>
      <w:pPr>
        <w:pStyle w:val="BodyText"/>
        <w:spacing w:before="10"/>
        <w:rPr>
          <w:sz w:val="16"/>
        </w:rPr>
      </w:pPr>
    </w:p>
    <w:p>
      <w:pPr>
        <w:pStyle w:val="ListParagraph"/>
        <w:numPr>
          <w:ilvl w:val="0"/>
          <w:numId w:val="31"/>
        </w:numPr>
        <w:tabs>
          <w:tab w:pos="659" w:val="left" w:leader="none"/>
          <w:tab w:pos="661" w:val="left" w:leader="none"/>
        </w:tabs>
        <w:spacing w:line="232" w:lineRule="auto" w:before="0" w:after="0"/>
        <w:ind w:left="180" w:right="176" w:firstLine="0"/>
        <w:jc w:val="left"/>
        <w:rPr>
          <w:sz w:val="18"/>
        </w:rPr>
      </w:pPr>
      <w:r>
        <w:rPr>
          <w:color w:val="231F20"/>
          <w:sz w:val="18"/>
        </w:rPr>
        <w:t>The Committee noted that the level of short term interest rates implied by financial markets fell to around 5% by the end of 1999. Using market interest rates in the Bank’s projections </w:t>
      </w:r>
      <w:r>
        <w:rPr>
          <w:color w:val="231F20"/>
          <w:spacing w:val="-3"/>
          <w:sz w:val="18"/>
        </w:rPr>
        <w:t>implied </w:t>
      </w:r>
      <w:r>
        <w:rPr>
          <w:color w:val="231F20"/>
          <w:sz w:val="18"/>
        </w:rPr>
        <w:t>that both the central projection for inflation and the average projection (taking account of the risks) would be above the 2</w:t>
      </w:r>
      <w:r>
        <w:rPr>
          <w:color w:val="231F20"/>
          <w:position w:val="6"/>
          <w:sz w:val="9"/>
        </w:rPr>
        <w:t>1</w:t>
      </w:r>
      <w:r>
        <w:rPr>
          <w:color w:val="231F20"/>
          <w:sz w:val="18"/>
        </w:rPr>
        <w:t>/</w:t>
      </w:r>
      <w:r>
        <w:rPr>
          <w:color w:val="231F20"/>
          <w:sz w:val="9"/>
        </w:rPr>
        <w:t>2</w:t>
      </w:r>
      <w:r>
        <w:rPr>
          <w:color w:val="231F20"/>
          <w:sz w:val="18"/>
        </w:rPr>
        <w:t>% target from the middle of 1999, and materially so by the end of the two year forecast horizon.</w:t>
      </w:r>
    </w:p>
    <w:p>
      <w:pPr>
        <w:pStyle w:val="BodyText"/>
        <w:spacing w:before="2"/>
        <w:rPr>
          <w:sz w:val="20"/>
        </w:rPr>
      </w:pPr>
    </w:p>
    <w:p>
      <w:pPr>
        <w:pStyle w:val="Heading3"/>
        <w:ind w:left="180"/>
      </w:pPr>
      <w:r>
        <w:rPr>
          <w:color w:val="009483"/>
        </w:rPr>
        <w:t>The immediate policy decision</w:t>
      </w:r>
    </w:p>
    <w:p>
      <w:pPr>
        <w:pStyle w:val="ListParagraph"/>
        <w:numPr>
          <w:ilvl w:val="0"/>
          <w:numId w:val="31"/>
        </w:numPr>
        <w:tabs>
          <w:tab w:pos="659" w:val="left" w:leader="none"/>
          <w:tab w:pos="661" w:val="left" w:leader="none"/>
        </w:tabs>
        <w:spacing w:line="232" w:lineRule="auto" w:before="110" w:after="0"/>
        <w:ind w:left="180" w:right="227" w:firstLine="0"/>
        <w:jc w:val="left"/>
        <w:rPr>
          <w:sz w:val="18"/>
        </w:rPr>
      </w:pPr>
      <w:r>
        <w:rPr>
          <w:color w:val="231F20"/>
          <w:sz w:val="18"/>
        </w:rPr>
        <w:t>The Committee discussed whether its latest projections for GDP growth and inflation had implications for the timing of any policy changes. In particular, should any further reductions in interest rates be made quickly given that the most significant weakness in activity was expected over the next six months? Would cuts now endanger the inflation outlook over the medium run given that towards the end of the forecast period output </w:t>
      </w:r>
      <w:r>
        <w:rPr>
          <w:color w:val="231F20"/>
          <w:spacing w:val="-3"/>
          <w:sz w:val="18"/>
        </w:rPr>
        <w:t>growth </w:t>
      </w:r>
      <w:r>
        <w:rPr>
          <w:color w:val="231F20"/>
          <w:sz w:val="18"/>
        </w:rPr>
        <w:t>was expected to reach trend and inflation to be rising? The Committee agreed that various time paths for interest rates would be consistent with achieving the inflation target. Its central projection was for the annual rate of output growth to be below</w:t>
      </w:r>
    </w:p>
    <w:p>
      <w:pPr>
        <w:pStyle w:val="BodyText"/>
        <w:spacing w:line="232" w:lineRule="auto"/>
        <w:ind w:left="180" w:right="147"/>
      </w:pPr>
      <w:r>
        <w:rPr>
          <w:color w:val="231F20"/>
        </w:rPr>
        <w:t>trend for the next six quarters, so that an immediate easing of </w:t>
      </w:r>
      <w:r>
        <w:rPr>
          <w:color w:val="231F20"/>
          <w:spacing w:val="-3"/>
        </w:rPr>
        <w:t>policy </w:t>
      </w:r>
      <w:r>
        <w:rPr>
          <w:color w:val="231F20"/>
        </w:rPr>
        <w:t>could stimulate activity and reduce downward pressures on inflation in the short run without causing an overshoot of the target over the medium run. Policy might then have to be tightened at some point in the coming two years if output growth recovered as expected, but that could not yet be judged, and it did not need to be.</w:t>
      </w:r>
    </w:p>
    <w:p>
      <w:pPr>
        <w:pStyle w:val="BodyText"/>
        <w:spacing w:before="2"/>
        <w:rPr>
          <w:sz w:val="16"/>
        </w:rPr>
      </w:pPr>
    </w:p>
    <w:p>
      <w:pPr>
        <w:pStyle w:val="ListParagraph"/>
        <w:numPr>
          <w:ilvl w:val="0"/>
          <w:numId w:val="31"/>
        </w:numPr>
        <w:tabs>
          <w:tab w:pos="659" w:val="left" w:leader="none"/>
          <w:tab w:pos="661" w:val="left" w:leader="none"/>
        </w:tabs>
        <w:spacing w:line="232" w:lineRule="auto" w:before="0" w:after="0"/>
        <w:ind w:left="180" w:right="146" w:firstLine="0"/>
        <w:jc w:val="left"/>
        <w:rPr>
          <w:sz w:val="18"/>
        </w:rPr>
      </w:pPr>
      <w:r>
        <w:rPr>
          <w:color w:val="231F20"/>
          <w:sz w:val="18"/>
        </w:rPr>
        <w:t>Against that background, there was agreement that interest rates needed to be reduced again.  A 25 basis point reduction, taking the Bank’s repo rate to 5.75% would leave the central projection below target throughout the second year of the forecast period.  A 50 basis point reduction, to 5.5%, would bring the central projection broadly into line with the target throughout the forecast period. At the two year horizon, the central projection would be just a little above the target; the average projection (taking account of the balance of risks) would still be slightly </w:t>
      </w:r>
      <w:r>
        <w:rPr>
          <w:color w:val="231F20"/>
          <w:spacing w:val="-4"/>
          <w:sz w:val="18"/>
        </w:rPr>
        <w:t>below </w:t>
      </w:r>
      <w:r>
        <w:rPr>
          <w:color w:val="231F20"/>
          <w:sz w:val="18"/>
        </w:rPr>
        <w:t>target. It was noted that some of the risks reflected in the forecast were of a kind to which the Committee could respond if and when they materialised. Setting aside risks of this kind, the average rate of inflation at the end of forecast horizon with constant 5.5% official interest rates was also close to the target. These considerations pointed towards a 50 basis point reduction.</w:t>
      </w:r>
    </w:p>
    <w:p>
      <w:pPr>
        <w:pStyle w:val="BodyText"/>
        <w:spacing w:before="5"/>
        <w:rPr>
          <w:sz w:val="16"/>
        </w:rPr>
      </w:pPr>
    </w:p>
    <w:p>
      <w:pPr>
        <w:pStyle w:val="ListParagraph"/>
        <w:numPr>
          <w:ilvl w:val="0"/>
          <w:numId w:val="31"/>
        </w:numPr>
        <w:tabs>
          <w:tab w:pos="659" w:val="left" w:leader="none"/>
          <w:tab w:pos="661" w:val="left" w:leader="none"/>
        </w:tabs>
        <w:spacing w:line="232" w:lineRule="auto" w:before="0" w:after="0"/>
        <w:ind w:left="180" w:right="182" w:firstLine="0"/>
        <w:jc w:val="left"/>
        <w:rPr>
          <w:sz w:val="18"/>
        </w:rPr>
      </w:pPr>
      <w:r>
        <w:rPr>
          <w:color w:val="231F20"/>
          <w:sz w:val="18"/>
        </w:rPr>
        <w:t>A second argument made in favour of 50 basis points was that it would provide a degree of insurance against some of the downside risks. In particular, the international outlook looked slightly more fragile than a month ago, and there was a risk of labour market pressures proving materially weaker than assumed </w:t>
      </w:r>
      <w:r>
        <w:rPr>
          <w:color w:val="231F20"/>
          <w:spacing w:val="-9"/>
          <w:sz w:val="18"/>
        </w:rPr>
        <w:t>in </w:t>
      </w:r>
      <w:r>
        <w:rPr>
          <w:color w:val="231F20"/>
          <w:sz w:val="18"/>
        </w:rPr>
        <w:t>the Committee’s projections.</w:t>
      </w:r>
    </w:p>
    <w:p>
      <w:pPr>
        <w:pStyle w:val="BodyText"/>
        <w:spacing w:before="11"/>
        <w:rPr>
          <w:sz w:val="16"/>
        </w:rPr>
      </w:pPr>
    </w:p>
    <w:p>
      <w:pPr>
        <w:pStyle w:val="ListParagraph"/>
        <w:numPr>
          <w:ilvl w:val="0"/>
          <w:numId w:val="31"/>
        </w:numPr>
        <w:tabs>
          <w:tab w:pos="659" w:val="left" w:leader="none"/>
          <w:tab w:pos="661" w:val="left" w:leader="none"/>
        </w:tabs>
        <w:spacing w:line="232" w:lineRule="auto" w:before="0" w:after="0"/>
        <w:ind w:left="180" w:right="488" w:firstLine="0"/>
        <w:jc w:val="left"/>
        <w:rPr>
          <w:sz w:val="18"/>
        </w:rPr>
      </w:pPr>
      <w:r>
        <w:rPr>
          <w:color w:val="231F20"/>
          <w:sz w:val="18"/>
        </w:rPr>
        <w:t>A third argument for 50 basis points was that any consequential fall in sterling would be helpful in alleviating </w:t>
      </w:r>
      <w:r>
        <w:rPr>
          <w:color w:val="231F20"/>
          <w:spacing w:val="-7"/>
          <w:sz w:val="18"/>
        </w:rPr>
        <w:t>the </w:t>
      </w:r>
      <w:r>
        <w:rPr>
          <w:color w:val="231F20"/>
          <w:sz w:val="18"/>
        </w:rPr>
        <w:t>continuing imbalances in the economy, without endangering achievement of the inflation target.</w:t>
      </w:r>
    </w:p>
    <w:p>
      <w:pPr>
        <w:pStyle w:val="BodyText"/>
        <w:spacing w:before="1"/>
        <w:rPr>
          <w:sz w:val="17"/>
        </w:rPr>
      </w:pPr>
    </w:p>
    <w:p>
      <w:pPr>
        <w:pStyle w:val="ListParagraph"/>
        <w:numPr>
          <w:ilvl w:val="0"/>
          <w:numId w:val="31"/>
        </w:numPr>
        <w:tabs>
          <w:tab w:pos="659" w:val="left" w:leader="none"/>
          <w:tab w:pos="661" w:val="left" w:leader="none"/>
        </w:tabs>
        <w:spacing w:line="232" w:lineRule="auto" w:before="1" w:after="0"/>
        <w:ind w:left="180" w:right="201" w:firstLine="0"/>
        <w:jc w:val="left"/>
        <w:rPr>
          <w:sz w:val="18"/>
        </w:rPr>
      </w:pPr>
      <w:r>
        <w:rPr>
          <w:color w:val="231F20"/>
          <w:sz w:val="18"/>
        </w:rPr>
        <w:t>One view was that at this point of the economic cycle interest rates should be close to, or possibly below, their ‘neutral’ level; ie, providing neither stimulus nor constraint to the </w:t>
      </w:r>
      <w:r>
        <w:rPr>
          <w:color w:val="231F20"/>
          <w:spacing w:val="-3"/>
          <w:sz w:val="18"/>
        </w:rPr>
        <w:t>economy. </w:t>
      </w:r>
      <w:r>
        <w:rPr>
          <w:color w:val="231F20"/>
          <w:sz w:val="18"/>
        </w:rPr>
        <w:t>While that level could not be stimulated with great accuracy, a</w:t>
      </w:r>
    </w:p>
    <w:p>
      <w:pPr>
        <w:spacing w:after="0" w:line="232" w:lineRule="auto"/>
        <w:jc w:val="left"/>
        <w:rPr>
          <w:sz w:val="18"/>
        </w:rPr>
        <w:sectPr>
          <w:type w:val="continuous"/>
          <w:pgSz w:w="11900" w:h="16840"/>
          <w:pgMar w:top="1220" w:bottom="280" w:left="640" w:right="640"/>
          <w:cols w:num="2" w:equalWidth="0">
            <w:col w:w="5115" w:space="273"/>
            <w:col w:w="5232"/>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60" w:right="62"/>
      </w:pPr>
      <w:r>
        <w:rPr>
          <w:color w:val="231F20"/>
        </w:rPr>
        <w:t>reduction of 50 basis points, on this view, would take the nominal short term rate into its probable neutral range. Three reasons were given why, on this view, a reduction of more than 50 basis points might be needed. First, it might already be too late to stop RPIX inflation falling materially below target over the next year. In that case, a larger cut would help to anchor inflation expectations closer to the target over the medium run. Second, it was plausible, judging from the reports of the Bank’s regional Agents and from surveys, that earnings growth would be lower in 1999 than in </w:t>
      </w:r>
      <w:r>
        <w:rPr>
          <w:color w:val="231F20"/>
          <w:spacing w:val="-4"/>
        </w:rPr>
        <w:t>1998, </w:t>
      </w:r>
      <w:r>
        <w:rPr>
          <w:color w:val="231F20"/>
        </w:rPr>
        <w:t>contrary to the assumption used in the Committee’s central projection. Third, the Committee’s inflation projection did not place enough weight on the possibility of world price inflation being weaker than assumed. However, evidence on each of these uncertainties would materialise over the next few months, and a larger than 50 basis point reduction now might unsettle financial markets. On this view, therefore, a cut of 50 basis points was the right step for now.</w:t>
      </w:r>
    </w:p>
    <w:p>
      <w:pPr>
        <w:pStyle w:val="BodyText"/>
        <w:spacing w:before="2"/>
        <w:rPr>
          <w:sz w:val="16"/>
        </w:rPr>
      </w:pPr>
    </w:p>
    <w:p>
      <w:pPr>
        <w:pStyle w:val="ListParagraph"/>
        <w:numPr>
          <w:ilvl w:val="0"/>
          <w:numId w:val="31"/>
        </w:numPr>
        <w:tabs>
          <w:tab w:pos="639" w:val="left" w:leader="none"/>
          <w:tab w:pos="641" w:val="left" w:leader="none"/>
        </w:tabs>
        <w:spacing w:line="232" w:lineRule="auto" w:before="0" w:after="0"/>
        <w:ind w:left="160" w:right="38" w:firstLine="0"/>
        <w:jc w:val="left"/>
        <w:rPr>
          <w:sz w:val="18"/>
        </w:rPr>
      </w:pPr>
      <w:r>
        <w:rPr>
          <w:color w:val="231F20"/>
          <w:sz w:val="18"/>
        </w:rPr>
        <w:t>On another view, there were arguments for a reduction of 75–100 basis points. First, the central projection for inflation was around 0.2 percentage points too high because the level of productivity would be higher than assumed for the reasons explained in paragraph 26. The average (ie mean) projection for inflation, should also be lower both for that reason and also </w:t>
      </w:r>
      <w:r>
        <w:rPr>
          <w:color w:val="231F20"/>
          <w:spacing w:val="-3"/>
          <w:sz w:val="18"/>
        </w:rPr>
        <w:t>because </w:t>
      </w:r>
      <w:r>
        <w:rPr>
          <w:color w:val="231F20"/>
          <w:sz w:val="18"/>
        </w:rPr>
        <w:t>of the possibility of weaker world prices. Second, given that monetary policy was expected generally to affect activity growth with a shorter lag than it affected inflation, it would be possible to</w:t>
      </w:r>
    </w:p>
    <w:p>
      <w:pPr>
        <w:pStyle w:val="BodyText"/>
        <w:spacing w:before="7"/>
        <w:rPr>
          <w:sz w:val="19"/>
        </w:rPr>
      </w:pPr>
      <w:r>
        <w:rPr/>
        <w:br w:type="column"/>
      </w:r>
      <w:r>
        <w:rPr>
          <w:sz w:val="19"/>
        </w:rPr>
      </w:r>
    </w:p>
    <w:p>
      <w:pPr>
        <w:pStyle w:val="BodyText"/>
        <w:spacing w:line="232" w:lineRule="auto" w:before="1"/>
        <w:ind w:left="160" w:right="226"/>
      </w:pPr>
      <w:r>
        <w:rPr>
          <w:color w:val="231F20"/>
        </w:rPr>
        <w:t>ease policy by more than 50 basis points now with a view to supporting activity in the relatively near term without endangering achievement of the inflation target. On this view, these two factors together made a reduction in the range 75–100 basis points desirable.</w:t>
      </w:r>
    </w:p>
    <w:p>
      <w:pPr>
        <w:pStyle w:val="BodyText"/>
        <w:rPr>
          <w:sz w:val="17"/>
        </w:rPr>
      </w:pPr>
    </w:p>
    <w:p>
      <w:pPr>
        <w:pStyle w:val="ListParagraph"/>
        <w:numPr>
          <w:ilvl w:val="0"/>
          <w:numId w:val="31"/>
        </w:numPr>
        <w:tabs>
          <w:tab w:pos="639" w:val="left" w:leader="none"/>
          <w:tab w:pos="641" w:val="left" w:leader="none"/>
        </w:tabs>
        <w:spacing w:line="232" w:lineRule="auto" w:before="0" w:after="0"/>
        <w:ind w:left="160" w:right="208" w:firstLine="0"/>
        <w:jc w:val="left"/>
        <w:rPr>
          <w:sz w:val="18"/>
        </w:rPr>
      </w:pPr>
      <w:r>
        <w:rPr>
          <w:color w:val="231F20"/>
          <w:sz w:val="18"/>
        </w:rPr>
        <w:t>The Governor invited members of the Committee to vote on the proposition that the Bank’s repo rate be cut by 0.50% to 5.5%. Eight members of the Committee (the Governor, Mervyn King, David Clementi, Alan Budd, Charles Goodhart, DeAnne Julius, </w:t>
      </w:r>
      <w:r>
        <w:rPr>
          <w:color w:val="231F20"/>
          <w:spacing w:val="-6"/>
          <w:sz w:val="18"/>
        </w:rPr>
        <w:t>Ian </w:t>
      </w:r>
      <w:r>
        <w:rPr>
          <w:color w:val="231F20"/>
          <w:sz w:val="18"/>
        </w:rPr>
        <w:t>Plenderleith and John Vickers) voted for the proposition. Willem Buiter voted against, preferring a cut of 0.75%.</w:t>
      </w:r>
    </w:p>
    <w:p>
      <w:pPr>
        <w:pStyle w:val="ListParagraph"/>
        <w:numPr>
          <w:ilvl w:val="0"/>
          <w:numId w:val="31"/>
        </w:numPr>
        <w:tabs>
          <w:tab w:pos="639" w:val="left" w:leader="none"/>
          <w:tab w:pos="641" w:val="left" w:leader="none"/>
        </w:tabs>
        <w:spacing w:line="400" w:lineRule="exact" w:before="39" w:after="0"/>
        <w:ind w:left="160" w:right="54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60"/>
      </w:pPr>
      <w:r>
        <w:rPr>
          <w:color w:val="231F20"/>
        </w:rPr>
        <w:t>Mervyn King, Deputy Governor responsible for monetary policy</w:t>
      </w:r>
    </w:p>
    <w:p>
      <w:pPr>
        <w:pStyle w:val="BodyText"/>
        <w:spacing w:line="232" w:lineRule="auto" w:before="1"/>
        <w:ind w:left="160" w:right="756"/>
      </w:pPr>
      <w:r>
        <w:rPr>
          <w:color w:val="231F20"/>
        </w:rPr>
        <w:t>David Clementi, Deputy Governor responsible for financial stability</w:t>
      </w:r>
    </w:p>
    <w:p>
      <w:pPr>
        <w:pStyle w:val="BodyText"/>
        <w:spacing w:line="232" w:lineRule="auto"/>
        <w:ind w:left="160" w:right="3775"/>
      </w:pPr>
      <w:r>
        <w:rPr>
          <w:color w:val="231F20"/>
        </w:rPr>
        <w:t>Alan Budd Willem Buiter Charles Goodhart DeAnne Julius Ian Plenderleith John Vickers</w:t>
      </w:r>
    </w:p>
    <w:p>
      <w:pPr>
        <w:pStyle w:val="BodyText"/>
        <w:spacing w:before="5"/>
        <w:rPr>
          <w:sz w:val="16"/>
        </w:rPr>
      </w:pPr>
    </w:p>
    <w:p>
      <w:pPr>
        <w:pStyle w:val="ListParagraph"/>
        <w:numPr>
          <w:ilvl w:val="0"/>
          <w:numId w:val="31"/>
        </w:numPr>
        <w:tabs>
          <w:tab w:pos="639" w:val="left" w:leader="none"/>
          <w:tab w:pos="641" w:val="left" w:leader="none"/>
        </w:tabs>
        <w:spacing w:line="240" w:lineRule="auto" w:before="0" w:after="0"/>
        <w:ind w:left="640" w:right="0" w:hanging="481"/>
        <w:jc w:val="left"/>
        <w:rPr>
          <w:sz w:val="18"/>
        </w:rPr>
      </w:pPr>
      <w:r>
        <w:rPr>
          <w:color w:val="231F20"/>
          <w:sz w:val="18"/>
        </w:rPr>
        <w:t>Andrew Turnbull was present as the Treasury representative.</w:t>
      </w:r>
    </w:p>
    <w:p>
      <w:pPr>
        <w:spacing w:after="0" w:line="240" w:lineRule="auto"/>
        <w:jc w:val="left"/>
        <w:rPr>
          <w:sz w:val="18"/>
        </w:rPr>
        <w:sectPr>
          <w:type w:val="continuous"/>
          <w:pgSz w:w="11900" w:h="16840"/>
          <w:pgMar w:top="1220" w:bottom="280" w:left="640" w:right="640"/>
          <w:cols w:num="2" w:equalWidth="0">
            <w:col w:w="5089" w:space="301"/>
            <w:col w:w="5230"/>
          </w:cols>
        </w:sectPr>
      </w:pPr>
    </w:p>
    <w:p>
      <w:pPr>
        <w:pStyle w:val="BodyText"/>
        <w:rPr>
          <w:sz w:val="20"/>
        </w:rPr>
      </w:pPr>
    </w:p>
    <w:p>
      <w:pPr>
        <w:pStyle w:val="BodyText"/>
        <w:rPr>
          <w:sz w:val="20"/>
        </w:rPr>
      </w:pPr>
    </w:p>
    <w:p>
      <w:pPr>
        <w:spacing w:before="256"/>
        <w:ind w:left="169" w:right="0" w:firstLine="0"/>
        <w:jc w:val="left"/>
        <w:rPr>
          <w:b/>
          <w:sz w:val="32"/>
        </w:rPr>
      </w:pPr>
      <w:r>
        <w:rPr>
          <w:b/>
          <w:color w:val="009483"/>
          <w:sz w:val="32"/>
        </w:rPr>
        <w:t>Annex: Summary of data presented by Bank staff</w:t>
      </w:r>
    </w:p>
    <w:p>
      <w:pPr>
        <w:pStyle w:val="BodyText"/>
        <w:spacing w:before="5"/>
        <w:rPr>
          <w:b/>
          <w:sz w:val="26"/>
        </w:rPr>
      </w:pPr>
    </w:p>
    <w:p>
      <w:pPr>
        <w:spacing w:after="0"/>
        <w:rPr>
          <w:sz w:val="26"/>
        </w:rPr>
        <w:sectPr>
          <w:pgSz w:w="11900" w:h="16840"/>
          <w:pgMar w:header="566" w:footer="597" w:top="760" w:bottom="780" w:left="640" w:right="640"/>
        </w:sectPr>
      </w:pPr>
    </w:p>
    <w:p>
      <w:pPr>
        <w:pStyle w:val="ListParagraph"/>
        <w:numPr>
          <w:ilvl w:val="0"/>
          <w:numId w:val="32"/>
        </w:numPr>
        <w:tabs>
          <w:tab w:pos="649" w:val="left" w:leader="none"/>
          <w:tab w:pos="651" w:val="left" w:leader="none"/>
        </w:tabs>
        <w:spacing w:line="232" w:lineRule="auto" w:before="98" w:after="0"/>
        <w:ind w:left="170" w:right="187" w:firstLine="0"/>
        <w:jc w:val="left"/>
        <w:rPr>
          <w:sz w:val="18"/>
        </w:rPr>
      </w:pPr>
      <w:r>
        <w:rPr>
          <w:color w:val="231F20"/>
          <w:sz w:val="18"/>
        </w:rPr>
        <w:t>This Annex summarises the analysis presented by the </w:t>
      </w:r>
      <w:r>
        <w:rPr>
          <w:color w:val="231F20"/>
          <w:spacing w:val="-5"/>
          <w:sz w:val="18"/>
        </w:rPr>
        <w:t>Bank </w:t>
      </w:r>
      <w:r>
        <w:rPr>
          <w:color w:val="231F20"/>
          <w:sz w:val="18"/>
        </w:rPr>
        <w:t>staff to the Monetary Policy Committee on 29 January 1999, in advance of its meeting on 3–4 February 1999. At the start of the Committee meeting itself, members were made aware of information that had subsequently become available, and that information is included in the Annex.</w:t>
      </w:r>
    </w:p>
    <w:p>
      <w:pPr>
        <w:pStyle w:val="BodyText"/>
        <w:spacing w:before="2"/>
        <w:rPr>
          <w:sz w:val="20"/>
        </w:rPr>
      </w:pPr>
    </w:p>
    <w:p>
      <w:pPr>
        <w:pStyle w:val="Heading3"/>
        <w:numPr>
          <w:ilvl w:val="0"/>
          <w:numId w:val="33"/>
        </w:numPr>
        <w:tabs>
          <w:tab w:pos="649" w:val="left" w:leader="none"/>
          <w:tab w:pos="651" w:val="left" w:leader="none"/>
        </w:tabs>
        <w:spacing w:line="240" w:lineRule="auto" w:before="1" w:after="0"/>
        <w:ind w:left="650" w:right="0" w:hanging="481"/>
        <w:jc w:val="left"/>
      </w:pPr>
      <w:r>
        <w:rPr>
          <w:color w:val="009483"/>
        </w:rPr>
        <w:t>Monetary conditions</w:t>
      </w:r>
    </w:p>
    <w:p>
      <w:pPr>
        <w:pStyle w:val="ListParagraph"/>
        <w:numPr>
          <w:ilvl w:val="0"/>
          <w:numId w:val="32"/>
        </w:numPr>
        <w:tabs>
          <w:tab w:pos="649" w:val="left" w:leader="none"/>
          <w:tab w:pos="651" w:val="left" w:leader="none"/>
        </w:tabs>
        <w:spacing w:line="232" w:lineRule="auto" w:before="109" w:after="0"/>
        <w:ind w:left="170" w:right="38" w:firstLine="0"/>
        <w:jc w:val="left"/>
        <w:rPr>
          <w:sz w:val="18"/>
        </w:rPr>
      </w:pPr>
      <w:r>
        <w:rPr>
          <w:color w:val="231F20"/>
          <w:sz w:val="18"/>
        </w:rPr>
        <w:t>Notes and coin had risen by 0.6% in January and the annualised three and six-month growth rates had picked up to 7.1% and 6.1% respectively, after adjusting for the effects of the introduction of the 50p and £2 coins. However, new estimates of seasonal factors had led to the December monthly growth rate </w:t>
      </w:r>
      <w:r>
        <w:rPr>
          <w:color w:val="231F20"/>
          <w:spacing w:val="-4"/>
          <w:sz w:val="18"/>
        </w:rPr>
        <w:t>being </w:t>
      </w:r>
      <w:r>
        <w:rPr>
          <w:color w:val="231F20"/>
          <w:sz w:val="18"/>
        </w:rPr>
        <w:t>revised down from 1.2% to 0.6%. In the past, there had been some correlation between monthly changes in notes and coin and current and future changes in the value of retail sales.</w:t>
      </w:r>
    </w:p>
    <w:p>
      <w:pPr>
        <w:pStyle w:val="BodyText"/>
        <w:spacing w:before="10"/>
        <w:rPr>
          <w:sz w:val="16"/>
        </w:rPr>
      </w:pPr>
    </w:p>
    <w:p>
      <w:pPr>
        <w:pStyle w:val="ListParagraph"/>
        <w:numPr>
          <w:ilvl w:val="0"/>
          <w:numId w:val="32"/>
        </w:numPr>
        <w:tabs>
          <w:tab w:pos="649" w:val="left" w:leader="none"/>
          <w:tab w:pos="651" w:val="left" w:leader="none"/>
        </w:tabs>
        <w:spacing w:line="232" w:lineRule="auto" w:before="0" w:after="0"/>
        <w:ind w:left="170" w:right="488" w:firstLine="0"/>
        <w:jc w:val="left"/>
        <w:rPr>
          <w:sz w:val="18"/>
        </w:rPr>
      </w:pPr>
      <w:r>
        <w:rPr>
          <w:color w:val="231F20"/>
          <w:sz w:val="18"/>
        </w:rPr>
        <w:t>The twelve-month growth rate of M4 had been 8.1% </w:t>
      </w:r>
      <w:r>
        <w:rPr>
          <w:color w:val="231F20"/>
          <w:spacing w:val="-9"/>
          <w:sz w:val="18"/>
        </w:rPr>
        <w:t>in </w:t>
      </w:r>
      <w:r>
        <w:rPr>
          <w:color w:val="231F20"/>
          <w:sz w:val="18"/>
        </w:rPr>
        <w:t>December, the lowest since June 1995. Annualised three and</w:t>
      </w:r>
    </w:p>
    <w:p>
      <w:pPr>
        <w:pStyle w:val="BodyText"/>
        <w:spacing w:line="232" w:lineRule="auto"/>
        <w:ind w:left="170" w:right="86"/>
      </w:pPr>
      <w:r>
        <w:rPr>
          <w:color w:val="231F20"/>
        </w:rPr>
        <w:t>six-month growth rates had been below the twelve-month rate. </w:t>
      </w:r>
      <w:r>
        <w:rPr>
          <w:color w:val="231F20"/>
          <w:spacing w:val="-6"/>
        </w:rPr>
        <w:t>The </w:t>
      </w:r>
      <w:r>
        <w:rPr>
          <w:color w:val="231F20"/>
        </w:rPr>
        <w:t>slowdown had been driven by other financial corporations (OFCs): the twelve-month growth rate of OFCs’ M4 in 1998 Q4 had been 16.0%, the lowest since 1995 Q2. This figure could have reflected a temporary contraction of OFCs’ balance sheets at the end of the financial year.</w:t>
      </w:r>
    </w:p>
    <w:p>
      <w:pPr>
        <w:pStyle w:val="BodyText"/>
        <w:spacing w:before="9"/>
        <w:rPr>
          <w:sz w:val="16"/>
        </w:rPr>
      </w:pPr>
    </w:p>
    <w:p>
      <w:pPr>
        <w:pStyle w:val="ListParagraph"/>
        <w:numPr>
          <w:ilvl w:val="0"/>
          <w:numId w:val="32"/>
        </w:numPr>
        <w:tabs>
          <w:tab w:pos="649" w:val="left" w:leader="none"/>
          <w:tab w:pos="651" w:val="left" w:leader="none"/>
        </w:tabs>
        <w:spacing w:line="232" w:lineRule="auto" w:before="1" w:after="0"/>
        <w:ind w:left="170" w:right="293" w:firstLine="0"/>
        <w:jc w:val="left"/>
        <w:rPr>
          <w:sz w:val="18"/>
        </w:rPr>
      </w:pPr>
      <w:r>
        <w:rPr>
          <w:color w:val="231F20"/>
          <w:sz w:val="18"/>
        </w:rPr>
        <w:t>Households’ M4 growth had continued to pick up in  1998 Q4. The three-month annualised growth rate in the </w:t>
      </w:r>
      <w:r>
        <w:rPr>
          <w:color w:val="231F20"/>
          <w:spacing w:val="-3"/>
          <w:sz w:val="18"/>
        </w:rPr>
        <w:t>quarter </w:t>
      </w:r>
      <w:r>
        <w:rPr>
          <w:color w:val="231F20"/>
          <w:sz w:val="18"/>
        </w:rPr>
        <w:t>had been 9.0%, the highest since 1997 Q1, and the six-month annualised rate of 8.1% had been the highest since 1997 Q2.</w:t>
      </w:r>
    </w:p>
    <w:p>
      <w:pPr>
        <w:pStyle w:val="BodyText"/>
        <w:spacing w:before="1"/>
        <w:rPr>
          <w:sz w:val="17"/>
        </w:rPr>
      </w:pPr>
    </w:p>
    <w:p>
      <w:pPr>
        <w:pStyle w:val="ListParagraph"/>
        <w:numPr>
          <w:ilvl w:val="0"/>
          <w:numId w:val="32"/>
        </w:numPr>
        <w:tabs>
          <w:tab w:pos="649" w:val="left" w:leader="none"/>
          <w:tab w:pos="651" w:val="left" w:leader="none"/>
        </w:tabs>
        <w:spacing w:line="232" w:lineRule="auto" w:before="0" w:after="0"/>
        <w:ind w:left="170" w:right="178" w:firstLine="0"/>
        <w:jc w:val="left"/>
        <w:rPr>
          <w:sz w:val="18"/>
        </w:rPr>
      </w:pPr>
      <w:r>
        <w:rPr>
          <w:color w:val="231F20"/>
          <w:sz w:val="18"/>
        </w:rPr>
        <w:t>The £0.2 billion fall in private non-financial corporations’ (P</w:t>
      </w:r>
      <w:r>
        <w:rPr>
          <w:color w:val="231F20"/>
          <w:sz w:val="14"/>
        </w:rPr>
        <w:t>NFC</w:t>
      </w:r>
      <w:r>
        <w:rPr>
          <w:color w:val="231F20"/>
          <w:sz w:val="18"/>
        </w:rPr>
        <w:t>s’) deposits during 1998 Q4 had been the first fall since 1995 Q2. The twelve-month growth rate had fallen to 3.5% in </w:t>
      </w:r>
      <w:r>
        <w:rPr>
          <w:color w:val="231F20"/>
          <w:spacing w:val="-9"/>
          <w:sz w:val="18"/>
        </w:rPr>
        <w:t>Q4 </w:t>
      </w:r>
      <w:r>
        <w:rPr>
          <w:color w:val="231F20"/>
          <w:sz w:val="18"/>
        </w:rPr>
        <w:t>from 5.2% in Q3. Firms may have been using bank deposits as a form of ‘buffer stock’ to smooth fluctuations in cashflows as they adjusted to changes in demand.</w:t>
      </w:r>
    </w:p>
    <w:p>
      <w:pPr>
        <w:pStyle w:val="BodyText"/>
        <w:rPr>
          <w:sz w:val="17"/>
        </w:rPr>
      </w:pPr>
    </w:p>
    <w:p>
      <w:pPr>
        <w:pStyle w:val="ListParagraph"/>
        <w:numPr>
          <w:ilvl w:val="0"/>
          <w:numId w:val="32"/>
        </w:numPr>
        <w:tabs>
          <w:tab w:pos="649" w:val="left" w:leader="none"/>
          <w:tab w:pos="651" w:val="left" w:leader="none"/>
        </w:tabs>
        <w:spacing w:line="232" w:lineRule="auto" w:before="0" w:after="0"/>
        <w:ind w:left="170" w:right="38" w:firstLine="0"/>
        <w:jc w:val="left"/>
        <w:rPr>
          <w:sz w:val="18"/>
        </w:rPr>
      </w:pPr>
      <w:r>
        <w:rPr>
          <w:color w:val="231F20"/>
          <w:sz w:val="18"/>
        </w:rPr>
        <w:t>M4 lending had also continued to slow in December. The twelve-month rate, at 7.5%, had been the lowest since April 1995, while the three and six-month annualised growth rates had remained below the twelve-month growth rate. As with M4, the slowdown had been led by OFCs. The twelve-month growth rate </w:t>
      </w:r>
      <w:r>
        <w:rPr>
          <w:color w:val="231F20"/>
          <w:spacing w:val="-9"/>
          <w:sz w:val="18"/>
        </w:rPr>
        <w:t>of </w:t>
      </w:r>
      <w:r>
        <w:rPr>
          <w:color w:val="231F20"/>
          <w:sz w:val="18"/>
        </w:rPr>
        <w:t>OFCs lending had fallen to 9.7% in 1998 Q4, down by</w:t>
      </w:r>
    </w:p>
    <w:p>
      <w:pPr>
        <w:pStyle w:val="BodyText"/>
        <w:spacing w:line="232" w:lineRule="auto"/>
        <w:ind w:left="170" w:right="111"/>
      </w:pPr>
      <w:r>
        <w:rPr>
          <w:color w:val="231F20"/>
        </w:rPr>
        <w:t>6.0 percentage points from 1998 Q3, and the lowest level since 1994 Q3. As with their M4 deposits, contraction of financial institutions’ balance sheets at the year end had contributed to weak OFCs’ lending in Q4.</w:t>
      </w:r>
    </w:p>
    <w:p>
      <w:pPr>
        <w:pStyle w:val="BodyText"/>
        <w:spacing w:before="8"/>
        <w:rPr>
          <w:sz w:val="16"/>
        </w:rPr>
      </w:pPr>
    </w:p>
    <w:p>
      <w:pPr>
        <w:pStyle w:val="ListParagraph"/>
        <w:numPr>
          <w:ilvl w:val="0"/>
          <w:numId w:val="32"/>
        </w:numPr>
        <w:tabs>
          <w:tab w:pos="649" w:val="left" w:leader="none"/>
          <w:tab w:pos="651" w:val="left" w:leader="none"/>
        </w:tabs>
        <w:spacing w:line="232" w:lineRule="auto" w:before="0" w:after="0"/>
        <w:ind w:left="170" w:right="63" w:firstLine="0"/>
        <w:jc w:val="left"/>
        <w:rPr>
          <w:sz w:val="18"/>
        </w:rPr>
      </w:pPr>
      <w:r>
        <w:rPr>
          <w:color w:val="231F20"/>
          <w:sz w:val="18"/>
        </w:rPr>
        <w:t>M4 lending to the household sector had remained firm in 1998 Q4, growing by 7.5% on a year earlier. Within the comprehensive measure of lending to individuals, the growth of secured lending had been steady at 5.9%, despite a slowdown in </w:t>
      </w:r>
      <w:r>
        <w:rPr>
          <w:color w:val="231F20"/>
          <w:spacing w:val="-6"/>
          <w:sz w:val="18"/>
        </w:rPr>
        <w:t>the </w:t>
      </w:r>
      <w:r>
        <w:rPr>
          <w:color w:val="231F20"/>
          <w:sz w:val="18"/>
        </w:rPr>
        <w:t>housing market.  Growth in unsecured lending had remained high in Q4, at 16.3%.</w:t>
      </w:r>
    </w:p>
    <w:p>
      <w:pPr>
        <w:pStyle w:val="BodyText"/>
        <w:rPr>
          <w:sz w:val="17"/>
        </w:rPr>
      </w:pPr>
    </w:p>
    <w:p>
      <w:pPr>
        <w:pStyle w:val="ListParagraph"/>
        <w:numPr>
          <w:ilvl w:val="0"/>
          <w:numId w:val="32"/>
        </w:numPr>
        <w:tabs>
          <w:tab w:pos="649" w:val="left" w:leader="none"/>
          <w:tab w:pos="651" w:val="left" w:leader="none"/>
        </w:tabs>
        <w:spacing w:line="232" w:lineRule="auto" w:before="0" w:after="0"/>
        <w:ind w:left="170" w:right="108" w:firstLine="0"/>
        <w:jc w:val="left"/>
        <w:rPr>
          <w:sz w:val="18"/>
        </w:rPr>
      </w:pPr>
      <w:r>
        <w:rPr>
          <w:color w:val="231F20"/>
          <w:sz w:val="18"/>
        </w:rPr>
        <w:t>The recent strength of unsecured lending contrasted with </w:t>
      </w:r>
      <w:r>
        <w:rPr>
          <w:color w:val="231F20"/>
          <w:spacing w:val="-6"/>
          <w:sz w:val="18"/>
        </w:rPr>
        <w:t>the </w:t>
      </w:r>
      <w:r>
        <w:rPr>
          <w:color w:val="231F20"/>
          <w:sz w:val="18"/>
        </w:rPr>
        <w:t>relative weakness of consumption. One interpretation was that </w:t>
      </w:r>
      <w:r>
        <w:rPr>
          <w:color w:val="231F20"/>
          <w:spacing w:val="-5"/>
          <w:sz w:val="18"/>
        </w:rPr>
        <w:t>this </w:t>
      </w:r>
      <w:r>
        <w:rPr>
          <w:color w:val="231F20"/>
          <w:sz w:val="18"/>
        </w:rPr>
        <w:t>was a shift from other forms of borrowing such as mortgage equity withdrawal. Wider measures of consumer borrowing, which included equity withdrawal, had continued to show a closer relationship with consumption in recent quarters.</w:t>
      </w:r>
    </w:p>
    <w:p>
      <w:pPr>
        <w:pStyle w:val="BodyText"/>
        <w:rPr>
          <w:sz w:val="17"/>
        </w:rPr>
      </w:pPr>
    </w:p>
    <w:p>
      <w:pPr>
        <w:pStyle w:val="ListParagraph"/>
        <w:numPr>
          <w:ilvl w:val="0"/>
          <w:numId w:val="32"/>
        </w:numPr>
        <w:tabs>
          <w:tab w:pos="649" w:val="left" w:leader="none"/>
          <w:tab w:pos="651" w:val="left" w:leader="none"/>
        </w:tabs>
        <w:spacing w:line="232" w:lineRule="auto" w:before="0" w:after="0"/>
        <w:ind w:left="170" w:right="93" w:firstLine="0"/>
        <w:jc w:val="left"/>
        <w:rPr>
          <w:sz w:val="18"/>
        </w:rPr>
      </w:pPr>
      <w:r>
        <w:rPr>
          <w:color w:val="231F20"/>
          <w:sz w:val="18"/>
        </w:rPr>
        <w:t>The twelve-month growth rate of M4 lending to P</w:t>
      </w:r>
      <w:r>
        <w:rPr>
          <w:color w:val="231F20"/>
          <w:sz w:val="14"/>
        </w:rPr>
        <w:t>NFC</w:t>
      </w:r>
      <w:r>
        <w:rPr>
          <w:color w:val="231F20"/>
          <w:sz w:val="18"/>
        </w:rPr>
        <w:t>s had picked up in 1998 Q4 (by 0.5 percentage points, to 6.4%), </w:t>
      </w:r>
      <w:r>
        <w:rPr>
          <w:color w:val="231F20"/>
          <w:spacing w:val="-3"/>
          <w:sz w:val="18"/>
        </w:rPr>
        <w:t>although </w:t>
      </w:r>
      <w:r>
        <w:rPr>
          <w:color w:val="231F20"/>
          <w:sz w:val="18"/>
        </w:rPr>
        <w:t>the three and six-month growth rates had remained below the</w:t>
      </w:r>
    </w:p>
    <w:p>
      <w:pPr>
        <w:pStyle w:val="BodyText"/>
        <w:spacing w:line="232" w:lineRule="auto" w:before="98"/>
        <w:ind w:left="170" w:right="207"/>
      </w:pPr>
      <w:r>
        <w:rPr/>
        <w:br w:type="column"/>
      </w:r>
      <w:r>
        <w:rPr>
          <w:color w:val="231F20"/>
        </w:rPr>
        <w:t>twelve-month rate. Total external borrowing by P</w:t>
      </w:r>
      <w:r>
        <w:rPr>
          <w:color w:val="231F20"/>
          <w:sz w:val="14"/>
        </w:rPr>
        <w:t>NFC</w:t>
      </w:r>
      <w:r>
        <w:rPr>
          <w:color w:val="231F20"/>
        </w:rPr>
        <w:t>s in Q4 had fallen slightly, by £0.3 billion to £7.3 billion, mainly reflecting lower net capital issues in foreign currency.</w:t>
      </w:r>
    </w:p>
    <w:p>
      <w:pPr>
        <w:pStyle w:val="BodyText"/>
        <w:spacing w:before="2"/>
        <w:rPr>
          <w:sz w:val="17"/>
        </w:rPr>
      </w:pPr>
    </w:p>
    <w:p>
      <w:pPr>
        <w:pStyle w:val="ListParagraph"/>
        <w:numPr>
          <w:ilvl w:val="0"/>
          <w:numId w:val="32"/>
        </w:numPr>
        <w:tabs>
          <w:tab w:pos="649" w:val="left" w:leader="none"/>
          <w:tab w:pos="651" w:val="left" w:leader="none"/>
        </w:tabs>
        <w:spacing w:line="232" w:lineRule="auto" w:before="0" w:after="0"/>
        <w:ind w:left="170" w:right="227" w:firstLine="0"/>
        <w:jc w:val="left"/>
        <w:rPr>
          <w:sz w:val="18"/>
        </w:rPr>
      </w:pPr>
      <w:r>
        <w:rPr>
          <w:color w:val="231F20"/>
          <w:sz w:val="18"/>
        </w:rPr>
        <w:t>Banks and building societies had announced further cuts to standard variable mortgage rates following the reduction in </w:t>
      </w:r>
      <w:r>
        <w:rPr>
          <w:color w:val="231F20"/>
          <w:spacing w:val="-3"/>
          <w:sz w:val="18"/>
        </w:rPr>
        <w:t>official </w:t>
      </w:r>
      <w:r>
        <w:rPr>
          <w:color w:val="231F20"/>
          <w:sz w:val="18"/>
        </w:rPr>
        <w:t>rates in January. Mortgage rates had been reduced by the full</w:t>
      </w:r>
    </w:p>
    <w:p>
      <w:pPr>
        <w:pStyle w:val="BodyText"/>
        <w:spacing w:line="232" w:lineRule="auto"/>
        <w:ind w:left="170" w:right="207"/>
      </w:pPr>
      <w:r>
        <w:rPr>
          <w:color w:val="231F20"/>
        </w:rPr>
        <w:t>150 basis point cut in the repo rate since October. Credit card rates had fallen again in December, especially among long-established lenders. This was indicative of competition from new entrants in the market.</w:t>
      </w:r>
    </w:p>
    <w:p>
      <w:pPr>
        <w:pStyle w:val="BodyText"/>
        <w:spacing w:before="10"/>
        <w:rPr>
          <w:sz w:val="16"/>
        </w:rPr>
      </w:pPr>
    </w:p>
    <w:p>
      <w:pPr>
        <w:pStyle w:val="BodyText"/>
        <w:tabs>
          <w:tab w:pos="649" w:val="left" w:leader="none"/>
        </w:tabs>
        <w:spacing w:line="232" w:lineRule="auto"/>
        <w:ind w:left="170" w:right="172"/>
      </w:pPr>
      <w:r>
        <w:rPr>
          <w:color w:val="231F20"/>
        </w:rPr>
        <w:t>11</w:t>
        <w:tab/>
        <w:t>Inflation expectations for 1999 as measured by surveys of professional forecasters, conducted by Consensus Economics (forecasts of average 1999 RPIX inflation), HM Treasury</w:t>
      </w:r>
      <w:r>
        <w:rPr>
          <w:color w:val="231F20"/>
          <w:spacing w:val="-17"/>
        </w:rPr>
        <w:t> </w:t>
      </w:r>
      <w:r>
        <w:rPr>
          <w:color w:val="231F20"/>
        </w:rPr>
        <w:t>(forecasts of 1999 Q4 RPIX inflation) and the Merrill Lynch survey of fund managers (forecasts of RPIX inflation in the year to December 1999) had remained largely unchanged in January, and were between 20 and 40 basis points below the Bank’s inflation target. Inflation expectations for 2000, measured by the same institutions and on the same basis, had all been 2.2%. The Merrill Lynch survey had been conducted prior to the cut in the repo rate on</w:t>
      </w:r>
    </w:p>
    <w:p>
      <w:pPr>
        <w:pStyle w:val="BodyText"/>
        <w:spacing w:line="194" w:lineRule="exact"/>
        <w:ind w:left="170"/>
      </w:pPr>
      <w:r>
        <w:rPr>
          <w:color w:val="231F20"/>
        </w:rPr>
        <w:t>6 January.</w:t>
      </w:r>
    </w:p>
    <w:p>
      <w:pPr>
        <w:pStyle w:val="BodyText"/>
        <w:spacing w:before="3"/>
        <w:rPr>
          <w:sz w:val="17"/>
        </w:rPr>
      </w:pPr>
    </w:p>
    <w:p>
      <w:pPr>
        <w:pStyle w:val="ListParagraph"/>
        <w:numPr>
          <w:ilvl w:val="0"/>
          <w:numId w:val="34"/>
        </w:numPr>
        <w:tabs>
          <w:tab w:pos="649" w:val="left" w:leader="none"/>
          <w:tab w:pos="651" w:val="left" w:leader="none"/>
        </w:tabs>
        <w:spacing w:line="232" w:lineRule="auto" w:before="0" w:after="0"/>
        <w:ind w:left="170" w:right="152" w:firstLine="0"/>
        <w:jc w:val="left"/>
        <w:rPr>
          <w:sz w:val="18"/>
        </w:rPr>
      </w:pPr>
      <w:r>
        <w:rPr>
          <w:color w:val="231F20"/>
          <w:sz w:val="18"/>
        </w:rPr>
        <w:t>Estimates of short real rates had been made by subtracting the Merrill Lynch survey measure of inflation expectations from </w:t>
      </w:r>
      <w:r>
        <w:rPr>
          <w:color w:val="231F20"/>
          <w:spacing w:val="-6"/>
          <w:sz w:val="18"/>
        </w:rPr>
        <w:t>the </w:t>
      </w:r>
      <w:r>
        <w:rPr>
          <w:color w:val="231F20"/>
          <w:sz w:val="18"/>
        </w:rPr>
        <w:t>corresponding-maturity wholesale money-market rate. This calculation had suggested that the one-year real forward rate for 2000 had fallen during December, by around 20 basis points.</w:t>
      </w:r>
    </w:p>
    <w:p>
      <w:pPr>
        <w:pStyle w:val="BodyText"/>
        <w:spacing w:before="4"/>
        <w:rPr>
          <w:sz w:val="20"/>
        </w:rPr>
      </w:pPr>
    </w:p>
    <w:p>
      <w:pPr>
        <w:pStyle w:val="Heading3"/>
        <w:numPr>
          <w:ilvl w:val="0"/>
          <w:numId w:val="33"/>
        </w:numPr>
        <w:tabs>
          <w:tab w:pos="650" w:val="left" w:leader="none"/>
          <w:tab w:pos="651" w:val="left" w:leader="none"/>
        </w:tabs>
        <w:spacing w:line="240" w:lineRule="auto" w:before="0" w:after="0"/>
        <w:ind w:left="650" w:right="0" w:hanging="481"/>
        <w:jc w:val="left"/>
      </w:pPr>
      <w:r>
        <w:rPr>
          <w:color w:val="009483"/>
        </w:rPr>
        <w:t>Demand and output</w:t>
      </w:r>
    </w:p>
    <w:p>
      <w:pPr>
        <w:pStyle w:val="ListParagraph"/>
        <w:numPr>
          <w:ilvl w:val="0"/>
          <w:numId w:val="34"/>
        </w:numPr>
        <w:tabs>
          <w:tab w:pos="649" w:val="left" w:leader="none"/>
          <w:tab w:pos="651" w:val="left" w:leader="none"/>
        </w:tabs>
        <w:spacing w:line="232" w:lineRule="auto" w:before="109" w:after="0"/>
        <w:ind w:left="170" w:right="161" w:firstLine="0"/>
        <w:jc w:val="left"/>
        <w:rPr>
          <w:sz w:val="18"/>
        </w:rPr>
      </w:pPr>
      <w:r>
        <w:rPr>
          <w:color w:val="231F20"/>
          <w:sz w:val="18"/>
        </w:rPr>
        <w:t>GDP had risen by 0.2% in 1998 Q4 and by 1.6% compared with a year ago. Service sector output had grown by 0.6%, compared with 0.8% in Q3. December manufacturing output data had not yet been published, but in the three months to November, output had fallen by 1.1%. Car production had fallen by almost 4% in 1998 H2 compared with 1998 H1: production for export </w:t>
      </w:r>
      <w:r>
        <w:rPr>
          <w:color w:val="231F20"/>
          <w:spacing w:val="-3"/>
          <w:sz w:val="18"/>
        </w:rPr>
        <w:t>markets </w:t>
      </w:r>
      <w:r>
        <w:rPr>
          <w:color w:val="231F20"/>
          <w:sz w:val="18"/>
        </w:rPr>
        <w:t>had risen by 7%, whereas production for home markets had declined by 17%. But there had been anecdotal reports that export orders for cars were falling. Within services, distribution, hotels and catering output had been flat in Q4.</w:t>
      </w:r>
    </w:p>
    <w:p>
      <w:pPr>
        <w:pStyle w:val="BodyText"/>
        <w:spacing w:before="8"/>
        <w:rPr>
          <w:sz w:val="16"/>
        </w:rPr>
      </w:pPr>
    </w:p>
    <w:p>
      <w:pPr>
        <w:pStyle w:val="ListParagraph"/>
        <w:numPr>
          <w:ilvl w:val="0"/>
          <w:numId w:val="34"/>
        </w:numPr>
        <w:tabs>
          <w:tab w:pos="649" w:val="left" w:leader="none"/>
          <w:tab w:pos="651" w:val="left" w:leader="none"/>
        </w:tabs>
        <w:spacing w:line="232" w:lineRule="auto" w:before="0" w:after="0"/>
        <w:ind w:left="170" w:right="287" w:firstLine="0"/>
        <w:jc w:val="left"/>
        <w:rPr>
          <w:sz w:val="18"/>
        </w:rPr>
      </w:pPr>
      <w:r>
        <w:rPr>
          <w:color w:val="231F20"/>
          <w:sz w:val="18"/>
        </w:rPr>
        <w:t>Retail sales volumes had fallen sharply in December, by 0.9%, more than reversing November’s rise. In Q4 overall, sales volumes had fallen by 0.2%, the first quarterly fall since 1992 </w:t>
      </w:r>
      <w:r>
        <w:rPr>
          <w:color w:val="231F20"/>
          <w:spacing w:val="-6"/>
          <w:sz w:val="18"/>
        </w:rPr>
        <w:t>Q3. </w:t>
      </w:r>
      <w:r>
        <w:rPr>
          <w:color w:val="231F20"/>
          <w:sz w:val="18"/>
        </w:rPr>
        <w:t>The annual growth rate had stood at 1.4% in Q4. The underlying trend in retail sales growth had still been downward.</w:t>
      </w:r>
    </w:p>
    <w:p>
      <w:pPr>
        <w:pStyle w:val="BodyText"/>
        <w:spacing w:before="1"/>
        <w:rPr>
          <w:sz w:val="17"/>
        </w:rPr>
      </w:pPr>
    </w:p>
    <w:p>
      <w:pPr>
        <w:pStyle w:val="ListParagraph"/>
        <w:numPr>
          <w:ilvl w:val="0"/>
          <w:numId w:val="34"/>
        </w:numPr>
        <w:tabs>
          <w:tab w:pos="649" w:val="left" w:leader="none"/>
          <w:tab w:pos="651" w:val="left" w:leader="none"/>
        </w:tabs>
        <w:spacing w:line="232" w:lineRule="auto" w:before="0" w:after="0"/>
        <w:ind w:left="170" w:right="246" w:firstLine="0"/>
        <w:jc w:val="left"/>
        <w:rPr>
          <w:sz w:val="18"/>
        </w:rPr>
      </w:pPr>
      <w:r>
        <w:rPr>
          <w:color w:val="231F20"/>
          <w:sz w:val="18"/>
        </w:rPr>
        <w:t>Quarterly growth in retail sales and National Accounts data for spending on retail goods had not always been consistent. For example, there were different surveys for food. And car registrations data had implied a rise in spending on cars in Q4. It was possible that, overall, consumption growth in Q4 had not </w:t>
      </w:r>
      <w:r>
        <w:rPr>
          <w:color w:val="231F20"/>
          <w:spacing w:val="-5"/>
          <w:sz w:val="18"/>
        </w:rPr>
        <w:t>been </w:t>
      </w:r>
      <w:r>
        <w:rPr>
          <w:color w:val="231F20"/>
          <w:sz w:val="18"/>
        </w:rPr>
        <w:t>as weak as the retail sales data suggested.</w:t>
      </w:r>
    </w:p>
    <w:p>
      <w:pPr>
        <w:pStyle w:val="BodyText"/>
        <w:rPr>
          <w:sz w:val="17"/>
        </w:rPr>
      </w:pPr>
    </w:p>
    <w:p>
      <w:pPr>
        <w:pStyle w:val="ListParagraph"/>
        <w:numPr>
          <w:ilvl w:val="0"/>
          <w:numId w:val="34"/>
        </w:numPr>
        <w:tabs>
          <w:tab w:pos="649" w:val="left" w:leader="none"/>
          <w:tab w:pos="651" w:val="left" w:leader="none"/>
        </w:tabs>
        <w:spacing w:line="232" w:lineRule="auto" w:before="0" w:after="0"/>
        <w:ind w:left="170" w:right="146" w:firstLine="0"/>
        <w:jc w:val="left"/>
        <w:rPr>
          <w:sz w:val="18"/>
        </w:rPr>
      </w:pPr>
      <w:r>
        <w:rPr>
          <w:color w:val="231F20"/>
          <w:sz w:val="18"/>
        </w:rPr>
        <w:t>Surveys for plant and machinery investment had continued </w:t>
      </w:r>
      <w:r>
        <w:rPr>
          <w:color w:val="231F20"/>
          <w:spacing w:val="-9"/>
          <w:sz w:val="18"/>
        </w:rPr>
        <w:t>to </w:t>
      </w:r>
      <w:r>
        <w:rPr>
          <w:color w:val="231F20"/>
          <w:sz w:val="18"/>
        </w:rPr>
        <w:t>indicate a slowdown in investment growth. The Confederation of British Industry (CBI) Industrial Trends and British Chambers of Commerce (BCC) surveys for Q4 had indicated that, on balance, manufacturers had intended to reduce investment, though there had been some easing in the CBI survey balance (from -32 to -21). The BCC survey balance for the service sector had continued to show positive investment intentions, though the balance had fallen from</w:t>
      </w:r>
    </w:p>
    <w:p>
      <w:pPr>
        <w:pStyle w:val="BodyText"/>
        <w:spacing w:line="232" w:lineRule="auto"/>
        <w:ind w:left="170" w:right="288"/>
      </w:pPr>
      <w:r>
        <w:rPr>
          <w:color w:val="231F20"/>
        </w:rPr>
        <w:t>+27 in Q2 to +17 in Q4. Around 50% of whole-economy investment tended to be accounted for by investment in buildings. And construction new orders had been rising during 1998.</w:t>
      </w:r>
    </w:p>
    <w:p>
      <w:pPr>
        <w:spacing w:after="0" w:line="232" w:lineRule="auto"/>
        <w:sectPr>
          <w:type w:val="continuous"/>
          <w:pgSz w:w="11900" w:h="16840"/>
          <w:pgMar w:top="1220" w:bottom="280" w:left="640" w:right="640"/>
          <w:cols w:num="2" w:equalWidth="0">
            <w:col w:w="5120" w:space="273"/>
            <w:col w:w="5227"/>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ListParagraph"/>
        <w:numPr>
          <w:ilvl w:val="0"/>
          <w:numId w:val="34"/>
        </w:numPr>
        <w:tabs>
          <w:tab w:pos="645" w:val="left" w:leader="none"/>
          <w:tab w:pos="646" w:val="left" w:leader="none"/>
        </w:tabs>
        <w:spacing w:line="232" w:lineRule="auto" w:before="1" w:after="0"/>
        <w:ind w:left="165" w:right="137" w:firstLine="0"/>
        <w:jc w:val="left"/>
        <w:rPr>
          <w:sz w:val="18"/>
        </w:rPr>
      </w:pPr>
      <w:r>
        <w:rPr>
          <w:color w:val="231F20"/>
          <w:sz w:val="18"/>
        </w:rPr>
        <w:t>The CBI survey had suggested that although manufacturers had sharply reduced their stocks of finished goods in Q4—the balance had fallen to -14 from +3—stocks had remained high relative to expected demand. An unwinding of stocks had been consistent with falling manufacturing output in Q4. The CBI Distributive Trades survey had also indicated that retail stocks </w:t>
      </w:r>
      <w:r>
        <w:rPr>
          <w:color w:val="231F20"/>
          <w:spacing w:val="-6"/>
          <w:sz w:val="18"/>
        </w:rPr>
        <w:t>had </w:t>
      </w:r>
      <w:r>
        <w:rPr>
          <w:color w:val="231F20"/>
          <w:sz w:val="18"/>
        </w:rPr>
        <w:t>remained excessive relative to demand in December.</w:t>
      </w:r>
    </w:p>
    <w:p>
      <w:pPr>
        <w:pStyle w:val="BodyText"/>
        <w:spacing w:before="10"/>
        <w:rPr>
          <w:sz w:val="16"/>
        </w:rPr>
      </w:pPr>
    </w:p>
    <w:p>
      <w:pPr>
        <w:pStyle w:val="ListParagraph"/>
        <w:numPr>
          <w:ilvl w:val="0"/>
          <w:numId w:val="34"/>
        </w:numPr>
        <w:tabs>
          <w:tab w:pos="645" w:val="left" w:leader="none"/>
          <w:tab w:pos="646" w:val="left" w:leader="none"/>
        </w:tabs>
        <w:spacing w:line="232" w:lineRule="auto" w:before="0" w:after="0"/>
        <w:ind w:left="165" w:right="72" w:firstLine="0"/>
        <w:jc w:val="left"/>
        <w:rPr>
          <w:sz w:val="18"/>
        </w:rPr>
      </w:pPr>
      <w:r>
        <w:rPr>
          <w:color w:val="231F20"/>
          <w:sz w:val="18"/>
        </w:rPr>
        <w:t>The total goods trade deficit had widened in November, mainly because of a deterioration in the non-EU balance. The total deficit in the three months to November had been £6.3 billion, the highest since October 1989. In December, the non-EU goods deficit had narrowed slightly. For 1998 as a whole, the non-EU goods deficit had been a record £15.7 billion; the value of exports to South East Asia had fallen by 27%, and the value of imports from that region had risen by 3%. Total goods export volumes (excluding oil and erratics) had been falling—by 2.2% in the three months to November—whereas import volumes had risen by </w:t>
      </w:r>
      <w:r>
        <w:rPr>
          <w:color w:val="231F20"/>
          <w:spacing w:val="-4"/>
          <w:sz w:val="18"/>
        </w:rPr>
        <w:t>2.7%. </w:t>
      </w:r>
      <w:r>
        <w:rPr>
          <w:color w:val="231F20"/>
          <w:sz w:val="18"/>
        </w:rPr>
        <w:t>The fall in exports had been largely explained by cars and other consumer goods. The CBI export orders balances had recovered a little in Q4, but still pointed to falling export volumes.</w:t>
      </w:r>
    </w:p>
    <w:p>
      <w:pPr>
        <w:pStyle w:val="BodyText"/>
        <w:spacing w:before="6"/>
        <w:rPr>
          <w:sz w:val="16"/>
        </w:rPr>
      </w:pPr>
    </w:p>
    <w:p>
      <w:pPr>
        <w:pStyle w:val="ListParagraph"/>
        <w:numPr>
          <w:ilvl w:val="0"/>
          <w:numId w:val="34"/>
        </w:numPr>
        <w:tabs>
          <w:tab w:pos="645" w:val="left" w:leader="none"/>
          <w:tab w:pos="646" w:val="left" w:leader="none"/>
        </w:tabs>
        <w:spacing w:line="232" w:lineRule="auto" w:before="0" w:after="0"/>
        <w:ind w:left="165" w:right="92" w:firstLine="0"/>
        <w:jc w:val="left"/>
        <w:rPr>
          <w:sz w:val="18"/>
        </w:rPr>
      </w:pPr>
      <w:r>
        <w:rPr>
          <w:color w:val="231F20"/>
          <w:sz w:val="18"/>
        </w:rPr>
        <w:t>The Halifax house price index had risen by 0.5% in </w:t>
      </w:r>
      <w:r>
        <w:rPr>
          <w:color w:val="231F20"/>
          <w:spacing w:val="-3"/>
          <w:sz w:val="18"/>
        </w:rPr>
        <w:t>January, </w:t>
      </w:r>
      <w:r>
        <w:rPr>
          <w:color w:val="231F20"/>
          <w:sz w:val="18"/>
        </w:rPr>
        <w:t>after having fallen by 0.1% in December, taking the annual inflation rate to 4.4% from 4.5%. The Nationwide index had risen by 1.4% in January, with annual inflation up to 7.4% from 7.0% in December. Activity as measured by particulars delivered had been 8% down in the three months to December on the previous three months, and leading indicators of housing market transactions had pointed to flat or falling transactions in the coming months. New house-building activity had also remained weak, though the House Builders’ Federation survey reported that nearly two thirds of builders planned to increase starts in 1999.</w:t>
      </w:r>
    </w:p>
    <w:p>
      <w:pPr>
        <w:pStyle w:val="BodyText"/>
        <w:spacing w:before="7"/>
        <w:rPr>
          <w:sz w:val="16"/>
        </w:rPr>
      </w:pPr>
    </w:p>
    <w:p>
      <w:pPr>
        <w:pStyle w:val="ListParagraph"/>
        <w:numPr>
          <w:ilvl w:val="0"/>
          <w:numId w:val="34"/>
        </w:numPr>
        <w:tabs>
          <w:tab w:pos="645" w:val="left" w:leader="none"/>
          <w:tab w:pos="646" w:val="left" w:leader="none"/>
        </w:tabs>
        <w:spacing w:line="232" w:lineRule="auto" w:before="1" w:after="0"/>
        <w:ind w:left="165" w:right="87" w:firstLine="0"/>
        <w:jc w:val="left"/>
        <w:rPr>
          <w:sz w:val="18"/>
        </w:rPr>
      </w:pPr>
      <w:r>
        <w:rPr>
          <w:color w:val="231F20"/>
          <w:sz w:val="18"/>
        </w:rPr>
        <w:t>GfK consumer confidence had risen in January. But the survey balance was not seasonally adjusted, and tended to rise in January. It had remained negative (-2.2) and below its level a year earlier. The divergence between consumers’ perceptions about the general economic situation and their own financial situation, </w:t>
      </w:r>
      <w:r>
        <w:rPr>
          <w:color w:val="231F20"/>
          <w:spacing w:val="-4"/>
          <w:sz w:val="18"/>
        </w:rPr>
        <w:t>which </w:t>
      </w:r>
      <w:r>
        <w:rPr>
          <w:color w:val="231F20"/>
          <w:sz w:val="18"/>
        </w:rPr>
        <w:t>had emerged in mid 1998, had remained evident. Consumers had still expected the general economic situation to deteriorate, but had expected their own situation to improve.</w:t>
      </w:r>
    </w:p>
    <w:p>
      <w:pPr>
        <w:pStyle w:val="BodyText"/>
        <w:spacing w:before="9"/>
        <w:rPr>
          <w:sz w:val="16"/>
        </w:rPr>
      </w:pPr>
    </w:p>
    <w:p>
      <w:pPr>
        <w:pStyle w:val="ListParagraph"/>
        <w:numPr>
          <w:ilvl w:val="0"/>
          <w:numId w:val="34"/>
        </w:numPr>
        <w:tabs>
          <w:tab w:pos="645" w:val="left" w:leader="none"/>
          <w:tab w:pos="646" w:val="left" w:leader="none"/>
        </w:tabs>
        <w:spacing w:line="232" w:lineRule="auto" w:before="0" w:after="0"/>
        <w:ind w:left="165" w:right="38" w:firstLine="0"/>
        <w:jc w:val="left"/>
        <w:rPr>
          <w:sz w:val="18"/>
        </w:rPr>
      </w:pPr>
      <w:r>
        <w:rPr>
          <w:color w:val="231F20"/>
          <w:sz w:val="18"/>
        </w:rPr>
        <w:t>Companies had appeared to be in a stronger financial situation than they were in the late 1980s-early 1990s. An examination of the distribution of gearing across quoted companies had suggested that most of these companies should have been able to service their debt with relative ease. And the market valuation </w:t>
      </w:r>
      <w:r>
        <w:rPr>
          <w:color w:val="231F20"/>
          <w:spacing w:val="-9"/>
          <w:sz w:val="18"/>
        </w:rPr>
        <w:t>of </w:t>
      </w:r>
      <w:r>
        <w:rPr>
          <w:color w:val="231F20"/>
          <w:sz w:val="18"/>
        </w:rPr>
        <w:t>the corporate sector had suggested that future profits would also be high relative to the interest costs of servicing debt. But income gearing had been rising, and (possibly associated with that) the rate of insolvencies had begun to increase.</w:t>
      </w:r>
    </w:p>
    <w:p>
      <w:pPr>
        <w:pStyle w:val="BodyText"/>
        <w:spacing w:before="9"/>
        <w:rPr>
          <w:sz w:val="16"/>
        </w:rPr>
      </w:pPr>
    </w:p>
    <w:p>
      <w:pPr>
        <w:pStyle w:val="ListParagraph"/>
        <w:numPr>
          <w:ilvl w:val="0"/>
          <w:numId w:val="34"/>
        </w:numPr>
        <w:tabs>
          <w:tab w:pos="645" w:val="left" w:leader="none"/>
          <w:tab w:pos="646" w:val="left" w:leader="none"/>
        </w:tabs>
        <w:spacing w:line="232" w:lineRule="auto" w:before="0" w:after="0"/>
        <w:ind w:left="165" w:right="97" w:firstLine="0"/>
        <w:jc w:val="left"/>
        <w:rPr>
          <w:sz w:val="18"/>
        </w:rPr>
      </w:pPr>
      <w:r>
        <w:rPr>
          <w:color w:val="231F20"/>
          <w:sz w:val="18"/>
        </w:rPr>
        <w:t>The deterioration in manufacturing survey balances for orders and expected orders had eased: the CBI export optimism balance had risen to -18, from -41 in 1998 Q3 and a low of -50 in Q2. But they had still pointed to a decline in manufacturing </w:t>
      </w:r>
      <w:r>
        <w:rPr>
          <w:color w:val="231F20"/>
          <w:spacing w:val="-3"/>
          <w:sz w:val="18"/>
        </w:rPr>
        <w:t>output </w:t>
      </w:r>
      <w:r>
        <w:rPr>
          <w:color w:val="231F20"/>
          <w:sz w:val="18"/>
        </w:rPr>
        <w:t>in 1999 Q1. Supporting this, the Chartered Institute of Purchasing Supply (C</w:t>
      </w:r>
      <w:r>
        <w:rPr>
          <w:color w:val="231F20"/>
          <w:sz w:val="14"/>
        </w:rPr>
        <w:t>IPS</w:t>
      </w:r>
      <w:r>
        <w:rPr>
          <w:color w:val="231F20"/>
          <w:sz w:val="18"/>
        </w:rPr>
        <w:t>) manufacturing output index for January was 42.3: below the 50 ‘no change’ level. The BCC home orders balance </w:t>
      </w:r>
      <w:r>
        <w:rPr>
          <w:color w:val="231F20"/>
          <w:spacing w:val="-6"/>
          <w:sz w:val="18"/>
        </w:rPr>
        <w:t>for </w:t>
      </w:r>
      <w:r>
        <w:rPr>
          <w:color w:val="231F20"/>
          <w:sz w:val="18"/>
        </w:rPr>
        <w:t>the service sector had declined further in 1998 Q4, from +11 to </w:t>
      </w:r>
      <w:r>
        <w:rPr>
          <w:color w:val="231F20"/>
          <w:spacing w:val="-5"/>
          <w:sz w:val="18"/>
        </w:rPr>
        <w:t>+5, </w:t>
      </w:r>
      <w:r>
        <w:rPr>
          <w:color w:val="231F20"/>
          <w:sz w:val="18"/>
        </w:rPr>
        <w:t>suggesting a further slowdown in service sector output growth in 1999 Q1. But the BCC survey had also indicated that the balance of firms in the manufacturing and service sector that had been operating at or above full capacity in 1998 Q4 had been relatively high.</w:t>
      </w:r>
    </w:p>
    <w:p>
      <w:pPr>
        <w:pStyle w:val="BodyText"/>
        <w:spacing w:before="9"/>
        <w:rPr>
          <w:sz w:val="19"/>
        </w:rPr>
      </w:pPr>
    </w:p>
    <w:p>
      <w:pPr>
        <w:pStyle w:val="Heading3"/>
        <w:numPr>
          <w:ilvl w:val="0"/>
          <w:numId w:val="33"/>
        </w:numPr>
        <w:tabs>
          <w:tab w:pos="645" w:val="left" w:leader="none"/>
          <w:tab w:pos="646" w:val="left" w:leader="none"/>
        </w:tabs>
        <w:spacing w:line="240" w:lineRule="auto" w:before="1" w:after="0"/>
        <w:ind w:left="645" w:right="0" w:hanging="481"/>
        <w:jc w:val="left"/>
      </w:pPr>
      <w:r>
        <w:rPr>
          <w:color w:val="009483"/>
        </w:rPr>
        <w:t>International</w:t>
      </w:r>
      <w:r>
        <w:rPr>
          <w:color w:val="009483"/>
          <w:spacing w:val="-1"/>
        </w:rPr>
        <w:t> </w:t>
      </w:r>
      <w:r>
        <w:rPr>
          <w:color w:val="009483"/>
        </w:rPr>
        <w:t>environment</w:t>
      </w:r>
    </w:p>
    <w:p>
      <w:pPr>
        <w:pStyle w:val="ListParagraph"/>
        <w:numPr>
          <w:ilvl w:val="0"/>
          <w:numId w:val="34"/>
        </w:numPr>
        <w:tabs>
          <w:tab w:pos="645" w:val="left" w:leader="none"/>
          <w:tab w:pos="646" w:val="left" w:leader="none"/>
        </w:tabs>
        <w:spacing w:line="232" w:lineRule="auto" w:before="109" w:after="0"/>
        <w:ind w:left="165" w:right="67" w:firstLine="0"/>
        <w:jc w:val="left"/>
        <w:rPr>
          <w:sz w:val="18"/>
        </w:rPr>
      </w:pPr>
      <w:r>
        <w:rPr>
          <w:color w:val="231F20"/>
          <w:sz w:val="18"/>
        </w:rPr>
        <w:t>In the United States, GDP had risen by 1.4% in Q4. Consumers’ confidence about current conditions had risen in January, but expectations of future conditions had continued to</w:t>
      </w:r>
      <w:r>
        <w:rPr>
          <w:color w:val="231F20"/>
          <w:spacing w:val="2"/>
          <w:sz w:val="18"/>
        </w:rPr>
        <w:t> </w:t>
      </w:r>
      <w:r>
        <w:rPr>
          <w:color w:val="231F20"/>
          <w:spacing w:val="-4"/>
          <w:sz w:val="18"/>
        </w:rPr>
        <w:t>fall.</w:t>
      </w:r>
    </w:p>
    <w:p>
      <w:pPr>
        <w:pStyle w:val="BodyText"/>
        <w:spacing w:before="4"/>
        <w:rPr>
          <w:sz w:val="21"/>
        </w:rPr>
      </w:pPr>
      <w:r>
        <w:rPr/>
        <w:br w:type="column"/>
      </w:r>
      <w:r>
        <w:rPr>
          <w:sz w:val="21"/>
        </w:rPr>
      </w:r>
    </w:p>
    <w:p>
      <w:pPr>
        <w:pStyle w:val="BodyText"/>
        <w:spacing w:line="232" w:lineRule="auto" w:before="1"/>
        <w:ind w:left="165" w:right="181"/>
      </w:pPr>
      <w:r>
        <w:rPr>
          <w:color w:val="231F20"/>
        </w:rPr>
        <w:t>Non-farm payrolls had risen sharply in December, keeping employment growth at 2.3% on a year earlier. However, there continued to be sharp sectoral differences: employment had been falling from month to month in manufacturing for most of 1998, while growth in the rest of economy was still robust. Capacity utilisation had fallen slightly in November. Survey measures of slack had also pointed downwards.</w:t>
      </w:r>
    </w:p>
    <w:p>
      <w:pPr>
        <w:pStyle w:val="BodyText"/>
        <w:spacing w:before="4"/>
        <w:rPr>
          <w:sz w:val="20"/>
        </w:rPr>
      </w:pPr>
    </w:p>
    <w:p>
      <w:pPr>
        <w:pStyle w:val="ListParagraph"/>
        <w:numPr>
          <w:ilvl w:val="0"/>
          <w:numId w:val="34"/>
        </w:numPr>
        <w:tabs>
          <w:tab w:pos="645" w:val="left" w:leader="none"/>
          <w:tab w:pos="646" w:val="left" w:leader="none"/>
        </w:tabs>
        <w:spacing w:line="232" w:lineRule="auto" w:before="0" w:after="0"/>
        <w:ind w:left="165" w:right="248" w:firstLine="0"/>
        <w:jc w:val="left"/>
        <w:rPr>
          <w:sz w:val="18"/>
        </w:rPr>
      </w:pPr>
      <w:r>
        <w:rPr>
          <w:color w:val="231F20"/>
          <w:sz w:val="18"/>
        </w:rPr>
        <w:t>The trade deficit had widened to $15.5 billion in November, but the trend over recent months had been unclear. The overall consumer price index had increased 1.6% on a year ago in December. The difference in goods and service price inflation had persisted. This had partly reflected differences in labour cost inflation. The Employment Cost Index for services had risen </w:t>
      </w:r>
      <w:r>
        <w:rPr>
          <w:color w:val="231F20"/>
          <w:spacing w:val="-5"/>
          <w:sz w:val="18"/>
        </w:rPr>
        <w:t>more </w:t>
      </w:r>
      <w:r>
        <w:rPr>
          <w:color w:val="231F20"/>
          <w:sz w:val="18"/>
        </w:rPr>
        <w:t>sharply than for manufacturing in 1998.</w:t>
      </w:r>
    </w:p>
    <w:p>
      <w:pPr>
        <w:pStyle w:val="BodyText"/>
        <w:spacing w:before="8"/>
      </w:pPr>
    </w:p>
    <w:p>
      <w:pPr>
        <w:pStyle w:val="ListParagraph"/>
        <w:numPr>
          <w:ilvl w:val="0"/>
          <w:numId w:val="34"/>
        </w:numPr>
        <w:tabs>
          <w:tab w:pos="645" w:val="left" w:leader="none"/>
          <w:tab w:pos="646" w:val="left" w:leader="none"/>
        </w:tabs>
        <w:spacing w:line="232" w:lineRule="auto" w:before="0" w:after="0"/>
        <w:ind w:left="165" w:right="183" w:firstLine="0"/>
        <w:jc w:val="left"/>
        <w:rPr>
          <w:sz w:val="18"/>
        </w:rPr>
      </w:pPr>
      <w:r>
        <w:rPr>
          <w:color w:val="231F20"/>
          <w:sz w:val="18"/>
        </w:rPr>
        <w:t>In Europe, recent production data had been stronger and consumption data had been weaker, somewhat against the recent trend. French industrial production had risen by 1.0% in </w:t>
      </w:r>
      <w:r>
        <w:rPr>
          <w:color w:val="231F20"/>
          <w:spacing w:val="-3"/>
          <w:sz w:val="18"/>
        </w:rPr>
        <w:t>November </w:t>
      </w:r>
      <w:r>
        <w:rPr>
          <w:color w:val="231F20"/>
          <w:sz w:val="18"/>
        </w:rPr>
        <w:t>and by 0.7% in October. Italian industrial production had shown a stronger trend, but November production had fallen by 1.5% on a month ago. German industrial production had fallen by 2.2% in November, and manufacturing orders had pointed to a further sharp slowdown in the coming months. German GDP in the fourth quarter had probably fallen. French household consumption had fallen in December for the third consecutive month. Industrial confidence in the euro area had fallen to -9 in December, from -8 in November and +1 in December 1997. Consumer confidence had risen in December in most countries, although not in Spain or Germany. Euro-area HICP fell to 0.8% in December.</w:t>
      </w:r>
    </w:p>
    <w:p>
      <w:pPr>
        <w:pStyle w:val="BodyText"/>
        <w:spacing w:before="2"/>
      </w:pPr>
    </w:p>
    <w:p>
      <w:pPr>
        <w:pStyle w:val="ListParagraph"/>
        <w:numPr>
          <w:ilvl w:val="0"/>
          <w:numId w:val="34"/>
        </w:numPr>
        <w:tabs>
          <w:tab w:pos="645" w:val="left" w:leader="none"/>
          <w:tab w:pos="646" w:val="left" w:leader="none"/>
        </w:tabs>
        <w:spacing w:line="232" w:lineRule="auto" w:before="0" w:after="0"/>
        <w:ind w:left="165" w:right="203" w:firstLine="0"/>
        <w:jc w:val="left"/>
        <w:rPr>
          <w:sz w:val="18"/>
        </w:rPr>
      </w:pPr>
      <w:r>
        <w:rPr>
          <w:color w:val="231F20"/>
          <w:sz w:val="18"/>
        </w:rPr>
        <w:t>In Japan, the Economic Planning Agency had expected positive GDP growth in the fourth quarter, resulting from increases in private consumption, public investment and net trade. But despite discounting by retailers, Japanese retail sales had remained weak in December. Employment had continued to fall in manufacturing and the construction sectors, though public works spending had slowed the fall in construction. Central government new construction orders had increased from September onwards, but they had been more than offset by the contraction in local government new orders. Industrial production had risen strongly </w:t>
      </w:r>
      <w:r>
        <w:rPr>
          <w:color w:val="231F20"/>
          <w:spacing w:val="-9"/>
          <w:sz w:val="18"/>
        </w:rPr>
        <w:t>in </w:t>
      </w:r>
      <w:r>
        <w:rPr>
          <w:color w:val="231F20"/>
          <w:sz w:val="18"/>
        </w:rPr>
        <w:t>December. But for 1998 as a whole, industrial production had fallen by 6.9%, the largest fall since 1975. Inventory levels and </w:t>
      </w:r>
      <w:r>
        <w:rPr>
          <w:color w:val="231F20"/>
          <w:spacing w:val="-4"/>
          <w:sz w:val="18"/>
        </w:rPr>
        <w:t>the </w:t>
      </w:r>
      <w:r>
        <w:rPr>
          <w:color w:val="231F20"/>
          <w:sz w:val="18"/>
        </w:rPr>
        <w:t>inventory/shipments ratio had both fallen in December. Overall, there had been little evidence of a recovery in private sector activity. Bank lending had continued to decline at record rates, the outlook for consumption had remained weak, and public works spending had remained ineffective.</w:t>
      </w:r>
    </w:p>
    <w:p>
      <w:pPr>
        <w:pStyle w:val="BodyText"/>
        <w:spacing w:before="3"/>
        <w:rPr>
          <w:sz w:val="16"/>
        </w:rPr>
      </w:pPr>
    </w:p>
    <w:p>
      <w:pPr>
        <w:pStyle w:val="ListParagraph"/>
        <w:numPr>
          <w:ilvl w:val="0"/>
          <w:numId w:val="34"/>
        </w:numPr>
        <w:tabs>
          <w:tab w:pos="645" w:val="left" w:leader="none"/>
          <w:tab w:pos="646" w:val="left" w:leader="none"/>
        </w:tabs>
        <w:spacing w:line="232" w:lineRule="auto" w:before="0" w:after="0"/>
        <w:ind w:left="165" w:right="198" w:firstLine="0"/>
        <w:jc w:val="left"/>
        <w:rPr>
          <w:sz w:val="18"/>
        </w:rPr>
      </w:pPr>
      <w:r>
        <w:rPr>
          <w:color w:val="231F20"/>
          <w:sz w:val="18"/>
        </w:rPr>
        <w:t>The Consensus Economics mean forecast for Japanese GDP growth had fallen by 0.5 percentage points to -1.1% for 1999; for US GDP growth, it had been revised up, from 2.3% in December </w:t>
      </w:r>
      <w:r>
        <w:rPr>
          <w:color w:val="231F20"/>
          <w:spacing w:val="-9"/>
          <w:sz w:val="18"/>
        </w:rPr>
        <w:t>to </w:t>
      </w:r>
      <w:r>
        <w:rPr>
          <w:color w:val="231F20"/>
          <w:sz w:val="18"/>
        </w:rPr>
        <w:t>2.4% in January; and for GDP growth in Germany in 1999, it had fallen from 2.0% to 1.8%.</w:t>
      </w:r>
    </w:p>
    <w:p>
      <w:pPr>
        <w:pStyle w:val="BodyText"/>
        <w:spacing w:before="7"/>
        <w:rPr>
          <w:sz w:val="16"/>
        </w:rPr>
      </w:pPr>
    </w:p>
    <w:p>
      <w:pPr>
        <w:spacing w:before="0"/>
        <w:ind w:left="165" w:right="0" w:firstLine="0"/>
        <w:jc w:val="left"/>
        <w:rPr>
          <w:i/>
          <w:sz w:val="18"/>
        </w:rPr>
      </w:pPr>
      <w:r>
        <w:rPr>
          <w:i/>
          <w:color w:val="009483"/>
          <w:sz w:val="18"/>
        </w:rPr>
        <w:t>Emerging markets</w:t>
      </w:r>
    </w:p>
    <w:p>
      <w:pPr>
        <w:pStyle w:val="ListParagraph"/>
        <w:numPr>
          <w:ilvl w:val="0"/>
          <w:numId w:val="34"/>
        </w:numPr>
        <w:tabs>
          <w:tab w:pos="645" w:val="left" w:leader="none"/>
          <w:tab w:pos="646" w:val="left" w:leader="none"/>
        </w:tabs>
        <w:spacing w:line="232" w:lineRule="auto" w:before="118" w:after="0"/>
        <w:ind w:left="165" w:right="373" w:firstLine="0"/>
        <w:jc w:val="left"/>
        <w:rPr>
          <w:sz w:val="18"/>
        </w:rPr>
      </w:pPr>
      <w:r>
        <w:rPr>
          <w:color w:val="231F20"/>
          <w:sz w:val="18"/>
        </w:rPr>
        <w:t>The devaluation and subsequent float of the Brazilian real had resulted in a 32% depreciation against the US dollar </w:t>
      </w:r>
      <w:r>
        <w:rPr>
          <w:color w:val="231F20"/>
          <w:spacing w:val="-3"/>
          <w:sz w:val="18"/>
        </w:rPr>
        <w:t>between </w:t>
      </w:r>
      <w:r>
        <w:rPr>
          <w:color w:val="231F20"/>
          <w:sz w:val="18"/>
        </w:rPr>
        <w:t>12 January and 3 February. Short-term interest rates had been increased by just over 9% since the devaluation, to 39%.</w:t>
      </w:r>
    </w:p>
    <w:p>
      <w:pPr>
        <w:pStyle w:val="BodyText"/>
        <w:spacing w:before="1"/>
        <w:rPr>
          <w:sz w:val="17"/>
        </w:rPr>
      </w:pPr>
    </w:p>
    <w:p>
      <w:pPr>
        <w:pStyle w:val="ListParagraph"/>
        <w:numPr>
          <w:ilvl w:val="0"/>
          <w:numId w:val="34"/>
        </w:numPr>
        <w:tabs>
          <w:tab w:pos="645" w:val="left" w:leader="none"/>
          <w:tab w:pos="646" w:val="left" w:leader="none"/>
        </w:tabs>
        <w:spacing w:line="232" w:lineRule="auto" w:before="0" w:after="0"/>
        <w:ind w:left="165" w:right="244" w:firstLine="0"/>
        <w:jc w:val="left"/>
        <w:rPr>
          <w:sz w:val="18"/>
        </w:rPr>
      </w:pPr>
      <w:r>
        <w:rPr>
          <w:color w:val="231F20"/>
          <w:sz w:val="18"/>
        </w:rPr>
        <w:t>The more pessimistic scenarios that had been discussed in the market assumed financial contagion from Brazil to a much wider range of countries. There had been evidence of pressure on fixed exchange rates in, for example, Argentina and Hong Kong, but not as yet a wider impact such as that which had followed the Russian default. The pre-EU accession countries in central </w:t>
      </w:r>
      <w:r>
        <w:rPr>
          <w:color w:val="231F20"/>
          <w:spacing w:val="-3"/>
          <w:sz w:val="18"/>
        </w:rPr>
        <w:t>Europe </w:t>
      </w:r>
      <w:r>
        <w:rPr>
          <w:color w:val="231F20"/>
          <w:sz w:val="18"/>
        </w:rPr>
        <w:t>had been in a position to borrow externally and to ease monetary policy. The Asian crisis countries (except Indonesia) had had some, albeit limited, access to external funds, in some cases with the guarantee of Japan or the World Bank. Nevertheless, the</w:t>
      </w:r>
    </w:p>
    <w:p>
      <w:pPr>
        <w:spacing w:after="0" w:line="232" w:lineRule="auto"/>
        <w:jc w:val="left"/>
        <w:rPr>
          <w:sz w:val="18"/>
        </w:rPr>
        <w:sectPr>
          <w:type w:val="continuous"/>
          <w:pgSz w:w="11900" w:h="16840"/>
          <w:pgMar w:top="1220" w:bottom="280" w:left="640" w:right="640"/>
          <w:cols w:num="2" w:equalWidth="0">
            <w:col w:w="5099" w:space="281"/>
            <w:col w:w="524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74" w:right="41"/>
      </w:pPr>
      <w:r>
        <w:rPr>
          <w:color w:val="231F20"/>
        </w:rPr>
        <w:t>external financing prospects of emerging countries in aggregate had continued to deteriorate.</w:t>
      </w:r>
    </w:p>
    <w:p>
      <w:pPr>
        <w:pStyle w:val="BodyText"/>
        <w:spacing w:before="6"/>
        <w:rPr>
          <w:sz w:val="20"/>
        </w:rPr>
      </w:pPr>
    </w:p>
    <w:p>
      <w:pPr>
        <w:pStyle w:val="Heading3"/>
        <w:numPr>
          <w:ilvl w:val="0"/>
          <w:numId w:val="33"/>
        </w:numPr>
        <w:tabs>
          <w:tab w:pos="654" w:val="left" w:leader="none"/>
          <w:tab w:pos="655" w:val="left" w:leader="none"/>
        </w:tabs>
        <w:spacing w:line="240" w:lineRule="auto" w:before="0" w:after="0"/>
        <w:ind w:left="654" w:right="0" w:hanging="481"/>
        <w:jc w:val="left"/>
      </w:pPr>
      <w:r>
        <w:rPr>
          <w:color w:val="009483"/>
        </w:rPr>
        <w:t>The labour</w:t>
      </w:r>
      <w:r>
        <w:rPr>
          <w:color w:val="009483"/>
          <w:spacing w:val="-1"/>
        </w:rPr>
        <w:t> </w:t>
      </w:r>
      <w:r>
        <w:rPr>
          <w:color w:val="009483"/>
        </w:rPr>
        <w:t>market</w:t>
      </w:r>
    </w:p>
    <w:p>
      <w:pPr>
        <w:pStyle w:val="ListParagraph"/>
        <w:numPr>
          <w:ilvl w:val="0"/>
          <w:numId w:val="34"/>
        </w:numPr>
        <w:tabs>
          <w:tab w:pos="654" w:val="left" w:leader="none"/>
          <w:tab w:pos="655" w:val="left" w:leader="none"/>
        </w:tabs>
        <w:spacing w:line="232" w:lineRule="auto" w:before="109" w:after="0"/>
        <w:ind w:left="174" w:right="44" w:firstLine="0"/>
        <w:jc w:val="left"/>
        <w:rPr>
          <w:sz w:val="18"/>
        </w:rPr>
      </w:pPr>
      <w:r>
        <w:rPr>
          <w:color w:val="231F20"/>
          <w:sz w:val="18"/>
        </w:rPr>
        <w:t>LFS employment had grown by 98,000 (0.4%) in the three months to November, compared with the previous three months, consistent with the Workforce jobs growth figure, released in the previous month, of a rise of 97,000 in the three months to September. The increase in LFS employment had been largely accounted for by a large rise in employees, but self-employment had also risen, ending the steep decline earlier in the year. The </w:t>
      </w:r>
      <w:r>
        <w:rPr>
          <w:color w:val="231F20"/>
          <w:spacing w:val="-4"/>
          <w:sz w:val="18"/>
        </w:rPr>
        <w:t>total </w:t>
      </w:r>
      <w:r>
        <w:rPr>
          <w:color w:val="231F20"/>
          <w:sz w:val="18"/>
        </w:rPr>
        <w:t>number of hours worked had risen more slowly than employment (by 0.1% in the three months to November), implying a fall in the number of hours worked per person, consistent with the increase in LFS employment over this period being concentrated in part-time jobs.  Hours worked per person were 0.8% lower than a year earlier.</w:t>
      </w:r>
    </w:p>
    <w:p>
      <w:pPr>
        <w:pStyle w:val="BodyText"/>
        <w:spacing w:before="6"/>
        <w:rPr>
          <w:sz w:val="16"/>
        </w:rPr>
      </w:pPr>
    </w:p>
    <w:p>
      <w:pPr>
        <w:pStyle w:val="ListParagraph"/>
        <w:numPr>
          <w:ilvl w:val="0"/>
          <w:numId w:val="34"/>
        </w:numPr>
        <w:tabs>
          <w:tab w:pos="654" w:val="left" w:leader="none"/>
          <w:tab w:pos="655" w:val="left" w:leader="none"/>
        </w:tabs>
        <w:spacing w:line="232" w:lineRule="auto" w:before="0" w:after="0"/>
        <w:ind w:left="174" w:right="43" w:firstLine="0"/>
        <w:jc w:val="left"/>
        <w:rPr>
          <w:sz w:val="18"/>
        </w:rPr>
      </w:pPr>
      <w:r>
        <w:rPr>
          <w:color w:val="231F20"/>
          <w:sz w:val="18"/>
        </w:rPr>
        <w:t>Strong increases in employment had contrasted with survey evidence. The C</w:t>
      </w:r>
      <w:r>
        <w:rPr>
          <w:color w:val="231F20"/>
          <w:sz w:val="14"/>
        </w:rPr>
        <w:t>IPS </w:t>
      </w:r>
      <w:r>
        <w:rPr>
          <w:color w:val="231F20"/>
          <w:sz w:val="18"/>
        </w:rPr>
        <w:t>manufacturing and construction surveys for January had suggested that employment was continuing to fall. </w:t>
      </w:r>
      <w:r>
        <w:rPr>
          <w:color w:val="231F20"/>
          <w:spacing w:val="-6"/>
          <w:sz w:val="18"/>
        </w:rPr>
        <w:t>The </w:t>
      </w:r>
      <w:r>
        <w:rPr>
          <w:color w:val="231F20"/>
          <w:sz w:val="18"/>
        </w:rPr>
        <w:t>C</w:t>
      </w:r>
      <w:r>
        <w:rPr>
          <w:color w:val="231F20"/>
          <w:sz w:val="14"/>
        </w:rPr>
        <w:t>IPS </w:t>
      </w:r>
      <w:r>
        <w:rPr>
          <w:color w:val="231F20"/>
          <w:sz w:val="18"/>
        </w:rPr>
        <w:t>services survey for January had suggested that employment was now falling in services too. Forward-looking surveys had suggested that this pattern might persist. The BCC services survey for Q4 had shown that employment intentions were broadly unchanged, while the manufacturing balance had become more negative. The CBI manufacturing survey balance had also become more negative, to its lowest level since 1992 Q3. The Federation of Recruitment and Employment Services survey had also suggested that the demand for employees was falling.</w:t>
      </w:r>
    </w:p>
    <w:p>
      <w:pPr>
        <w:pStyle w:val="BodyText"/>
        <w:spacing w:before="7"/>
        <w:rPr>
          <w:sz w:val="16"/>
        </w:rPr>
      </w:pPr>
    </w:p>
    <w:p>
      <w:pPr>
        <w:pStyle w:val="ListParagraph"/>
        <w:numPr>
          <w:ilvl w:val="0"/>
          <w:numId w:val="34"/>
        </w:numPr>
        <w:tabs>
          <w:tab w:pos="654" w:val="left" w:leader="none"/>
          <w:tab w:pos="655" w:val="left" w:leader="none"/>
        </w:tabs>
        <w:spacing w:line="232" w:lineRule="auto" w:before="0" w:after="0"/>
        <w:ind w:left="174" w:right="38" w:firstLine="0"/>
        <w:jc w:val="left"/>
        <w:rPr>
          <w:sz w:val="18"/>
        </w:rPr>
      </w:pPr>
      <w:r>
        <w:rPr>
          <w:color w:val="231F20"/>
          <w:sz w:val="18"/>
        </w:rPr>
        <w:t>The number of new notifications at job centres had fallen by 3,500 in December, while the stock of vacancies had fallen by 3,900. The National Press Recruitment Advertising index had stabilised in recent months. The BCC survey for Q4 had suggested that recruitment difficulties in manufacturing and services had eased slightly. But the CBI Industrial Trends survey for Q4 </w:t>
      </w:r>
      <w:r>
        <w:rPr>
          <w:color w:val="231F20"/>
          <w:spacing w:val="-3"/>
          <w:sz w:val="18"/>
        </w:rPr>
        <w:t>showed </w:t>
      </w:r>
      <w:r>
        <w:rPr>
          <w:color w:val="231F20"/>
          <w:sz w:val="18"/>
        </w:rPr>
        <w:t>a small rise in expected skill shortages in manufacturing in the next few months.</w:t>
      </w:r>
    </w:p>
    <w:p>
      <w:pPr>
        <w:pStyle w:val="BodyText"/>
        <w:spacing w:before="9"/>
        <w:rPr>
          <w:sz w:val="16"/>
        </w:rPr>
      </w:pPr>
    </w:p>
    <w:p>
      <w:pPr>
        <w:pStyle w:val="ListParagraph"/>
        <w:numPr>
          <w:ilvl w:val="0"/>
          <w:numId w:val="34"/>
        </w:numPr>
        <w:tabs>
          <w:tab w:pos="654" w:val="left" w:leader="none"/>
          <w:tab w:pos="655" w:val="left" w:leader="none"/>
        </w:tabs>
        <w:spacing w:line="232" w:lineRule="auto" w:before="1" w:after="0"/>
        <w:ind w:left="174" w:right="113" w:firstLine="0"/>
        <w:jc w:val="left"/>
        <w:rPr>
          <w:sz w:val="18"/>
        </w:rPr>
      </w:pPr>
      <w:r>
        <w:rPr>
          <w:color w:val="231F20"/>
          <w:sz w:val="18"/>
        </w:rPr>
        <w:t>Both of the main measures of unemployment had fallen on the latest data. LFS unemployment had decreased by 26,000 in </w:t>
      </w:r>
      <w:r>
        <w:rPr>
          <w:color w:val="231F20"/>
          <w:spacing w:val="-6"/>
          <w:sz w:val="18"/>
        </w:rPr>
        <w:t>the </w:t>
      </w:r>
      <w:r>
        <w:rPr>
          <w:color w:val="231F20"/>
          <w:sz w:val="18"/>
        </w:rPr>
        <w:t>three months to November. The LFS unemployment rate had been unchanged from the three months to October, at 6.2%.</w:t>
      </w:r>
    </w:p>
    <w:p>
      <w:pPr>
        <w:pStyle w:val="BodyText"/>
        <w:spacing w:line="232" w:lineRule="auto"/>
        <w:ind w:left="174" w:right="191"/>
      </w:pPr>
      <w:r>
        <w:rPr>
          <w:color w:val="231F20"/>
        </w:rPr>
        <w:t>Claimant-count unemployment had fallen by 14,000 in December to its lowest level since June 1980, though the rate had also remained unchanged, at 4.6%. There had been little sign of increased redundancies in the claimant-count inflow numbers, while the exit rate from unemployment had remained high.</w:t>
      </w:r>
    </w:p>
    <w:p>
      <w:pPr>
        <w:pStyle w:val="BodyText"/>
        <w:spacing w:before="8"/>
        <w:rPr>
          <w:sz w:val="16"/>
        </w:rPr>
      </w:pPr>
    </w:p>
    <w:p>
      <w:pPr>
        <w:pStyle w:val="ListParagraph"/>
        <w:numPr>
          <w:ilvl w:val="0"/>
          <w:numId w:val="34"/>
        </w:numPr>
        <w:tabs>
          <w:tab w:pos="654" w:val="left" w:leader="none"/>
          <w:tab w:pos="655" w:val="left" w:leader="none"/>
        </w:tabs>
        <w:spacing w:line="232" w:lineRule="auto" w:before="1" w:after="0"/>
        <w:ind w:left="174" w:right="48" w:firstLine="0"/>
        <w:jc w:val="left"/>
        <w:rPr>
          <w:sz w:val="18"/>
        </w:rPr>
      </w:pPr>
      <w:r>
        <w:rPr>
          <w:color w:val="231F20"/>
          <w:sz w:val="18"/>
        </w:rPr>
        <w:t>Labour market inactivity had not seemed to be following a normal cyclical pattern. It had been increasing in the first half of 1998, but had reversed since June. According to the LFS, inactivity had fallen by a further 33,000 in the three months to November. The fall in inactivity in this period had been smaller than in recent months and, in an accounting sense, this had explained why the latest employment increase had—unlike those of recent months— been accompanied by a fall in unemployment.</w:t>
      </w:r>
    </w:p>
    <w:p>
      <w:pPr>
        <w:pStyle w:val="BodyText"/>
        <w:spacing w:before="9"/>
        <w:rPr>
          <w:sz w:val="16"/>
        </w:rPr>
      </w:pPr>
    </w:p>
    <w:p>
      <w:pPr>
        <w:pStyle w:val="ListParagraph"/>
        <w:numPr>
          <w:ilvl w:val="0"/>
          <w:numId w:val="34"/>
        </w:numPr>
        <w:tabs>
          <w:tab w:pos="654" w:val="left" w:leader="none"/>
          <w:tab w:pos="655" w:val="left" w:leader="none"/>
        </w:tabs>
        <w:spacing w:line="232" w:lineRule="auto" w:before="0" w:after="0"/>
        <w:ind w:left="174" w:right="209" w:firstLine="0"/>
        <w:jc w:val="left"/>
        <w:rPr>
          <w:sz w:val="18"/>
        </w:rPr>
      </w:pPr>
      <w:r>
        <w:rPr>
          <w:color w:val="231F20"/>
          <w:sz w:val="18"/>
        </w:rPr>
        <w:t>There had been no new official earnings data: the </w:t>
      </w:r>
      <w:r>
        <w:rPr>
          <w:color w:val="231F20"/>
          <w:spacing w:val="-3"/>
          <w:sz w:val="18"/>
        </w:rPr>
        <w:t>Average </w:t>
      </w:r>
      <w:r>
        <w:rPr>
          <w:color w:val="231F20"/>
          <w:sz w:val="18"/>
        </w:rPr>
        <w:t>Earnings Index was still suspended. The Reward index of earnings growth had slowed further to 4.8% in December from 5.4% in June.</w:t>
      </w:r>
    </w:p>
    <w:p>
      <w:pPr>
        <w:pStyle w:val="BodyText"/>
        <w:spacing w:before="2"/>
        <w:rPr>
          <w:sz w:val="17"/>
        </w:rPr>
      </w:pPr>
    </w:p>
    <w:p>
      <w:pPr>
        <w:pStyle w:val="ListParagraph"/>
        <w:numPr>
          <w:ilvl w:val="0"/>
          <w:numId w:val="34"/>
        </w:numPr>
        <w:tabs>
          <w:tab w:pos="654" w:val="left" w:leader="none"/>
          <w:tab w:pos="655" w:val="left" w:leader="none"/>
        </w:tabs>
        <w:spacing w:line="232" w:lineRule="auto" w:before="0" w:after="0"/>
        <w:ind w:left="174" w:right="183" w:firstLine="0"/>
        <w:jc w:val="left"/>
        <w:rPr>
          <w:sz w:val="18"/>
        </w:rPr>
      </w:pPr>
      <w:r>
        <w:rPr>
          <w:color w:val="231F20"/>
          <w:sz w:val="18"/>
        </w:rPr>
        <w:t>The twelve-month employment-weighted average settlements measure had remained flat in December, at 3.7%. </w:t>
      </w:r>
      <w:r>
        <w:rPr>
          <w:color w:val="231F20"/>
          <w:spacing w:val="-6"/>
          <w:sz w:val="18"/>
        </w:rPr>
        <w:t>But </w:t>
      </w:r>
      <w:r>
        <w:rPr>
          <w:color w:val="231F20"/>
          <w:sz w:val="18"/>
        </w:rPr>
        <w:t>most settlements tended to be concentrated between January and April. Private and public sector settlements remained unchanged, at 4.0% and 3.3% respectively. The three-month</w:t>
      </w:r>
    </w:p>
    <w:p>
      <w:pPr>
        <w:pStyle w:val="BodyText"/>
        <w:spacing w:line="232" w:lineRule="auto"/>
        <w:ind w:left="174" w:right="161"/>
      </w:pPr>
      <w:r>
        <w:rPr>
          <w:color w:val="231F20"/>
        </w:rPr>
        <w:t>employment-weighted mean increased from 3.8% in November to 4.1% in December, while the median fell from 3.8% to 3.7%.</w:t>
      </w:r>
    </w:p>
    <w:p>
      <w:pPr>
        <w:pStyle w:val="BodyText"/>
        <w:spacing w:before="4"/>
        <w:rPr>
          <w:sz w:val="21"/>
        </w:rPr>
      </w:pPr>
      <w:r>
        <w:rPr/>
        <w:br w:type="column"/>
      </w:r>
      <w:r>
        <w:rPr>
          <w:sz w:val="21"/>
        </w:rPr>
      </w:r>
    </w:p>
    <w:p>
      <w:pPr>
        <w:pStyle w:val="ListParagraph"/>
        <w:numPr>
          <w:ilvl w:val="0"/>
          <w:numId w:val="34"/>
        </w:numPr>
        <w:tabs>
          <w:tab w:pos="654" w:val="left" w:leader="none"/>
          <w:tab w:pos="655" w:val="left" w:leader="none"/>
        </w:tabs>
        <w:spacing w:line="232" w:lineRule="auto" w:before="1" w:after="0"/>
        <w:ind w:left="174" w:right="269" w:firstLine="0"/>
        <w:jc w:val="left"/>
        <w:rPr>
          <w:sz w:val="18"/>
        </w:rPr>
      </w:pPr>
      <w:r>
        <w:rPr>
          <w:color w:val="231F20"/>
          <w:sz w:val="18"/>
        </w:rPr>
        <w:t>Details of the settlements for public sector workers covered by the Pay Review Bodies had been announced on 1 February. Overall, the paybill of workers covered by the Review Bodies </w:t>
      </w:r>
      <w:r>
        <w:rPr>
          <w:color w:val="231F20"/>
          <w:spacing w:val="-6"/>
          <w:sz w:val="18"/>
        </w:rPr>
        <w:t>was </w:t>
      </w:r>
      <w:r>
        <w:rPr>
          <w:color w:val="231F20"/>
          <w:sz w:val="18"/>
        </w:rPr>
        <w:t>to increase by 4.1% and the settlements would not be staged.</w:t>
      </w:r>
    </w:p>
    <w:p>
      <w:pPr>
        <w:pStyle w:val="BodyText"/>
        <w:spacing w:before="1"/>
        <w:rPr>
          <w:sz w:val="17"/>
        </w:rPr>
      </w:pPr>
    </w:p>
    <w:p>
      <w:pPr>
        <w:pStyle w:val="ListParagraph"/>
        <w:numPr>
          <w:ilvl w:val="0"/>
          <w:numId w:val="34"/>
        </w:numPr>
        <w:tabs>
          <w:tab w:pos="654" w:val="left" w:leader="none"/>
          <w:tab w:pos="655" w:val="left" w:leader="none"/>
        </w:tabs>
        <w:spacing w:line="232" w:lineRule="auto" w:before="0" w:after="0"/>
        <w:ind w:left="174" w:right="149" w:firstLine="0"/>
        <w:jc w:val="left"/>
        <w:rPr>
          <w:sz w:val="18"/>
        </w:rPr>
      </w:pPr>
      <w:r>
        <w:rPr>
          <w:color w:val="231F20"/>
          <w:sz w:val="18"/>
        </w:rPr>
        <w:t>The Bank’s regional Agents had conducted an informal survey of contacts on the prospects for earnings growth in 1999. </w:t>
      </w:r>
      <w:r>
        <w:rPr>
          <w:color w:val="231F20"/>
          <w:spacing w:val="-9"/>
          <w:sz w:val="18"/>
        </w:rPr>
        <w:t>Of </w:t>
      </w:r>
      <w:r>
        <w:rPr>
          <w:color w:val="231F20"/>
          <w:sz w:val="18"/>
        </w:rPr>
        <w:t>the firms sampled that had a company-wide settlement, 46% had expected it to be lower in percentage terms in 1999 than in 1998. Only 13% of firms had expected their settlement to rise. But 29% of firms had expected growth in total earnings per employee to be higher in 1999, with 38% expecting it to be lower.</w:t>
      </w:r>
    </w:p>
    <w:p>
      <w:pPr>
        <w:pStyle w:val="BodyText"/>
        <w:spacing w:before="10"/>
        <w:rPr>
          <w:sz w:val="16"/>
        </w:rPr>
      </w:pPr>
    </w:p>
    <w:p>
      <w:pPr>
        <w:pStyle w:val="ListParagraph"/>
        <w:numPr>
          <w:ilvl w:val="0"/>
          <w:numId w:val="34"/>
        </w:numPr>
        <w:tabs>
          <w:tab w:pos="654" w:val="left" w:leader="none"/>
          <w:tab w:pos="655" w:val="left" w:leader="none"/>
        </w:tabs>
        <w:spacing w:line="232" w:lineRule="auto" w:before="1" w:after="0"/>
        <w:ind w:left="174" w:right="204" w:firstLine="0"/>
        <w:jc w:val="left"/>
        <w:rPr>
          <w:sz w:val="18"/>
        </w:rPr>
      </w:pPr>
      <w:r>
        <w:rPr>
          <w:color w:val="231F20"/>
          <w:sz w:val="18"/>
        </w:rPr>
        <w:t>The inflation outlook and company prospects, particularly </w:t>
      </w:r>
      <w:r>
        <w:rPr>
          <w:color w:val="231F20"/>
          <w:spacing w:val="-9"/>
          <w:sz w:val="18"/>
        </w:rPr>
        <w:t>in </w:t>
      </w:r>
      <w:r>
        <w:rPr>
          <w:color w:val="231F20"/>
          <w:sz w:val="18"/>
        </w:rPr>
        <w:t>the manufacturing sector, were highlighted by these respondents as factors likely to depress earnings growth in 1999. A majority had cited recruitment difficulties as an upward pressure on earnings growth. Other widely quoted upward pressures had included productivity growth and bonuses, the latter reflecting increased use of performance-related pay across firms. Some respondents had also mentioned the National Minimum Wage, the Working Time Directive and the phased end of Profit-Related Pay (PRP) tax benefits.</w:t>
      </w:r>
    </w:p>
    <w:p>
      <w:pPr>
        <w:pStyle w:val="BodyText"/>
        <w:spacing w:before="11"/>
        <w:rPr>
          <w:sz w:val="19"/>
        </w:rPr>
      </w:pPr>
    </w:p>
    <w:p>
      <w:pPr>
        <w:pStyle w:val="Heading3"/>
        <w:numPr>
          <w:ilvl w:val="0"/>
          <w:numId w:val="33"/>
        </w:numPr>
        <w:tabs>
          <w:tab w:pos="654" w:val="left" w:leader="none"/>
          <w:tab w:pos="655" w:val="left" w:leader="none"/>
        </w:tabs>
        <w:spacing w:line="240" w:lineRule="auto" w:before="0" w:after="0"/>
        <w:ind w:left="654" w:right="0" w:hanging="481"/>
        <w:jc w:val="left"/>
      </w:pPr>
      <w:r>
        <w:rPr>
          <w:color w:val="009483"/>
        </w:rPr>
        <w:t>Prices</w:t>
      </w:r>
    </w:p>
    <w:p>
      <w:pPr>
        <w:pStyle w:val="ListParagraph"/>
        <w:numPr>
          <w:ilvl w:val="0"/>
          <w:numId w:val="34"/>
        </w:numPr>
        <w:tabs>
          <w:tab w:pos="654" w:val="left" w:leader="none"/>
          <w:tab w:pos="655" w:val="left" w:leader="none"/>
        </w:tabs>
        <w:spacing w:line="232" w:lineRule="auto" w:before="109" w:after="0"/>
        <w:ind w:left="174" w:right="170" w:firstLine="0"/>
        <w:jc w:val="left"/>
        <w:rPr>
          <w:sz w:val="18"/>
        </w:rPr>
      </w:pPr>
      <w:r>
        <w:rPr>
          <w:color w:val="231F20"/>
          <w:sz w:val="18"/>
        </w:rPr>
        <w:t>On the basis of provisional data, in the Bank’s index of commodity prices excluding oil had shown a small rise in December. The annual rate of inflation had risen slightly to -6.2% from -6.3%, and the underlying growth rate (three months on a </w:t>
      </w:r>
      <w:r>
        <w:rPr>
          <w:color w:val="231F20"/>
          <w:spacing w:val="-5"/>
          <w:sz w:val="18"/>
        </w:rPr>
        <w:t>year </w:t>
      </w:r>
      <w:r>
        <w:rPr>
          <w:color w:val="231F20"/>
          <w:sz w:val="18"/>
        </w:rPr>
        <w:t>earlier) had risen to -5.3%, the highest rate since August 1997.</w:t>
      </w:r>
    </w:p>
    <w:p>
      <w:pPr>
        <w:pStyle w:val="BodyText"/>
        <w:spacing w:line="232" w:lineRule="auto"/>
        <w:ind w:left="174" w:right="170"/>
      </w:pPr>
      <w:r>
        <w:rPr>
          <w:color w:val="231F20"/>
        </w:rPr>
        <w:t>That had been driven by recent growth in UK agriculture prices </w:t>
      </w:r>
      <w:r>
        <w:rPr>
          <w:color w:val="231F20"/>
          <w:spacing w:val="-6"/>
        </w:rPr>
        <w:t>and </w:t>
      </w:r>
      <w:r>
        <w:rPr>
          <w:color w:val="231F20"/>
        </w:rPr>
        <w:t>a slowdown in metals price deflation. Nonetheless, market commentators had forecast a slight fall in commodity prices in 1999, before a pick-up in 2000. Commodity prices including oil had continued to fall, by 2.5% in December, according to the Bank’s index.</w:t>
      </w:r>
    </w:p>
    <w:p>
      <w:pPr>
        <w:pStyle w:val="BodyText"/>
        <w:spacing w:before="8"/>
        <w:rPr>
          <w:sz w:val="16"/>
        </w:rPr>
      </w:pPr>
    </w:p>
    <w:p>
      <w:pPr>
        <w:pStyle w:val="ListParagraph"/>
        <w:numPr>
          <w:ilvl w:val="0"/>
          <w:numId w:val="34"/>
        </w:numPr>
        <w:tabs>
          <w:tab w:pos="654" w:val="left" w:leader="none"/>
          <w:tab w:pos="655" w:val="left" w:leader="none"/>
        </w:tabs>
        <w:spacing w:line="232" w:lineRule="auto" w:before="0" w:after="0"/>
        <w:ind w:left="174" w:right="230" w:firstLine="0"/>
        <w:jc w:val="left"/>
        <w:rPr>
          <w:sz w:val="18"/>
        </w:rPr>
      </w:pPr>
      <w:r>
        <w:rPr>
          <w:color w:val="231F20"/>
          <w:sz w:val="18"/>
        </w:rPr>
        <w:t>Oil prices had risen to more than $12 per barrel at the beginning of January, following reports of a big fall in US oil inventories in the first week of December. But, thereafter, </w:t>
      </w:r>
      <w:r>
        <w:rPr>
          <w:color w:val="231F20"/>
          <w:spacing w:val="-3"/>
          <w:sz w:val="18"/>
        </w:rPr>
        <w:t>markets </w:t>
      </w:r>
      <w:r>
        <w:rPr>
          <w:color w:val="231F20"/>
          <w:sz w:val="18"/>
        </w:rPr>
        <w:t>had been subdued by profit-taking and the lack of further O</w:t>
      </w:r>
      <w:r>
        <w:rPr>
          <w:color w:val="231F20"/>
          <w:sz w:val="14"/>
        </w:rPr>
        <w:t>PEC </w:t>
      </w:r>
      <w:r>
        <w:rPr>
          <w:color w:val="231F20"/>
          <w:sz w:val="18"/>
        </w:rPr>
        <w:t>production cuts. The price had fallen to $11.46 per barrel by</w:t>
      </w:r>
    </w:p>
    <w:p>
      <w:pPr>
        <w:pStyle w:val="BodyText"/>
        <w:spacing w:line="198" w:lineRule="exact"/>
        <w:ind w:left="174"/>
      </w:pPr>
      <w:r>
        <w:rPr>
          <w:color w:val="231F20"/>
        </w:rPr>
        <w:t>6 January.</w:t>
      </w:r>
    </w:p>
    <w:p>
      <w:pPr>
        <w:pStyle w:val="BodyText"/>
        <w:spacing w:before="2"/>
        <w:rPr>
          <w:sz w:val="17"/>
        </w:rPr>
      </w:pPr>
    </w:p>
    <w:p>
      <w:pPr>
        <w:pStyle w:val="ListParagraph"/>
        <w:numPr>
          <w:ilvl w:val="0"/>
          <w:numId w:val="35"/>
        </w:numPr>
        <w:tabs>
          <w:tab w:pos="654" w:val="left" w:leader="none"/>
          <w:tab w:pos="655" w:val="left" w:leader="none"/>
        </w:tabs>
        <w:spacing w:line="232" w:lineRule="auto" w:before="1" w:after="0"/>
        <w:ind w:left="174" w:right="255" w:firstLine="0"/>
        <w:jc w:val="left"/>
        <w:rPr>
          <w:sz w:val="18"/>
        </w:rPr>
      </w:pPr>
      <w:r>
        <w:rPr>
          <w:color w:val="231F20"/>
          <w:sz w:val="18"/>
        </w:rPr>
        <w:t>Input prices had fallen again in December, by 1.2%, giving annual deflation of -8.9%. Since their peak in September 1995, input prices had fallen by 22.4%, and prices were at a level last recorded in 1986. Output prices excluding excise duties had been unchanged in December, giving annual deflation of -0.8%. And total annual output price inflation had fallen to zero, its lowest </w:t>
      </w:r>
      <w:r>
        <w:rPr>
          <w:color w:val="231F20"/>
          <w:spacing w:val="-5"/>
          <w:sz w:val="18"/>
        </w:rPr>
        <w:t>rate </w:t>
      </w:r>
      <w:r>
        <w:rPr>
          <w:color w:val="231F20"/>
          <w:sz w:val="18"/>
        </w:rPr>
        <w:t>since March 1960. The CBI Industrial Trends survey had suggested a further fall in prices in January.</w:t>
      </w:r>
    </w:p>
    <w:p>
      <w:pPr>
        <w:pStyle w:val="BodyText"/>
        <w:spacing w:before="9"/>
        <w:rPr>
          <w:sz w:val="16"/>
        </w:rPr>
      </w:pPr>
    </w:p>
    <w:p>
      <w:pPr>
        <w:pStyle w:val="ListParagraph"/>
        <w:numPr>
          <w:ilvl w:val="0"/>
          <w:numId w:val="35"/>
        </w:numPr>
        <w:tabs>
          <w:tab w:pos="654" w:val="left" w:leader="none"/>
          <w:tab w:pos="655" w:val="left" w:leader="none"/>
        </w:tabs>
        <w:spacing w:line="232" w:lineRule="auto" w:before="0" w:after="0"/>
        <w:ind w:left="174" w:right="300" w:firstLine="0"/>
        <w:jc w:val="left"/>
        <w:rPr>
          <w:sz w:val="18"/>
        </w:rPr>
      </w:pPr>
      <w:r>
        <w:rPr>
          <w:color w:val="231F20"/>
          <w:sz w:val="18"/>
        </w:rPr>
        <w:t>There had been no obvious reaction so far to sterling’s depreciation from export or import price inflation. Total import prices from the world had fallen by 6.0% in the year to </w:t>
      </w:r>
      <w:r>
        <w:rPr>
          <w:color w:val="231F20"/>
          <w:spacing w:val="-3"/>
          <w:sz w:val="18"/>
        </w:rPr>
        <w:t>November </w:t>
      </w:r>
      <w:r>
        <w:rPr>
          <w:color w:val="231F20"/>
          <w:sz w:val="18"/>
        </w:rPr>
        <w:t>(-7.0% to October), and total export prices to the world had fallen by 4.7% in the year to November (-5.5% to October).</w:t>
      </w:r>
    </w:p>
    <w:p>
      <w:pPr>
        <w:pStyle w:val="BodyText"/>
        <w:spacing w:before="1"/>
        <w:rPr>
          <w:sz w:val="17"/>
        </w:rPr>
      </w:pPr>
    </w:p>
    <w:p>
      <w:pPr>
        <w:pStyle w:val="ListParagraph"/>
        <w:numPr>
          <w:ilvl w:val="0"/>
          <w:numId w:val="35"/>
        </w:numPr>
        <w:tabs>
          <w:tab w:pos="654" w:val="left" w:leader="none"/>
          <w:tab w:pos="655" w:val="left" w:leader="none"/>
        </w:tabs>
        <w:spacing w:line="232" w:lineRule="auto" w:before="0" w:after="0"/>
        <w:ind w:left="174" w:right="265" w:firstLine="0"/>
        <w:jc w:val="left"/>
        <w:rPr>
          <w:sz w:val="18"/>
        </w:rPr>
      </w:pPr>
      <w:r>
        <w:rPr>
          <w:color w:val="231F20"/>
          <w:sz w:val="18"/>
        </w:rPr>
        <w:t>RPI inflation had fallen by 0.2 percentage points to 2.8% in December. RPIX inflation had risen by 0.1 percentage points to 2.6% in December; RPIY inflation had risen by 0.2 percentage points to 2.0%. Seasonal food had become the most inflationary sector in the RPI, as unfavourable weather had again affected supply. Household goods prices had risen strongly, but over the past decade, household goods prices had risen in December and then fallen sharply in January ‘sales’. The gap between goods </w:t>
      </w:r>
      <w:r>
        <w:rPr>
          <w:color w:val="231F20"/>
          <w:spacing w:val="-6"/>
          <w:sz w:val="18"/>
        </w:rPr>
        <w:t>and </w:t>
      </w:r>
      <w:r>
        <w:rPr>
          <w:color w:val="231F20"/>
          <w:sz w:val="18"/>
        </w:rPr>
        <w:t>services price inflation had narrowed in December.</w:t>
      </w:r>
    </w:p>
    <w:p>
      <w:pPr>
        <w:pStyle w:val="BodyText"/>
        <w:spacing w:before="9"/>
        <w:rPr>
          <w:sz w:val="16"/>
        </w:rPr>
      </w:pPr>
    </w:p>
    <w:p>
      <w:pPr>
        <w:pStyle w:val="ListParagraph"/>
        <w:numPr>
          <w:ilvl w:val="0"/>
          <w:numId w:val="35"/>
        </w:numPr>
        <w:tabs>
          <w:tab w:pos="654" w:val="left" w:leader="none"/>
          <w:tab w:pos="655" w:val="left" w:leader="none"/>
        </w:tabs>
        <w:spacing w:line="232" w:lineRule="auto" w:before="0" w:after="0"/>
        <w:ind w:left="174" w:right="280" w:firstLine="0"/>
        <w:jc w:val="left"/>
        <w:rPr>
          <w:sz w:val="18"/>
        </w:rPr>
      </w:pPr>
      <w:r>
        <w:rPr>
          <w:color w:val="231F20"/>
          <w:sz w:val="18"/>
        </w:rPr>
        <w:t>The only new data on other measures of inflation since the January MPC meeting had been on the retail sales deflator and </w:t>
      </w:r>
      <w:r>
        <w:rPr>
          <w:color w:val="231F20"/>
          <w:spacing w:val="-6"/>
          <w:sz w:val="18"/>
        </w:rPr>
        <w:t>the</w:t>
      </w:r>
    </w:p>
    <w:p>
      <w:pPr>
        <w:spacing w:after="0" w:line="232" w:lineRule="auto"/>
        <w:jc w:val="left"/>
        <w:rPr>
          <w:sz w:val="18"/>
        </w:rPr>
        <w:sectPr>
          <w:type w:val="continuous"/>
          <w:pgSz w:w="11900" w:h="16840"/>
          <w:pgMar w:top="1220" w:bottom="280" w:left="640" w:right="640"/>
          <w:cols w:num="2" w:equalWidth="0">
            <w:col w:w="5124" w:space="266"/>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65" w:right="186"/>
      </w:pPr>
      <w:r>
        <w:rPr>
          <w:color w:val="231F20"/>
        </w:rPr>
        <w:t>harmonised consumer prices index (HICP). Retail sales deflator inflation had risen by 0.4 percentage points to 1.3% in December. HICP inflation had increased by 0.1 percentage points to 1.5%. The increase had been similar to RPIX and for the same reasons,</w:t>
      </w:r>
    </w:p>
    <w:p>
      <w:pPr>
        <w:pStyle w:val="BodyText"/>
        <w:spacing w:line="232" w:lineRule="auto"/>
        <w:ind w:left="165" w:right="59"/>
      </w:pPr>
      <w:r>
        <w:rPr>
          <w:color w:val="231F20"/>
        </w:rPr>
        <w:t>but the 1.1 percentage point gap between the two inflation rates </w:t>
      </w:r>
      <w:r>
        <w:rPr>
          <w:color w:val="231F20"/>
          <w:spacing w:val="-6"/>
        </w:rPr>
        <w:t>had </w:t>
      </w:r>
      <w:r>
        <w:rPr>
          <w:color w:val="231F20"/>
        </w:rPr>
        <w:t>remained unusually high. The effect of using the geometric mean in calculating HICP inflation had continued to account for much of that difference. The geometric mean effect had increased over the past decade, while inflation had declined.</w:t>
      </w:r>
    </w:p>
    <w:p>
      <w:pPr>
        <w:pStyle w:val="BodyText"/>
        <w:spacing w:before="8"/>
        <w:rPr>
          <w:sz w:val="16"/>
        </w:rPr>
      </w:pPr>
    </w:p>
    <w:p>
      <w:pPr>
        <w:pStyle w:val="ListParagraph"/>
        <w:numPr>
          <w:ilvl w:val="0"/>
          <w:numId w:val="35"/>
        </w:numPr>
        <w:tabs>
          <w:tab w:pos="645" w:val="left" w:leader="none"/>
          <w:tab w:pos="646" w:val="left" w:leader="none"/>
        </w:tabs>
        <w:spacing w:line="232" w:lineRule="auto" w:before="1" w:after="0"/>
        <w:ind w:left="165" w:right="43" w:firstLine="0"/>
        <w:jc w:val="left"/>
        <w:rPr>
          <w:sz w:val="18"/>
        </w:rPr>
      </w:pPr>
      <w:r>
        <w:rPr>
          <w:color w:val="231F20"/>
          <w:sz w:val="18"/>
        </w:rPr>
        <w:t>The UK HICP had been 0.4 percentage points above the EU average in November. Although UK goods price inflation had </w:t>
      </w:r>
      <w:r>
        <w:rPr>
          <w:color w:val="231F20"/>
          <w:spacing w:val="-5"/>
          <w:sz w:val="18"/>
        </w:rPr>
        <w:t>been </w:t>
      </w:r>
      <w:r>
        <w:rPr>
          <w:color w:val="231F20"/>
          <w:sz w:val="18"/>
        </w:rPr>
        <w:t>below the EU average in November, UK services price inflation had been well above average.</w:t>
      </w:r>
    </w:p>
    <w:p>
      <w:pPr>
        <w:pStyle w:val="BodyText"/>
        <w:spacing w:before="4"/>
        <w:rPr>
          <w:sz w:val="20"/>
        </w:rPr>
      </w:pPr>
    </w:p>
    <w:p>
      <w:pPr>
        <w:pStyle w:val="Heading3"/>
        <w:numPr>
          <w:ilvl w:val="0"/>
          <w:numId w:val="33"/>
        </w:numPr>
        <w:tabs>
          <w:tab w:pos="645" w:val="left" w:leader="none"/>
          <w:tab w:pos="646" w:val="left" w:leader="none"/>
        </w:tabs>
        <w:spacing w:line="240" w:lineRule="auto" w:before="0" w:after="0"/>
        <w:ind w:left="645" w:right="0" w:hanging="481"/>
        <w:jc w:val="left"/>
      </w:pPr>
      <w:r>
        <w:rPr>
          <w:color w:val="009483"/>
        </w:rPr>
        <w:t>Agents’ national summary</w:t>
      </w:r>
    </w:p>
    <w:p>
      <w:pPr>
        <w:pStyle w:val="ListParagraph"/>
        <w:numPr>
          <w:ilvl w:val="0"/>
          <w:numId w:val="35"/>
        </w:numPr>
        <w:tabs>
          <w:tab w:pos="645" w:val="left" w:leader="none"/>
          <w:tab w:pos="646" w:val="left" w:leader="none"/>
        </w:tabs>
        <w:spacing w:line="232" w:lineRule="auto" w:before="110" w:after="0"/>
        <w:ind w:left="165" w:right="58" w:firstLine="0"/>
        <w:jc w:val="left"/>
        <w:rPr>
          <w:sz w:val="18"/>
        </w:rPr>
      </w:pPr>
      <w:r>
        <w:rPr>
          <w:color w:val="231F20"/>
          <w:sz w:val="18"/>
        </w:rPr>
        <w:t>The Bank’s regional Agents gave their assessment of economic developments, drawn from discussions with contacts over the past month. Construction output had continued to grow, boosted by Millennium, railway and public sector work, but </w:t>
      </w:r>
      <w:r>
        <w:rPr>
          <w:color w:val="231F20"/>
          <w:spacing w:val="-3"/>
          <w:sz w:val="18"/>
        </w:rPr>
        <w:t>growth </w:t>
      </w:r>
      <w:r>
        <w:rPr>
          <w:color w:val="231F20"/>
          <w:sz w:val="18"/>
        </w:rPr>
        <w:t>had been expected to slow during the course of 1999, reflecting weaker orders. Housing starts had remained subdued, but there </w:t>
      </w:r>
      <w:r>
        <w:rPr>
          <w:color w:val="231F20"/>
          <w:spacing w:val="-6"/>
          <w:sz w:val="18"/>
        </w:rPr>
        <w:t>had </w:t>
      </w:r>
      <w:r>
        <w:rPr>
          <w:color w:val="231F20"/>
          <w:sz w:val="18"/>
        </w:rPr>
        <w:t>been some evidence of a recovery in the secondary housing market in certain regions. Manufacturing contacts had continued to report falling output and excessive stocks, despite extended shutdowns in some areas. Competition from cheaper imports had remained intense. Further reductions in output had been expected in the first quarter of 1999, although there appeared to have been some recovery of manufacturing sentiment in some regions, reflecting an improvement in perceived export prospects.</w:t>
      </w:r>
    </w:p>
    <w:p>
      <w:pPr>
        <w:pStyle w:val="BodyText"/>
        <w:spacing w:before="5"/>
        <w:rPr>
          <w:sz w:val="16"/>
        </w:rPr>
      </w:pPr>
    </w:p>
    <w:p>
      <w:pPr>
        <w:pStyle w:val="ListParagraph"/>
        <w:numPr>
          <w:ilvl w:val="0"/>
          <w:numId w:val="35"/>
        </w:numPr>
        <w:tabs>
          <w:tab w:pos="645" w:val="left" w:leader="none"/>
          <w:tab w:pos="646" w:val="left" w:leader="none"/>
        </w:tabs>
        <w:spacing w:line="232" w:lineRule="auto" w:before="0" w:after="0"/>
        <w:ind w:left="165" w:right="63" w:firstLine="0"/>
        <w:jc w:val="left"/>
        <w:rPr>
          <w:sz w:val="18"/>
        </w:rPr>
      </w:pPr>
      <w:r>
        <w:rPr>
          <w:color w:val="231F20"/>
          <w:sz w:val="18"/>
        </w:rPr>
        <w:t>Retailers had seen a late surge of sales before Christmas, </w:t>
      </w:r>
      <w:r>
        <w:rPr>
          <w:color w:val="231F20"/>
          <w:spacing w:val="-6"/>
          <w:sz w:val="18"/>
        </w:rPr>
        <w:t>and </w:t>
      </w:r>
      <w:r>
        <w:rPr>
          <w:color w:val="231F20"/>
          <w:sz w:val="18"/>
        </w:rPr>
        <w:t>there had been quite a strong early start to the January ‘sales’. But sales of most goods had subsequently fallen off, and most retail contacts still considered their stock levels to be excessive. Sales of consumer services had continued to grow, but at lower rates than earlier in 1998. Business service growth had remained strong in a number of regions.</w:t>
      </w:r>
    </w:p>
    <w:p>
      <w:pPr>
        <w:pStyle w:val="BodyText"/>
        <w:spacing w:before="10"/>
        <w:rPr>
          <w:sz w:val="16"/>
        </w:rPr>
      </w:pPr>
    </w:p>
    <w:p>
      <w:pPr>
        <w:pStyle w:val="ListParagraph"/>
        <w:numPr>
          <w:ilvl w:val="0"/>
          <w:numId w:val="35"/>
        </w:numPr>
        <w:tabs>
          <w:tab w:pos="645" w:val="left" w:leader="none"/>
          <w:tab w:pos="646" w:val="left" w:leader="none"/>
        </w:tabs>
        <w:spacing w:line="232" w:lineRule="auto" w:before="0" w:after="0"/>
        <w:ind w:left="165" w:right="43" w:firstLine="0"/>
        <w:jc w:val="left"/>
        <w:rPr>
          <w:sz w:val="18"/>
        </w:rPr>
      </w:pPr>
      <w:r>
        <w:rPr>
          <w:color w:val="231F20"/>
          <w:sz w:val="18"/>
        </w:rPr>
        <w:t>Banks had been reporting lower demand for borrowing, as manufacturers deferred new investment plans. And several of the Bank’s Agents had been told of a rise in late payments by small </w:t>
      </w:r>
      <w:r>
        <w:rPr>
          <w:color w:val="231F20"/>
          <w:spacing w:val="-6"/>
          <w:sz w:val="18"/>
        </w:rPr>
        <w:t>and </w:t>
      </w:r>
      <w:r>
        <w:rPr>
          <w:color w:val="231F20"/>
          <w:sz w:val="18"/>
        </w:rPr>
        <w:t>medium-sized firms. But there was some evidence that banks had been attempting to address credit problems more proactively and earlier than they had done in the previous cycle.</w:t>
      </w:r>
    </w:p>
    <w:p>
      <w:pPr>
        <w:pStyle w:val="BodyText"/>
        <w:rPr>
          <w:sz w:val="17"/>
        </w:rPr>
      </w:pPr>
    </w:p>
    <w:p>
      <w:pPr>
        <w:pStyle w:val="ListParagraph"/>
        <w:numPr>
          <w:ilvl w:val="0"/>
          <w:numId w:val="35"/>
        </w:numPr>
        <w:tabs>
          <w:tab w:pos="645" w:val="left" w:leader="none"/>
          <w:tab w:pos="646" w:val="left" w:leader="none"/>
        </w:tabs>
        <w:spacing w:line="232" w:lineRule="auto" w:before="0" w:after="0"/>
        <w:ind w:left="165" w:right="38" w:firstLine="0"/>
        <w:jc w:val="left"/>
        <w:rPr>
          <w:sz w:val="18"/>
        </w:rPr>
      </w:pPr>
      <w:r>
        <w:rPr>
          <w:color w:val="231F20"/>
          <w:sz w:val="18"/>
        </w:rPr>
        <w:t>Manufacturing employment had continued to fall. A spate </w:t>
      </w:r>
      <w:r>
        <w:rPr>
          <w:color w:val="231F20"/>
          <w:spacing w:val="-9"/>
          <w:sz w:val="18"/>
        </w:rPr>
        <w:t>of </w:t>
      </w:r>
      <w:r>
        <w:rPr>
          <w:color w:val="231F20"/>
          <w:sz w:val="18"/>
        </w:rPr>
        <w:t>redundancy announcements in the durable goods sectors and elsewhere in recent weeks had yet to reach the official figures, and several firms had indicated that they would be reviewing employment levels again during the first quarter. Services employment had continued to grow, but at a lower rate.</w:t>
      </w:r>
    </w:p>
    <w:p>
      <w:pPr>
        <w:pStyle w:val="BodyText"/>
        <w:spacing w:before="3"/>
        <w:rPr>
          <w:sz w:val="20"/>
        </w:rPr>
      </w:pPr>
    </w:p>
    <w:p>
      <w:pPr>
        <w:pStyle w:val="Heading3"/>
        <w:numPr>
          <w:ilvl w:val="0"/>
          <w:numId w:val="33"/>
        </w:numPr>
        <w:tabs>
          <w:tab w:pos="646" w:val="left" w:leader="none"/>
        </w:tabs>
        <w:spacing w:line="240" w:lineRule="auto" w:before="0" w:after="0"/>
        <w:ind w:left="645" w:right="0" w:hanging="481"/>
        <w:jc w:val="left"/>
      </w:pPr>
      <w:r>
        <w:rPr>
          <w:color w:val="009483"/>
        </w:rPr>
        <w:t>Information from financial</w:t>
      </w:r>
      <w:r>
        <w:rPr>
          <w:color w:val="009483"/>
          <w:spacing w:val="-3"/>
        </w:rPr>
        <w:t> </w:t>
      </w:r>
      <w:r>
        <w:rPr>
          <w:color w:val="009483"/>
        </w:rPr>
        <w:t>markets</w:t>
      </w:r>
    </w:p>
    <w:p>
      <w:pPr>
        <w:spacing w:before="105"/>
        <w:ind w:left="165" w:right="0" w:firstLine="0"/>
        <w:jc w:val="left"/>
        <w:rPr>
          <w:i/>
          <w:sz w:val="18"/>
        </w:rPr>
      </w:pPr>
      <w:r>
        <w:rPr>
          <w:i/>
          <w:color w:val="009483"/>
          <w:sz w:val="18"/>
        </w:rPr>
        <w:t>Foreign exchange</w:t>
      </w:r>
    </w:p>
    <w:p>
      <w:pPr>
        <w:pStyle w:val="ListParagraph"/>
        <w:numPr>
          <w:ilvl w:val="0"/>
          <w:numId w:val="35"/>
        </w:numPr>
        <w:tabs>
          <w:tab w:pos="645" w:val="left" w:leader="none"/>
          <w:tab w:pos="646" w:val="left" w:leader="none"/>
        </w:tabs>
        <w:spacing w:line="232" w:lineRule="auto" w:before="118" w:after="0"/>
        <w:ind w:left="165" w:right="77" w:firstLine="0"/>
        <w:jc w:val="left"/>
        <w:rPr>
          <w:sz w:val="18"/>
        </w:rPr>
      </w:pPr>
      <w:r>
        <w:rPr>
          <w:color w:val="231F20"/>
          <w:sz w:val="18"/>
        </w:rPr>
        <w:t>The sterling effective exchange rate index had appreciated by 1.1% since the 6–7 January MPC meeting and by 0.2% from</w:t>
      </w:r>
      <w:r>
        <w:rPr>
          <w:color w:val="231F20"/>
          <w:spacing w:val="1"/>
          <w:sz w:val="18"/>
        </w:rPr>
        <w:t> </w:t>
      </w:r>
      <w:r>
        <w:rPr>
          <w:color w:val="231F20"/>
          <w:spacing w:val="-6"/>
          <w:sz w:val="18"/>
        </w:rPr>
        <w:t>the</w:t>
      </w:r>
    </w:p>
    <w:p>
      <w:pPr>
        <w:pStyle w:val="BodyText"/>
        <w:spacing w:before="4"/>
        <w:rPr>
          <w:sz w:val="21"/>
        </w:rPr>
      </w:pPr>
      <w:r>
        <w:rPr/>
        <w:br w:type="column"/>
      </w:r>
      <w:r>
        <w:rPr>
          <w:sz w:val="21"/>
        </w:rPr>
      </w:r>
    </w:p>
    <w:p>
      <w:pPr>
        <w:pStyle w:val="BodyText"/>
        <w:spacing w:line="232" w:lineRule="auto" w:before="1"/>
        <w:ind w:left="165" w:right="266"/>
      </w:pPr>
      <w:r>
        <w:rPr>
          <w:color w:val="231F20"/>
        </w:rPr>
        <w:t>(15-day average) starting-point in the November </w:t>
      </w:r>
      <w:r>
        <w:rPr>
          <w:i/>
          <w:color w:val="231F20"/>
        </w:rPr>
        <w:t>Inflation Report</w:t>
      </w:r>
      <w:r>
        <w:rPr>
          <w:color w:val="231F20"/>
        </w:rPr>
        <w:t>. The central projection in the November </w:t>
      </w:r>
      <w:r>
        <w:rPr>
          <w:i/>
          <w:color w:val="231F20"/>
        </w:rPr>
        <w:t>Report </w:t>
      </w:r>
      <w:r>
        <w:rPr>
          <w:color w:val="231F20"/>
        </w:rPr>
        <w:t>had assumed a small depreciation over this period and so ‘news’ about the exchange rate amounted to a small appreciation. But movements in yield curves in the United Kingdom and overseas had suggested that news about monetary policy had not explained the most recent appreciation.  Outside forecasts for sterling made at the start of the year had been on average for a fall of nearly 4% in effective terms through 1999, slightly more than implied by forward rates.</w:t>
      </w:r>
    </w:p>
    <w:p>
      <w:pPr>
        <w:pStyle w:val="BodyText"/>
        <w:spacing w:before="8"/>
        <w:rPr>
          <w:sz w:val="16"/>
        </w:rPr>
      </w:pPr>
    </w:p>
    <w:p>
      <w:pPr>
        <w:pStyle w:val="ListParagraph"/>
        <w:numPr>
          <w:ilvl w:val="0"/>
          <w:numId w:val="35"/>
        </w:numPr>
        <w:tabs>
          <w:tab w:pos="645" w:val="left" w:leader="none"/>
          <w:tab w:pos="646" w:val="left" w:leader="none"/>
        </w:tabs>
        <w:spacing w:line="232" w:lineRule="auto" w:before="0" w:after="0"/>
        <w:ind w:left="165" w:right="246" w:firstLine="0"/>
        <w:jc w:val="left"/>
        <w:rPr>
          <w:sz w:val="18"/>
        </w:rPr>
      </w:pPr>
      <w:r>
        <w:rPr>
          <w:color w:val="231F20"/>
          <w:sz w:val="18"/>
        </w:rPr>
        <w:t>Over the month as a whole, the dollar had strengthened markedly. The appreciation of the euro at the start of its life had been short-lived; soft data, particularly from Germany, had led to expectations of lower euro interest rates relative to those for the United States. Initially, the dollar had also fallen sharply against the yen (to a low of ¥108.2 on 11 January), as further short yen positions had been squeezed out. The floating of the Brazilian </w:t>
      </w:r>
      <w:r>
        <w:rPr>
          <w:color w:val="231F20"/>
          <w:spacing w:val="-5"/>
          <w:sz w:val="18"/>
        </w:rPr>
        <w:t>real </w:t>
      </w:r>
      <w:r>
        <w:rPr>
          <w:color w:val="231F20"/>
          <w:sz w:val="18"/>
        </w:rPr>
        <w:t>had created some initial nervousness, but had had only limited impact on other currencies.</w:t>
      </w:r>
    </w:p>
    <w:p>
      <w:pPr>
        <w:pStyle w:val="BodyText"/>
        <w:spacing w:before="4"/>
        <w:rPr>
          <w:sz w:val="16"/>
        </w:rPr>
      </w:pPr>
    </w:p>
    <w:p>
      <w:pPr>
        <w:spacing w:before="0"/>
        <w:ind w:left="165" w:right="0" w:firstLine="0"/>
        <w:jc w:val="left"/>
        <w:rPr>
          <w:i/>
          <w:sz w:val="18"/>
        </w:rPr>
      </w:pPr>
      <w:r>
        <w:rPr>
          <w:i/>
          <w:color w:val="009483"/>
          <w:sz w:val="18"/>
        </w:rPr>
        <w:t>Government bond and money markets</w:t>
      </w:r>
    </w:p>
    <w:p>
      <w:pPr>
        <w:pStyle w:val="ListParagraph"/>
        <w:numPr>
          <w:ilvl w:val="0"/>
          <w:numId w:val="35"/>
        </w:numPr>
        <w:tabs>
          <w:tab w:pos="645" w:val="left" w:leader="none"/>
          <w:tab w:pos="646" w:val="left" w:leader="none"/>
        </w:tabs>
        <w:spacing w:line="232" w:lineRule="auto" w:before="158" w:after="0"/>
        <w:ind w:left="165" w:right="176" w:firstLine="0"/>
        <w:jc w:val="left"/>
        <w:rPr>
          <w:sz w:val="18"/>
        </w:rPr>
      </w:pPr>
      <w:r>
        <w:rPr>
          <w:color w:val="231F20"/>
          <w:sz w:val="18"/>
        </w:rPr>
        <w:t>UK data and survey releases had raised slightly interest rates implied by the nearest short sterling contracts. But the longer contracts and the UK bond market had rallied further. Nominal </w:t>
      </w:r>
      <w:r>
        <w:rPr>
          <w:color w:val="231F20"/>
          <w:spacing w:val="-6"/>
          <w:sz w:val="18"/>
        </w:rPr>
        <w:t>and </w:t>
      </w:r>
      <w:r>
        <w:rPr>
          <w:color w:val="231F20"/>
          <w:sz w:val="18"/>
        </w:rPr>
        <w:t>real gilt yields had been very low by historical standards and by comparison with other countries with similar or lower inflation. Recovering market confidence and low gilt yields had led to some recovery in non-government sterling bond issuance in the fourth quarter, but a significant proportion had been by supranational bodies.  The yield spread over gilts paid by credits below top quality remained high.</w:t>
      </w:r>
    </w:p>
    <w:p>
      <w:pPr>
        <w:pStyle w:val="BodyText"/>
        <w:spacing w:before="8"/>
        <w:rPr>
          <w:sz w:val="16"/>
        </w:rPr>
      </w:pPr>
    </w:p>
    <w:p>
      <w:pPr>
        <w:pStyle w:val="ListParagraph"/>
        <w:numPr>
          <w:ilvl w:val="0"/>
          <w:numId w:val="35"/>
        </w:numPr>
        <w:tabs>
          <w:tab w:pos="646" w:val="left" w:leader="none"/>
        </w:tabs>
        <w:spacing w:line="232" w:lineRule="auto" w:before="0" w:after="0"/>
        <w:ind w:left="165" w:right="416" w:firstLine="0"/>
        <w:jc w:val="both"/>
        <w:rPr>
          <w:sz w:val="18"/>
        </w:rPr>
      </w:pPr>
      <w:r>
        <w:rPr>
          <w:color w:val="231F20"/>
          <w:sz w:val="18"/>
        </w:rPr>
        <w:t>UK forward rates implied by gilt yields were below those implied by German government bond yields from five years </w:t>
      </w:r>
      <w:r>
        <w:rPr>
          <w:color w:val="231F20"/>
          <w:spacing w:val="-5"/>
          <w:sz w:val="18"/>
        </w:rPr>
        <w:t>out. </w:t>
      </w:r>
      <w:r>
        <w:rPr>
          <w:color w:val="231F20"/>
          <w:sz w:val="18"/>
        </w:rPr>
        <w:t>However, forward rates from swap curves had shown</w:t>
      </w:r>
    </w:p>
    <w:p>
      <w:pPr>
        <w:pStyle w:val="BodyText"/>
        <w:spacing w:line="232" w:lineRule="auto"/>
        <w:ind w:left="165" w:right="159"/>
      </w:pPr>
      <w:r>
        <w:rPr>
          <w:color w:val="231F20"/>
        </w:rPr>
        <w:t>UK-German convergence at medium (7–10 year) maturities. Institutional demand for gilts and limited net issuance might have been having a material effect on gilt yields, pushing them below the level implied by expectations of future interest rates.</w:t>
      </w:r>
    </w:p>
    <w:p>
      <w:pPr>
        <w:pStyle w:val="BodyText"/>
        <w:spacing w:before="6"/>
        <w:rPr>
          <w:sz w:val="16"/>
        </w:rPr>
      </w:pPr>
    </w:p>
    <w:p>
      <w:pPr>
        <w:spacing w:before="0"/>
        <w:ind w:left="165" w:right="0" w:firstLine="0"/>
        <w:jc w:val="left"/>
        <w:rPr>
          <w:i/>
          <w:sz w:val="18"/>
        </w:rPr>
      </w:pPr>
      <w:r>
        <w:rPr>
          <w:i/>
          <w:color w:val="009483"/>
          <w:sz w:val="18"/>
        </w:rPr>
        <w:t>Equity and corporate debt markets</w:t>
      </w:r>
    </w:p>
    <w:p>
      <w:pPr>
        <w:pStyle w:val="ListParagraph"/>
        <w:numPr>
          <w:ilvl w:val="0"/>
          <w:numId w:val="35"/>
        </w:numPr>
        <w:tabs>
          <w:tab w:pos="645" w:val="left" w:leader="none"/>
          <w:tab w:pos="646" w:val="left" w:leader="none"/>
        </w:tabs>
        <w:spacing w:line="232" w:lineRule="auto" w:before="158" w:after="0"/>
        <w:ind w:left="165" w:right="361" w:firstLine="0"/>
        <w:jc w:val="left"/>
        <w:rPr>
          <w:sz w:val="18"/>
        </w:rPr>
      </w:pPr>
      <w:r>
        <w:rPr>
          <w:color w:val="231F20"/>
          <w:sz w:val="18"/>
        </w:rPr>
        <w:t>Although the Brazilian real float had had a positive </w:t>
      </w:r>
      <w:r>
        <w:rPr>
          <w:color w:val="231F20"/>
          <w:spacing w:val="-3"/>
          <w:sz w:val="18"/>
        </w:rPr>
        <w:t>impact </w:t>
      </w:r>
      <w:r>
        <w:rPr>
          <w:color w:val="231F20"/>
          <w:sz w:val="18"/>
        </w:rPr>
        <w:t>on the local stock market, it had checked the recovery of equity prices in most major countries, though not in Japan. In a number of countries, including the United Kingdom, bank share prices had both fallen absolutely and relative to general indices.</w:t>
      </w:r>
    </w:p>
    <w:p>
      <w:pPr>
        <w:pStyle w:val="BodyText"/>
        <w:spacing w:line="232" w:lineRule="auto"/>
        <w:ind w:left="165" w:right="719"/>
      </w:pPr>
      <w:r>
        <w:rPr>
          <w:color w:val="231F20"/>
        </w:rPr>
        <w:t>Credit spreads in bond markets and in the swaps market had generally fallen, particularly for lower-rated companies.</w:t>
      </w:r>
    </w:p>
    <w:p>
      <w:pPr>
        <w:pStyle w:val="BodyText"/>
        <w:spacing w:line="232" w:lineRule="auto"/>
        <w:ind w:left="165" w:right="459"/>
      </w:pPr>
      <w:r>
        <w:rPr>
          <w:color w:val="231F20"/>
        </w:rPr>
        <w:t>Spreads for UK bank bond yields over other UK corporates had also fallen.</w:t>
      </w:r>
    </w:p>
    <w:p>
      <w:pPr>
        <w:pStyle w:val="BodyText"/>
        <w:spacing w:before="9"/>
        <w:rPr>
          <w:sz w:val="16"/>
        </w:rPr>
      </w:pPr>
    </w:p>
    <w:p>
      <w:pPr>
        <w:pStyle w:val="ListParagraph"/>
        <w:numPr>
          <w:ilvl w:val="0"/>
          <w:numId w:val="35"/>
        </w:numPr>
        <w:tabs>
          <w:tab w:pos="645" w:val="left" w:leader="none"/>
          <w:tab w:pos="646" w:val="left" w:leader="none"/>
        </w:tabs>
        <w:spacing w:line="232" w:lineRule="auto" w:before="0" w:after="0"/>
        <w:ind w:left="165" w:right="196" w:firstLine="0"/>
        <w:jc w:val="left"/>
        <w:rPr>
          <w:sz w:val="18"/>
        </w:rPr>
      </w:pPr>
      <w:r>
        <w:rPr>
          <w:color w:val="231F20"/>
          <w:sz w:val="18"/>
        </w:rPr>
        <w:t>Downward profit warnings by UK companies in January </w:t>
      </w:r>
      <w:r>
        <w:rPr>
          <w:color w:val="231F20"/>
          <w:spacing w:val="-6"/>
          <w:sz w:val="18"/>
        </w:rPr>
        <w:t>had </w:t>
      </w:r>
      <w:r>
        <w:rPr>
          <w:color w:val="231F20"/>
          <w:sz w:val="18"/>
        </w:rPr>
        <w:t>again been more numerous than a year earlier. Trading statements from some general retailers had adversely affected their share prices, although the sector as a whole had not fallen relative to the market. Small company shares had continued to underperform. Underperformance had appeared cyclical.</w:t>
      </w:r>
    </w:p>
    <w:p>
      <w:pPr>
        <w:spacing w:after="0" w:line="232" w:lineRule="auto"/>
        <w:jc w:val="left"/>
        <w:rPr>
          <w:sz w:val="18"/>
        </w:rPr>
        <w:sectPr>
          <w:type w:val="continuous"/>
          <w:pgSz w:w="11900" w:h="16840"/>
          <w:pgMar w:top="1220" w:bottom="280" w:left="640" w:right="640"/>
          <w:cols w:num="2" w:equalWidth="0">
            <w:col w:w="5105" w:space="282"/>
            <w:col w:w="5233"/>
          </w:cols>
        </w:sectPr>
      </w:pPr>
    </w:p>
    <w:p>
      <w:pPr>
        <w:pStyle w:val="BodyText"/>
        <w:rPr>
          <w:sz w:val="20"/>
        </w:rPr>
      </w:pPr>
    </w:p>
    <w:p>
      <w:pPr>
        <w:pStyle w:val="BodyText"/>
        <w:rPr>
          <w:sz w:val="20"/>
        </w:rPr>
      </w:pPr>
    </w:p>
    <w:p>
      <w:pPr>
        <w:pStyle w:val="BodyText"/>
        <w:rPr>
          <w:sz w:val="21"/>
        </w:rPr>
      </w:pPr>
    </w:p>
    <w:p>
      <w:pPr>
        <w:spacing w:before="87"/>
        <w:ind w:left="170" w:right="0" w:firstLine="0"/>
        <w:jc w:val="left"/>
        <w:rPr>
          <w:b/>
          <w:sz w:val="32"/>
        </w:rPr>
      </w:pPr>
      <w:bookmarkStart w:name="March minutes" w:id="86"/>
      <w:bookmarkEnd w:id="86"/>
      <w:r>
        <w:rPr/>
      </w:r>
      <w:bookmarkStart w:name="_bookmark37" w:id="87"/>
      <w:bookmarkEnd w:id="87"/>
      <w:r>
        <w:rPr/>
      </w:r>
      <w:r>
        <w:rPr>
          <w:b/>
          <w:color w:val="009483"/>
          <w:sz w:val="32"/>
        </w:rPr>
        <w:t>Minutes of the Monetary Policy Committee meeting on 2–3 March 1999</w:t>
      </w:r>
    </w:p>
    <w:p>
      <w:pPr>
        <w:pStyle w:val="BodyText"/>
        <w:spacing w:before="9"/>
        <w:rPr>
          <w:b/>
          <w:sz w:val="29"/>
        </w:rPr>
      </w:pPr>
    </w:p>
    <w:p>
      <w:pPr>
        <w:spacing w:after="0"/>
        <w:rPr>
          <w:sz w:val="29"/>
        </w:rPr>
        <w:sectPr>
          <w:pgSz w:w="11900" w:h="16840"/>
          <w:pgMar w:header="566" w:footer="597" w:top="760" w:bottom="780" w:left="640" w:right="640"/>
        </w:sectPr>
      </w:pPr>
    </w:p>
    <w:p>
      <w:pPr>
        <w:pStyle w:val="ListParagraph"/>
        <w:numPr>
          <w:ilvl w:val="0"/>
          <w:numId w:val="36"/>
        </w:numPr>
        <w:tabs>
          <w:tab w:pos="654" w:val="left" w:leader="none"/>
          <w:tab w:pos="655" w:val="left" w:leader="none"/>
        </w:tabs>
        <w:spacing w:line="232" w:lineRule="auto" w:before="97" w:after="0"/>
        <w:ind w:left="174" w:right="122" w:firstLine="0"/>
        <w:jc w:val="left"/>
        <w:rPr>
          <w:sz w:val="18"/>
        </w:rPr>
      </w:pPr>
      <w:r>
        <w:rPr>
          <w:color w:val="231F20"/>
          <w:sz w:val="18"/>
        </w:rPr>
        <w:t>The Committee discussed the prospects for the world economy; money and financial markets; demand and output; the implications of the Budget projections for the macroeconomic outlook; the labour market; prices; and other considerations bearing on the decision this month, before turning to its immediate policy decision.</w:t>
      </w:r>
    </w:p>
    <w:p>
      <w:pPr>
        <w:pStyle w:val="BodyText"/>
        <w:spacing w:before="6"/>
      </w:pPr>
    </w:p>
    <w:p>
      <w:pPr>
        <w:pStyle w:val="Heading3"/>
        <w:ind w:left="174"/>
      </w:pPr>
      <w:r>
        <w:rPr>
          <w:color w:val="009483"/>
        </w:rPr>
        <w:t>The world economy</w:t>
      </w:r>
    </w:p>
    <w:p>
      <w:pPr>
        <w:pStyle w:val="ListParagraph"/>
        <w:numPr>
          <w:ilvl w:val="0"/>
          <w:numId w:val="36"/>
        </w:numPr>
        <w:tabs>
          <w:tab w:pos="654" w:val="left" w:leader="none"/>
          <w:tab w:pos="655" w:val="left" w:leader="none"/>
        </w:tabs>
        <w:spacing w:line="232" w:lineRule="auto" w:before="90" w:after="0"/>
        <w:ind w:left="174" w:right="38" w:firstLine="0"/>
        <w:jc w:val="left"/>
        <w:rPr>
          <w:sz w:val="18"/>
        </w:rPr>
      </w:pPr>
      <w:r>
        <w:rPr>
          <w:color w:val="231F20"/>
          <w:sz w:val="18"/>
        </w:rPr>
        <w:t>Activity in the United States economy had again been stronger than expected over the past month. Indeed, provisional estimates suggested it had contributed around half of the increase </w:t>
      </w:r>
      <w:r>
        <w:rPr>
          <w:color w:val="231F20"/>
          <w:spacing w:val="-9"/>
          <w:sz w:val="18"/>
        </w:rPr>
        <w:t>in </w:t>
      </w:r>
      <w:r>
        <w:rPr>
          <w:color w:val="231F20"/>
          <w:sz w:val="18"/>
        </w:rPr>
        <w:t>world demand in 1998, well in excess of its 20% share of world output. The National Association of Purchasing Managers (N</w:t>
      </w:r>
      <w:r>
        <w:rPr>
          <w:color w:val="231F20"/>
          <w:sz w:val="14"/>
        </w:rPr>
        <w:t>APM</w:t>
      </w:r>
      <w:r>
        <w:rPr>
          <w:color w:val="231F20"/>
          <w:sz w:val="18"/>
        </w:rPr>
        <w:t>) index had strengthened—partly reflecting an improvement in export orders. This was surprising given recent weakness in the world economy and the strength of the US dollar. There were, perhaps, some parallels with the UK survey data. However, the prospects for the US economy as a whole still seemed to be for slowing growth over coming quarters. On balance, prospects for growth in the euro area had weakened over the month, but with considerable inter-regional variation. The weak Q4 output data in Germany and Italy had more than counterbalanced some stronger than expected French data. In Japan, there were now signs that financial restructuring was taking place but, in the short run, this might exacerbate the weakness in credit conditions. The immediate prospects for activity there did not seem to have changed much over the past month.  Overall, there seemed to be little change in the prospects for UK export demand from developments in other major industrial economies.</w:t>
      </w:r>
    </w:p>
    <w:p>
      <w:pPr>
        <w:pStyle w:val="ListParagraph"/>
        <w:numPr>
          <w:ilvl w:val="0"/>
          <w:numId w:val="36"/>
        </w:numPr>
        <w:tabs>
          <w:tab w:pos="654" w:val="left" w:leader="none"/>
          <w:tab w:pos="655" w:val="left" w:leader="none"/>
        </w:tabs>
        <w:spacing w:line="232" w:lineRule="auto" w:before="163" w:after="0"/>
        <w:ind w:left="174" w:right="53" w:firstLine="0"/>
        <w:jc w:val="left"/>
        <w:rPr>
          <w:sz w:val="18"/>
        </w:rPr>
      </w:pPr>
      <w:r>
        <w:rPr>
          <w:color w:val="231F20"/>
          <w:sz w:val="18"/>
        </w:rPr>
        <w:t>The situation outside the O</w:t>
      </w:r>
      <w:r>
        <w:rPr>
          <w:color w:val="231F20"/>
          <w:sz w:val="14"/>
        </w:rPr>
        <w:t>ECD </w:t>
      </w:r>
      <w:r>
        <w:rPr>
          <w:color w:val="231F20"/>
          <w:sz w:val="18"/>
        </w:rPr>
        <w:t>had not changed much over the past month. There had been renewed difficulties in Brazil, and the real had weakened. There was still a risk of contagion, but other major countries in South America were not obviously under pressure. The lower oil price had already led to lower imports by the oil exporting countries and this could be seen in UK exports, but otherwise developments over the month were much as </w:t>
      </w:r>
      <w:r>
        <w:rPr>
          <w:color w:val="231F20"/>
          <w:spacing w:val="-3"/>
          <w:sz w:val="18"/>
        </w:rPr>
        <w:t>expected </w:t>
      </w:r>
      <w:r>
        <w:rPr>
          <w:color w:val="231F20"/>
          <w:sz w:val="18"/>
        </w:rPr>
        <w:t>overall.</w:t>
      </w:r>
    </w:p>
    <w:p>
      <w:pPr>
        <w:pStyle w:val="BodyText"/>
        <w:spacing w:before="2"/>
        <w:rPr>
          <w:sz w:val="20"/>
        </w:rPr>
      </w:pPr>
    </w:p>
    <w:p>
      <w:pPr>
        <w:pStyle w:val="Heading3"/>
        <w:ind w:left="174"/>
      </w:pPr>
      <w:r>
        <w:rPr>
          <w:color w:val="009483"/>
        </w:rPr>
        <w:t>Money and financial markets</w:t>
      </w:r>
    </w:p>
    <w:p>
      <w:pPr>
        <w:pStyle w:val="ListParagraph"/>
        <w:numPr>
          <w:ilvl w:val="0"/>
          <w:numId w:val="36"/>
        </w:numPr>
        <w:tabs>
          <w:tab w:pos="654" w:val="left" w:leader="none"/>
          <w:tab w:pos="655" w:val="left" w:leader="none"/>
        </w:tabs>
        <w:spacing w:line="232" w:lineRule="auto" w:before="89" w:after="0"/>
        <w:ind w:left="174" w:right="77" w:firstLine="0"/>
        <w:jc w:val="left"/>
        <w:rPr>
          <w:sz w:val="18"/>
        </w:rPr>
      </w:pPr>
      <w:r>
        <w:rPr>
          <w:color w:val="231F20"/>
          <w:sz w:val="18"/>
        </w:rPr>
        <w:t>Narrow money growth continued to be quite strong, and </w:t>
      </w:r>
      <w:r>
        <w:rPr>
          <w:color w:val="231F20"/>
          <w:spacing w:val="-6"/>
          <w:sz w:val="18"/>
        </w:rPr>
        <w:t>was </w:t>
      </w:r>
      <w:r>
        <w:rPr>
          <w:color w:val="231F20"/>
          <w:sz w:val="18"/>
        </w:rPr>
        <w:t>possibly being influenced by the past reductions in interest rates. Broad money growth was continuing to ease, and it was noticeable that the shorter three and six-month annualised growth rates were below the twelve-month growth rate. The risks from past rapid growth in broad money had diminished.</w:t>
      </w:r>
    </w:p>
    <w:p>
      <w:pPr>
        <w:pStyle w:val="ListParagraph"/>
        <w:numPr>
          <w:ilvl w:val="0"/>
          <w:numId w:val="36"/>
        </w:numPr>
        <w:tabs>
          <w:tab w:pos="654" w:val="left" w:leader="none"/>
          <w:tab w:pos="655" w:val="left" w:leader="none"/>
        </w:tabs>
        <w:spacing w:line="232" w:lineRule="auto" w:before="176" w:after="0"/>
        <w:ind w:left="174" w:right="48" w:firstLine="0"/>
        <w:jc w:val="left"/>
        <w:rPr>
          <w:sz w:val="18"/>
        </w:rPr>
      </w:pPr>
      <w:r>
        <w:rPr>
          <w:color w:val="231F20"/>
          <w:sz w:val="18"/>
        </w:rPr>
        <w:t>The sterling effective exchange rate was currently over 2% higher than the 15 day average used as the starting-point for the February </w:t>
      </w:r>
      <w:r>
        <w:rPr>
          <w:i/>
          <w:color w:val="231F20"/>
          <w:sz w:val="18"/>
        </w:rPr>
        <w:t>Inflation Report </w:t>
      </w:r>
      <w:r>
        <w:rPr>
          <w:color w:val="231F20"/>
          <w:sz w:val="18"/>
        </w:rPr>
        <w:t>projections. The F</w:t>
      </w:r>
      <w:r>
        <w:rPr>
          <w:color w:val="231F20"/>
          <w:sz w:val="14"/>
        </w:rPr>
        <w:t>T-SE </w:t>
      </w:r>
      <w:r>
        <w:rPr>
          <w:color w:val="231F20"/>
          <w:sz w:val="18"/>
        </w:rPr>
        <w:t>All-Share index had risen by 2% since the February </w:t>
      </w:r>
      <w:r>
        <w:rPr>
          <w:i/>
          <w:color w:val="231F20"/>
          <w:sz w:val="18"/>
        </w:rPr>
        <w:t>Report</w:t>
      </w:r>
      <w:r>
        <w:rPr>
          <w:color w:val="231F20"/>
          <w:sz w:val="18"/>
        </w:rPr>
        <w:t>. The rise in share </w:t>
      </w:r>
      <w:r>
        <w:rPr>
          <w:color w:val="231F20"/>
          <w:spacing w:val="-3"/>
          <w:sz w:val="18"/>
        </w:rPr>
        <w:t>prices </w:t>
      </w:r>
      <w:r>
        <w:rPr>
          <w:color w:val="231F20"/>
          <w:sz w:val="18"/>
        </w:rPr>
        <w:t>was broadly based, with both the F</w:t>
      </w:r>
      <w:r>
        <w:rPr>
          <w:color w:val="231F20"/>
          <w:sz w:val="14"/>
        </w:rPr>
        <w:t>T-SE </w:t>
      </w:r>
      <w:r>
        <w:rPr>
          <w:color w:val="231F20"/>
          <w:sz w:val="18"/>
        </w:rPr>
        <w:t>100 and Small Capitalisation indexes rising over the period. This was in contrast with earlier periods when the F</w:t>
      </w:r>
      <w:r>
        <w:rPr>
          <w:color w:val="231F20"/>
          <w:sz w:val="14"/>
        </w:rPr>
        <w:t>T-SE </w:t>
      </w:r>
      <w:r>
        <w:rPr>
          <w:color w:val="231F20"/>
          <w:sz w:val="18"/>
        </w:rPr>
        <w:t>100 had grown faster than the Small Capitalisation index.</w:t>
      </w:r>
    </w:p>
    <w:p>
      <w:pPr>
        <w:pStyle w:val="ListParagraph"/>
        <w:numPr>
          <w:ilvl w:val="0"/>
          <w:numId w:val="36"/>
        </w:numPr>
        <w:tabs>
          <w:tab w:pos="654" w:val="left" w:leader="none"/>
          <w:tab w:pos="655" w:val="left" w:leader="none"/>
        </w:tabs>
        <w:spacing w:line="232" w:lineRule="auto" w:before="173" w:after="0"/>
        <w:ind w:left="174" w:right="78" w:firstLine="0"/>
        <w:jc w:val="left"/>
        <w:rPr>
          <w:sz w:val="18"/>
        </w:rPr>
      </w:pPr>
      <w:r>
        <w:rPr>
          <w:color w:val="231F20"/>
          <w:sz w:val="18"/>
        </w:rPr>
        <w:t>The rise in the sterling effective exchange rate reflected the balance of two offsetting bilateral movements; sterling had depreciated against the US dollar but had appreciated against the euro. The implications for UK inflation would depend on the reasons for the changes. Political and economic developments in the euro area probably accounted for some of the depreciation of the euro against the dollar and sterling over the past month. It was possible that the weakening euro reflected the market’s expectation that prospects for euro-area demand and output growth were</w:t>
      </w:r>
    </w:p>
    <w:p>
      <w:pPr>
        <w:pStyle w:val="BodyText"/>
        <w:spacing w:line="232" w:lineRule="auto" w:before="97"/>
        <w:ind w:left="174" w:right="270"/>
      </w:pPr>
      <w:r>
        <w:rPr/>
        <w:br w:type="column"/>
      </w:r>
      <w:r>
        <w:rPr>
          <w:color w:val="231F20"/>
        </w:rPr>
        <w:t>weaker than for the United States, and perhaps for the United Kingdom as well given the possibility of faster growth here in late 1999 and 2000. There was evidence that the movement in interest rate differentials could account for some of the rise in sterling.</w:t>
      </w:r>
    </w:p>
    <w:p>
      <w:pPr>
        <w:pStyle w:val="ListParagraph"/>
        <w:numPr>
          <w:ilvl w:val="0"/>
          <w:numId w:val="36"/>
        </w:numPr>
        <w:tabs>
          <w:tab w:pos="654" w:val="left" w:leader="none"/>
          <w:tab w:pos="655" w:val="left" w:leader="none"/>
        </w:tabs>
        <w:spacing w:line="232" w:lineRule="auto" w:before="177" w:after="0"/>
        <w:ind w:left="174" w:right="167" w:firstLine="0"/>
        <w:jc w:val="left"/>
        <w:rPr>
          <w:sz w:val="18"/>
        </w:rPr>
      </w:pPr>
      <w:r>
        <w:rPr>
          <w:color w:val="231F20"/>
          <w:sz w:val="18"/>
        </w:rPr>
        <w:t>The rise in the exchange rate and in equity prices would </w:t>
      </w:r>
      <w:r>
        <w:rPr>
          <w:color w:val="231F20"/>
          <w:spacing w:val="-5"/>
          <w:sz w:val="18"/>
        </w:rPr>
        <w:t>have </w:t>
      </w:r>
      <w:r>
        <w:rPr>
          <w:color w:val="231F20"/>
          <w:sz w:val="18"/>
        </w:rPr>
        <w:t>opposite effects on the central projection for inflation, but the movement in the exchange rate was thought to be the more significant of the two. To the extent that sterling’s strength persisted it would increase the imbalance between the traded and non-traded sectors of the economy, and would require a strengthening of domestic demand if inflation were not to fall below target.</w:t>
      </w:r>
    </w:p>
    <w:p>
      <w:pPr>
        <w:pStyle w:val="BodyText"/>
        <w:spacing w:before="4"/>
      </w:pPr>
    </w:p>
    <w:p>
      <w:pPr>
        <w:pStyle w:val="Heading3"/>
        <w:spacing w:before="1"/>
        <w:ind w:left="174"/>
      </w:pPr>
      <w:r>
        <w:rPr>
          <w:color w:val="009483"/>
        </w:rPr>
        <w:t>Demand and output</w:t>
      </w:r>
    </w:p>
    <w:p>
      <w:pPr>
        <w:pStyle w:val="ListParagraph"/>
        <w:numPr>
          <w:ilvl w:val="0"/>
          <w:numId w:val="36"/>
        </w:numPr>
        <w:tabs>
          <w:tab w:pos="654" w:val="left" w:leader="none"/>
          <w:tab w:pos="655" w:val="left" w:leader="none"/>
        </w:tabs>
        <w:spacing w:line="232" w:lineRule="auto" w:before="89" w:after="0"/>
        <w:ind w:left="174" w:right="192" w:firstLine="0"/>
        <w:jc w:val="left"/>
        <w:rPr>
          <w:sz w:val="18"/>
        </w:rPr>
      </w:pPr>
      <w:r>
        <w:rPr>
          <w:color w:val="231F20"/>
          <w:sz w:val="18"/>
        </w:rPr>
        <w:t>The level of GDP in 1998 Q4 had been revised down by </w:t>
      </w:r>
      <w:r>
        <w:rPr>
          <w:color w:val="231F20"/>
          <w:spacing w:val="-5"/>
          <w:position w:val="6"/>
          <w:sz w:val="9"/>
        </w:rPr>
        <w:t>1</w:t>
      </w:r>
      <w:r>
        <w:rPr>
          <w:color w:val="231F20"/>
          <w:spacing w:val="-5"/>
          <w:sz w:val="18"/>
        </w:rPr>
        <w:t>/</w:t>
      </w:r>
      <w:r>
        <w:rPr>
          <w:color w:val="231F20"/>
          <w:spacing w:val="-5"/>
          <w:sz w:val="9"/>
        </w:rPr>
        <w:t>4</w:t>
      </w:r>
      <w:r>
        <w:rPr>
          <w:color w:val="231F20"/>
          <w:spacing w:val="-5"/>
          <w:sz w:val="18"/>
        </w:rPr>
        <w:t>% </w:t>
      </w:r>
      <w:r>
        <w:rPr>
          <w:color w:val="231F20"/>
          <w:sz w:val="18"/>
        </w:rPr>
        <w:t>since the preliminary output estimate available at the time of the February </w:t>
      </w:r>
      <w:r>
        <w:rPr>
          <w:i/>
          <w:color w:val="231F20"/>
          <w:sz w:val="18"/>
        </w:rPr>
        <w:t>Inflation Report</w:t>
      </w:r>
      <w:r>
        <w:rPr>
          <w:color w:val="231F20"/>
          <w:sz w:val="18"/>
        </w:rPr>
        <w:t>. The expenditure composition had also been published, and this showed slightly weaker final domestic demand than assumed in the central projection. The rise in inventories had also been stronger than expected, leaving domestic demand growth a little stronger overall. But faster domestic demand growth had been offset by a larger negative contribution from net trade (primarily weaker exports), and so GDP growth in the fourth quarter was, at 0.2%, unchanged from the time of the February </w:t>
      </w:r>
      <w:r>
        <w:rPr>
          <w:i/>
          <w:color w:val="231F20"/>
          <w:sz w:val="18"/>
        </w:rPr>
        <w:t>Report</w:t>
      </w:r>
      <w:r>
        <w:rPr>
          <w:color w:val="231F20"/>
          <w:sz w:val="18"/>
        </w:rPr>
        <w:t>. The statistical discrepancy between the expenditure and average measure of GDP was 0.6% in 1998 Q4. But due to the suspension of the Average Earnings Index there was no income measure of GDP available for Q4. Within the output breakdown, the fall in construction output for the third successive quarter seemed surprising given recent orders and survey data.</w:t>
      </w:r>
    </w:p>
    <w:p>
      <w:pPr>
        <w:pStyle w:val="ListParagraph"/>
        <w:numPr>
          <w:ilvl w:val="0"/>
          <w:numId w:val="36"/>
        </w:numPr>
        <w:tabs>
          <w:tab w:pos="654" w:val="left" w:leader="none"/>
          <w:tab w:pos="655" w:val="left" w:leader="none"/>
        </w:tabs>
        <w:spacing w:line="232" w:lineRule="auto" w:before="168" w:after="0"/>
        <w:ind w:left="174" w:right="177" w:firstLine="0"/>
        <w:jc w:val="left"/>
        <w:rPr>
          <w:sz w:val="18"/>
        </w:rPr>
      </w:pPr>
      <w:r>
        <w:rPr>
          <w:color w:val="231F20"/>
          <w:sz w:val="18"/>
        </w:rPr>
        <w:t>Consumption growth had been revised down in 1998 Q3, </w:t>
      </w:r>
      <w:r>
        <w:rPr>
          <w:color w:val="231F20"/>
          <w:spacing w:val="-5"/>
          <w:sz w:val="18"/>
        </w:rPr>
        <w:t>but </w:t>
      </w:r>
      <w:r>
        <w:rPr>
          <w:color w:val="231F20"/>
          <w:sz w:val="18"/>
        </w:rPr>
        <w:t>the level in Q4 was not materially different from that expected at the time of the </w:t>
      </w:r>
      <w:r>
        <w:rPr>
          <w:i/>
          <w:color w:val="231F20"/>
          <w:sz w:val="18"/>
        </w:rPr>
        <w:t>Report</w:t>
      </w:r>
      <w:r>
        <w:rPr>
          <w:color w:val="231F20"/>
          <w:sz w:val="18"/>
        </w:rPr>
        <w:t>. Hence, the puzzle as to why consumption growth had weakened so much through 1997–8 remained. Retail sales (around 40% of consumption) had recovered in January, but the underlying picture remained fairly weak. Consumer confidence in January had risen for the third successive month on the GfK measure. It was likely that the five reductions in interest rates </w:t>
      </w:r>
      <w:r>
        <w:rPr>
          <w:color w:val="231F20"/>
          <w:spacing w:val="-4"/>
          <w:sz w:val="18"/>
        </w:rPr>
        <w:t>since </w:t>
      </w:r>
      <w:r>
        <w:rPr>
          <w:color w:val="231F20"/>
          <w:sz w:val="18"/>
        </w:rPr>
        <w:t>the autumn had played a material role in stabilising confidence, but it was difficult to be sure how robust the recent recovery was.</w:t>
      </w:r>
    </w:p>
    <w:p>
      <w:pPr>
        <w:pStyle w:val="BodyText"/>
        <w:spacing w:line="232" w:lineRule="auto"/>
        <w:ind w:left="174" w:right="315"/>
      </w:pPr>
      <w:r>
        <w:rPr>
          <w:color w:val="231F20"/>
        </w:rPr>
        <w:t>More work was needed to understand how consumer confidence was affected by changes in interest rates. There were also some signs of a pick-up in the housing market, particularly in the indicators which are at the start of the house buying process, such as House Builders Federation site visits and reservations. There seemed little news in the latest house price figures.</w:t>
      </w:r>
    </w:p>
    <w:p>
      <w:pPr>
        <w:pStyle w:val="ListParagraph"/>
        <w:numPr>
          <w:ilvl w:val="0"/>
          <w:numId w:val="36"/>
        </w:numPr>
        <w:tabs>
          <w:tab w:pos="654" w:val="left" w:leader="none"/>
          <w:tab w:pos="655" w:val="left" w:leader="none"/>
        </w:tabs>
        <w:spacing w:line="232" w:lineRule="auto" w:before="167" w:after="0"/>
        <w:ind w:left="174" w:right="177" w:firstLine="0"/>
        <w:jc w:val="left"/>
        <w:rPr>
          <w:sz w:val="18"/>
        </w:rPr>
      </w:pPr>
      <w:r>
        <w:rPr>
          <w:color w:val="231F20"/>
          <w:sz w:val="18"/>
        </w:rPr>
        <w:t>The build-up in inventories appeared a little puzzling as it was not apparent in either the official manufacturing or retail distribution figures, where any signs of weaker than expected demand might be expected. The rise in stocks in the fourth quarter—and for 1998 as a whole—had been concentrated in the ‘other industries’ sector, which included the quarterly alignment adjustment (between the expenditure and output measures of </w:t>
      </w:r>
      <w:r>
        <w:rPr>
          <w:color w:val="231F20"/>
          <w:spacing w:val="-4"/>
          <w:sz w:val="18"/>
        </w:rPr>
        <w:t>GDP). </w:t>
      </w:r>
      <w:r>
        <w:rPr>
          <w:color w:val="231F20"/>
          <w:sz w:val="18"/>
        </w:rPr>
        <w:t>It was possible that this rise in stocks could partly reflect a change in the pattern of car registrations this year, which would not as yet be accounted for in the usual seasonal adjustment.</w:t>
      </w:r>
    </w:p>
    <w:p>
      <w:pPr>
        <w:pStyle w:val="ListParagraph"/>
        <w:numPr>
          <w:ilvl w:val="0"/>
          <w:numId w:val="36"/>
        </w:numPr>
        <w:tabs>
          <w:tab w:pos="654" w:val="left" w:leader="none"/>
          <w:tab w:pos="655" w:val="left" w:leader="none"/>
        </w:tabs>
        <w:spacing w:line="232" w:lineRule="auto" w:before="172" w:after="0"/>
        <w:ind w:left="174" w:right="307" w:firstLine="0"/>
        <w:jc w:val="left"/>
        <w:rPr>
          <w:sz w:val="18"/>
        </w:rPr>
      </w:pPr>
      <w:r>
        <w:rPr>
          <w:color w:val="231F20"/>
          <w:sz w:val="18"/>
        </w:rPr>
        <w:t>The news in the national accounts and recent surveys </w:t>
      </w:r>
      <w:r>
        <w:rPr>
          <w:color w:val="231F20"/>
          <w:spacing w:val="-4"/>
          <w:sz w:val="18"/>
        </w:rPr>
        <w:t>could </w:t>
      </w:r>
      <w:r>
        <w:rPr>
          <w:color w:val="231F20"/>
          <w:sz w:val="18"/>
        </w:rPr>
        <w:t>be interpreted in several ways. First, the lower level of GDP than in previous estimates, coupled with the build up of inventories, might point to a weaker picture for demand than previously thought. In particular, the weaker outturn for exports in Q4, and the sharp fall in the volatile non-EU exports figure in January,</w:t>
      </w:r>
    </w:p>
    <w:p>
      <w:pPr>
        <w:spacing w:after="0" w:line="232" w:lineRule="auto"/>
        <w:jc w:val="left"/>
        <w:rPr>
          <w:sz w:val="18"/>
        </w:rPr>
        <w:sectPr>
          <w:type w:val="continuous"/>
          <w:pgSz w:w="11900" w:h="16840"/>
          <w:pgMar w:top="1220" w:bottom="280" w:left="640" w:right="640"/>
          <w:cols w:num="2" w:equalWidth="0">
            <w:col w:w="5103" w:space="279"/>
            <w:col w:w="5238"/>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65" w:right="50"/>
      </w:pPr>
      <w:r>
        <w:rPr>
          <w:color w:val="231F20"/>
        </w:rPr>
        <w:t>might point to some of the downside risks to external demand coming through. But the changes in the composition and revisions to the level of GDP were not particularly large.</w:t>
      </w:r>
    </w:p>
    <w:p>
      <w:pPr>
        <w:pStyle w:val="ListParagraph"/>
        <w:numPr>
          <w:ilvl w:val="0"/>
          <w:numId w:val="36"/>
        </w:numPr>
        <w:tabs>
          <w:tab w:pos="645" w:val="left" w:leader="none"/>
          <w:tab w:pos="646" w:val="left" w:leader="none"/>
        </w:tabs>
        <w:spacing w:line="232" w:lineRule="auto" w:before="177" w:after="0"/>
        <w:ind w:left="165" w:right="167" w:firstLine="0"/>
        <w:jc w:val="left"/>
        <w:rPr>
          <w:sz w:val="18"/>
        </w:rPr>
      </w:pPr>
      <w:r>
        <w:rPr>
          <w:color w:val="231F20"/>
          <w:sz w:val="18"/>
        </w:rPr>
        <w:t>Second, the lower level of GDP, coupled with the latest survey data, raised the question of whether the low point in </w:t>
      </w:r>
      <w:r>
        <w:rPr>
          <w:color w:val="231F20"/>
          <w:spacing w:val="-3"/>
          <w:sz w:val="18"/>
        </w:rPr>
        <w:t>output </w:t>
      </w:r>
      <w:r>
        <w:rPr>
          <w:color w:val="231F20"/>
          <w:sz w:val="18"/>
        </w:rPr>
        <w:t>growth might have come a little earlier than previously expected.</w:t>
      </w:r>
    </w:p>
    <w:p>
      <w:pPr>
        <w:pStyle w:val="ListParagraph"/>
        <w:numPr>
          <w:ilvl w:val="0"/>
          <w:numId w:val="36"/>
        </w:numPr>
        <w:tabs>
          <w:tab w:pos="645" w:val="left" w:leader="none"/>
          <w:tab w:pos="646" w:val="left" w:leader="none"/>
        </w:tabs>
        <w:spacing w:line="232" w:lineRule="auto" w:before="178" w:after="0"/>
        <w:ind w:left="165" w:right="72" w:firstLine="0"/>
        <w:jc w:val="left"/>
        <w:rPr>
          <w:sz w:val="18"/>
        </w:rPr>
      </w:pPr>
      <w:r>
        <w:rPr>
          <w:color w:val="231F20"/>
          <w:sz w:val="18"/>
        </w:rPr>
        <w:t>Third, the surveys, though generally remaining weak, had </w:t>
      </w:r>
      <w:r>
        <w:rPr>
          <w:color w:val="231F20"/>
          <w:spacing w:val="-6"/>
          <w:sz w:val="18"/>
        </w:rPr>
        <w:t>all </w:t>
      </w:r>
      <w:r>
        <w:rPr>
          <w:color w:val="231F20"/>
          <w:sz w:val="18"/>
        </w:rPr>
        <w:t>been stronger over the past month. That uniformity was somewhat surprising, and might indicate a slightly better picture than previously thought. Some of the survey indicators were recovering towards levels recorded last summer, before the sharp deterioration occurred. Of particular note had been the improvement in export orders in both the CBI and C</w:t>
      </w:r>
      <w:r>
        <w:rPr>
          <w:color w:val="231F20"/>
          <w:sz w:val="14"/>
        </w:rPr>
        <w:t>IPS </w:t>
      </w:r>
      <w:r>
        <w:rPr>
          <w:color w:val="231F20"/>
          <w:sz w:val="18"/>
        </w:rPr>
        <w:t>surveys over the past month. So to the extent that the surveys had for a while been painting a weaker picture for exports than the ONS data, that gap now appeared to be closing.</w:t>
      </w:r>
    </w:p>
    <w:p>
      <w:pPr>
        <w:pStyle w:val="ListParagraph"/>
        <w:numPr>
          <w:ilvl w:val="0"/>
          <w:numId w:val="36"/>
        </w:numPr>
        <w:tabs>
          <w:tab w:pos="646" w:val="left" w:leader="none"/>
        </w:tabs>
        <w:spacing w:line="232" w:lineRule="auto" w:before="172" w:after="0"/>
        <w:ind w:left="165" w:right="147" w:firstLine="0"/>
        <w:jc w:val="both"/>
        <w:rPr>
          <w:sz w:val="18"/>
        </w:rPr>
      </w:pPr>
      <w:r>
        <w:rPr>
          <w:color w:val="231F20"/>
          <w:sz w:val="18"/>
        </w:rPr>
        <w:t>Overall, the data did not significantly change the picture </w:t>
      </w:r>
      <w:r>
        <w:rPr>
          <w:color w:val="231F20"/>
          <w:spacing w:val="-6"/>
          <w:sz w:val="18"/>
        </w:rPr>
        <w:t>for </w:t>
      </w:r>
      <w:r>
        <w:rPr>
          <w:color w:val="231F20"/>
          <w:sz w:val="18"/>
        </w:rPr>
        <w:t>demand and output. The improvement in survey data might prove significant, but had yet to be seen in the official data.</w:t>
      </w:r>
    </w:p>
    <w:p>
      <w:pPr>
        <w:pStyle w:val="BodyText"/>
        <w:spacing w:before="8"/>
      </w:pPr>
    </w:p>
    <w:p>
      <w:pPr>
        <w:pStyle w:val="Heading3"/>
        <w:spacing w:before="1"/>
        <w:ind w:left="165"/>
      </w:pPr>
      <w:r>
        <w:rPr>
          <w:color w:val="009483"/>
        </w:rPr>
        <w:t>The forthcoming Budget</w:t>
      </w:r>
    </w:p>
    <w:p>
      <w:pPr>
        <w:pStyle w:val="ListParagraph"/>
        <w:numPr>
          <w:ilvl w:val="0"/>
          <w:numId w:val="36"/>
        </w:numPr>
        <w:tabs>
          <w:tab w:pos="645" w:val="left" w:leader="none"/>
          <w:tab w:pos="646" w:val="left" w:leader="none"/>
        </w:tabs>
        <w:spacing w:line="232" w:lineRule="auto" w:before="89" w:after="0"/>
        <w:ind w:left="165" w:right="38" w:firstLine="0"/>
        <w:jc w:val="left"/>
        <w:rPr>
          <w:sz w:val="18"/>
        </w:rPr>
      </w:pPr>
      <w:r>
        <w:rPr>
          <w:color w:val="231F20"/>
          <w:sz w:val="18"/>
        </w:rPr>
        <w:t>Prior to the meeting, the Committee was briefed by Treasury officials about the forthcoming Budget’s expenditure and revenue projections and macroeconomic forecasts, but not the detailed measures. The overall fiscal position was reported to remain </w:t>
      </w:r>
      <w:r>
        <w:rPr>
          <w:color w:val="231F20"/>
          <w:spacing w:val="-3"/>
          <w:sz w:val="18"/>
        </w:rPr>
        <w:t>stable, </w:t>
      </w:r>
      <w:r>
        <w:rPr>
          <w:color w:val="231F20"/>
          <w:sz w:val="18"/>
        </w:rPr>
        <w:t>and was in line with the assumptions in the February </w:t>
      </w:r>
      <w:r>
        <w:rPr>
          <w:i/>
          <w:color w:val="231F20"/>
          <w:sz w:val="18"/>
        </w:rPr>
        <w:t>Inflation </w:t>
      </w:r>
      <w:r>
        <w:rPr>
          <w:i/>
          <w:color w:val="231F20"/>
          <w:sz w:val="18"/>
        </w:rPr>
        <w:t>Report</w:t>
      </w:r>
      <w:r>
        <w:rPr>
          <w:color w:val="231F20"/>
          <w:sz w:val="18"/>
        </w:rPr>
        <w:t>.</w:t>
      </w:r>
    </w:p>
    <w:p>
      <w:pPr>
        <w:pStyle w:val="ListParagraph"/>
        <w:numPr>
          <w:ilvl w:val="0"/>
          <w:numId w:val="36"/>
        </w:numPr>
        <w:tabs>
          <w:tab w:pos="645" w:val="left" w:leader="none"/>
          <w:tab w:pos="646" w:val="left" w:leader="none"/>
        </w:tabs>
        <w:spacing w:line="232" w:lineRule="auto" w:before="175" w:after="0"/>
        <w:ind w:left="165" w:right="83" w:firstLine="0"/>
        <w:jc w:val="left"/>
        <w:rPr>
          <w:sz w:val="18"/>
        </w:rPr>
      </w:pPr>
      <w:r>
        <w:rPr>
          <w:color w:val="231F20"/>
          <w:sz w:val="18"/>
        </w:rPr>
        <w:t>At the MPC meeting, the Committee briefly discussed the lower than planned Net Departmental Outlays seen in the first ten months of the 1998/99 fiscal year. This was primarily related to social security rather than other government departments’ </w:t>
      </w:r>
      <w:r>
        <w:rPr>
          <w:color w:val="231F20"/>
          <w:spacing w:val="-3"/>
          <w:sz w:val="18"/>
        </w:rPr>
        <w:t>spending </w:t>
      </w:r>
      <w:r>
        <w:rPr>
          <w:color w:val="231F20"/>
          <w:sz w:val="18"/>
        </w:rPr>
        <w:t>on goods and services. But since the control framework was new this year, it was not known what would happen to spending at the end of the year: departments had less of an incentive to spend </w:t>
      </w:r>
      <w:r>
        <w:rPr>
          <w:color w:val="231F20"/>
          <w:spacing w:val="-4"/>
          <w:sz w:val="18"/>
        </w:rPr>
        <w:t>their </w:t>
      </w:r>
      <w:r>
        <w:rPr>
          <w:color w:val="231F20"/>
          <w:sz w:val="18"/>
        </w:rPr>
        <w:t>budgets in the final weeks of the fiscal year as they could carry spending forward to future years, which could have timing consequences for the pattern of real demand.</w:t>
      </w:r>
    </w:p>
    <w:p>
      <w:pPr>
        <w:pStyle w:val="BodyText"/>
        <w:spacing w:before="3"/>
      </w:pPr>
    </w:p>
    <w:p>
      <w:pPr>
        <w:pStyle w:val="Heading3"/>
        <w:ind w:left="165"/>
      </w:pPr>
      <w:r>
        <w:rPr>
          <w:color w:val="009483"/>
        </w:rPr>
        <w:t>Labour market</w:t>
      </w:r>
    </w:p>
    <w:p>
      <w:pPr>
        <w:pStyle w:val="ListParagraph"/>
        <w:numPr>
          <w:ilvl w:val="0"/>
          <w:numId w:val="36"/>
        </w:numPr>
        <w:tabs>
          <w:tab w:pos="645" w:val="left" w:leader="none"/>
          <w:tab w:pos="646" w:val="left" w:leader="none"/>
        </w:tabs>
        <w:spacing w:line="232" w:lineRule="auto" w:before="90" w:after="0"/>
        <w:ind w:left="165" w:right="42" w:firstLine="0"/>
        <w:jc w:val="left"/>
        <w:rPr>
          <w:sz w:val="18"/>
        </w:rPr>
      </w:pPr>
      <w:r>
        <w:rPr>
          <w:color w:val="231F20"/>
          <w:sz w:val="18"/>
        </w:rPr>
        <w:t>The Committee had been briefed by Mr King and by Bank staff before the meeting on the review of the Average Earnings Index, which was published on 2 March. Earnings growth was </w:t>
      </w:r>
      <w:r>
        <w:rPr>
          <w:color w:val="231F20"/>
          <w:spacing w:val="-6"/>
          <w:sz w:val="18"/>
        </w:rPr>
        <w:t>now </w:t>
      </w:r>
      <w:r>
        <w:rPr>
          <w:color w:val="231F20"/>
          <w:sz w:val="18"/>
        </w:rPr>
        <w:t>estimated to have reached a peak of 5.7% in May 1998, before falling back to 4.5% in November on the headline measure. Preliminary estimates of unit wage costs produced by Bank staff using the revised Average Earnings Index suggested a stronger picture for the first half of 1998 than previously thought, and a weaker picture in the second half of the year with the rate of </w:t>
      </w:r>
      <w:r>
        <w:rPr>
          <w:color w:val="231F20"/>
          <w:spacing w:val="-3"/>
          <w:sz w:val="18"/>
        </w:rPr>
        <w:t>change </w:t>
      </w:r>
      <w:r>
        <w:rPr>
          <w:color w:val="231F20"/>
          <w:sz w:val="18"/>
        </w:rPr>
        <w:t>flat at around</w:t>
      </w:r>
      <w:r>
        <w:rPr>
          <w:color w:val="231F20"/>
          <w:spacing w:val="-1"/>
          <w:sz w:val="18"/>
        </w:rPr>
        <w:t> </w:t>
      </w:r>
      <w:r>
        <w:rPr>
          <w:color w:val="231F20"/>
          <w:sz w:val="18"/>
        </w:rPr>
        <w:t>3</w:t>
      </w:r>
      <w:r>
        <w:rPr>
          <w:color w:val="231F20"/>
          <w:position w:val="6"/>
          <w:sz w:val="9"/>
        </w:rPr>
        <w:t>3</w:t>
      </w:r>
      <w:r>
        <w:rPr>
          <w:color w:val="231F20"/>
          <w:sz w:val="18"/>
        </w:rPr>
        <w:t>/</w:t>
      </w:r>
      <w:r>
        <w:rPr>
          <w:color w:val="231F20"/>
          <w:sz w:val="9"/>
        </w:rPr>
        <w:t>4</w:t>
      </w:r>
      <w:r>
        <w:rPr>
          <w:color w:val="231F20"/>
          <w:sz w:val="18"/>
        </w:rPr>
        <w:t>%.</w:t>
      </w:r>
    </w:p>
    <w:p>
      <w:pPr>
        <w:pStyle w:val="ListParagraph"/>
        <w:numPr>
          <w:ilvl w:val="0"/>
          <w:numId w:val="36"/>
        </w:numPr>
        <w:tabs>
          <w:tab w:pos="645" w:val="left" w:leader="none"/>
          <w:tab w:pos="646" w:val="left" w:leader="none"/>
        </w:tabs>
        <w:spacing w:line="232" w:lineRule="auto" w:before="172" w:after="0"/>
        <w:ind w:left="165" w:right="152" w:firstLine="0"/>
        <w:jc w:val="left"/>
        <w:rPr>
          <w:sz w:val="18"/>
        </w:rPr>
      </w:pPr>
      <w:r>
        <w:rPr>
          <w:color w:val="231F20"/>
          <w:sz w:val="18"/>
        </w:rPr>
        <w:t>The general pattern of earnings growth through 1998 was broadly consistent with the assumptions that had been made at the time of the February </w:t>
      </w:r>
      <w:r>
        <w:rPr>
          <w:i/>
          <w:color w:val="231F20"/>
          <w:sz w:val="18"/>
        </w:rPr>
        <w:t>Inflation Report</w:t>
      </w:r>
      <w:r>
        <w:rPr>
          <w:color w:val="231F20"/>
          <w:sz w:val="18"/>
        </w:rPr>
        <w:t>. That gave the Committee members somewhat greater confidence in the starting assumptions for earnings growth than they had felt at the time of the </w:t>
      </w:r>
      <w:r>
        <w:rPr>
          <w:i/>
          <w:color w:val="231F20"/>
          <w:sz w:val="18"/>
        </w:rPr>
        <w:t>Report</w:t>
      </w:r>
      <w:r>
        <w:rPr>
          <w:color w:val="231F20"/>
          <w:sz w:val="18"/>
        </w:rPr>
        <w:t>. However, the pace of slowdown in earnings growth was more marked than had been assumed: starting from a higher level and ending a little below the February assumption. The </w:t>
      </w:r>
      <w:r>
        <w:rPr>
          <w:color w:val="231F20"/>
          <w:sz w:val="18"/>
          <w:u w:val="single" w:color="231F20"/>
        </w:rPr>
        <w:t>level</w:t>
      </w:r>
      <w:r>
        <w:rPr>
          <w:color w:val="231F20"/>
          <w:sz w:val="18"/>
        </w:rPr>
        <w:t> of earnings at the end of 1998 was close to that assumed in the projections. A preliminary analysis suggested that after making a rough adjustment for hours worked, the profile of the growth of earnings per hour through the second half of the year was broadly flat. Hence the rise and fall in the headline measure through 1998 was, perhaps, consistent with a higher, then lower, contribution from overtime. More analysis of the new figures was needed, for example of the contribution of bonuses to earnings growth. The fall in earnings growth through 1998 would need to be reconciled</w:t>
      </w:r>
    </w:p>
    <w:p>
      <w:pPr>
        <w:pStyle w:val="BodyText"/>
        <w:spacing w:before="4"/>
        <w:rPr>
          <w:sz w:val="21"/>
        </w:rPr>
      </w:pPr>
      <w:r>
        <w:rPr/>
        <w:br w:type="column"/>
      </w:r>
      <w:r>
        <w:rPr>
          <w:sz w:val="21"/>
        </w:rPr>
      </w:r>
    </w:p>
    <w:p>
      <w:pPr>
        <w:pStyle w:val="BodyText"/>
        <w:spacing w:line="232" w:lineRule="auto" w:before="1"/>
        <w:ind w:left="165" w:right="181"/>
      </w:pPr>
      <w:r>
        <w:rPr>
          <w:color w:val="231F20"/>
        </w:rPr>
        <w:t>with the rise in employment and fall in unemployment over this period. One possible explanation was the fall in inflation expectations discussed at previous meetings. Among the recommendations made in the review of the AEI were a number of further improvements to the way the series was compiled to bring it up to best practice. Hence the Committee concluded that it should not, as yet, place great weight on the index.</w:t>
      </w:r>
    </w:p>
    <w:p>
      <w:pPr>
        <w:pStyle w:val="ListParagraph"/>
        <w:numPr>
          <w:ilvl w:val="0"/>
          <w:numId w:val="36"/>
        </w:numPr>
        <w:tabs>
          <w:tab w:pos="645" w:val="left" w:leader="none"/>
          <w:tab w:pos="646" w:val="left" w:leader="none"/>
        </w:tabs>
        <w:spacing w:line="232" w:lineRule="auto" w:before="174" w:after="0"/>
        <w:ind w:left="165" w:right="433" w:firstLine="0"/>
        <w:jc w:val="left"/>
        <w:rPr>
          <w:sz w:val="18"/>
        </w:rPr>
      </w:pPr>
      <w:r>
        <w:rPr>
          <w:color w:val="231F20"/>
          <w:sz w:val="18"/>
        </w:rPr>
        <w:t>The Bank’s settlements series showed some signs that </w:t>
      </w:r>
      <w:r>
        <w:rPr>
          <w:color w:val="231F20"/>
          <w:spacing w:val="-6"/>
          <w:sz w:val="18"/>
        </w:rPr>
        <w:t>the </w:t>
      </w:r>
      <w:r>
        <w:rPr>
          <w:color w:val="231F20"/>
          <w:sz w:val="18"/>
        </w:rPr>
        <w:t>peak might have been passed on the twelve-month employment weighted mean measure. The Reward index had declined on a broadly similar path to the revised Average Earnings Index over 1998.</w:t>
      </w:r>
    </w:p>
    <w:p>
      <w:pPr>
        <w:pStyle w:val="ListParagraph"/>
        <w:numPr>
          <w:ilvl w:val="0"/>
          <w:numId w:val="36"/>
        </w:numPr>
        <w:tabs>
          <w:tab w:pos="645" w:val="left" w:leader="none"/>
          <w:tab w:pos="646" w:val="left" w:leader="none"/>
        </w:tabs>
        <w:spacing w:line="232" w:lineRule="auto" w:before="176" w:after="0"/>
        <w:ind w:left="165" w:right="273" w:firstLine="0"/>
        <w:jc w:val="left"/>
        <w:rPr>
          <w:sz w:val="18"/>
        </w:rPr>
      </w:pPr>
      <w:r>
        <w:rPr>
          <w:color w:val="231F20"/>
          <w:sz w:val="18"/>
        </w:rPr>
        <w:t>The Committee noted that its central projection for </w:t>
      </w:r>
      <w:r>
        <w:rPr>
          <w:color w:val="231F20"/>
          <w:spacing w:val="-3"/>
          <w:sz w:val="18"/>
        </w:rPr>
        <w:t>earnings </w:t>
      </w:r>
      <w:r>
        <w:rPr>
          <w:color w:val="231F20"/>
          <w:sz w:val="18"/>
        </w:rPr>
        <w:t>growth remained towards the top end of the range of other forecasts, despite a broadly similar projection for inflation in these forecasts. The Committee had discussed this during the February </w:t>
      </w:r>
      <w:r>
        <w:rPr>
          <w:i/>
          <w:color w:val="231F20"/>
          <w:sz w:val="18"/>
        </w:rPr>
        <w:t>Inflation Report </w:t>
      </w:r>
      <w:r>
        <w:rPr>
          <w:color w:val="231F20"/>
          <w:sz w:val="18"/>
        </w:rPr>
        <w:t>round in the context of recent movements in productivity. It would be necessary to look at the reasons for the differences in projections of real earnings growth, and hence implied profit margins, in the light of the new earnings data.</w:t>
      </w:r>
    </w:p>
    <w:p>
      <w:pPr>
        <w:pStyle w:val="ListParagraph"/>
        <w:numPr>
          <w:ilvl w:val="0"/>
          <w:numId w:val="36"/>
        </w:numPr>
        <w:tabs>
          <w:tab w:pos="645" w:val="left" w:leader="none"/>
          <w:tab w:pos="646" w:val="left" w:leader="none"/>
        </w:tabs>
        <w:spacing w:line="232" w:lineRule="auto" w:before="174" w:after="0"/>
        <w:ind w:left="165" w:right="183" w:firstLine="0"/>
        <w:jc w:val="left"/>
        <w:rPr>
          <w:sz w:val="18"/>
        </w:rPr>
      </w:pPr>
      <w:r>
        <w:rPr>
          <w:color w:val="231F20"/>
          <w:sz w:val="18"/>
        </w:rPr>
        <w:t>The latest data continued to show rising employment and falling unemployment, though total hours worked had fallen in December. The rise in employment was partly accounted for by an increase in the number of women in part-time employment. Both the stock of vacancies and number of new vacancies seemed surprisingly high and seemed to bear out the picture in the employment and unemployment data, suggesting a still tight labour market. But the latest Federation of Recruitment and Employment Services (F</w:t>
      </w:r>
      <w:r>
        <w:rPr>
          <w:color w:val="231F20"/>
          <w:sz w:val="14"/>
        </w:rPr>
        <w:t>RES</w:t>
      </w:r>
      <w:r>
        <w:rPr>
          <w:color w:val="231F20"/>
          <w:sz w:val="18"/>
        </w:rPr>
        <w:t>) survey showed that the job market index was at its lowest level since 1992. The three C</w:t>
      </w:r>
      <w:r>
        <w:rPr>
          <w:color w:val="231F20"/>
          <w:sz w:val="14"/>
        </w:rPr>
        <w:t>IPS </w:t>
      </w:r>
      <w:r>
        <w:rPr>
          <w:color w:val="231F20"/>
          <w:sz w:val="18"/>
        </w:rPr>
        <w:t>surveys for manufacturing, construction and services all pointed to falling employment. It seemed likely that a turning point would soon be seen in the </w:t>
      </w:r>
      <w:r>
        <w:rPr>
          <w:color w:val="231F20"/>
          <w:spacing w:val="-3"/>
          <w:sz w:val="18"/>
        </w:rPr>
        <w:t>official </w:t>
      </w:r>
      <w:r>
        <w:rPr>
          <w:color w:val="231F20"/>
          <w:sz w:val="18"/>
        </w:rPr>
        <w:t>data.</w:t>
      </w:r>
    </w:p>
    <w:p>
      <w:pPr>
        <w:pStyle w:val="BodyText"/>
        <w:spacing w:before="1"/>
      </w:pPr>
    </w:p>
    <w:p>
      <w:pPr>
        <w:pStyle w:val="Heading3"/>
        <w:ind w:left="165"/>
      </w:pPr>
      <w:r>
        <w:rPr>
          <w:color w:val="009483"/>
        </w:rPr>
        <w:t>Prices</w:t>
      </w:r>
    </w:p>
    <w:p>
      <w:pPr>
        <w:pStyle w:val="ListParagraph"/>
        <w:numPr>
          <w:ilvl w:val="0"/>
          <w:numId w:val="36"/>
        </w:numPr>
        <w:tabs>
          <w:tab w:pos="645" w:val="left" w:leader="none"/>
          <w:tab w:pos="646" w:val="left" w:leader="none"/>
        </w:tabs>
        <w:spacing w:line="232" w:lineRule="auto" w:before="69" w:after="0"/>
        <w:ind w:left="165" w:right="243" w:firstLine="0"/>
        <w:jc w:val="left"/>
        <w:rPr>
          <w:sz w:val="18"/>
        </w:rPr>
      </w:pPr>
      <w:r>
        <w:rPr>
          <w:color w:val="231F20"/>
          <w:sz w:val="18"/>
        </w:rPr>
        <w:t>Non-oil commodity prices had risen in January in sterling terms. There were tentative signs that the deflation might be coming to an end. The level of commodity prices was still much lower than a year ago, but they would have to keep falling to </w:t>
      </w:r>
      <w:r>
        <w:rPr>
          <w:color w:val="231F20"/>
          <w:spacing w:val="-4"/>
          <w:sz w:val="18"/>
        </w:rPr>
        <w:t>lower </w:t>
      </w:r>
      <w:r>
        <w:rPr>
          <w:color w:val="231F20"/>
          <w:sz w:val="18"/>
        </w:rPr>
        <w:t>the central projection for inflation compared with February.</w:t>
      </w:r>
    </w:p>
    <w:p>
      <w:pPr>
        <w:pStyle w:val="ListParagraph"/>
        <w:numPr>
          <w:ilvl w:val="0"/>
          <w:numId w:val="36"/>
        </w:numPr>
        <w:tabs>
          <w:tab w:pos="645" w:val="left" w:leader="none"/>
          <w:tab w:pos="646" w:val="left" w:leader="none"/>
        </w:tabs>
        <w:spacing w:line="232" w:lineRule="auto" w:before="176" w:after="0"/>
        <w:ind w:left="165" w:right="333" w:firstLine="0"/>
        <w:jc w:val="left"/>
        <w:rPr>
          <w:sz w:val="18"/>
        </w:rPr>
      </w:pPr>
      <w:r>
        <w:rPr>
          <w:color w:val="231F20"/>
          <w:sz w:val="18"/>
        </w:rPr>
        <w:t>Contacts of the Bank’s regional Agents were increasingly mentioning that consumers were more ‘price sensitive’ than previously. The Committee discussed possible explanations for this. The comment might simply reflect inflation illusion. </w:t>
      </w:r>
      <w:r>
        <w:rPr>
          <w:color w:val="231F20"/>
          <w:spacing w:val="-4"/>
          <w:sz w:val="18"/>
        </w:rPr>
        <w:t>Lower </w:t>
      </w:r>
      <w:r>
        <w:rPr>
          <w:color w:val="231F20"/>
          <w:sz w:val="18"/>
        </w:rPr>
        <w:t>inflation over recent years may have made it easier for people to distinguish movements in relative prices from general price inflation. It seemed likely that the comments also reflected continuing structural changes in the retail industry, for example through a greater use of discount stores, which might be lowering margins.</w:t>
      </w:r>
    </w:p>
    <w:p>
      <w:pPr>
        <w:pStyle w:val="ListParagraph"/>
        <w:numPr>
          <w:ilvl w:val="0"/>
          <w:numId w:val="36"/>
        </w:numPr>
        <w:tabs>
          <w:tab w:pos="645" w:val="left" w:leader="none"/>
          <w:tab w:pos="646" w:val="left" w:leader="none"/>
        </w:tabs>
        <w:spacing w:line="232" w:lineRule="auto" w:before="173" w:after="0"/>
        <w:ind w:left="165" w:right="324" w:firstLine="0"/>
        <w:jc w:val="left"/>
        <w:rPr>
          <w:sz w:val="18"/>
        </w:rPr>
      </w:pPr>
      <w:r>
        <w:rPr>
          <w:color w:val="231F20"/>
          <w:sz w:val="18"/>
        </w:rPr>
        <w:t>The Committee also noted the rise in inflation expectations at longer maturities over the past month, as measured by the difference between implied forward interest rates on nominal and index linked bonds. It was too early to place much weight on this movement, which was in any event small by historical standards. There had not been much movement in shorter-term </w:t>
      </w:r>
      <w:r>
        <w:rPr>
          <w:color w:val="231F20"/>
          <w:spacing w:val="-2"/>
          <w:sz w:val="18"/>
        </w:rPr>
        <w:t>survey-based </w:t>
      </w:r>
      <w:r>
        <w:rPr>
          <w:color w:val="231F20"/>
          <w:sz w:val="18"/>
        </w:rPr>
        <w:t>measures of inflation expectations over the past month.</w:t>
      </w:r>
    </w:p>
    <w:p>
      <w:pPr>
        <w:pStyle w:val="ListParagraph"/>
        <w:numPr>
          <w:ilvl w:val="0"/>
          <w:numId w:val="36"/>
        </w:numPr>
        <w:tabs>
          <w:tab w:pos="645" w:val="left" w:leader="none"/>
          <w:tab w:pos="646" w:val="left" w:leader="none"/>
        </w:tabs>
        <w:spacing w:line="232" w:lineRule="auto" w:before="174" w:after="0"/>
        <w:ind w:left="165" w:right="213" w:firstLine="0"/>
        <w:jc w:val="left"/>
        <w:rPr>
          <w:sz w:val="18"/>
        </w:rPr>
      </w:pPr>
      <w:r>
        <w:rPr>
          <w:color w:val="231F20"/>
          <w:sz w:val="18"/>
        </w:rPr>
        <w:t>Inflation had turned out a little higher than expected in January, but this reflected movement in the highly volatile </w:t>
      </w:r>
      <w:r>
        <w:rPr>
          <w:color w:val="231F20"/>
          <w:spacing w:val="-3"/>
          <w:sz w:val="18"/>
        </w:rPr>
        <w:t>seasonal </w:t>
      </w:r>
      <w:r>
        <w:rPr>
          <w:color w:val="231F20"/>
          <w:sz w:val="18"/>
        </w:rPr>
        <w:t>food component. It was possible that better weather in February would lower some seasonal food prices. This had no implications for inflation two years or so ahead. The Committee noted that the timing of the Budget would mean that annual changes in fuel duties—from the previously announced ‘escalator’—would be included in the March RPI figure this year, rather than in April as had been the case in 1998. This would mean a temporary rise in</w:t>
      </w:r>
    </w:p>
    <w:p>
      <w:pPr>
        <w:spacing w:after="0" w:line="232" w:lineRule="auto"/>
        <w:jc w:val="left"/>
        <w:rPr>
          <w:sz w:val="18"/>
        </w:rPr>
        <w:sectPr>
          <w:type w:val="continuous"/>
          <w:pgSz w:w="11900" w:h="16840"/>
          <w:pgMar w:top="1220" w:bottom="280" w:left="640" w:right="640"/>
          <w:cols w:num="2" w:equalWidth="0">
            <w:col w:w="5105" w:space="275"/>
            <w:col w:w="524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74" w:right="21"/>
      </w:pPr>
      <w:r>
        <w:rPr>
          <w:color w:val="231F20"/>
        </w:rPr>
        <w:t>RPIX inflation in March, all other things being equal. The Committee noted that inflation outturns had been at, or above, 2</w:t>
      </w:r>
      <w:r>
        <w:rPr>
          <w:color w:val="231F20"/>
          <w:position w:val="6"/>
          <w:sz w:val="9"/>
        </w:rPr>
        <w:t>1</w:t>
      </w:r>
      <w:r>
        <w:rPr>
          <w:color w:val="231F20"/>
        </w:rPr>
        <w:t>/</w:t>
      </w:r>
      <w:r>
        <w:rPr>
          <w:color w:val="231F20"/>
          <w:sz w:val="9"/>
        </w:rPr>
        <w:t>2</w:t>
      </w:r>
      <w:r>
        <w:rPr>
          <w:color w:val="231F20"/>
        </w:rPr>
        <w:t>% since the introduction of the new policy framework in 1997. These outturns were more surprising given the mainly dampening shocks to world demand and prices. It would be important to consider whether there were any lessons from this.</w:t>
      </w:r>
    </w:p>
    <w:p>
      <w:pPr>
        <w:pStyle w:val="BodyText"/>
        <w:spacing w:before="11"/>
        <w:rPr>
          <w:sz w:val="16"/>
        </w:rPr>
      </w:pPr>
    </w:p>
    <w:p>
      <w:pPr>
        <w:pStyle w:val="ListParagraph"/>
        <w:numPr>
          <w:ilvl w:val="0"/>
          <w:numId w:val="36"/>
        </w:numPr>
        <w:tabs>
          <w:tab w:pos="654" w:val="left" w:leader="none"/>
          <w:tab w:pos="655" w:val="left" w:leader="none"/>
        </w:tabs>
        <w:spacing w:line="232" w:lineRule="auto" w:before="0" w:after="0"/>
        <w:ind w:left="174" w:right="38" w:firstLine="0"/>
        <w:jc w:val="left"/>
        <w:rPr>
          <w:sz w:val="18"/>
        </w:rPr>
      </w:pPr>
      <w:r>
        <w:rPr>
          <w:color w:val="231F20"/>
          <w:sz w:val="18"/>
        </w:rPr>
        <w:t>The GDP deflator had risen 2.8% in the year to 1998 Q4, </w:t>
      </w:r>
      <w:r>
        <w:rPr>
          <w:color w:val="231F20"/>
          <w:spacing w:val="-6"/>
          <w:sz w:val="18"/>
        </w:rPr>
        <w:t>and </w:t>
      </w:r>
      <w:r>
        <w:rPr>
          <w:color w:val="231F20"/>
          <w:sz w:val="18"/>
        </w:rPr>
        <w:t>was the highest for some time. However, the increase in the annual rate partly reflected a low figure in 1997 Q4 dropping out of the comparison, as well as some terms of trade effects. The rise in the household expenditure deflator was still below 2% in the year to Q4.</w:t>
      </w:r>
    </w:p>
    <w:p>
      <w:pPr>
        <w:pStyle w:val="BodyText"/>
        <w:rPr>
          <w:sz w:val="22"/>
        </w:rPr>
      </w:pPr>
    </w:p>
    <w:p>
      <w:pPr>
        <w:pStyle w:val="Heading3"/>
        <w:spacing w:line="266" w:lineRule="auto"/>
        <w:ind w:left="174" w:right="324"/>
      </w:pPr>
      <w:r>
        <w:rPr>
          <w:color w:val="009483"/>
        </w:rPr>
        <w:t>Other considerations bearing on the decision this month</w:t>
      </w:r>
    </w:p>
    <w:p>
      <w:pPr>
        <w:pStyle w:val="ListParagraph"/>
        <w:numPr>
          <w:ilvl w:val="0"/>
          <w:numId w:val="36"/>
        </w:numPr>
        <w:tabs>
          <w:tab w:pos="654" w:val="left" w:leader="none"/>
          <w:tab w:pos="655" w:val="left" w:leader="none"/>
        </w:tabs>
        <w:spacing w:line="232" w:lineRule="auto" w:before="101" w:after="0"/>
        <w:ind w:left="174" w:right="93" w:firstLine="0"/>
        <w:jc w:val="left"/>
        <w:rPr>
          <w:sz w:val="18"/>
        </w:rPr>
      </w:pPr>
      <w:r>
        <w:rPr>
          <w:color w:val="231F20"/>
          <w:sz w:val="18"/>
        </w:rPr>
        <w:t>Before turning to the immediate policy decision, the Committee discussed a number of other considerations. First, should the Committee seek to offset the projected weak GDP growth in the first half of 1999? Even if demand and output were turning out weaker than expected, the lags in the operation of monetary policy had previously been assumed to be such that only a limited effect on activity would be possible. However it was possible that there were signs, for example in the confidence surveys, of a more rapid response to changes in interest rates than had been the case in the past. One possible explanation was that the new monetary policy regime provided greater confidence in </w:t>
      </w:r>
      <w:r>
        <w:rPr>
          <w:color w:val="231F20"/>
          <w:spacing w:val="-6"/>
          <w:sz w:val="18"/>
        </w:rPr>
        <w:t>the </w:t>
      </w:r>
      <w:r>
        <w:rPr>
          <w:color w:val="231F20"/>
          <w:sz w:val="18"/>
        </w:rPr>
        <w:t>commitment to the inflation target which was consistent with the fall in inflation expectations, and might help to explain the moderation of earnings growth since mid 1998.</w:t>
      </w:r>
    </w:p>
    <w:p>
      <w:pPr>
        <w:pStyle w:val="BodyText"/>
        <w:spacing w:before="2"/>
      </w:pPr>
    </w:p>
    <w:p>
      <w:pPr>
        <w:pStyle w:val="ListParagraph"/>
        <w:numPr>
          <w:ilvl w:val="0"/>
          <w:numId w:val="36"/>
        </w:numPr>
        <w:tabs>
          <w:tab w:pos="654" w:val="left" w:leader="none"/>
          <w:tab w:pos="655" w:val="left" w:leader="none"/>
        </w:tabs>
        <w:spacing w:line="232" w:lineRule="auto" w:before="0" w:after="0"/>
        <w:ind w:left="174" w:right="93" w:firstLine="0"/>
        <w:jc w:val="left"/>
        <w:rPr>
          <w:sz w:val="18"/>
        </w:rPr>
      </w:pPr>
      <w:r>
        <w:rPr>
          <w:color w:val="231F20"/>
          <w:sz w:val="18"/>
        </w:rPr>
        <w:t>Second, the exchange rate had risen, especially in recent days, to a level above that implied by the central projection in the February </w:t>
      </w:r>
      <w:r>
        <w:rPr>
          <w:i/>
          <w:color w:val="231F20"/>
          <w:sz w:val="18"/>
        </w:rPr>
        <w:t>Inflation Report</w:t>
      </w:r>
      <w:r>
        <w:rPr>
          <w:color w:val="231F20"/>
          <w:sz w:val="18"/>
        </w:rPr>
        <w:t>, despite the 50 basis point reduction in interest rates at the previous meeting. By itself this would tend to reduce import prices and retail prices, and might justify a reduction in interest rates. But it was too soon to judge whether the rise would persist, and what reaction there would be to a further reduction in rates. In any case, it would not be sensible for policy to react to high frequency movements in the exchange rate, as this could lead to a volatile path for interest rates from month to </w:t>
      </w:r>
      <w:r>
        <w:rPr>
          <w:color w:val="231F20"/>
          <w:spacing w:val="-3"/>
          <w:sz w:val="18"/>
        </w:rPr>
        <w:t>month, </w:t>
      </w:r>
      <w:r>
        <w:rPr>
          <w:color w:val="231F20"/>
          <w:sz w:val="18"/>
        </w:rPr>
        <w:t>and might make it more difficult for others to understand the motives for interest rate changes.</w:t>
      </w:r>
    </w:p>
    <w:p>
      <w:pPr>
        <w:pStyle w:val="BodyText"/>
        <w:spacing w:before="3"/>
      </w:pPr>
    </w:p>
    <w:p>
      <w:pPr>
        <w:pStyle w:val="ListParagraph"/>
        <w:numPr>
          <w:ilvl w:val="0"/>
          <w:numId w:val="36"/>
        </w:numPr>
        <w:tabs>
          <w:tab w:pos="654" w:val="left" w:leader="none"/>
          <w:tab w:pos="655" w:val="left" w:leader="none"/>
        </w:tabs>
        <w:spacing w:line="232" w:lineRule="auto" w:before="1" w:after="0"/>
        <w:ind w:left="174" w:right="208" w:firstLine="0"/>
        <w:jc w:val="left"/>
        <w:rPr>
          <w:sz w:val="18"/>
        </w:rPr>
      </w:pPr>
      <w:r>
        <w:rPr>
          <w:color w:val="231F20"/>
          <w:sz w:val="18"/>
        </w:rPr>
        <w:t>Third, the Committee considered whether there was any particular significance in changing interest rates so soon after an </w:t>
      </w:r>
      <w:r>
        <w:rPr>
          <w:i/>
          <w:color w:val="231F20"/>
          <w:sz w:val="18"/>
        </w:rPr>
        <w:t>Inflation Report </w:t>
      </w:r>
      <w:r>
        <w:rPr>
          <w:color w:val="231F20"/>
          <w:sz w:val="18"/>
        </w:rPr>
        <w:t>round. Some members felt that clear news was needed for rates to change so shortly after the last forecast; otherwise, it would appear to downgrade the value and role of </w:t>
      </w:r>
      <w:r>
        <w:rPr>
          <w:color w:val="231F20"/>
          <w:spacing w:val="-6"/>
          <w:sz w:val="18"/>
        </w:rPr>
        <w:t>the </w:t>
      </w:r>
      <w:r>
        <w:rPr>
          <w:color w:val="231F20"/>
          <w:sz w:val="18"/>
        </w:rPr>
        <w:t>projections.</w:t>
      </w:r>
    </w:p>
    <w:p>
      <w:pPr>
        <w:pStyle w:val="BodyText"/>
        <w:spacing w:before="3"/>
        <w:rPr>
          <w:sz w:val="20"/>
        </w:rPr>
      </w:pPr>
    </w:p>
    <w:p>
      <w:pPr>
        <w:pStyle w:val="Heading3"/>
        <w:ind w:left="174"/>
      </w:pPr>
      <w:r>
        <w:rPr>
          <w:color w:val="009483"/>
        </w:rPr>
        <w:t>The immediate policy decision</w:t>
      </w:r>
    </w:p>
    <w:p>
      <w:pPr>
        <w:pStyle w:val="ListParagraph"/>
        <w:numPr>
          <w:ilvl w:val="0"/>
          <w:numId w:val="36"/>
        </w:numPr>
        <w:tabs>
          <w:tab w:pos="654" w:val="left" w:leader="none"/>
          <w:tab w:pos="655" w:val="left" w:leader="none"/>
        </w:tabs>
        <w:spacing w:line="232" w:lineRule="auto" w:before="129" w:after="0"/>
        <w:ind w:left="174" w:right="38" w:firstLine="0"/>
        <w:jc w:val="left"/>
        <w:rPr>
          <w:sz w:val="18"/>
        </w:rPr>
      </w:pPr>
      <w:r>
        <w:rPr>
          <w:color w:val="231F20"/>
          <w:sz w:val="18"/>
        </w:rPr>
        <w:t>There were four key developments over the month. First, </w:t>
      </w:r>
      <w:r>
        <w:rPr>
          <w:color w:val="231F20"/>
          <w:spacing w:val="-6"/>
          <w:sz w:val="18"/>
        </w:rPr>
        <w:t>the </w:t>
      </w:r>
      <w:r>
        <w:rPr>
          <w:color w:val="231F20"/>
          <w:sz w:val="18"/>
        </w:rPr>
        <w:t>revised earnings data had been published. Second, the effective exchange rate had strengthened.  Third, if anything, the GDP figures were weaker than expected, particularly if weight were placed on the rise in inventories and/or the sharper than expected fall in exports. Finally, there had been a uniform strengthening of survey measures, albeit from a low level. On balance, these four factors suggested slightly lower prospective inflation than thought at the time of the February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6"/>
      </w:pPr>
    </w:p>
    <w:p>
      <w:pPr>
        <w:pStyle w:val="ListParagraph"/>
        <w:numPr>
          <w:ilvl w:val="0"/>
          <w:numId w:val="36"/>
        </w:numPr>
        <w:tabs>
          <w:tab w:pos="654" w:val="left" w:leader="none"/>
          <w:tab w:pos="655" w:val="left" w:leader="none"/>
        </w:tabs>
        <w:spacing w:line="232" w:lineRule="auto" w:before="0" w:after="0"/>
        <w:ind w:left="174" w:right="43" w:firstLine="0"/>
        <w:jc w:val="left"/>
        <w:rPr>
          <w:sz w:val="18"/>
        </w:rPr>
      </w:pPr>
      <w:r>
        <w:rPr>
          <w:color w:val="231F20"/>
          <w:sz w:val="18"/>
        </w:rPr>
        <w:t>Some possible reasons for a further reduction in interest </w:t>
      </w:r>
      <w:r>
        <w:rPr>
          <w:color w:val="231F20"/>
          <w:spacing w:val="-4"/>
          <w:sz w:val="18"/>
        </w:rPr>
        <w:t>rates </w:t>
      </w:r>
      <w:r>
        <w:rPr>
          <w:color w:val="231F20"/>
          <w:sz w:val="18"/>
        </w:rPr>
        <w:t>were identified. If, for example, it was expected that the rise in sterling would be maintained, there might be a case for a 25 basis point reduction in interest rates this month. Second, maintaining rates at their current level this month might be interpreted as a signal that a floor in rates had been reached, which might stall—or even reverse—the recovery in business and consumer sentiment.</w:t>
      </w:r>
    </w:p>
    <w:p>
      <w:pPr>
        <w:pStyle w:val="BodyText"/>
        <w:spacing w:before="7"/>
        <w:rPr>
          <w:sz w:val="19"/>
        </w:rPr>
      </w:pPr>
      <w:r>
        <w:rPr/>
        <w:br w:type="column"/>
      </w:r>
      <w:r>
        <w:rPr>
          <w:sz w:val="19"/>
        </w:rPr>
      </w:r>
    </w:p>
    <w:p>
      <w:pPr>
        <w:pStyle w:val="ListParagraph"/>
        <w:numPr>
          <w:ilvl w:val="0"/>
          <w:numId w:val="36"/>
        </w:numPr>
        <w:tabs>
          <w:tab w:pos="654" w:val="left" w:leader="none"/>
          <w:tab w:pos="655" w:val="left" w:leader="none"/>
        </w:tabs>
        <w:spacing w:line="232" w:lineRule="auto" w:before="1" w:after="0"/>
        <w:ind w:left="174" w:right="175" w:firstLine="0"/>
        <w:jc w:val="left"/>
        <w:rPr>
          <w:sz w:val="18"/>
        </w:rPr>
      </w:pPr>
      <w:r>
        <w:rPr>
          <w:color w:val="231F20"/>
          <w:sz w:val="18"/>
        </w:rPr>
        <w:t>One view was that the news on the month did not, as yet, amount to a sufficient case for a further reduction in interest rates. It would be better to see more evidence, in particular whether the strength in the surveys was maintained and whether it began to </w:t>
      </w:r>
      <w:r>
        <w:rPr>
          <w:color w:val="231F20"/>
          <w:spacing w:val="-5"/>
          <w:sz w:val="18"/>
        </w:rPr>
        <w:t>feed </w:t>
      </w:r>
      <w:r>
        <w:rPr>
          <w:color w:val="231F20"/>
          <w:sz w:val="18"/>
        </w:rPr>
        <w:t>through to the official data. There would also be a benefit in undertaking more analysis of the revised earnings data. On this view, the repo rate should be maintained at 5.5%. Among those members holding this view, some felt that it was now slightly more likely than a month ago that there would be a further reduction.</w:t>
      </w:r>
    </w:p>
    <w:p>
      <w:pPr>
        <w:pStyle w:val="BodyText"/>
        <w:spacing w:before="8"/>
        <w:rPr>
          <w:sz w:val="16"/>
        </w:rPr>
      </w:pPr>
    </w:p>
    <w:p>
      <w:pPr>
        <w:pStyle w:val="ListParagraph"/>
        <w:numPr>
          <w:ilvl w:val="0"/>
          <w:numId w:val="36"/>
        </w:numPr>
        <w:tabs>
          <w:tab w:pos="654" w:val="left" w:leader="none"/>
          <w:tab w:pos="655" w:val="left" w:leader="none"/>
        </w:tabs>
        <w:spacing w:line="232" w:lineRule="auto" w:before="1" w:after="0"/>
        <w:ind w:left="174" w:right="215" w:firstLine="0"/>
        <w:jc w:val="left"/>
        <w:rPr>
          <w:sz w:val="18"/>
        </w:rPr>
      </w:pPr>
      <w:r>
        <w:rPr>
          <w:color w:val="231F20"/>
          <w:sz w:val="18"/>
        </w:rPr>
        <w:t>The Committee discussed whether, even though there was not a compelling case for an immediate 25 basis point reduction in rates, there might be a case for a smaller reduction. There could </w:t>
      </w:r>
      <w:r>
        <w:rPr>
          <w:color w:val="231F20"/>
          <w:spacing w:val="-9"/>
          <w:sz w:val="18"/>
        </w:rPr>
        <w:t>be </w:t>
      </w:r>
      <w:r>
        <w:rPr>
          <w:color w:val="231F20"/>
          <w:sz w:val="18"/>
        </w:rPr>
        <w:t>a case for moving in smaller steps than 25 basis points if the data warranted it. However, since the Committee had not previously made changes in anything other than multiples of 25 basis points, there would be a risk of providing a confusing signal to markets. Some members also thought it would imply a degree of fine-tuning beyond what was sensible.</w:t>
      </w:r>
    </w:p>
    <w:p>
      <w:pPr>
        <w:pStyle w:val="BodyText"/>
        <w:spacing w:before="8"/>
        <w:rPr>
          <w:sz w:val="16"/>
        </w:rPr>
      </w:pPr>
    </w:p>
    <w:p>
      <w:pPr>
        <w:pStyle w:val="ListParagraph"/>
        <w:numPr>
          <w:ilvl w:val="0"/>
          <w:numId w:val="36"/>
        </w:numPr>
        <w:tabs>
          <w:tab w:pos="654" w:val="left" w:leader="none"/>
          <w:tab w:pos="655" w:val="left" w:leader="none"/>
        </w:tabs>
        <w:spacing w:line="232" w:lineRule="auto" w:before="1" w:after="0"/>
        <w:ind w:left="174" w:right="235" w:firstLine="0"/>
        <w:jc w:val="left"/>
        <w:rPr>
          <w:sz w:val="18"/>
        </w:rPr>
      </w:pPr>
      <w:r>
        <w:rPr>
          <w:color w:val="231F20"/>
          <w:sz w:val="18"/>
        </w:rPr>
        <w:t>Another view was that interest rates should be close to or possibly below the ‘neutral’ level at this point in the economic cycle. On that view, the reduction in rates of 50 basis points at the February meeting had brought the level of interest rates into its probable neutral range. The news over the past month reinforced the view that interest rates might need to be reduced further. But we had only started to see the effects of previous interest rate reductions, and nominal long and short-term interest rates were now close to their lowest level for many years. The reactions of firms and households—both savers and borrowers—to such historically unusual levels were difficult to predict with much confidence. Although the direction of interest rates was still more likely than not to be down, there was no urgency this month and it was best to observe how the economy reacted to the earlier </w:t>
      </w:r>
      <w:r>
        <w:rPr>
          <w:color w:val="231F20"/>
          <w:spacing w:val="-3"/>
          <w:sz w:val="18"/>
        </w:rPr>
        <w:t>interest </w:t>
      </w:r>
      <w:r>
        <w:rPr>
          <w:color w:val="231F20"/>
          <w:sz w:val="18"/>
        </w:rPr>
        <w:t>rate reductions. On this view, therefore, the repo rate should be maintained at 5.5%.</w:t>
      </w:r>
    </w:p>
    <w:p>
      <w:pPr>
        <w:pStyle w:val="BodyText"/>
        <w:spacing w:before="3"/>
        <w:rPr>
          <w:sz w:val="16"/>
        </w:rPr>
      </w:pPr>
    </w:p>
    <w:p>
      <w:pPr>
        <w:pStyle w:val="ListParagraph"/>
        <w:numPr>
          <w:ilvl w:val="0"/>
          <w:numId w:val="36"/>
        </w:numPr>
        <w:tabs>
          <w:tab w:pos="654" w:val="left" w:leader="none"/>
          <w:tab w:pos="655" w:val="left" w:leader="none"/>
        </w:tabs>
        <w:spacing w:line="232" w:lineRule="auto" w:before="0" w:after="0"/>
        <w:ind w:left="174" w:right="235" w:firstLine="0"/>
        <w:jc w:val="left"/>
        <w:rPr>
          <w:sz w:val="18"/>
        </w:rPr>
      </w:pPr>
      <w:r>
        <w:rPr>
          <w:color w:val="231F20"/>
          <w:sz w:val="18"/>
        </w:rPr>
        <w:t>Another view in February had been that a reduction in rates of 75–100 basis points was required. That view had been predicated on the assumption that first, the central projection in </w:t>
      </w:r>
      <w:r>
        <w:rPr>
          <w:color w:val="231F20"/>
          <w:spacing w:val="-6"/>
          <w:sz w:val="18"/>
        </w:rPr>
        <w:t>the </w:t>
      </w:r>
      <w:r>
        <w:rPr>
          <w:i/>
          <w:color w:val="231F20"/>
          <w:sz w:val="18"/>
        </w:rPr>
        <w:t>Inflation Report </w:t>
      </w:r>
      <w:r>
        <w:rPr>
          <w:color w:val="231F20"/>
          <w:sz w:val="18"/>
        </w:rPr>
        <w:t>was around 0.2 percentage points too high; and second, that it was possible to ease with a view to supporting activity in the near term without endangering achievement of the inflation target. This was especially true if the transmission mechanism was faster than had, on average, been the case in the past. The news on the month suggested that both activity and inflation might be a little lower than expected, and could justify a reduction in interest rates over and above what had been thought necessary a month ago. On this view, a reduction of 25–50 basis points was now required.</w:t>
      </w:r>
    </w:p>
    <w:p>
      <w:pPr>
        <w:pStyle w:val="BodyText"/>
        <w:spacing w:before="6"/>
        <w:rPr>
          <w:sz w:val="16"/>
        </w:rPr>
      </w:pPr>
    </w:p>
    <w:p>
      <w:pPr>
        <w:pStyle w:val="ListParagraph"/>
        <w:numPr>
          <w:ilvl w:val="0"/>
          <w:numId w:val="36"/>
        </w:numPr>
        <w:tabs>
          <w:tab w:pos="654" w:val="left" w:leader="none"/>
          <w:tab w:pos="655" w:val="left" w:leader="none"/>
        </w:tabs>
        <w:spacing w:line="232" w:lineRule="auto" w:before="0" w:after="0"/>
        <w:ind w:left="174" w:right="244" w:firstLine="0"/>
        <w:jc w:val="left"/>
        <w:rPr>
          <w:sz w:val="18"/>
        </w:rPr>
      </w:pPr>
      <w:r>
        <w:rPr>
          <w:color w:val="231F20"/>
          <w:sz w:val="18"/>
        </w:rPr>
        <w:t>The Governor invited members of the Committee to vote </w:t>
      </w:r>
      <w:r>
        <w:rPr>
          <w:color w:val="231F20"/>
          <w:spacing w:val="-9"/>
          <w:sz w:val="18"/>
        </w:rPr>
        <w:t>on </w:t>
      </w:r>
      <w:r>
        <w:rPr>
          <w:color w:val="231F20"/>
          <w:sz w:val="18"/>
        </w:rPr>
        <w:t>the proposition that the Bank’s repo rate be maintained at 5.5%. Eight members of the Committee (the Governor, Mervyn King, David Clementi, Alan Budd, Charles Goodhart, DeAnne Julius, Ian Plenderleith and John Vickers) voted for the proposition. Willem Buiter voted against, preferring a reduction of 0.4%.</w:t>
      </w:r>
    </w:p>
    <w:p>
      <w:pPr>
        <w:pStyle w:val="ListParagraph"/>
        <w:numPr>
          <w:ilvl w:val="0"/>
          <w:numId w:val="36"/>
        </w:numPr>
        <w:tabs>
          <w:tab w:pos="654" w:val="left" w:leader="none"/>
          <w:tab w:pos="655" w:val="left" w:leader="none"/>
        </w:tabs>
        <w:spacing w:line="400" w:lineRule="exact" w:before="39" w:after="0"/>
        <w:ind w:left="174" w:right="534"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155" w:lineRule="exact"/>
        <w:ind w:left="174"/>
      </w:pPr>
      <w:r>
        <w:rPr>
          <w:color w:val="231F20"/>
        </w:rPr>
        <w:t>Mervyn King, Deputy Governor responsible for monetary policy</w:t>
      </w:r>
    </w:p>
    <w:p>
      <w:pPr>
        <w:pStyle w:val="BodyText"/>
        <w:spacing w:line="232" w:lineRule="auto" w:before="1"/>
        <w:ind w:left="174" w:right="747"/>
      </w:pPr>
      <w:r>
        <w:rPr>
          <w:color w:val="231F20"/>
        </w:rPr>
        <w:t>David Clementi, Deputy Governor responsible for financial stability</w:t>
      </w:r>
    </w:p>
    <w:p>
      <w:pPr>
        <w:pStyle w:val="BodyText"/>
        <w:spacing w:line="232" w:lineRule="auto"/>
        <w:ind w:left="174" w:right="3766"/>
      </w:pPr>
      <w:r>
        <w:rPr>
          <w:color w:val="231F20"/>
        </w:rPr>
        <w:t>Alan Budd Willem Buiter Charles Goodhart DeAnne Julius Ian Plenderleith John Vickers</w:t>
      </w:r>
    </w:p>
    <w:p>
      <w:pPr>
        <w:pStyle w:val="BodyText"/>
        <w:spacing w:before="5"/>
        <w:rPr>
          <w:sz w:val="16"/>
        </w:rPr>
      </w:pPr>
    </w:p>
    <w:p>
      <w:pPr>
        <w:pStyle w:val="ListParagraph"/>
        <w:numPr>
          <w:ilvl w:val="0"/>
          <w:numId w:val="36"/>
        </w:numPr>
        <w:tabs>
          <w:tab w:pos="654" w:val="left" w:leader="none"/>
          <w:tab w:pos="655" w:val="left" w:leader="none"/>
        </w:tabs>
        <w:spacing w:line="240" w:lineRule="auto" w:before="0" w:after="0"/>
        <w:ind w:left="654" w:right="0" w:hanging="481"/>
        <w:jc w:val="left"/>
        <w:rPr>
          <w:sz w:val="18"/>
        </w:rPr>
      </w:pPr>
      <w:r>
        <w:rPr>
          <w:color w:val="231F20"/>
          <w:sz w:val="18"/>
        </w:rPr>
        <w:t>Gus O’Donnell was present as the Treasury representative.</w:t>
      </w:r>
    </w:p>
    <w:p>
      <w:pPr>
        <w:spacing w:after="0" w:line="240" w:lineRule="auto"/>
        <w:jc w:val="left"/>
        <w:rPr>
          <w:sz w:val="18"/>
        </w:rPr>
        <w:sectPr>
          <w:type w:val="continuous"/>
          <w:pgSz w:w="11900" w:h="16840"/>
          <w:pgMar w:top="1220" w:bottom="280" w:left="640" w:right="640"/>
          <w:cols w:num="2" w:equalWidth="0">
            <w:col w:w="5114" w:space="271"/>
            <w:col w:w="5235"/>
          </w:cols>
        </w:sectPr>
      </w:pPr>
    </w:p>
    <w:p>
      <w:pPr>
        <w:pStyle w:val="BodyText"/>
        <w:rPr>
          <w:sz w:val="20"/>
        </w:rPr>
      </w:pPr>
    </w:p>
    <w:p>
      <w:pPr>
        <w:pStyle w:val="BodyText"/>
        <w:rPr>
          <w:sz w:val="20"/>
        </w:rPr>
      </w:pPr>
    </w:p>
    <w:p>
      <w:pPr>
        <w:pStyle w:val="BodyText"/>
        <w:spacing w:before="1"/>
        <w:rPr>
          <w:sz w:val="16"/>
        </w:rPr>
      </w:pPr>
    </w:p>
    <w:p>
      <w:pPr>
        <w:spacing w:before="86"/>
        <w:ind w:left="165" w:right="0" w:firstLine="0"/>
        <w:jc w:val="left"/>
        <w:rPr>
          <w:b/>
          <w:sz w:val="32"/>
        </w:rPr>
      </w:pPr>
      <w:r>
        <w:rPr>
          <w:b/>
          <w:color w:val="009483"/>
          <w:sz w:val="32"/>
        </w:rPr>
        <w:t>Annex: Summary of data presented by Bank staff</w:t>
      </w:r>
    </w:p>
    <w:p>
      <w:pPr>
        <w:pStyle w:val="BodyText"/>
        <w:spacing w:before="9"/>
        <w:rPr>
          <w:b/>
          <w:sz w:val="27"/>
        </w:rPr>
      </w:pPr>
    </w:p>
    <w:p>
      <w:pPr>
        <w:spacing w:after="0"/>
        <w:rPr>
          <w:sz w:val="27"/>
        </w:rPr>
        <w:sectPr>
          <w:pgSz w:w="11900" w:h="16840"/>
          <w:pgMar w:header="566" w:footer="597" w:top="760" w:bottom="780" w:left="640" w:right="640"/>
        </w:sectPr>
      </w:pPr>
    </w:p>
    <w:p>
      <w:pPr>
        <w:pStyle w:val="ListParagraph"/>
        <w:numPr>
          <w:ilvl w:val="0"/>
          <w:numId w:val="37"/>
        </w:numPr>
        <w:tabs>
          <w:tab w:pos="639" w:val="left" w:leader="none"/>
          <w:tab w:pos="641" w:val="left" w:leader="none"/>
        </w:tabs>
        <w:spacing w:line="232" w:lineRule="auto" w:before="98" w:after="0"/>
        <w:ind w:left="160" w:right="52" w:firstLine="0"/>
        <w:jc w:val="left"/>
        <w:rPr>
          <w:sz w:val="18"/>
        </w:rPr>
      </w:pPr>
      <w:r>
        <w:rPr>
          <w:color w:val="231F20"/>
          <w:sz w:val="18"/>
        </w:rPr>
        <w:t>This Annex summarises the analysis presented by the Bank staff to the Monetary Policy Committee on 26 February, in </w:t>
      </w:r>
      <w:r>
        <w:rPr>
          <w:color w:val="231F20"/>
          <w:spacing w:val="-3"/>
          <w:sz w:val="18"/>
        </w:rPr>
        <w:t>advance </w:t>
      </w:r>
      <w:r>
        <w:rPr>
          <w:color w:val="231F20"/>
          <w:sz w:val="18"/>
        </w:rPr>
        <w:t>of its meeting on 2–3 March 1999. At the start of the Committee meeting itself, members were made aware of information that had subsequently become available, and that information is included in the Annex.</w:t>
      </w:r>
    </w:p>
    <w:p>
      <w:pPr>
        <w:pStyle w:val="BodyText"/>
        <w:spacing w:before="6"/>
      </w:pPr>
    </w:p>
    <w:p>
      <w:pPr>
        <w:pStyle w:val="Heading3"/>
        <w:numPr>
          <w:ilvl w:val="0"/>
          <w:numId w:val="38"/>
        </w:numPr>
        <w:tabs>
          <w:tab w:pos="639" w:val="left" w:leader="none"/>
          <w:tab w:pos="641" w:val="left" w:leader="none"/>
        </w:tabs>
        <w:spacing w:line="240" w:lineRule="auto" w:before="0" w:after="0"/>
        <w:ind w:left="640" w:right="0" w:hanging="481"/>
        <w:jc w:val="left"/>
      </w:pPr>
      <w:r>
        <w:rPr>
          <w:color w:val="009483"/>
        </w:rPr>
        <w:t>Monetary conditions</w:t>
      </w:r>
    </w:p>
    <w:p>
      <w:pPr>
        <w:pStyle w:val="ListParagraph"/>
        <w:numPr>
          <w:ilvl w:val="0"/>
          <w:numId w:val="37"/>
        </w:numPr>
        <w:tabs>
          <w:tab w:pos="639" w:val="left" w:leader="none"/>
          <w:tab w:pos="641" w:val="left" w:leader="none"/>
        </w:tabs>
        <w:spacing w:line="232" w:lineRule="auto" w:before="109" w:after="0"/>
        <w:ind w:left="160" w:right="38" w:firstLine="0"/>
        <w:jc w:val="left"/>
        <w:rPr>
          <w:sz w:val="18"/>
        </w:rPr>
      </w:pPr>
      <w:r>
        <w:rPr>
          <w:color w:val="231F20"/>
          <w:sz w:val="18"/>
        </w:rPr>
        <w:t>Growth of notes and coin had picked up in February. After adjusting for the effects of the introduction of the new 50 pence </w:t>
      </w:r>
      <w:r>
        <w:rPr>
          <w:color w:val="231F20"/>
          <w:spacing w:val="-6"/>
          <w:sz w:val="18"/>
        </w:rPr>
        <w:t>and</w:t>
      </w:r>
    </w:p>
    <w:p>
      <w:pPr>
        <w:pStyle w:val="BodyText"/>
        <w:spacing w:line="232" w:lineRule="auto"/>
        <w:ind w:left="160" w:right="205"/>
      </w:pPr>
      <w:r>
        <w:rPr>
          <w:color w:val="231F20"/>
        </w:rPr>
        <w:t>£2 coins, the three-month growth rate was 7.0%, compared with 6.7% in January, and the six-month growth rate was 6.2%, compared with 5.9% in January. The one-month growth rate </w:t>
      </w:r>
      <w:r>
        <w:rPr>
          <w:color w:val="231F20"/>
          <w:spacing w:val="-6"/>
        </w:rPr>
        <w:t>was </w:t>
      </w:r>
      <w:r>
        <w:rPr>
          <w:color w:val="231F20"/>
        </w:rPr>
        <w:t>0.5%, the same as in January and a little higher than the average figure for 1998. A small increase in these growth rates might have been expected following interest rate cuts in the second half of 1998, which reduced the opportunity cost of holding notes and coin.</w:t>
      </w:r>
    </w:p>
    <w:p>
      <w:pPr>
        <w:pStyle w:val="BodyText"/>
        <w:spacing w:before="8"/>
        <w:rPr>
          <w:sz w:val="16"/>
        </w:rPr>
      </w:pPr>
    </w:p>
    <w:p>
      <w:pPr>
        <w:pStyle w:val="ListParagraph"/>
        <w:numPr>
          <w:ilvl w:val="0"/>
          <w:numId w:val="37"/>
        </w:numPr>
        <w:tabs>
          <w:tab w:pos="639" w:val="left" w:leader="none"/>
          <w:tab w:pos="641" w:val="left" w:leader="none"/>
        </w:tabs>
        <w:spacing w:line="232" w:lineRule="auto" w:before="0" w:after="0"/>
        <w:ind w:left="160" w:right="77" w:firstLine="0"/>
        <w:jc w:val="left"/>
        <w:rPr>
          <w:sz w:val="18"/>
        </w:rPr>
      </w:pPr>
      <w:r>
        <w:rPr>
          <w:color w:val="231F20"/>
          <w:sz w:val="18"/>
        </w:rPr>
        <w:t>The stock of M4 had fallen by £10 million in January. The twelve-month growth rate had fallen to 7.3%, the lowest since </w:t>
      </w:r>
      <w:r>
        <w:rPr>
          <w:color w:val="231F20"/>
          <w:spacing w:val="-5"/>
          <w:sz w:val="18"/>
        </w:rPr>
        <w:t>June </w:t>
      </w:r>
      <w:r>
        <w:rPr>
          <w:color w:val="231F20"/>
          <w:sz w:val="18"/>
        </w:rPr>
        <w:t>1995.</w:t>
      </w:r>
    </w:p>
    <w:p>
      <w:pPr>
        <w:pStyle w:val="BodyText"/>
        <w:spacing w:before="2"/>
        <w:rPr>
          <w:sz w:val="17"/>
        </w:rPr>
      </w:pPr>
    </w:p>
    <w:p>
      <w:pPr>
        <w:pStyle w:val="ListParagraph"/>
        <w:numPr>
          <w:ilvl w:val="0"/>
          <w:numId w:val="37"/>
        </w:numPr>
        <w:tabs>
          <w:tab w:pos="639" w:val="left" w:leader="none"/>
          <w:tab w:pos="641" w:val="left" w:leader="none"/>
        </w:tabs>
        <w:spacing w:line="232" w:lineRule="auto" w:before="1" w:after="0"/>
        <w:ind w:left="160" w:right="191" w:firstLine="0"/>
        <w:jc w:val="left"/>
        <w:rPr>
          <w:sz w:val="18"/>
        </w:rPr>
      </w:pPr>
      <w:r>
        <w:rPr>
          <w:color w:val="231F20"/>
          <w:sz w:val="18"/>
        </w:rPr>
        <w:t>Within M4, the balances of other financial corporations (OFCs) had fallen by £2.6 billion in January, making it less </w:t>
      </w:r>
      <w:r>
        <w:rPr>
          <w:color w:val="231F20"/>
          <w:spacing w:val="-3"/>
          <w:sz w:val="18"/>
        </w:rPr>
        <w:t>likely </w:t>
      </w:r>
      <w:r>
        <w:rPr>
          <w:color w:val="231F20"/>
          <w:sz w:val="18"/>
        </w:rPr>
        <w:t>that December’s modest increase was a purely temporary effect associated with the end of the financial year. The twelve-month growth rate, at 11.0%, had more than halved over the past year.</w:t>
      </w:r>
    </w:p>
    <w:p>
      <w:pPr>
        <w:pStyle w:val="BodyText"/>
        <w:rPr>
          <w:sz w:val="17"/>
        </w:rPr>
      </w:pPr>
    </w:p>
    <w:p>
      <w:pPr>
        <w:pStyle w:val="ListParagraph"/>
        <w:numPr>
          <w:ilvl w:val="0"/>
          <w:numId w:val="37"/>
        </w:numPr>
        <w:tabs>
          <w:tab w:pos="639" w:val="left" w:leader="none"/>
          <w:tab w:pos="641" w:val="left" w:leader="none"/>
        </w:tabs>
        <w:spacing w:line="232" w:lineRule="auto" w:before="0" w:after="0"/>
        <w:ind w:left="160" w:right="67" w:firstLine="0"/>
        <w:jc w:val="left"/>
        <w:rPr>
          <w:sz w:val="18"/>
        </w:rPr>
      </w:pPr>
      <w:r>
        <w:rPr>
          <w:color w:val="231F20"/>
          <w:sz w:val="18"/>
        </w:rPr>
        <w:t>Following the introduction of self-assessment, January had become a more important month for payment of income tax. It seemed unlikely that this had yet had its full effect on the estimated seasonal component, which may in turn explain why the strong flow into household sector M4 in December (+£5.5 billion) had been followed by a much weaker January (+£1.7 billion). Looking at the average flow over these two months, the gradual pick-up in household sector M4 towards the end of last year appeared to have continued.</w:t>
      </w:r>
    </w:p>
    <w:p>
      <w:pPr>
        <w:pStyle w:val="BodyText"/>
        <w:spacing w:before="9"/>
        <w:rPr>
          <w:sz w:val="16"/>
        </w:rPr>
      </w:pPr>
    </w:p>
    <w:p>
      <w:pPr>
        <w:pStyle w:val="ListParagraph"/>
        <w:numPr>
          <w:ilvl w:val="0"/>
          <w:numId w:val="37"/>
        </w:numPr>
        <w:tabs>
          <w:tab w:pos="639" w:val="left" w:leader="none"/>
          <w:tab w:pos="641" w:val="left" w:leader="none"/>
        </w:tabs>
        <w:spacing w:line="232" w:lineRule="auto" w:before="0" w:after="0"/>
        <w:ind w:left="159" w:right="43" w:firstLine="0"/>
        <w:jc w:val="left"/>
        <w:rPr>
          <w:sz w:val="18"/>
        </w:rPr>
      </w:pPr>
      <w:r>
        <w:rPr>
          <w:color w:val="231F20"/>
          <w:sz w:val="18"/>
        </w:rPr>
        <w:t>Private non financial corporations (P</w:t>
      </w:r>
      <w:r>
        <w:rPr>
          <w:color w:val="231F20"/>
          <w:sz w:val="14"/>
        </w:rPr>
        <w:t>NFC</w:t>
      </w:r>
      <w:r>
        <w:rPr>
          <w:color w:val="231F20"/>
          <w:sz w:val="18"/>
        </w:rPr>
        <w:t>s’) holdings of M4 had risen by £0.9 billion in January, largely reversing a £1.0 billion fall in December. Payments of corporation tax in January had been significantly lower than in recent years. Hence there was a risk </w:t>
      </w:r>
      <w:r>
        <w:rPr>
          <w:color w:val="231F20"/>
          <w:spacing w:val="-5"/>
          <w:sz w:val="18"/>
        </w:rPr>
        <w:t>that </w:t>
      </w:r>
      <w:r>
        <w:rPr>
          <w:color w:val="231F20"/>
          <w:sz w:val="18"/>
        </w:rPr>
        <w:t>the process of seasonally adjusting the monetary aggregates, which looks at the past behaviour of each series, had artificially lowered P</w:t>
      </w:r>
      <w:r>
        <w:rPr>
          <w:color w:val="231F20"/>
          <w:sz w:val="14"/>
        </w:rPr>
        <w:t>NFC</w:t>
      </w:r>
      <w:r>
        <w:rPr>
          <w:color w:val="231F20"/>
          <w:sz w:val="18"/>
        </w:rPr>
        <w:t>s’ M4 in December 1998 and artificially boosted it in January 1999. Averaging over these two months, the flow was close to zero.</w:t>
      </w:r>
    </w:p>
    <w:p>
      <w:pPr>
        <w:pStyle w:val="BodyText"/>
        <w:spacing w:before="9"/>
        <w:rPr>
          <w:sz w:val="16"/>
        </w:rPr>
      </w:pPr>
    </w:p>
    <w:p>
      <w:pPr>
        <w:pStyle w:val="ListParagraph"/>
        <w:numPr>
          <w:ilvl w:val="0"/>
          <w:numId w:val="37"/>
        </w:numPr>
        <w:tabs>
          <w:tab w:pos="639" w:val="left" w:leader="none"/>
          <w:tab w:pos="641" w:val="left" w:leader="none"/>
        </w:tabs>
        <w:spacing w:line="232" w:lineRule="auto" w:before="0" w:after="0"/>
        <w:ind w:left="159" w:right="68" w:firstLine="0"/>
        <w:jc w:val="left"/>
        <w:rPr>
          <w:sz w:val="18"/>
        </w:rPr>
      </w:pPr>
      <w:r>
        <w:rPr>
          <w:color w:val="231F20"/>
          <w:sz w:val="18"/>
        </w:rPr>
        <w:t>Sterling lending by M4 institutions had grown by 0.5% in January, the same rate as in December. But the three, six and twelve-month growth rates had all fallen, and remained below </w:t>
      </w:r>
      <w:r>
        <w:rPr>
          <w:color w:val="231F20"/>
          <w:spacing w:val="-4"/>
          <w:sz w:val="18"/>
        </w:rPr>
        <w:t>rates </w:t>
      </w:r>
      <w:r>
        <w:rPr>
          <w:color w:val="231F20"/>
          <w:sz w:val="18"/>
        </w:rPr>
        <w:t>during the first half of 1998.</w:t>
      </w:r>
    </w:p>
    <w:p>
      <w:pPr>
        <w:pStyle w:val="BodyText"/>
        <w:spacing w:before="2"/>
        <w:rPr>
          <w:sz w:val="17"/>
        </w:rPr>
      </w:pPr>
    </w:p>
    <w:p>
      <w:pPr>
        <w:pStyle w:val="ListParagraph"/>
        <w:numPr>
          <w:ilvl w:val="0"/>
          <w:numId w:val="37"/>
        </w:numPr>
        <w:tabs>
          <w:tab w:pos="639" w:val="left" w:leader="none"/>
          <w:tab w:pos="641" w:val="left" w:leader="none"/>
        </w:tabs>
        <w:spacing w:line="232" w:lineRule="auto" w:before="0" w:after="0"/>
        <w:ind w:left="159" w:right="43" w:firstLine="0"/>
        <w:jc w:val="left"/>
        <w:rPr>
          <w:sz w:val="18"/>
        </w:rPr>
      </w:pPr>
      <w:r>
        <w:rPr>
          <w:color w:val="231F20"/>
          <w:sz w:val="18"/>
        </w:rPr>
        <w:t>M4 lending to OFCs had fallen by £0.3 billion in January. This was smaller than the fall in their M4 deposits, so OFCs’ net recourse to banks had increased. During the fourth quarter of </w:t>
      </w:r>
      <w:r>
        <w:rPr>
          <w:color w:val="231F20"/>
          <w:spacing w:val="-4"/>
          <w:sz w:val="18"/>
        </w:rPr>
        <w:t>1998, </w:t>
      </w:r>
      <w:r>
        <w:rPr>
          <w:color w:val="231F20"/>
          <w:sz w:val="18"/>
        </w:rPr>
        <w:t>lending to OFCs had been underpinned by lending to financial leasing companies. According to less comprehensive data from the Major British Banking Group, the contribution of lending to financial leasing companies in January was again strong (up by 1.0%).</w:t>
      </w:r>
    </w:p>
    <w:p>
      <w:pPr>
        <w:pStyle w:val="ListParagraph"/>
        <w:numPr>
          <w:ilvl w:val="0"/>
          <w:numId w:val="37"/>
        </w:numPr>
        <w:tabs>
          <w:tab w:pos="639" w:val="left" w:leader="none"/>
          <w:tab w:pos="641" w:val="left" w:leader="none"/>
        </w:tabs>
        <w:spacing w:line="232" w:lineRule="auto" w:before="174" w:after="0"/>
        <w:ind w:left="159" w:right="262" w:firstLine="0"/>
        <w:jc w:val="left"/>
        <w:rPr>
          <w:sz w:val="18"/>
        </w:rPr>
      </w:pPr>
      <w:r>
        <w:rPr>
          <w:color w:val="231F20"/>
          <w:sz w:val="18"/>
        </w:rPr>
        <w:t>M4 lending to the household sector had risen by 0.6% in January. Total lending to individuals (excluding lending to unincorporated businesses, but including lending by a number</w:t>
      </w:r>
      <w:r>
        <w:rPr>
          <w:color w:val="231F20"/>
          <w:spacing w:val="1"/>
          <w:sz w:val="18"/>
        </w:rPr>
        <w:t> </w:t>
      </w:r>
      <w:r>
        <w:rPr>
          <w:color w:val="231F20"/>
          <w:spacing w:val="-9"/>
          <w:sz w:val="18"/>
        </w:rPr>
        <w:t>of</w:t>
      </w:r>
    </w:p>
    <w:p>
      <w:pPr>
        <w:pStyle w:val="BodyText"/>
        <w:spacing w:line="232" w:lineRule="auto" w:before="98"/>
        <w:ind w:left="159" w:right="174"/>
      </w:pPr>
      <w:r>
        <w:rPr/>
        <w:br w:type="column"/>
      </w:r>
      <w:r>
        <w:rPr>
          <w:color w:val="231F20"/>
        </w:rPr>
        <w:t>non-M4 institutions) had also risen by 0.6%. The twelve-month growth rate was 7.7%. Lending secured on dwellings had risen by 0.5% in January, as in each month since August 1998. There had been a small rise in the rate of unsecured credit growth, from 0.7% in December to 1.4% in January. The three and six-month annualised growth rates were 14.3% and 15.6% respectively, below those during the first half of last year.</w:t>
      </w:r>
    </w:p>
    <w:p>
      <w:pPr>
        <w:pStyle w:val="BodyText"/>
        <w:spacing w:before="10"/>
        <w:rPr>
          <w:sz w:val="16"/>
        </w:rPr>
      </w:pPr>
    </w:p>
    <w:p>
      <w:pPr>
        <w:pStyle w:val="ListParagraph"/>
        <w:numPr>
          <w:ilvl w:val="0"/>
          <w:numId w:val="37"/>
        </w:numPr>
        <w:tabs>
          <w:tab w:pos="639" w:val="left" w:leader="none"/>
          <w:tab w:pos="641" w:val="left" w:leader="none"/>
        </w:tabs>
        <w:spacing w:line="232" w:lineRule="auto" w:before="0" w:after="0"/>
        <w:ind w:left="159" w:right="165" w:firstLine="0"/>
        <w:jc w:val="left"/>
        <w:rPr>
          <w:sz w:val="18"/>
        </w:rPr>
      </w:pPr>
      <w:r>
        <w:rPr>
          <w:color w:val="231F20"/>
          <w:sz w:val="18"/>
        </w:rPr>
        <w:t>Turning to price indicators of monetary conditions, more than half the institutions sampled by the Bank had not passed on in full the most recent cut in official rates to their standard variable mortgage rates. For the time being, this was probably of limited significance; since September 1998, standard variable mortgage rates had fallen by 198 basis points, only 2 basis points less than </w:t>
      </w:r>
      <w:r>
        <w:rPr>
          <w:color w:val="231F20"/>
          <w:spacing w:val="-6"/>
          <w:sz w:val="18"/>
        </w:rPr>
        <w:t>the </w:t>
      </w:r>
      <w:r>
        <w:rPr>
          <w:color w:val="231F20"/>
          <w:sz w:val="18"/>
        </w:rPr>
        <w:t>fall in official rates over the same period.</w:t>
      </w:r>
    </w:p>
    <w:p>
      <w:pPr>
        <w:pStyle w:val="BodyText"/>
        <w:spacing w:before="11"/>
        <w:rPr>
          <w:sz w:val="16"/>
        </w:rPr>
      </w:pPr>
    </w:p>
    <w:p>
      <w:pPr>
        <w:pStyle w:val="ListParagraph"/>
        <w:numPr>
          <w:ilvl w:val="0"/>
          <w:numId w:val="37"/>
        </w:numPr>
        <w:tabs>
          <w:tab w:pos="639" w:val="left" w:leader="none"/>
          <w:tab w:pos="641" w:val="left" w:leader="none"/>
        </w:tabs>
        <w:spacing w:line="232" w:lineRule="auto" w:before="0" w:after="0"/>
        <w:ind w:left="159" w:right="271" w:firstLine="0"/>
        <w:jc w:val="left"/>
        <w:rPr>
          <w:sz w:val="18"/>
        </w:rPr>
      </w:pPr>
      <w:r>
        <w:rPr>
          <w:color w:val="231F20"/>
          <w:sz w:val="18"/>
        </w:rPr>
        <w:t>Since the February MPC meeting, there had been some rise in medium to long-term inflation expectations (as derived from a comparison of the yield on nominal and index-linked gilts). </w:t>
      </w:r>
      <w:r>
        <w:rPr>
          <w:color w:val="231F20"/>
          <w:spacing w:val="-5"/>
          <w:sz w:val="18"/>
        </w:rPr>
        <w:t>Much </w:t>
      </w:r>
      <w:r>
        <w:rPr>
          <w:color w:val="231F20"/>
          <w:sz w:val="18"/>
        </w:rPr>
        <w:t>of the rise, particularly at the ten-year horizon, occurred on</w:t>
      </w:r>
    </w:p>
    <w:p>
      <w:pPr>
        <w:pStyle w:val="BodyText"/>
        <w:spacing w:line="232" w:lineRule="auto"/>
        <w:ind w:left="159" w:right="172"/>
      </w:pPr>
      <w:r>
        <w:rPr>
          <w:color w:val="231F20"/>
        </w:rPr>
        <w:t>4 February, the day when official rates were reduced by 50 basis points. By contrast, there had been little change in survey measures of inflation expectations for end 1999 and end 2000. These remained at around 2.2% to 2.3%.</w:t>
      </w:r>
    </w:p>
    <w:p>
      <w:pPr>
        <w:pStyle w:val="BodyText"/>
        <w:spacing w:before="1"/>
        <w:rPr>
          <w:sz w:val="20"/>
        </w:rPr>
      </w:pPr>
    </w:p>
    <w:p>
      <w:pPr>
        <w:pStyle w:val="Heading3"/>
        <w:numPr>
          <w:ilvl w:val="0"/>
          <w:numId w:val="38"/>
        </w:numPr>
        <w:tabs>
          <w:tab w:pos="640" w:val="left" w:leader="none"/>
          <w:tab w:pos="641" w:val="left" w:leader="none"/>
        </w:tabs>
        <w:spacing w:line="240" w:lineRule="auto" w:before="0" w:after="0"/>
        <w:ind w:left="640" w:right="0" w:hanging="482"/>
        <w:jc w:val="left"/>
      </w:pPr>
      <w:r>
        <w:rPr>
          <w:color w:val="009483"/>
        </w:rPr>
        <w:t>Demand and output</w:t>
      </w:r>
    </w:p>
    <w:p>
      <w:pPr>
        <w:pStyle w:val="ListParagraph"/>
        <w:numPr>
          <w:ilvl w:val="0"/>
          <w:numId w:val="39"/>
        </w:numPr>
        <w:tabs>
          <w:tab w:pos="639" w:val="left" w:leader="none"/>
          <w:tab w:pos="641" w:val="left" w:leader="none"/>
        </w:tabs>
        <w:spacing w:line="203" w:lineRule="exact" w:before="105" w:after="0"/>
        <w:ind w:left="640" w:right="0" w:hanging="482"/>
        <w:jc w:val="left"/>
        <w:rPr>
          <w:sz w:val="18"/>
        </w:rPr>
      </w:pPr>
      <w:r>
        <w:rPr>
          <w:color w:val="231F20"/>
          <w:sz w:val="18"/>
        </w:rPr>
        <w:t>GDP at constant market prices had grown by 0.2% in</w:t>
      </w:r>
    </w:p>
    <w:p>
      <w:pPr>
        <w:pStyle w:val="BodyText"/>
        <w:spacing w:line="232" w:lineRule="auto" w:before="1"/>
        <w:ind w:left="159" w:right="221"/>
      </w:pPr>
      <w:r>
        <w:rPr>
          <w:color w:val="231F20"/>
        </w:rPr>
        <w:t>1998 Q4, but the annual rate had been revised down to 1.3% from 1.6%. The expenditure breakdown had shown domestic demand growing by 1.2% in Q4, reflecting a sharp increase in investment and inventories. Net trade had made a negative contribution to GDP growth of -1.1%. The shortfall of the expenditure measure of GDP relative to the average measure was 0.6% of GDP in Q4.</w:t>
      </w:r>
    </w:p>
    <w:p>
      <w:pPr>
        <w:pStyle w:val="ListParagraph"/>
        <w:numPr>
          <w:ilvl w:val="0"/>
          <w:numId w:val="39"/>
        </w:numPr>
        <w:tabs>
          <w:tab w:pos="639" w:val="left" w:leader="none"/>
          <w:tab w:pos="641" w:val="left" w:leader="none"/>
        </w:tabs>
        <w:spacing w:line="232" w:lineRule="auto" w:before="176" w:after="0"/>
        <w:ind w:left="159" w:right="251" w:firstLine="0"/>
        <w:jc w:val="left"/>
        <w:rPr>
          <w:sz w:val="18"/>
        </w:rPr>
      </w:pPr>
      <w:r>
        <w:rPr>
          <w:color w:val="231F20"/>
          <w:sz w:val="18"/>
        </w:rPr>
        <w:t>Growth in household spending had increased to 0.4% from 0.1% in Q3. Bank staff had not expected total household </w:t>
      </w:r>
      <w:r>
        <w:rPr>
          <w:color w:val="231F20"/>
          <w:spacing w:val="-3"/>
          <w:sz w:val="18"/>
        </w:rPr>
        <w:t>spending </w:t>
      </w:r>
      <w:r>
        <w:rPr>
          <w:color w:val="231F20"/>
          <w:sz w:val="18"/>
        </w:rPr>
        <w:t>growth in Q4 to be as weak as had been suggested by retail sales volumes. The level of spending in Q3 had been revised down by</w:t>
      </w:r>
    </w:p>
    <w:p>
      <w:pPr>
        <w:pStyle w:val="BodyText"/>
        <w:spacing w:line="232" w:lineRule="auto"/>
        <w:ind w:left="159" w:right="369"/>
      </w:pPr>
      <w:r>
        <w:rPr>
          <w:color w:val="231F20"/>
        </w:rPr>
        <w:t>0.1 percentage points, but there had been upward revisions in the first half of 1998.</w:t>
      </w:r>
    </w:p>
    <w:p>
      <w:pPr>
        <w:pStyle w:val="BodyText"/>
        <w:spacing w:before="11"/>
        <w:rPr>
          <w:sz w:val="16"/>
        </w:rPr>
      </w:pPr>
    </w:p>
    <w:p>
      <w:pPr>
        <w:pStyle w:val="ListParagraph"/>
        <w:numPr>
          <w:ilvl w:val="0"/>
          <w:numId w:val="39"/>
        </w:numPr>
        <w:tabs>
          <w:tab w:pos="639" w:val="left" w:leader="none"/>
          <w:tab w:pos="641" w:val="left" w:leader="none"/>
        </w:tabs>
        <w:spacing w:line="232" w:lineRule="auto" w:before="0" w:after="0"/>
        <w:ind w:left="159" w:right="171" w:firstLine="0"/>
        <w:jc w:val="left"/>
        <w:rPr>
          <w:sz w:val="18"/>
        </w:rPr>
      </w:pPr>
      <w:r>
        <w:rPr>
          <w:color w:val="231F20"/>
          <w:sz w:val="18"/>
        </w:rPr>
        <w:t>Investment had grown by 2.0% in Q4. Growth had also </w:t>
      </w:r>
      <w:r>
        <w:rPr>
          <w:color w:val="231F20"/>
          <w:spacing w:val="-5"/>
          <w:sz w:val="18"/>
        </w:rPr>
        <w:t>been </w:t>
      </w:r>
      <w:r>
        <w:rPr>
          <w:color w:val="231F20"/>
          <w:sz w:val="18"/>
        </w:rPr>
        <w:t>revised up in Q3 to 1.8% from 1.1%. The strength in Q4 was </w:t>
      </w:r>
      <w:r>
        <w:rPr>
          <w:color w:val="231F20"/>
          <w:spacing w:val="-3"/>
          <w:sz w:val="18"/>
        </w:rPr>
        <w:t>partly </w:t>
      </w:r>
      <w:r>
        <w:rPr>
          <w:color w:val="231F20"/>
          <w:sz w:val="18"/>
        </w:rPr>
        <w:t>because of erratic factors. Nevertheless, sectoral growth rates had been broadly consistent with survey evidence on investment intentions:  service sector investment growth had remained strong at 5.2%, and manufacturing investment had declined by 3.1%. The annual growth of whole-economy investment had slowed during 1998.</w:t>
      </w:r>
    </w:p>
    <w:p>
      <w:pPr>
        <w:pStyle w:val="ListParagraph"/>
        <w:numPr>
          <w:ilvl w:val="0"/>
          <w:numId w:val="39"/>
        </w:numPr>
        <w:tabs>
          <w:tab w:pos="639" w:val="left" w:leader="none"/>
          <w:tab w:pos="641" w:val="left" w:leader="none"/>
        </w:tabs>
        <w:spacing w:line="232" w:lineRule="auto" w:before="174" w:after="0"/>
        <w:ind w:left="159" w:right="186" w:firstLine="0"/>
        <w:jc w:val="left"/>
        <w:rPr>
          <w:sz w:val="18"/>
        </w:rPr>
      </w:pPr>
      <w:r>
        <w:rPr>
          <w:color w:val="231F20"/>
          <w:sz w:val="18"/>
        </w:rPr>
        <w:t>Inventories had risen sharply by £1.9 billion in Q4, but the level had been revised down by a cumulative £215 million in the first three quarters of 1998. Stock building in ‘other industries’ </w:t>
      </w:r>
      <w:r>
        <w:rPr>
          <w:color w:val="231F20"/>
          <w:spacing w:val="-6"/>
          <w:sz w:val="18"/>
        </w:rPr>
        <w:t>had </w:t>
      </w:r>
      <w:r>
        <w:rPr>
          <w:color w:val="231F20"/>
          <w:sz w:val="18"/>
        </w:rPr>
        <w:t>accounted for £1.6 billion of the rise. This category includes the quarterly alignment, which was constrained to sum to zero in the year as a whole. Unless there had been very large revisions to the alignment adjustment—and stocks data had not supported this—it could explain only a part of the overall increase in other industries’ stocks. ‘Other industries’ included car dealers, for whom stocks may have been boosted by the switch to twice-yearly registration periods starting in March. Stocks in the manufacturing and retail sector had made a negative contribution to GDP growth. Manufacturers’ stocks of finished goods had risen by £113 million, less than half the increase in Q3.  But survey evidence had indicated a continued stock overhang. The CBI monthly trends survey had recorded a small increase in the balance on excess</w:t>
      </w:r>
    </w:p>
    <w:p>
      <w:pPr>
        <w:spacing w:after="0" w:line="232" w:lineRule="auto"/>
        <w:jc w:val="left"/>
        <w:rPr>
          <w:sz w:val="18"/>
        </w:rPr>
        <w:sectPr>
          <w:type w:val="continuous"/>
          <w:pgSz w:w="11900" w:h="16840"/>
          <w:pgMar w:top="1220" w:bottom="280" w:left="640" w:right="640"/>
          <w:cols w:num="2" w:equalWidth="0">
            <w:col w:w="5089" w:space="304"/>
            <w:col w:w="5227"/>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80" w:right="226"/>
      </w:pPr>
      <w:r>
        <w:rPr>
          <w:color w:val="231F20"/>
        </w:rPr>
        <w:t>stocks of finished goods to +24 in February from +23 in January, and the balance had remained well above its long-run average.</w:t>
      </w:r>
    </w:p>
    <w:p>
      <w:pPr>
        <w:pStyle w:val="BodyText"/>
        <w:spacing w:before="2"/>
        <w:rPr>
          <w:sz w:val="17"/>
        </w:rPr>
      </w:pPr>
    </w:p>
    <w:p>
      <w:pPr>
        <w:pStyle w:val="ListParagraph"/>
        <w:numPr>
          <w:ilvl w:val="0"/>
          <w:numId w:val="39"/>
        </w:numPr>
        <w:tabs>
          <w:tab w:pos="659" w:val="left" w:leader="none"/>
          <w:tab w:pos="661" w:val="left" w:leader="none"/>
        </w:tabs>
        <w:spacing w:line="232" w:lineRule="auto" w:before="1" w:after="0"/>
        <w:ind w:left="180" w:right="82" w:firstLine="0"/>
        <w:jc w:val="left"/>
        <w:rPr>
          <w:sz w:val="18"/>
        </w:rPr>
      </w:pPr>
      <w:r>
        <w:rPr>
          <w:color w:val="231F20"/>
          <w:sz w:val="18"/>
        </w:rPr>
        <w:t>In Q4, exports had declined sharply by 2.4%, and imports had increased by 0.9%. In 1998, there had been tentative signs </w:t>
      </w:r>
      <w:r>
        <w:rPr>
          <w:color w:val="231F20"/>
          <w:spacing w:val="-5"/>
          <w:sz w:val="18"/>
        </w:rPr>
        <w:t>that </w:t>
      </w:r>
      <w:r>
        <w:rPr>
          <w:color w:val="231F20"/>
          <w:sz w:val="18"/>
        </w:rPr>
        <w:t>the slowdown in final demand had reduced import growth. Looking ahead, the CBI survey shows exporters increasingly less pessimistic about prospects, with the balance on optimism rising to</w:t>
      </w:r>
    </w:p>
    <w:p>
      <w:pPr>
        <w:pStyle w:val="BodyText"/>
        <w:spacing w:line="232" w:lineRule="auto"/>
        <w:ind w:left="180" w:right="60"/>
      </w:pPr>
      <w:r>
        <w:rPr>
          <w:color w:val="231F20"/>
        </w:rPr>
        <w:t>-18 in January from -41 in October. But the CBI export orders balance had remained negative. Monthly trade data had shown that the decline in exports to non-EU countries had continued in January, with goods exports, excluding oil and erratic items, declining by 6.8%.</w:t>
      </w:r>
    </w:p>
    <w:p>
      <w:pPr>
        <w:pStyle w:val="BodyText"/>
        <w:spacing w:before="8"/>
        <w:rPr>
          <w:sz w:val="16"/>
        </w:rPr>
      </w:pPr>
    </w:p>
    <w:p>
      <w:pPr>
        <w:pStyle w:val="ListParagraph"/>
        <w:numPr>
          <w:ilvl w:val="0"/>
          <w:numId w:val="39"/>
        </w:numPr>
        <w:tabs>
          <w:tab w:pos="659" w:val="left" w:leader="none"/>
          <w:tab w:pos="661" w:val="left" w:leader="none"/>
        </w:tabs>
        <w:spacing w:line="232" w:lineRule="auto" w:before="0" w:after="0"/>
        <w:ind w:left="180" w:right="72" w:firstLine="0"/>
        <w:jc w:val="left"/>
        <w:rPr>
          <w:sz w:val="18"/>
        </w:rPr>
      </w:pPr>
      <w:r>
        <w:rPr>
          <w:color w:val="231F20"/>
          <w:sz w:val="18"/>
        </w:rPr>
        <w:t>Manufacturing output had fallen by 1.3% in Q4. Service sector output had increased by 0.6%, compared with 0.8% in Q3. Within the service sector, output had continued to grow strongly in the transport/communications and finance/business sectors. </w:t>
      </w:r>
      <w:r>
        <w:rPr>
          <w:color w:val="231F20"/>
          <w:spacing w:val="-3"/>
          <w:sz w:val="18"/>
        </w:rPr>
        <w:t>Output </w:t>
      </w:r>
      <w:r>
        <w:rPr>
          <w:color w:val="231F20"/>
          <w:sz w:val="18"/>
        </w:rPr>
        <w:t>had been unchanged in the distribution, hotels and catering sector, consistent with weak retail sales in Q4. Construction output had declined for the third quarter in a row, by 0.2%.</w:t>
      </w:r>
    </w:p>
    <w:p>
      <w:pPr>
        <w:pStyle w:val="BodyText"/>
        <w:spacing w:before="10"/>
        <w:rPr>
          <w:sz w:val="16"/>
        </w:rPr>
      </w:pPr>
    </w:p>
    <w:p>
      <w:pPr>
        <w:pStyle w:val="ListParagraph"/>
        <w:numPr>
          <w:ilvl w:val="0"/>
          <w:numId w:val="39"/>
        </w:numPr>
        <w:tabs>
          <w:tab w:pos="659" w:val="left" w:leader="none"/>
          <w:tab w:pos="661" w:val="left" w:leader="none"/>
        </w:tabs>
        <w:spacing w:line="232" w:lineRule="auto" w:before="0" w:after="0"/>
        <w:ind w:left="180" w:right="137" w:firstLine="0"/>
        <w:jc w:val="left"/>
        <w:rPr>
          <w:sz w:val="18"/>
        </w:rPr>
      </w:pPr>
      <w:r>
        <w:rPr>
          <w:color w:val="231F20"/>
          <w:sz w:val="18"/>
        </w:rPr>
        <w:t>The gross operating surplus of corporations had declined </w:t>
      </w:r>
      <w:r>
        <w:rPr>
          <w:color w:val="231F20"/>
          <w:spacing w:val="-9"/>
          <w:sz w:val="18"/>
        </w:rPr>
        <w:t>by </w:t>
      </w:r>
      <w:r>
        <w:rPr>
          <w:color w:val="231F20"/>
          <w:sz w:val="18"/>
        </w:rPr>
        <w:t>0.2% in Q4.</w:t>
      </w:r>
    </w:p>
    <w:p>
      <w:pPr>
        <w:pStyle w:val="BodyText"/>
        <w:spacing w:before="3"/>
        <w:rPr>
          <w:sz w:val="17"/>
        </w:rPr>
      </w:pPr>
    </w:p>
    <w:p>
      <w:pPr>
        <w:pStyle w:val="ListParagraph"/>
        <w:numPr>
          <w:ilvl w:val="0"/>
          <w:numId w:val="39"/>
        </w:numPr>
        <w:tabs>
          <w:tab w:pos="659" w:val="left" w:leader="none"/>
          <w:tab w:pos="661" w:val="left" w:leader="none"/>
        </w:tabs>
        <w:spacing w:line="232" w:lineRule="auto" w:before="0" w:after="0"/>
        <w:ind w:left="180" w:right="38" w:firstLine="0"/>
        <w:jc w:val="left"/>
        <w:rPr>
          <w:sz w:val="18"/>
        </w:rPr>
      </w:pPr>
      <w:r>
        <w:rPr>
          <w:color w:val="231F20"/>
          <w:sz w:val="18"/>
        </w:rPr>
        <w:t>Retail sales volumes had risen by 1.1% in January, more than reversing the decline in December. But the underlying trend had been unchanged, with sales volumes in the three months to January 1.5% higher than a year earlier. Sales of clothing, </w:t>
      </w:r>
      <w:r>
        <w:rPr>
          <w:color w:val="231F20"/>
          <w:spacing w:val="-3"/>
          <w:sz w:val="18"/>
        </w:rPr>
        <w:t>footwear </w:t>
      </w:r>
      <w:r>
        <w:rPr>
          <w:color w:val="231F20"/>
          <w:sz w:val="18"/>
        </w:rPr>
        <w:t>and household goods had grown particularly strongly, partly because of sharp price-discounting. A survey by the Bank’s regional Agents covering 108 retailers had supported the view that spending was weak. A majority of respondents had reported declining sales values in December and January relative to a</w:t>
      </w:r>
    </w:p>
    <w:p>
      <w:pPr>
        <w:pStyle w:val="BodyText"/>
        <w:spacing w:line="191" w:lineRule="exact"/>
        <w:ind w:left="180"/>
      </w:pPr>
      <w:r>
        <w:rPr>
          <w:color w:val="231F20"/>
        </w:rPr>
        <w:t>year earlier. Consumer confidence was cited as a key reason.</w:t>
      </w:r>
    </w:p>
    <w:p>
      <w:pPr>
        <w:pStyle w:val="BodyText"/>
        <w:spacing w:line="232" w:lineRule="auto" w:before="2"/>
        <w:ind w:left="180" w:right="100"/>
      </w:pPr>
      <w:r>
        <w:rPr>
          <w:color w:val="231F20"/>
        </w:rPr>
        <w:t>This had implied a sharper slowdown than indicated by the official data.</w:t>
      </w:r>
    </w:p>
    <w:p>
      <w:pPr>
        <w:pStyle w:val="BodyText"/>
        <w:spacing w:before="3"/>
        <w:rPr>
          <w:sz w:val="17"/>
        </w:rPr>
      </w:pPr>
    </w:p>
    <w:p>
      <w:pPr>
        <w:pStyle w:val="ListParagraph"/>
        <w:numPr>
          <w:ilvl w:val="0"/>
          <w:numId w:val="39"/>
        </w:numPr>
        <w:tabs>
          <w:tab w:pos="659" w:val="left" w:leader="none"/>
          <w:tab w:pos="661" w:val="left" w:leader="none"/>
        </w:tabs>
        <w:spacing w:line="232" w:lineRule="auto" w:before="0" w:after="0"/>
        <w:ind w:left="180" w:right="42" w:firstLine="0"/>
        <w:jc w:val="left"/>
        <w:rPr>
          <w:sz w:val="18"/>
        </w:rPr>
      </w:pPr>
      <w:r>
        <w:rPr>
          <w:color w:val="231F20"/>
          <w:sz w:val="18"/>
        </w:rPr>
        <w:t>House price inflation had slowed. The Bank’s house price index based on Land Registry data had risen 5.9% in the year to Q4 (down from 7.9% in Q3) and the Halifax house price index had risen by 3.7% in the year to February (down from 4.4% in January). There had been preliminary signs that activity might have turned up. The House Builders’ Federation survey in January had shown the first positive balances in seven months on visitors to sites and on net reservations compared with a year earlier. These had been leading indicators of housing transactions in the past. Particulars delivered had risen in February for the second month running. But the recovery was from a low level, and transactions had been 3% lower than a year earlier. The firming-up in housing activity had been consistent with some recovery in consumer confidence. The GfK confidence indicator had risen to -0.6% in February from a trough of -8.2% in October.</w:t>
      </w:r>
    </w:p>
    <w:p>
      <w:pPr>
        <w:pStyle w:val="BodyText"/>
        <w:spacing w:before="4"/>
        <w:rPr>
          <w:sz w:val="16"/>
        </w:rPr>
      </w:pPr>
    </w:p>
    <w:p>
      <w:pPr>
        <w:pStyle w:val="ListParagraph"/>
        <w:numPr>
          <w:ilvl w:val="0"/>
          <w:numId w:val="39"/>
        </w:numPr>
        <w:tabs>
          <w:tab w:pos="659" w:val="left" w:leader="none"/>
          <w:tab w:pos="661" w:val="left" w:leader="none"/>
        </w:tabs>
        <w:spacing w:line="232" w:lineRule="auto" w:before="0" w:after="0"/>
        <w:ind w:left="180" w:right="75" w:firstLine="0"/>
        <w:jc w:val="left"/>
        <w:rPr>
          <w:sz w:val="18"/>
        </w:rPr>
      </w:pPr>
      <w:r>
        <w:rPr>
          <w:color w:val="231F20"/>
          <w:sz w:val="18"/>
        </w:rPr>
        <w:t>Survey evidence had continued to indicate declining manufacturing output in the first two months of 1999 Q1. The output balance of the CBI Trends survey was -10 in February compared with -13 in January. The C</w:t>
      </w:r>
      <w:r>
        <w:rPr>
          <w:color w:val="231F20"/>
          <w:sz w:val="14"/>
        </w:rPr>
        <w:t>IPS </w:t>
      </w:r>
      <w:r>
        <w:rPr>
          <w:color w:val="231F20"/>
          <w:sz w:val="18"/>
        </w:rPr>
        <w:t>survey output balance </w:t>
      </w:r>
      <w:r>
        <w:rPr>
          <w:color w:val="231F20"/>
          <w:spacing w:val="-6"/>
          <w:sz w:val="18"/>
        </w:rPr>
        <w:t>had </w:t>
      </w:r>
      <w:r>
        <w:rPr>
          <w:color w:val="231F20"/>
          <w:sz w:val="18"/>
        </w:rPr>
        <w:t>remained below 50 in February, for the eleventh month running. But there had been continued signs of an easing in the rate of decline of new orders, mainly because of a bottoming-out in export orders. In the service sector, the C</w:t>
      </w:r>
      <w:r>
        <w:rPr>
          <w:color w:val="231F20"/>
          <w:sz w:val="14"/>
        </w:rPr>
        <w:t>IPS </w:t>
      </w:r>
      <w:r>
        <w:rPr>
          <w:color w:val="231F20"/>
          <w:sz w:val="18"/>
        </w:rPr>
        <w:t>business activity index had remained below 50 for the fourth successive month, indicating contracting output, although the rate of decline had eased.</w:t>
      </w:r>
    </w:p>
    <w:p>
      <w:pPr>
        <w:pStyle w:val="BodyText"/>
        <w:rPr>
          <w:sz w:val="20"/>
        </w:rPr>
      </w:pPr>
    </w:p>
    <w:p>
      <w:pPr>
        <w:pStyle w:val="Heading3"/>
        <w:numPr>
          <w:ilvl w:val="0"/>
          <w:numId w:val="38"/>
        </w:numPr>
        <w:tabs>
          <w:tab w:pos="660" w:val="left" w:leader="none"/>
          <w:tab w:pos="661" w:val="left" w:leader="none"/>
        </w:tabs>
        <w:spacing w:line="240" w:lineRule="auto" w:before="0" w:after="0"/>
        <w:ind w:left="660" w:right="0" w:hanging="481"/>
        <w:jc w:val="left"/>
      </w:pPr>
      <w:r>
        <w:rPr>
          <w:color w:val="009483"/>
        </w:rPr>
        <w:t>International</w:t>
      </w:r>
      <w:r>
        <w:rPr>
          <w:color w:val="009483"/>
          <w:spacing w:val="-1"/>
        </w:rPr>
        <w:t> </w:t>
      </w:r>
      <w:r>
        <w:rPr>
          <w:color w:val="009483"/>
        </w:rPr>
        <w:t>environment</w:t>
      </w:r>
    </w:p>
    <w:p>
      <w:pPr>
        <w:pStyle w:val="ListParagraph"/>
        <w:numPr>
          <w:ilvl w:val="0"/>
          <w:numId w:val="39"/>
        </w:numPr>
        <w:tabs>
          <w:tab w:pos="659" w:val="left" w:leader="none"/>
          <w:tab w:pos="661" w:val="left" w:leader="none"/>
        </w:tabs>
        <w:spacing w:line="232" w:lineRule="auto" w:before="110" w:after="0"/>
        <w:ind w:left="180" w:right="88" w:firstLine="0"/>
        <w:jc w:val="left"/>
        <w:rPr>
          <w:sz w:val="18"/>
        </w:rPr>
      </w:pPr>
      <w:r>
        <w:rPr>
          <w:color w:val="231F20"/>
          <w:sz w:val="18"/>
        </w:rPr>
        <w:t>US GDP had risen by 1.5% in the fourth quarter, according to the preliminary estimate. Industrial production was flat in January, and had been growing at around 1.7% on a year earlier </w:t>
      </w:r>
      <w:r>
        <w:rPr>
          <w:color w:val="231F20"/>
          <w:spacing w:val="-6"/>
          <w:sz w:val="18"/>
        </w:rPr>
        <w:t>for </w:t>
      </w:r>
      <w:r>
        <w:rPr>
          <w:color w:val="231F20"/>
          <w:sz w:val="18"/>
        </w:rPr>
        <w:t>the past three months. Although monthly data had suggested some stabilisation in the trade balance, further falls in net exports were</w:t>
      </w:r>
    </w:p>
    <w:p>
      <w:pPr>
        <w:pStyle w:val="BodyText"/>
        <w:spacing w:before="4"/>
        <w:rPr>
          <w:sz w:val="21"/>
        </w:rPr>
      </w:pPr>
      <w:r>
        <w:rPr/>
        <w:br w:type="column"/>
      </w:r>
      <w:r>
        <w:rPr>
          <w:sz w:val="21"/>
        </w:rPr>
      </w:r>
    </w:p>
    <w:p>
      <w:pPr>
        <w:pStyle w:val="BodyText"/>
        <w:spacing w:line="232" w:lineRule="auto" w:before="1"/>
        <w:ind w:left="180" w:right="196"/>
      </w:pPr>
      <w:r>
        <w:rPr>
          <w:color w:val="231F20"/>
        </w:rPr>
        <w:t>expected in 1999, reflecting slowing growth in the euro area and Latin America. Retail sales growth had slowed in January but this may have simply reflected one-off factors. Consumer confidence had risen again in February, most notably in the ‘current conditions’ index. Industrial confidence, as measured by the National Association of Purchasing Managers Index, had also risen in February. Manufacturing employment had continued to fall, but service sector job growth remained robust, so that overall employment growth remained above that of the labour force.</w:t>
      </w:r>
    </w:p>
    <w:p>
      <w:pPr>
        <w:pStyle w:val="BodyText"/>
        <w:spacing w:line="232" w:lineRule="auto"/>
        <w:ind w:left="180" w:right="301"/>
      </w:pPr>
      <w:r>
        <w:rPr>
          <w:color w:val="231F20"/>
        </w:rPr>
        <w:t>Despite strong monetary growth and robust real GDP growth, annual inflation remained subdued and was unchanged in January at 1.6%.</w:t>
      </w:r>
    </w:p>
    <w:p>
      <w:pPr>
        <w:pStyle w:val="BodyText"/>
        <w:spacing w:before="6"/>
        <w:rPr>
          <w:sz w:val="16"/>
        </w:rPr>
      </w:pPr>
    </w:p>
    <w:p>
      <w:pPr>
        <w:pStyle w:val="ListParagraph"/>
        <w:numPr>
          <w:ilvl w:val="0"/>
          <w:numId w:val="39"/>
        </w:numPr>
        <w:tabs>
          <w:tab w:pos="659" w:val="left" w:leader="none"/>
          <w:tab w:pos="661" w:val="left" w:leader="none"/>
        </w:tabs>
        <w:spacing w:line="232" w:lineRule="auto" w:before="0" w:after="0"/>
        <w:ind w:left="180" w:right="209" w:firstLine="0"/>
        <w:jc w:val="left"/>
        <w:rPr>
          <w:sz w:val="18"/>
        </w:rPr>
      </w:pPr>
      <w:r>
        <w:rPr>
          <w:color w:val="231F20"/>
          <w:sz w:val="18"/>
        </w:rPr>
        <w:t>In the euro area, imbalances between the consumer and producer sectors had persisted. Euro-area GDP had risen by 2.7% on a year earlier in the third quarter. French GDP had risen by 0.7% in the fourth quarter. In Germany, GDP had fallen by 0.4% in the fourth quarter. The contribution from net trade to quarterly German growth was -0.8 percentage points, the largest quarterly negative contribution since 1993 Q2. German services output had grown by 1.0% in the fourth quarter, compared with 1.1% in the previous quarter. The French survey of service sector output had tracked the official measure of output fairly closely in recent years, and pointed to a moderate slowdown in service sector growth in 1999 Q1. Euro-area industrial production growth had fallen by 0.4% in the year to December, compared with 3.2% in the year to October. Euro-area industrial confidence had stabilised in </w:t>
      </w:r>
      <w:r>
        <w:rPr>
          <w:color w:val="231F20"/>
          <w:spacing w:val="-3"/>
          <w:sz w:val="18"/>
        </w:rPr>
        <w:t>January, </w:t>
      </w:r>
      <w:r>
        <w:rPr>
          <w:color w:val="231F20"/>
          <w:sz w:val="18"/>
        </w:rPr>
        <w:t>close to its historical average. Euro-area consumer confidence had risen to zero in January from -1 in December; this compared</w:t>
      </w:r>
    </w:p>
    <w:p>
      <w:pPr>
        <w:pStyle w:val="BodyText"/>
        <w:spacing w:line="186" w:lineRule="exact"/>
        <w:ind w:left="180"/>
      </w:pPr>
      <w:r>
        <w:rPr>
          <w:color w:val="231F20"/>
        </w:rPr>
        <w:t>with -9 in January 1998. Inflation in the euro area on the</w:t>
      </w:r>
    </w:p>
    <w:p>
      <w:pPr>
        <w:pStyle w:val="BodyText"/>
        <w:spacing w:line="232" w:lineRule="auto" w:before="2"/>
        <w:ind w:left="180" w:right="241"/>
      </w:pPr>
      <w:r>
        <w:rPr>
          <w:color w:val="231F20"/>
        </w:rPr>
        <w:t>harmonised measure fell to 0.8% on a year earlier in December, from 0.9% in November. In January, the three-month moving average of the twelve-month growth rate of M3 increased to 4.9%, compared with the reference rate of 4.5% set by the European Central Bank.</w:t>
      </w:r>
    </w:p>
    <w:p>
      <w:pPr>
        <w:pStyle w:val="BodyText"/>
        <w:rPr>
          <w:sz w:val="17"/>
        </w:rPr>
      </w:pPr>
    </w:p>
    <w:p>
      <w:pPr>
        <w:pStyle w:val="ListParagraph"/>
        <w:numPr>
          <w:ilvl w:val="0"/>
          <w:numId w:val="39"/>
        </w:numPr>
        <w:tabs>
          <w:tab w:pos="659" w:val="left" w:leader="none"/>
          <w:tab w:pos="661" w:val="left" w:leader="none"/>
        </w:tabs>
        <w:spacing w:line="232" w:lineRule="auto" w:before="1" w:after="0"/>
        <w:ind w:left="180" w:right="164" w:firstLine="0"/>
        <w:jc w:val="left"/>
        <w:rPr>
          <w:sz w:val="18"/>
        </w:rPr>
      </w:pPr>
      <w:r>
        <w:rPr>
          <w:color w:val="231F20"/>
          <w:sz w:val="18"/>
        </w:rPr>
        <w:t>The Bank of Japan had lowered the overnight discount rate to a range below 15 basis points on 12 February. The Ministry of Finance had also partially reversed its position on Trust Fund Bureau purchases of Japanese government bonds (JGBs), allowing the Bureau to resume outright purchases of JGBs in the secondary market. The yen had subsequently weakened further and 10 year bond yields had fallen back below 2%. Retail sales had remained weak in January, falling by 4.5% on a year earlier. Industrial production had risen by 0.8% in January, but it was still down by 7.5% over the past twelve months. Industrial production had fallen by 6.9% in 1998 as a whole. The inventory index was at its lowest level since February 1995. The Japanese trade surplus had </w:t>
      </w:r>
      <w:r>
        <w:rPr>
          <w:color w:val="231F20"/>
          <w:spacing w:val="-3"/>
          <w:sz w:val="18"/>
        </w:rPr>
        <w:t>widened </w:t>
      </w:r>
      <w:r>
        <w:rPr>
          <w:color w:val="231F20"/>
          <w:sz w:val="18"/>
        </w:rPr>
        <w:t>in January to 760 billion yen, compared with 386 billion yen in January 1998. The growth in the surplus had reflected the weak state of Japanese private demand in 1998. It had also reflected the fall in commodity prices which, alongside more recent strength in the yen, had lowered the value of imports. The Consensus Economics average of forecasts for GDP growth in 1999 was unchanged at -1.1% in February.</w:t>
      </w:r>
    </w:p>
    <w:p>
      <w:pPr>
        <w:pStyle w:val="BodyText"/>
        <w:spacing w:before="4"/>
        <w:rPr>
          <w:sz w:val="19"/>
        </w:rPr>
      </w:pPr>
    </w:p>
    <w:p>
      <w:pPr>
        <w:pStyle w:val="Heading3"/>
        <w:numPr>
          <w:ilvl w:val="0"/>
          <w:numId w:val="38"/>
        </w:numPr>
        <w:tabs>
          <w:tab w:pos="660" w:val="left" w:leader="none"/>
          <w:tab w:pos="661" w:val="left" w:leader="none"/>
        </w:tabs>
        <w:spacing w:line="240" w:lineRule="auto" w:before="0" w:after="0"/>
        <w:ind w:left="660" w:right="0" w:hanging="481"/>
        <w:jc w:val="left"/>
      </w:pPr>
      <w:r>
        <w:rPr>
          <w:color w:val="009483"/>
        </w:rPr>
        <w:t>The labour</w:t>
      </w:r>
      <w:r>
        <w:rPr>
          <w:color w:val="009483"/>
          <w:spacing w:val="-1"/>
        </w:rPr>
        <w:t> </w:t>
      </w:r>
      <w:r>
        <w:rPr>
          <w:color w:val="009483"/>
        </w:rPr>
        <w:t>market</w:t>
      </w:r>
    </w:p>
    <w:p>
      <w:pPr>
        <w:pStyle w:val="ListParagraph"/>
        <w:numPr>
          <w:ilvl w:val="0"/>
          <w:numId w:val="39"/>
        </w:numPr>
        <w:tabs>
          <w:tab w:pos="659" w:val="left" w:leader="none"/>
          <w:tab w:pos="661" w:val="left" w:leader="none"/>
        </w:tabs>
        <w:spacing w:line="232" w:lineRule="auto" w:before="109" w:after="0"/>
        <w:ind w:left="180" w:right="179" w:firstLine="0"/>
        <w:jc w:val="left"/>
        <w:rPr>
          <w:sz w:val="18"/>
        </w:rPr>
      </w:pPr>
      <w:r>
        <w:rPr>
          <w:color w:val="231F20"/>
          <w:sz w:val="18"/>
        </w:rPr>
        <w:t>Employment had continued to grow strongly at the end of 1998. According to the Labour Force Survey (LFS), employment in Q4 was 122,000 (0.4%) higher than in Q3, and 305,000 (1.1%) higher than in 1997 Q4.  The main contribution to the rise in Q4 had come from growth in the number of employees, but the </w:t>
      </w:r>
      <w:r>
        <w:rPr>
          <w:color w:val="231F20"/>
          <w:spacing w:val="-3"/>
          <w:sz w:val="18"/>
        </w:rPr>
        <w:t>number </w:t>
      </w:r>
      <w:r>
        <w:rPr>
          <w:color w:val="231F20"/>
          <w:sz w:val="18"/>
        </w:rPr>
        <w:t>of self-employed people had also risen, reversing the recent downward trend. A full sectoral breakdown was not yet available, but monthly data had showed that manufacturing jobs had fallen</w:t>
      </w:r>
    </w:p>
    <w:p>
      <w:pPr>
        <w:pStyle w:val="BodyText"/>
        <w:spacing w:line="232" w:lineRule="auto"/>
        <w:ind w:left="180" w:right="293"/>
      </w:pPr>
      <w:r>
        <w:rPr>
          <w:color w:val="231F20"/>
        </w:rPr>
        <w:t>by some 2% in the year to Q4. The February manufacturing survey from the Chartered Institute of Purchasing and Supply (C</w:t>
      </w:r>
      <w:r>
        <w:rPr>
          <w:color w:val="231F20"/>
          <w:sz w:val="14"/>
        </w:rPr>
        <w:t>IPS</w:t>
      </w:r>
      <w:r>
        <w:rPr>
          <w:color w:val="231F20"/>
        </w:rPr>
        <w:t>) had suggested that employment in the sector had continued to fall in early 1999, though at a slightly slower rate. The</w:t>
      </w:r>
    </w:p>
    <w:p>
      <w:pPr>
        <w:pStyle w:val="BodyText"/>
        <w:spacing w:line="232" w:lineRule="auto"/>
        <w:ind w:left="180" w:right="383"/>
      </w:pPr>
      <w:r>
        <w:rPr>
          <w:color w:val="231F20"/>
        </w:rPr>
        <w:t>C</w:t>
      </w:r>
      <w:r>
        <w:rPr>
          <w:color w:val="231F20"/>
          <w:sz w:val="14"/>
        </w:rPr>
        <w:t>IPS </w:t>
      </w:r>
      <w:r>
        <w:rPr>
          <w:color w:val="231F20"/>
        </w:rPr>
        <w:t>surveys on services and construction, and the report on jobs from the Federation of Recruitment and Employment Services</w:t>
      </w:r>
    </w:p>
    <w:p>
      <w:pPr>
        <w:spacing w:after="0" w:line="232" w:lineRule="auto"/>
        <w:sectPr>
          <w:type w:val="continuous"/>
          <w:pgSz w:w="11900" w:h="16840"/>
          <w:pgMar w:top="1220" w:bottom="280" w:left="640" w:right="640"/>
          <w:cols w:num="2" w:equalWidth="0">
            <w:col w:w="5119" w:space="261"/>
            <w:col w:w="524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45" w:right="414"/>
      </w:pPr>
      <w:r>
        <w:rPr>
          <w:color w:val="231F20"/>
        </w:rPr>
        <w:t>(F</w:t>
      </w:r>
      <w:r>
        <w:rPr>
          <w:color w:val="231F20"/>
          <w:sz w:val="14"/>
        </w:rPr>
        <w:t>RES</w:t>
      </w:r>
      <w:r>
        <w:rPr>
          <w:color w:val="231F20"/>
        </w:rPr>
        <w:t>), had pointed to declines in employment, as they had for some time.</w:t>
      </w:r>
    </w:p>
    <w:p>
      <w:pPr>
        <w:pStyle w:val="BodyText"/>
        <w:spacing w:before="2"/>
        <w:rPr>
          <w:sz w:val="17"/>
        </w:rPr>
      </w:pPr>
    </w:p>
    <w:p>
      <w:pPr>
        <w:pStyle w:val="ListParagraph"/>
        <w:numPr>
          <w:ilvl w:val="0"/>
          <w:numId w:val="39"/>
        </w:numPr>
        <w:tabs>
          <w:tab w:pos="625" w:val="left" w:leader="none"/>
          <w:tab w:pos="626" w:val="left" w:leader="none"/>
        </w:tabs>
        <w:spacing w:line="232" w:lineRule="auto" w:before="1" w:after="0"/>
        <w:ind w:left="145" w:right="38" w:firstLine="0"/>
        <w:jc w:val="left"/>
        <w:rPr>
          <w:sz w:val="18"/>
        </w:rPr>
      </w:pPr>
      <w:r>
        <w:rPr>
          <w:color w:val="231F20"/>
          <w:sz w:val="18"/>
        </w:rPr>
        <w:t>Though employment had continued to rise in 1998, hours worked had been broadly flat. Total hours worked had fallen by 0.2% in Q4, and average hours per worker were 0.6% lower. </w:t>
      </w:r>
      <w:r>
        <w:rPr>
          <w:color w:val="231F20"/>
          <w:spacing w:val="-4"/>
          <w:sz w:val="18"/>
        </w:rPr>
        <w:t>About </w:t>
      </w:r>
      <w:r>
        <w:rPr>
          <w:color w:val="231F20"/>
          <w:sz w:val="18"/>
        </w:rPr>
        <w:t>half of the fall in average hours worked had reflected a rise in the number of part-time jobs. The other half had reflected a fall in average hours worked by full-time workers, consistent with a reduction in overtime working.</w:t>
      </w:r>
    </w:p>
    <w:p>
      <w:pPr>
        <w:pStyle w:val="BodyText"/>
        <w:spacing w:before="10"/>
        <w:rPr>
          <w:sz w:val="16"/>
        </w:rPr>
      </w:pPr>
    </w:p>
    <w:p>
      <w:pPr>
        <w:pStyle w:val="ListParagraph"/>
        <w:numPr>
          <w:ilvl w:val="0"/>
          <w:numId w:val="39"/>
        </w:numPr>
        <w:tabs>
          <w:tab w:pos="625" w:val="left" w:leader="none"/>
          <w:tab w:pos="626" w:val="left" w:leader="none"/>
        </w:tabs>
        <w:spacing w:line="232" w:lineRule="auto" w:before="0" w:after="0"/>
        <w:ind w:left="145" w:right="98" w:firstLine="0"/>
        <w:jc w:val="left"/>
        <w:rPr>
          <w:sz w:val="18"/>
        </w:rPr>
      </w:pPr>
      <w:r>
        <w:rPr>
          <w:color w:val="231F20"/>
          <w:sz w:val="18"/>
        </w:rPr>
        <w:t>The number of jobs advertised in national newspapers had fallen in January, according to the Press Recruitment Advertising Index. The stock of unfilled Job-centre vacancies had also fallen, by 2,200 in January. But new vacancy notifications had remained at a high level, rising by 9,300 in January after falls in November and December. Overall, the Bank’s regional Agents had reported </w:t>
      </w:r>
      <w:r>
        <w:rPr>
          <w:color w:val="231F20"/>
          <w:spacing w:val="-18"/>
          <w:sz w:val="18"/>
        </w:rPr>
        <w:t>a </w:t>
      </w:r>
      <w:r>
        <w:rPr>
          <w:color w:val="231F20"/>
          <w:sz w:val="18"/>
        </w:rPr>
        <w:t>broadly unchanged level of skills shortages. But significant sectoral differences had persisted. Skills shortages were declining in the financial sector, according to the most recent CBI/Price Waterhouse Coopers survey, and were flat to falling in the small business sector, according to the Small Business Research Trust. But shortages in the construction sector were reported to be back </w:t>
      </w:r>
      <w:r>
        <w:rPr>
          <w:color w:val="231F20"/>
          <w:spacing w:val="-7"/>
          <w:sz w:val="18"/>
        </w:rPr>
        <w:t>at </w:t>
      </w:r>
      <w:r>
        <w:rPr>
          <w:color w:val="231F20"/>
          <w:sz w:val="18"/>
        </w:rPr>
        <w:t>their 1997 peaks by the Federation of Master Builders.</w:t>
      </w:r>
    </w:p>
    <w:p>
      <w:pPr>
        <w:pStyle w:val="BodyText"/>
        <w:spacing w:before="6"/>
        <w:rPr>
          <w:sz w:val="16"/>
        </w:rPr>
      </w:pPr>
    </w:p>
    <w:p>
      <w:pPr>
        <w:pStyle w:val="ListParagraph"/>
        <w:numPr>
          <w:ilvl w:val="0"/>
          <w:numId w:val="39"/>
        </w:numPr>
        <w:tabs>
          <w:tab w:pos="625" w:val="left" w:leader="none"/>
          <w:tab w:pos="626" w:val="left" w:leader="none"/>
        </w:tabs>
        <w:spacing w:line="232" w:lineRule="auto" w:before="0" w:after="0"/>
        <w:ind w:left="145" w:right="137" w:firstLine="0"/>
        <w:jc w:val="left"/>
        <w:rPr>
          <w:sz w:val="18"/>
        </w:rPr>
      </w:pPr>
      <w:r>
        <w:rPr>
          <w:color w:val="231F20"/>
          <w:sz w:val="18"/>
        </w:rPr>
        <w:t>The rise in employment in Q4 had been accompanied by further falls in both inactivity and unemployment. The LFS measure of unemployment had fallen by 15,000 in Q4, and the claimant count had fallen by 5,700 in January. But </w:t>
      </w:r>
      <w:r>
        <w:rPr>
          <w:color w:val="231F20"/>
          <w:spacing w:val="-2"/>
          <w:sz w:val="18"/>
        </w:rPr>
        <w:t>unemployment </w:t>
      </w:r>
      <w:r>
        <w:rPr>
          <w:color w:val="231F20"/>
          <w:sz w:val="18"/>
        </w:rPr>
        <w:t>rates had been unchanged, at 6.2% and 4.6% respectively. There was still no evidence of the reported rise in redundancies in the inflows to the claimant count, which fell by a further 6,500 in January. Exit rates had remained at historically high levels. Unemployment of six months or more among 18 to 24 year olds had been falling by around 6,000 a month. Some of this probably reflected the impact of the Government’s New Deal for young people. But, in net terms, all of the rise in employment in Q4 had been accounted for by workers aged 35 or over.</w:t>
      </w:r>
    </w:p>
    <w:p>
      <w:pPr>
        <w:pStyle w:val="BodyText"/>
        <w:spacing w:before="6"/>
        <w:rPr>
          <w:sz w:val="16"/>
        </w:rPr>
      </w:pPr>
    </w:p>
    <w:p>
      <w:pPr>
        <w:pStyle w:val="ListParagraph"/>
        <w:numPr>
          <w:ilvl w:val="0"/>
          <w:numId w:val="39"/>
        </w:numPr>
        <w:tabs>
          <w:tab w:pos="625" w:val="left" w:leader="none"/>
          <w:tab w:pos="626" w:val="left" w:leader="none"/>
        </w:tabs>
        <w:spacing w:line="232" w:lineRule="auto" w:before="0" w:after="0"/>
        <w:ind w:left="145" w:right="38" w:firstLine="0"/>
        <w:jc w:val="left"/>
        <w:rPr>
          <w:sz w:val="18"/>
        </w:rPr>
      </w:pPr>
      <w:r>
        <w:rPr>
          <w:color w:val="231F20"/>
          <w:sz w:val="18"/>
        </w:rPr>
        <w:t>The Average Earnings Index had been reinstated on 2 </w:t>
      </w:r>
      <w:r>
        <w:rPr>
          <w:color w:val="231F20"/>
          <w:spacing w:val="-3"/>
          <w:sz w:val="18"/>
        </w:rPr>
        <w:t>March, </w:t>
      </w:r>
      <w:r>
        <w:rPr>
          <w:color w:val="231F20"/>
          <w:sz w:val="18"/>
        </w:rPr>
        <w:t>following the conclusion of an independent review commissioned by the Chancellor. The headline earnings measure had been available up to July 1998 under the suspended series. According to the new series, headline whole-economy annual average earnings growth had fallen from 5.1% in August to 4.5% in November, reflecting a decline in the growth of both regular and irregular pay. There had also been extensive revisions to the back data, reflecting a number of changes in the method of calculation. In contrast to </w:t>
      </w:r>
      <w:r>
        <w:rPr>
          <w:color w:val="231F20"/>
          <w:spacing w:val="-6"/>
          <w:sz w:val="18"/>
        </w:rPr>
        <w:t>the </w:t>
      </w:r>
      <w:r>
        <w:rPr>
          <w:color w:val="231F20"/>
          <w:sz w:val="18"/>
        </w:rPr>
        <w:t>suspended series—which had been relatively volatile—the new series showed headline earnings growth rising steadily from a trough of around 2</w:t>
      </w:r>
      <w:r>
        <w:rPr>
          <w:color w:val="231F20"/>
          <w:position w:val="6"/>
          <w:sz w:val="9"/>
        </w:rPr>
        <w:t>1</w:t>
      </w:r>
      <w:r>
        <w:rPr>
          <w:color w:val="231F20"/>
          <w:sz w:val="18"/>
        </w:rPr>
        <w:t>/</w:t>
      </w:r>
      <w:r>
        <w:rPr>
          <w:color w:val="231F20"/>
          <w:sz w:val="9"/>
        </w:rPr>
        <w:t>2</w:t>
      </w:r>
      <w:r>
        <w:rPr>
          <w:color w:val="231F20"/>
          <w:sz w:val="18"/>
        </w:rPr>
        <w:t>% in 1995 to a peak of 5.7% in May</w:t>
      </w:r>
      <w:r>
        <w:rPr>
          <w:color w:val="231F20"/>
          <w:spacing w:val="-1"/>
          <w:sz w:val="18"/>
        </w:rPr>
        <w:t> </w:t>
      </w:r>
      <w:r>
        <w:rPr>
          <w:color w:val="231F20"/>
          <w:sz w:val="18"/>
        </w:rPr>
        <w:t>1998.</w:t>
      </w:r>
    </w:p>
    <w:p>
      <w:pPr>
        <w:pStyle w:val="BodyText"/>
        <w:spacing w:before="7"/>
        <w:rPr>
          <w:sz w:val="16"/>
        </w:rPr>
      </w:pPr>
    </w:p>
    <w:p>
      <w:pPr>
        <w:pStyle w:val="ListParagraph"/>
        <w:numPr>
          <w:ilvl w:val="0"/>
          <w:numId w:val="39"/>
        </w:numPr>
        <w:tabs>
          <w:tab w:pos="625" w:val="left" w:leader="none"/>
          <w:tab w:pos="626" w:val="left" w:leader="none"/>
        </w:tabs>
        <w:spacing w:line="232" w:lineRule="auto" w:before="0" w:after="0"/>
        <w:ind w:left="145" w:right="282" w:firstLine="0"/>
        <w:jc w:val="left"/>
        <w:rPr>
          <w:sz w:val="18"/>
        </w:rPr>
      </w:pPr>
      <w:r>
        <w:rPr>
          <w:color w:val="231F20"/>
          <w:sz w:val="18"/>
        </w:rPr>
        <w:t>Other data had also suggested a more subdued outlook </w:t>
      </w:r>
      <w:r>
        <w:rPr>
          <w:color w:val="231F20"/>
          <w:spacing w:val="-6"/>
          <w:sz w:val="18"/>
        </w:rPr>
        <w:t>for </w:t>
      </w:r>
      <w:r>
        <w:rPr>
          <w:color w:val="231F20"/>
          <w:sz w:val="18"/>
        </w:rPr>
        <w:t>settlements and earnings in recent months.  The Reward index of annual earnings growth had continued to fall, from a peak</w:t>
      </w:r>
    </w:p>
    <w:p>
      <w:pPr>
        <w:pStyle w:val="BodyText"/>
        <w:spacing w:line="232" w:lineRule="auto"/>
        <w:ind w:left="145" w:right="1007"/>
      </w:pPr>
      <w:r>
        <w:rPr>
          <w:color w:val="231F20"/>
        </w:rPr>
        <w:t>of 5.4% in June 1998 to 4.6% in January. The Bank’s employment-weighted twelve-month mean measure of</w:t>
      </w:r>
    </w:p>
    <w:p>
      <w:pPr>
        <w:pStyle w:val="BodyText"/>
        <w:spacing w:line="232" w:lineRule="auto"/>
        <w:ind w:left="145" w:right="191"/>
      </w:pPr>
      <w:r>
        <w:rPr>
          <w:color w:val="231F20"/>
        </w:rPr>
        <w:t>whole-economy settlements had remained at 3.7% in January, but the private sector measure had fallen by 0.1 percentage points to 3.9%. In a matched sample of firms from the Bank’s settlements database, 86% of employees settling in January had received</w:t>
      </w:r>
    </w:p>
    <w:p>
      <w:pPr>
        <w:pStyle w:val="BodyText"/>
        <w:spacing w:line="232" w:lineRule="auto"/>
        <w:ind w:left="145" w:right="202"/>
      </w:pPr>
      <w:r>
        <w:rPr>
          <w:color w:val="231F20"/>
        </w:rPr>
        <w:t>a lower settlement in 1999 than they had in 1998. The employment-weighted mean for this sample had fallen from 3.8% in 1998 to 3.2% in 1999. The three-month settlements measures from the CBI, Industrial Relations Services and Engineering Employers’ Federation had also all fallen in January. And the Bank’s regional Agents reported that falling profits and subdued business optimism had led to an easing in pay pressures in</w:t>
      </w:r>
    </w:p>
    <w:p>
      <w:pPr>
        <w:pStyle w:val="BodyText"/>
        <w:spacing w:line="232" w:lineRule="auto"/>
        <w:ind w:left="145" w:right="52"/>
      </w:pPr>
      <w:r>
        <w:rPr>
          <w:color w:val="231F20"/>
        </w:rPr>
        <w:t>manufacturing. But it was possible that there would be some rise </w:t>
      </w:r>
      <w:r>
        <w:rPr>
          <w:color w:val="231F20"/>
          <w:spacing w:val="-9"/>
        </w:rPr>
        <w:t>in </w:t>
      </w:r>
      <w:r>
        <w:rPr>
          <w:color w:val="231F20"/>
        </w:rPr>
        <w:t>whole-economy settlements in April, when the National Minimum Wage and the settlement agreed by the Public Sector Review Bodies both came into effect.</w:t>
      </w:r>
    </w:p>
    <w:p>
      <w:pPr>
        <w:pStyle w:val="Heading3"/>
        <w:numPr>
          <w:ilvl w:val="0"/>
          <w:numId w:val="38"/>
        </w:numPr>
        <w:tabs>
          <w:tab w:pos="625" w:val="left" w:leader="none"/>
          <w:tab w:pos="626" w:val="left" w:leader="none"/>
        </w:tabs>
        <w:spacing w:line="240" w:lineRule="auto" w:before="212" w:after="0"/>
        <w:ind w:left="625" w:right="0" w:hanging="481"/>
        <w:jc w:val="left"/>
      </w:pPr>
      <w:r>
        <w:rPr>
          <w:color w:val="009483"/>
        </w:rPr>
        <w:br w:type="column"/>
        <w:t>Prices</w:t>
      </w:r>
    </w:p>
    <w:p>
      <w:pPr>
        <w:pStyle w:val="ListParagraph"/>
        <w:numPr>
          <w:ilvl w:val="0"/>
          <w:numId w:val="39"/>
        </w:numPr>
        <w:tabs>
          <w:tab w:pos="625" w:val="left" w:leader="none"/>
          <w:tab w:pos="626" w:val="left" w:leader="none"/>
        </w:tabs>
        <w:spacing w:line="232" w:lineRule="auto" w:before="129" w:after="0"/>
        <w:ind w:left="145" w:right="193" w:firstLine="0"/>
        <w:jc w:val="left"/>
        <w:rPr>
          <w:sz w:val="18"/>
        </w:rPr>
      </w:pPr>
      <w:r>
        <w:rPr>
          <w:color w:val="231F20"/>
          <w:sz w:val="18"/>
        </w:rPr>
        <w:t>Commodity price deflation had continued to moderate; in January the Bank’s (provisional) index, excluding oil, had fallen by 5.2% on a year earlier, compared with -7.4% in December. Natural disasters and sterling’s depreciation had increased the sterling price of imported commodities in January; the (provisional) index had risen by 1.1%. Food price deflation had moderated following the unwinding of the downward shocks experienced since mid-1996. Annual inflation had been zero in December. But forthcoming potential reforms to the Common Agricultural Policy looked likely to decrease prices. The Ministry of Agriculture, Fisheries and </w:t>
      </w:r>
      <w:r>
        <w:rPr>
          <w:color w:val="231F20"/>
          <w:spacing w:val="-5"/>
          <w:sz w:val="18"/>
        </w:rPr>
        <w:t>Food </w:t>
      </w:r>
      <w:r>
        <w:rPr>
          <w:color w:val="231F20"/>
          <w:sz w:val="18"/>
        </w:rPr>
        <w:t>was estimating a direct effect of up to -0.3 percentage points on the RPI in the year following implementation, assuming full</w:t>
      </w:r>
    </w:p>
    <w:p>
      <w:pPr>
        <w:pStyle w:val="BodyText"/>
        <w:spacing w:line="193" w:lineRule="exact"/>
        <w:ind w:left="145"/>
      </w:pPr>
      <w:r>
        <w:rPr>
          <w:color w:val="231F20"/>
        </w:rPr>
        <w:t>pass-through of the cuts to retail prices.</w:t>
      </w:r>
    </w:p>
    <w:p>
      <w:pPr>
        <w:pStyle w:val="BodyText"/>
        <w:spacing w:before="6"/>
      </w:pPr>
    </w:p>
    <w:p>
      <w:pPr>
        <w:pStyle w:val="ListParagraph"/>
        <w:numPr>
          <w:ilvl w:val="0"/>
          <w:numId w:val="39"/>
        </w:numPr>
        <w:tabs>
          <w:tab w:pos="625" w:val="left" w:leader="none"/>
          <w:tab w:pos="626" w:val="left" w:leader="none"/>
        </w:tabs>
        <w:spacing w:line="203" w:lineRule="exact" w:before="0" w:after="0"/>
        <w:ind w:left="625" w:right="0" w:hanging="481"/>
        <w:jc w:val="left"/>
        <w:rPr>
          <w:sz w:val="18"/>
        </w:rPr>
      </w:pPr>
      <w:r>
        <w:rPr>
          <w:color w:val="231F20"/>
          <w:sz w:val="18"/>
        </w:rPr>
        <w:t>The one-month futures price of Brent crude oil had averaged</w:t>
      </w:r>
    </w:p>
    <w:p>
      <w:pPr>
        <w:pStyle w:val="BodyText"/>
        <w:spacing w:line="232" w:lineRule="auto" w:before="2"/>
        <w:ind w:left="145" w:right="161"/>
      </w:pPr>
      <w:r>
        <w:rPr>
          <w:color w:val="231F20"/>
        </w:rPr>
        <w:t>$10.50 in February, down from $11.09 in January—the effects of a report of falling inventories and cold weather in the United States in January had been short-lived. Manufacturers’ material input prices had risen by 0.4% in January, reflecting the rise in oil prices, but there had been no clear change in the downward trend. Annual inflation had remained negative at -6.7%.</w:t>
      </w:r>
    </w:p>
    <w:p>
      <w:pPr>
        <w:pStyle w:val="BodyText"/>
        <w:spacing w:before="11"/>
        <w:rPr>
          <w:sz w:val="16"/>
        </w:rPr>
      </w:pPr>
    </w:p>
    <w:p>
      <w:pPr>
        <w:pStyle w:val="ListParagraph"/>
        <w:numPr>
          <w:ilvl w:val="0"/>
          <w:numId w:val="39"/>
        </w:numPr>
        <w:tabs>
          <w:tab w:pos="625" w:val="left" w:leader="none"/>
          <w:tab w:pos="626" w:val="left" w:leader="none"/>
        </w:tabs>
        <w:spacing w:line="232" w:lineRule="auto" w:before="0" w:after="0"/>
        <w:ind w:left="145" w:right="368" w:firstLine="0"/>
        <w:jc w:val="left"/>
        <w:rPr>
          <w:sz w:val="18"/>
        </w:rPr>
      </w:pPr>
      <w:r>
        <w:rPr>
          <w:color w:val="231F20"/>
          <w:sz w:val="18"/>
        </w:rPr>
        <w:t>Manufacturers’ output price inflation had remained at historically low levels. Excluding excise duties, prices had </w:t>
      </w:r>
      <w:r>
        <w:rPr>
          <w:color w:val="231F20"/>
          <w:spacing w:val="-3"/>
          <w:sz w:val="18"/>
        </w:rPr>
        <w:t>fallen </w:t>
      </w:r>
      <w:r>
        <w:rPr>
          <w:color w:val="231F20"/>
          <w:sz w:val="18"/>
        </w:rPr>
        <w:t>for the seventh consecutive month in January, by 0.2%, leaving them 0.8% below their level a year ago. Total output prices had been flat year on year. The CBI industrial trends survey had pointed to further price falls.</w:t>
      </w:r>
    </w:p>
    <w:p>
      <w:pPr>
        <w:pStyle w:val="BodyText"/>
        <w:rPr>
          <w:sz w:val="17"/>
        </w:rPr>
      </w:pPr>
    </w:p>
    <w:p>
      <w:pPr>
        <w:pStyle w:val="ListParagraph"/>
        <w:numPr>
          <w:ilvl w:val="0"/>
          <w:numId w:val="39"/>
        </w:numPr>
        <w:tabs>
          <w:tab w:pos="625" w:val="left" w:leader="none"/>
          <w:tab w:pos="626" w:val="left" w:leader="none"/>
        </w:tabs>
        <w:spacing w:line="232" w:lineRule="auto" w:before="0" w:after="0"/>
        <w:ind w:left="145" w:right="244" w:firstLine="0"/>
        <w:jc w:val="left"/>
        <w:rPr>
          <w:sz w:val="18"/>
        </w:rPr>
      </w:pPr>
      <w:r>
        <w:rPr>
          <w:color w:val="231F20"/>
          <w:sz w:val="18"/>
        </w:rPr>
        <w:t>Trade prices for goods had continued to decline in December. Total import prices of goods had fallen by 6.4% in the year to December; total export prices of goods had fallen by </w:t>
      </w:r>
      <w:r>
        <w:rPr>
          <w:color w:val="231F20"/>
          <w:spacing w:val="-4"/>
          <w:sz w:val="18"/>
        </w:rPr>
        <w:t>3.8%. </w:t>
      </w:r>
      <w:r>
        <w:rPr>
          <w:color w:val="231F20"/>
          <w:sz w:val="18"/>
        </w:rPr>
        <w:t>In contrast, national accounts data showed that services export prices had risen by 1.4% and import prices by 0.1% in Q4. The annual rate of increase of the GDP deflator had risen to 2.8% in Q4 1998, from 2.0% in Q3.  The sharp rise was partly explained by the volatile path of quarterly inflation in 1997, and by increased contributions from government, trade and inventories prices.</w:t>
      </w:r>
    </w:p>
    <w:p>
      <w:pPr>
        <w:pStyle w:val="BodyText"/>
        <w:spacing w:line="232" w:lineRule="auto"/>
        <w:ind w:left="145" w:right="311"/>
      </w:pPr>
      <w:r>
        <w:rPr>
          <w:color w:val="231F20"/>
        </w:rPr>
        <w:t>The household expenditure deflator, at 1.9%, had remained below RPIX inflation. That rise had led to a 0.8 percentage point rise in the GDP deflator based measure of domestically generated inflation, to 3.2%. The RPI-based measure had remained unchanged at 4.9%.</w:t>
      </w:r>
    </w:p>
    <w:p>
      <w:pPr>
        <w:pStyle w:val="BodyText"/>
        <w:spacing w:before="5"/>
        <w:rPr>
          <w:sz w:val="16"/>
        </w:rPr>
      </w:pPr>
    </w:p>
    <w:p>
      <w:pPr>
        <w:pStyle w:val="ListParagraph"/>
        <w:numPr>
          <w:ilvl w:val="0"/>
          <w:numId w:val="39"/>
        </w:numPr>
        <w:tabs>
          <w:tab w:pos="625" w:val="left" w:leader="none"/>
          <w:tab w:pos="626" w:val="left" w:leader="none"/>
        </w:tabs>
        <w:spacing w:line="232" w:lineRule="auto" w:before="0" w:after="0"/>
        <w:ind w:left="145" w:right="553" w:firstLine="0"/>
        <w:jc w:val="left"/>
        <w:rPr>
          <w:sz w:val="18"/>
        </w:rPr>
      </w:pPr>
      <w:r>
        <w:rPr>
          <w:color w:val="231F20"/>
          <w:sz w:val="18"/>
        </w:rPr>
        <w:t>RPIX inflation had remained at 2.6% in January. RPIY inflation had been 2.0%. RPIX services inflation had fallen</w:t>
      </w:r>
      <w:r>
        <w:rPr>
          <w:color w:val="231F20"/>
          <w:spacing w:val="1"/>
          <w:sz w:val="18"/>
        </w:rPr>
        <w:t> </w:t>
      </w:r>
      <w:r>
        <w:rPr>
          <w:color w:val="231F20"/>
          <w:spacing w:val="-9"/>
          <w:sz w:val="18"/>
        </w:rPr>
        <w:t>by</w:t>
      </w:r>
    </w:p>
    <w:p>
      <w:pPr>
        <w:pStyle w:val="BodyText"/>
        <w:spacing w:line="232" w:lineRule="auto"/>
        <w:ind w:left="145" w:right="226"/>
      </w:pPr>
      <w:r>
        <w:rPr>
          <w:color w:val="231F20"/>
        </w:rPr>
        <w:t>0.1 percentage points to 3.4%, and RPIX goods inflation had remained at 1.4%. Total food price inflation had risen above RPIX inflation.</w:t>
      </w:r>
    </w:p>
    <w:p>
      <w:pPr>
        <w:pStyle w:val="BodyText"/>
        <w:spacing w:before="1"/>
        <w:rPr>
          <w:sz w:val="17"/>
        </w:rPr>
      </w:pPr>
    </w:p>
    <w:p>
      <w:pPr>
        <w:pStyle w:val="ListParagraph"/>
        <w:numPr>
          <w:ilvl w:val="0"/>
          <w:numId w:val="39"/>
        </w:numPr>
        <w:tabs>
          <w:tab w:pos="625" w:val="left" w:leader="none"/>
          <w:tab w:pos="626" w:val="left" w:leader="none"/>
        </w:tabs>
        <w:spacing w:line="232" w:lineRule="auto" w:before="0" w:after="0"/>
        <w:ind w:left="145" w:right="203" w:firstLine="0"/>
        <w:jc w:val="left"/>
        <w:rPr>
          <w:sz w:val="18"/>
        </w:rPr>
      </w:pPr>
      <w:r>
        <w:rPr>
          <w:color w:val="231F20"/>
          <w:sz w:val="18"/>
        </w:rPr>
        <w:t>HICP inflation had increased by 0.1 percentage points in January for the third consecutive month, to 1.6%. The difference between HICP and RPIX inflation had fallen by 0.1 percentage points to 1.0 percentage points, of which 0.5 percentage points </w:t>
      </w:r>
      <w:r>
        <w:rPr>
          <w:color w:val="231F20"/>
          <w:spacing w:val="-6"/>
          <w:sz w:val="18"/>
        </w:rPr>
        <w:t>was </w:t>
      </w:r>
      <w:r>
        <w:rPr>
          <w:color w:val="231F20"/>
          <w:sz w:val="18"/>
        </w:rPr>
        <w:t>due to the method of calculation and 0.4 percentage points to the exclusion of various owner-occupied housing costs.</w:t>
      </w:r>
    </w:p>
    <w:p>
      <w:pPr>
        <w:pStyle w:val="BodyText"/>
        <w:spacing w:before="3"/>
        <w:rPr>
          <w:sz w:val="20"/>
        </w:rPr>
      </w:pPr>
    </w:p>
    <w:p>
      <w:pPr>
        <w:pStyle w:val="Heading3"/>
        <w:numPr>
          <w:ilvl w:val="0"/>
          <w:numId w:val="38"/>
        </w:numPr>
        <w:tabs>
          <w:tab w:pos="625" w:val="left" w:leader="none"/>
          <w:tab w:pos="626" w:val="left" w:leader="none"/>
        </w:tabs>
        <w:spacing w:line="240" w:lineRule="auto" w:before="0" w:after="0"/>
        <w:ind w:left="625" w:right="0" w:hanging="481"/>
        <w:jc w:val="left"/>
      </w:pPr>
      <w:r>
        <w:rPr>
          <w:color w:val="009483"/>
        </w:rPr>
        <w:t>Agents’ national summary</w:t>
      </w:r>
    </w:p>
    <w:p>
      <w:pPr>
        <w:pStyle w:val="ListParagraph"/>
        <w:numPr>
          <w:ilvl w:val="0"/>
          <w:numId w:val="39"/>
        </w:numPr>
        <w:tabs>
          <w:tab w:pos="625" w:val="left" w:leader="none"/>
          <w:tab w:pos="626" w:val="left" w:leader="none"/>
        </w:tabs>
        <w:spacing w:line="232" w:lineRule="auto" w:before="109" w:after="0"/>
        <w:ind w:left="145" w:right="179" w:firstLine="0"/>
        <w:jc w:val="left"/>
        <w:rPr>
          <w:sz w:val="18"/>
        </w:rPr>
      </w:pPr>
      <w:r>
        <w:rPr>
          <w:color w:val="231F20"/>
          <w:sz w:val="18"/>
        </w:rPr>
        <w:t>The Bank’s regional Agents reported on their assessment of the economy drawn from their discussions with contacts over the past month. Overall, the recent decline in manufacturing activity appeared to have eased significantly, and destocking was well under way. Nonetheless, performance had remained dependent on sector. For example, railway and aerospace demand had been strong, while textiles, ceramics and electrical components manufacturers had continued to suffer from intense import competition. There had been few reports of any increases in </w:t>
      </w:r>
      <w:r>
        <w:rPr>
          <w:color w:val="231F20"/>
          <w:spacing w:val="-3"/>
          <w:sz w:val="18"/>
        </w:rPr>
        <w:t>output. </w:t>
      </w:r>
      <w:r>
        <w:rPr>
          <w:color w:val="231F20"/>
          <w:sz w:val="18"/>
        </w:rPr>
        <w:t>One exception had been exports to Europe, where some contacts had won back orders as sterling had depreciated. But demand from</w:t>
      </w:r>
    </w:p>
    <w:p>
      <w:pPr>
        <w:spacing w:after="0" w:line="232" w:lineRule="auto"/>
        <w:jc w:val="left"/>
        <w:rPr>
          <w:sz w:val="18"/>
        </w:rPr>
        <w:sectPr>
          <w:type w:val="continuous"/>
          <w:pgSz w:w="11900" w:h="16840"/>
          <w:pgMar w:top="1220" w:bottom="280" w:left="640" w:right="640"/>
          <w:cols w:num="2" w:equalWidth="0">
            <w:col w:w="5095" w:space="295"/>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4"/>
        <w:rPr>
          <w:sz w:val="21"/>
        </w:rPr>
      </w:pPr>
    </w:p>
    <w:p>
      <w:pPr>
        <w:pStyle w:val="BodyText"/>
        <w:spacing w:line="232" w:lineRule="auto" w:before="1"/>
        <w:ind w:left="174" w:right="61"/>
      </w:pPr>
      <w:r>
        <w:rPr>
          <w:color w:val="231F20"/>
        </w:rPr>
        <w:t>France and Germany had begun to decline by the end of the period. Construction sector activity had remained buoyant, but enquiries and orders had begun to decline. Demand for commercial developments had been weaker in the north of the United Kingdom than in the south east. Housing market activity had increased since January, especially at the higher-quality end of the market.</w:t>
      </w:r>
    </w:p>
    <w:p>
      <w:pPr>
        <w:pStyle w:val="BodyText"/>
        <w:spacing w:line="232" w:lineRule="auto"/>
        <w:ind w:left="174" w:right="56"/>
      </w:pPr>
      <w:r>
        <w:rPr>
          <w:color w:val="231F20"/>
        </w:rPr>
        <w:t>Increased investment in city-centre property had been reported. Growth in output of business services had declined, reflecting </w:t>
      </w:r>
      <w:r>
        <w:rPr>
          <w:color w:val="231F20"/>
          <w:spacing w:val="-5"/>
        </w:rPr>
        <w:t>weak </w:t>
      </w:r>
      <w:r>
        <w:rPr>
          <w:color w:val="231F20"/>
        </w:rPr>
        <w:t>manufacturing activity. For example, hauliers had reported falling demand, and corporate travel suppliers had noted trading-down to less expensive travel options. But demand for financial services and telecommunications had remained strong. Retail sales growth had been weak in February; as yet, retailers had reported little increase in consumer demand following the recent interest cuts.</w:t>
      </w:r>
    </w:p>
    <w:p>
      <w:pPr>
        <w:pStyle w:val="BodyText"/>
        <w:spacing w:line="232" w:lineRule="auto"/>
        <w:ind w:left="174" w:right="540"/>
      </w:pPr>
      <w:r>
        <w:rPr>
          <w:color w:val="231F20"/>
        </w:rPr>
        <w:t>Consumer demand for leisure services, such as gymnasiums, overseas holidays and restaurants had remained strong.</w:t>
      </w:r>
    </w:p>
    <w:p>
      <w:pPr>
        <w:pStyle w:val="BodyText"/>
        <w:spacing w:before="9"/>
        <w:rPr>
          <w:sz w:val="19"/>
        </w:rPr>
      </w:pPr>
    </w:p>
    <w:p>
      <w:pPr>
        <w:pStyle w:val="ListParagraph"/>
        <w:numPr>
          <w:ilvl w:val="0"/>
          <w:numId w:val="39"/>
        </w:numPr>
        <w:tabs>
          <w:tab w:pos="654" w:val="left" w:leader="none"/>
          <w:tab w:pos="655" w:val="left" w:leader="none"/>
        </w:tabs>
        <w:spacing w:line="232" w:lineRule="auto" w:before="0" w:after="0"/>
        <w:ind w:left="174" w:right="38" w:firstLine="0"/>
        <w:jc w:val="left"/>
        <w:rPr>
          <w:sz w:val="18"/>
        </w:rPr>
      </w:pPr>
      <w:r>
        <w:rPr>
          <w:color w:val="231F20"/>
          <w:sz w:val="18"/>
        </w:rPr>
        <w:t>In the manufacturing sector, employment had fallen and the decline was expected to continue.  That had increased concern about employment prospects, and had reduced wage demands. Declining activity had lowered overtime and bonus payments. Growth in service sector pay settlements had remained above manufacturing but had continued to fall, reflecting a decline in activity. Skill shortages had persisted (heavy goods vehicle </w:t>
      </w:r>
      <w:r>
        <w:rPr>
          <w:color w:val="231F20"/>
          <w:spacing w:val="-3"/>
          <w:sz w:val="18"/>
        </w:rPr>
        <w:t>drivers, </w:t>
      </w:r>
      <w:r>
        <w:rPr>
          <w:color w:val="231F20"/>
          <w:sz w:val="18"/>
        </w:rPr>
        <w:t>precision engineers, accountants and lawyers, for example), but not worsened. Raw materials, intermediate and finished goods prices had continued to fall. Retailers had continued to cut prices in order to reduce high stock levels. Investment intentions had declined across the board.  Manufacturers had continued to invest to improve productivity, rather than to expand capacity. And an increasing number of service sector contacts had postponed expansion plans.</w:t>
      </w:r>
    </w:p>
    <w:p>
      <w:pPr>
        <w:pStyle w:val="BodyText"/>
        <w:spacing w:before="4"/>
        <w:rPr>
          <w:sz w:val="21"/>
        </w:rPr>
      </w:pPr>
    </w:p>
    <w:p>
      <w:pPr>
        <w:pStyle w:val="Heading3"/>
        <w:numPr>
          <w:ilvl w:val="0"/>
          <w:numId w:val="38"/>
        </w:numPr>
        <w:tabs>
          <w:tab w:pos="655" w:val="left" w:leader="none"/>
        </w:tabs>
        <w:spacing w:line="240" w:lineRule="auto" w:before="0" w:after="0"/>
        <w:ind w:left="654" w:right="0" w:hanging="481"/>
        <w:jc w:val="left"/>
      </w:pPr>
      <w:r>
        <w:rPr>
          <w:color w:val="009483"/>
        </w:rPr>
        <w:t>Information from financial</w:t>
      </w:r>
      <w:r>
        <w:rPr>
          <w:color w:val="009483"/>
          <w:spacing w:val="-3"/>
        </w:rPr>
        <w:t> </w:t>
      </w:r>
      <w:r>
        <w:rPr>
          <w:color w:val="009483"/>
        </w:rPr>
        <w:t>markets</w:t>
      </w:r>
    </w:p>
    <w:p>
      <w:pPr>
        <w:spacing w:before="145"/>
        <w:ind w:left="174" w:right="0" w:firstLine="0"/>
        <w:jc w:val="left"/>
        <w:rPr>
          <w:i/>
          <w:sz w:val="18"/>
        </w:rPr>
      </w:pPr>
      <w:r>
        <w:rPr>
          <w:i/>
          <w:color w:val="009483"/>
          <w:sz w:val="18"/>
        </w:rPr>
        <w:t>Foreign exchange</w:t>
      </w:r>
    </w:p>
    <w:p>
      <w:pPr>
        <w:pStyle w:val="ListParagraph"/>
        <w:numPr>
          <w:ilvl w:val="0"/>
          <w:numId w:val="39"/>
        </w:numPr>
        <w:tabs>
          <w:tab w:pos="654" w:val="left" w:leader="none"/>
          <w:tab w:pos="655" w:val="left" w:leader="none"/>
        </w:tabs>
        <w:spacing w:line="232" w:lineRule="auto" w:before="138" w:after="0"/>
        <w:ind w:left="174" w:right="47" w:firstLine="0"/>
        <w:jc w:val="left"/>
        <w:rPr>
          <w:sz w:val="18"/>
        </w:rPr>
      </w:pPr>
      <w:r>
        <w:rPr>
          <w:color w:val="231F20"/>
          <w:sz w:val="18"/>
        </w:rPr>
        <w:t>The US dollar had continued to strengthen since the </w:t>
      </w:r>
      <w:r>
        <w:rPr>
          <w:color w:val="231F20"/>
          <w:spacing w:val="-3"/>
          <w:sz w:val="18"/>
        </w:rPr>
        <w:t>previous </w:t>
      </w:r>
      <w:r>
        <w:rPr>
          <w:color w:val="231F20"/>
          <w:sz w:val="18"/>
        </w:rPr>
        <w:t>meeting, and now stood about 7% higher against both the yen and the euro compared with the beginning of the year. The yen had weakened following a cut in interest rates, and there had been statements by the Japanese authorities indicating that they were more comfortable with a weaker yen. The euro had weakened following the release of weaker-than-expected economic data for the euro area.</w:t>
      </w:r>
    </w:p>
    <w:p>
      <w:pPr>
        <w:pStyle w:val="BodyText"/>
        <w:spacing w:before="4"/>
        <w:rPr>
          <w:sz w:val="21"/>
        </w:rPr>
      </w:pPr>
      <w:r>
        <w:rPr/>
        <w:br w:type="column"/>
      </w:r>
      <w:r>
        <w:rPr>
          <w:sz w:val="21"/>
        </w:rPr>
      </w:r>
    </w:p>
    <w:p>
      <w:pPr>
        <w:pStyle w:val="ListParagraph"/>
        <w:numPr>
          <w:ilvl w:val="0"/>
          <w:numId w:val="39"/>
        </w:numPr>
        <w:tabs>
          <w:tab w:pos="654" w:val="left" w:leader="none"/>
          <w:tab w:pos="655" w:val="left" w:leader="none"/>
        </w:tabs>
        <w:spacing w:line="232" w:lineRule="auto" w:before="1" w:after="0"/>
        <w:ind w:left="174" w:right="337" w:firstLine="0"/>
        <w:jc w:val="left"/>
        <w:rPr>
          <w:sz w:val="18"/>
        </w:rPr>
      </w:pPr>
      <w:r>
        <w:rPr>
          <w:color w:val="231F20"/>
          <w:sz w:val="18"/>
        </w:rPr>
        <w:t>Sterling had appreciated in effective terms, although it </w:t>
      </w:r>
      <w:r>
        <w:rPr>
          <w:color w:val="231F20"/>
          <w:spacing w:val="-6"/>
          <w:sz w:val="18"/>
        </w:rPr>
        <w:t>was </w:t>
      </w:r>
      <w:r>
        <w:rPr>
          <w:color w:val="231F20"/>
          <w:sz w:val="18"/>
        </w:rPr>
        <w:t>now at an 18-month low against the stronger dollar. Sterling’s implied volatility had risen since the previous MPC meeting, but was still lower than at the beginning of the year. Options data suggested that the probability of a large sterling fall against the euro had declined.</w:t>
      </w:r>
    </w:p>
    <w:p>
      <w:pPr>
        <w:pStyle w:val="BodyText"/>
        <w:spacing w:before="6"/>
        <w:rPr>
          <w:sz w:val="16"/>
        </w:rPr>
      </w:pPr>
    </w:p>
    <w:p>
      <w:pPr>
        <w:spacing w:before="0"/>
        <w:ind w:left="174" w:right="0" w:firstLine="0"/>
        <w:jc w:val="left"/>
        <w:rPr>
          <w:i/>
          <w:sz w:val="18"/>
        </w:rPr>
      </w:pPr>
      <w:r>
        <w:rPr>
          <w:i/>
          <w:color w:val="009483"/>
          <w:sz w:val="18"/>
        </w:rPr>
        <w:t>Government bond and money markets</w:t>
      </w:r>
    </w:p>
    <w:p>
      <w:pPr>
        <w:pStyle w:val="ListParagraph"/>
        <w:numPr>
          <w:ilvl w:val="0"/>
          <w:numId w:val="39"/>
        </w:numPr>
        <w:tabs>
          <w:tab w:pos="654" w:val="left" w:leader="none"/>
          <w:tab w:pos="655" w:val="left" w:leader="none"/>
        </w:tabs>
        <w:spacing w:line="232" w:lineRule="auto" w:before="118" w:after="0"/>
        <w:ind w:left="174" w:right="227" w:firstLine="0"/>
        <w:jc w:val="left"/>
        <w:rPr>
          <w:sz w:val="18"/>
        </w:rPr>
      </w:pPr>
      <w:r>
        <w:rPr>
          <w:color w:val="231F20"/>
          <w:sz w:val="18"/>
        </w:rPr>
        <w:t>Expectations for UK interest rates in 1999 had fallen, but had risen looking two years or more forward. The market’s reaction to the minutes of the previous MPC meeting had been a major reason for this. Three-month Libor rates were now </w:t>
      </w:r>
      <w:r>
        <w:rPr>
          <w:color w:val="231F20"/>
          <w:spacing w:val="-3"/>
          <w:sz w:val="18"/>
        </w:rPr>
        <w:t>expected </w:t>
      </w:r>
      <w:r>
        <w:rPr>
          <w:color w:val="231F20"/>
          <w:sz w:val="18"/>
        </w:rPr>
        <w:t>to rise after falling to a level of 5%. In the United States, rates expected for next year and beyond had risen by around 50 basis points, primarily because of Fed Chairman Greenspan’s Humphrey-Hawkins testimony. Near-term euribor rates had remained broadly unchanged. The gilt yield curve had flattened, with yields rising most for maturities between five and ten years. In general, bond prices abroad had also weakened since the previous meeting, with the exception of Japan.</w:t>
      </w:r>
    </w:p>
    <w:p>
      <w:pPr>
        <w:pStyle w:val="BodyText"/>
        <w:spacing w:before="1"/>
        <w:rPr>
          <w:sz w:val="16"/>
        </w:rPr>
      </w:pPr>
    </w:p>
    <w:p>
      <w:pPr>
        <w:spacing w:before="1"/>
        <w:ind w:left="174" w:right="0" w:firstLine="0"/>
        <w:jc w:val="left"/>
        <w:rPr>
          <w:i/>
          <w:sz w:val="18"/>
        </w:rPr>
      </w:pPr>
      <w:r>
        <w:rPr>
          <w:i/>
          <w:color w:val="009483"/>
          <w:sz w:val="18"/>
        </w:rPr>
        <w:t>Equity and corporate debt markets</w:t>
      </w:r>
    </w:p>
    <w:p>
      <w:pPr>
        <w:pStyle w:val="ListParagraph"/>
        <w:numPr>
          <w:ilvl w:val="0"/>
          <w:numId w:val="39"/>
        </w:numPr>
        <w:tabs>
          <w:tab w:pos="654" w:val="left" w:leader="none"/>
          <w:tab w:pos="655" w:val="left" w:leader="none"/>
        </w:tabs>
        <w:spacing w:line="232" w:lineRule="auto" w:before="118" w:after="0"/>
        <w:ind w:left="174" w:right="511" w:hanging="1"/>
        <w:jc w:val="left"/>
        <w:rPr>
          <w:sz w:val="18"/>
        </w:rPr>
      </w:pPr>
      <w:r>
        <w:rPr>
          <w:color w:val="231F20"/>
          <w:sz w:val="18"/>
        </w:rPr>
        <w:t>The UK stock market had risen, and the F</w:t>
      </w:r>
      <w:r>
        <w:rPr>
          <w:color w:val="231F20"/>
          <w:sz w:val="14"/>
        </w:rPr>
        <w:t>T-SE </w:t>
      </w:r>
      <w:r>
        <w:rPr>
          <w:color w:val="231F20"/>
          <w:sz w:val="18"/>
        </w:rPr>
        <w:t>100 </w:t>
      </w:r>
      <w:r>
        <w:rPr>
          <w:color w:val="231F20"/>
          <w:spacing w:val="-4"/>
          <w:sz w:val="18"/>
        </w:rPr>
        <w:t>index </w:t>
      </w:r>
      <w:r>
        <w:rPr>
          <w:color w:val="231F20"/>
          <w:sz w:val="18"/>
        </w:rPr>
        <w:t>had touched an all-time high. In contrast, the US market had fallen since the previous MPC meeting, driven by the Humphrey-Hawkins testimony. The other main international indices had remained broadly unchanged.</w:t>
      </w:r>
    </w:p>
    <w:p>
      <w:pPr>
        <w:pStyle w:val="BodyText"/>
        <w:rPr>
          <w:sz w:val="17"/>
        </w:rPr>
      </w:pPr>
    </w:p>
    <w:p>
      <w:pPr>
        <w:pStyle w:val="ListParagraph"/>
        <w:numPr>
          <w:ilvl w:val="0"/>
          <w:numId w:val="39"/>
        </w:numPr>
        <w:tabs>
          <w:tab w:pos="654" w:val="left" w:leader="none"/>
          <w:tab w:pos="655" w:val="left" w:leader="none"/>
        </w:tabs>
        <w:spacing w:line="232" w:lineRule="auto" w:before="0" w:after="0"/>
        <w:ind w:left="174" w:right="161" w:firstLine="0"/>
        <w:jc w:val="left"/>
        <w:rPr>
          <w:sz w:val="18"/>
        </w:rPr>
      </w:pPr>
      <w:r>
        <w:rPr>
          <w:color w:val="231F20"/>
          <w:sz w:val="18"/>
        </w:rPr>
        <w:t>In the United States, credit spreads for the most highly rated firms had fallen by 8 basis points, but spreads for lower-credit </w:t>
      </w:r>
      <w:r>
        <w:rPr>
          <w:color w:val="231F20"/>
          <w:spacing w:val="-4"/>
          <w:sz w:val="18"/>
        </w:rPr>
        <w:t>firms </w:t>
      </w:r>
      <w:r>
        <w:rPr>
          <w:color w:val="231F20"/>
          <w:sz w:val="18"/>
        </w:rPr>
        <w:t>had risen by 5 basis points. In the United Kingdom, credit spreads for highly rated firms had fallen by about 15 basis points, and by more than 30 basis points for lower-credit firms. Swap spreads in the United States had risen slightly, but had fallen at all maturities in the United Kingdom.</w:t>
      </w:r>
    </w:p>
    <w:p>
      <w:pPr>
        <w:pStyle w:val="BodyText"/>
        <w:spacing w:before="11"/>
        <w:rPr>
          <w:sz w:val="16"/>
        </w:rPr>
      </w:pPr>
    </w:p>
    <w:p>
      <w:pPr>
        <w:pStyle w:val="ListParagraph"/>
        <w:numPr>
          <w:ilvl w:val="0"/>
          <w:numId w:val="39"/>
        </w:numPr>
        <w:tabs>
          <w:tab w:pos="654" w:val="left" w:leader="none"/>
          <w:tab w:pos="655" w:val="left" w:leader="none"/>
        </w:tabs>
        <w:spacing w:line="232" w:lineRule="auto" w:before="0" w:after="0"/>
        <w:ind w:left="174" w:right="157" w:firstLine="0"/>
        <w:jc w:val="left"/>
        <w:rPr>
          <w:sz w:val="18"/>
        </w:rPr>
      </w:pPr>
      <w:r>
        <w:rPr>
          <w:color w:val="231F20"/>
          <w:sz w:val="18"/>
        </w:rPr>
        <w:t>Analysts’ and fund managers’ forecasts of corporate </w:t>
      </w:r>
      <w:r>
        <w:rPr>
          <w:color w:val="231F20"/>
          <w:spacing w:val="-3"/>
          <w:sz w:val="18"/>
        </w:rPr>
        <w:t>earnings </w:t>
      </w:r>
      <w:r>
        <w:rPr>
          <w:color w:val="231F20"/>
          <w:sz w:val="18"/>
        </w:rPr>
        <w:t>in 2000 had been revised up slightly since the previous MPC meeting. Profit warnings had declined in February compared with the previous three months, and for the first time in several months the level was below that recorded a year ago. Compared with February 1998, there had been a sharp decline in the proportion of firms citing the strength of sterling or problems in emerging markets as the reason for their worsened performance.</w:t>
      </w:r>
    </w:p>
    <w:p>
      <w:pPr>
        <w:spacing w:after="0" w:line="232" w:lineRule="auto"/>
        <w:jc w:val="left"/>
        <w:rPr>
          <w:sz w:val="18"/>
        </w:rPr>
        <w:sectPr>
          <w:type w:val="continuous"/>
          <w:pgSz w:w="11900" w:h="16840"/>
          <w:pgMar w:top="1220" w:bottom="280" w:left="640" w:right="640"/>
          <w:cols w:num="2" w:equalWidth="0">
            <w:col w:w="5109" w:space="274"/>
            <w:col w:w="5237"/>
          </w:cols>
        </w:sectPr>
      </w:pPr>
    </w:p>
    <w:p>
      <w:pPr>
        <w:pStyle w:val="BodyText"/>
        <w:rPr>
          <w:sz w:val="20"/>
        </w:rPr>
      </w:pPr>
    </w:p>
    <w:p>
      <w:pPr>
        <w:spacing w:line="357" w:lineRule="auto" w:before="218"/>
        <w:ind w:left="140" w:right="3641" w:firstLine="0"/>
        <w:jc w:val="left"/>
        <w:rPr>
          <w:b/>
          <w:sz w:val="28"/>
        </w:rPr>
      </w:pPr>
      <w:bookmarkStart w:name="March press notice" w:id="88"/>
      <w:bookmarkEnd w:id="88"/>
      <w:r>
        <w:rPr/>
      </w:r>
      <w:bookmarkStart w:name="_bookmark38" w:id="89"/>
      <w:bookmarkEnd w:id="89"/>
      <w:r>
        <w:rPr/>
      </w:r>
      <w:r>
        <w:rPr>
          <w:b/>
          <w:color w:val="009483"/>
          <w:sz w:val="28"/>
        </w:rPr>
        <w:t>Text of Bank of England press notice of 3 March 1999 Bank of England maintains interest rates at 5.5%</w:t>
      </w:r>
    </w:p>
    <w:p>
      <w:pPr>
        <w:pStyle w:val="BodyText"/>
        <w:spacing w:before="2"/>
        <w:rPr>
          <w:b/>
          <w:sz w:val="13"/>
        </w:rPr>
      </w:pPr>
    </w:p>
    <w:p>
      <w:pPr>
        <w:pStyle w:val="BodyText"/>
        <w:spacing w:line="463" w:lineRule="auto" w:before="92"/>
        <w:ind w:left="165" w:right="2776"/>
      </w:pPr>
      <w:r>
        <w:rPr>
          <w:color w:val="231F20"/>
        </w:rPr>
        <w:t>The Bank of England’s Monetary Policy Committee today voted to maintain the Bank’s repo rate at 5.5%. The minutes of the meeting will be published at 9.30 am on Wednesday 17 March.</w:t>
      </w:r>
    </w:p>
    <w:p>
      <w:pPr>
        <w:spacing w:after="0" w:line="463" w:lineRule="auto"/>
        <w:sectPr>
          <w:pgSz w:w="11900" w:h="16840"/>
          <w:pgMar w:header="566" w:footer="597" w:top="760" w:bottom="780" w:left="640" w:right="640"/>
        </w:sectPr>
      </w:pPr>
    </w:p>
    <w:p>
      <w:pPr>
        <w:pStyle w:val="BodyText"/>
        <w:rPr>
          <w:sz w:val="20"/>
        </w:rPr>
      </w:pPr>
    </w:p>
    <w:p>
      <w:pPr>
        <w:pStyle w:val="BodyText"/>
        <w:rPr>
          <w:sz w:val="20"/>
        </w:rPr>
      </w:pPr>
    </w:p>
    <w:p>
      <w:pPr>
        <w:pStyle w:val="BodyText"/>
        <w:spacing w:before="7"/>
        <w:rPr>
          <w:sz w:val="20"/>
        </w:rPr>
      </w:pPr>
    </w:p>
    <w:p>
      <w:pPr>
        <w:spacing w:before="86"/>
        <w:ind w:left="165" w:right="0" w:firstLine="0"/>
        <w:jc w:val="left"/>
        <w:rPr>
          <w:b/>
          <w:sz w:val="32"/>
        </w:rPr>
      </w:pPr>
      <w:bookmarkStart w:name="April minutes" w:id="90"/>
      <w:bookmarkEnd w:id="90"/>
      <w:r>
        <w:rPr/>
      </w:r>
      <w:bookmarkStart w:name="_bookmark39" w:id="91"/>
      <w:bookmarkEnd w:id="91"/>
      <w:r>
        <w:rPr/>
      </w:r>
      <w:r>
        <w:rPr>
          <w:b/>
          <w:color w:val="009483"/>
          <w:sz w:val="32"/>
        </w:rPr>
        <w:t>Minutes of the Monetary Policy Committee meeting on 7–8 April 1999</w:t>
      </w:r>
    </w:p>
    <w:p>
      <w:pPr>
        <w:pStyle w:val="BodyText"/>
        <w:spacing w:before="9"/>
        <w:rPr>
          <w:b/>
          <w:sz w:val="27"/>
        </w:rPr>
      </w:pPr>
    </w:p>
    <w:p>
      <w:pPr>
        <w:spacing w:after="0"/>
        <w:rPr>
          <w:sz w:val="27"/>
        </w:rPr>
        <w:sectPr>
          <w:pgSz w:w="11900" w:h="16840"/>
          <w:pgMar w:header="566" w:footer="597" w:top="760" w:bottom="780" w:left="640" w:right="640"/>
        </w:sectPr>
      </w:pPr>
    </w:p>
    <w:p>
      <w:pPr>
        <w:pStyle w:val="ListParagraph"/>
        <w:numPr>
          <w:ilvl w:val="0"/>
          <w:numId w:val="40"/>
        </w:numPr>
        <w:tabs>
          <w:tab w:pos="639" w:val="left" w:leader="none"/>
          <w:tab w:pos="641" w:val="left" w:leader="none"/>
        </w:tabs>
        <w:spacing w:line="232" w:lineRule="auto" w:before="106" w:after="0"/>
        <w:ind w:left="160" w:right="407" w:firstLine="0"/>
        <w:jc w:val="left"/>
        <w:rPr>
          <w:sz w:val="18"/>
        </w:rPr>
      </w:pPr>
      <w:r>
        <w:rPr>
          <w:color w:val="231F20"/>
          <w:sz w:val="18"/>
        </w:rPr>
        <w:t>The Committee discussed the prospects for the world economy; the exchange rate, money and credit; demand and output (including business confidence indicators); the </w:t>
      </w:r>
      <w:r>
        <w:rPr>
          <w:color w:val="231F20"/>
          <w:spacing w:val="-3"/>
          <w:sz w:val="18"/>
        </w:rPr>
        <w:t>housing </w:t>
      </w:r>
      <w:r>
        <w:rPr>
          <w:color w:val="231F20"/>
          <w:sz w:val="18"/>
        </w:rPr>
        <w:t>market; the labour market; prices; and other issues including tactics, before turning to its immediate policy decision.</w:t>
      </w:r>
    </w:p>
    <w:p>
      <w:pPr>
        <w:pStyle w:val="BodyText"/>
        <w:spacing w:before="3"/>
        <w:rPr>
          <w:sz w:val="20"/>
        </w:rPr>
      </w:pPr>
    </w:p>
    <w:p>
      <w:pPr>
        <w:pStyle w:val="Heading3"/>
      </w:pPr>
      <w:r>
        <w:rPr>
          <w:color w:val="009483"/>
        </w:rPr>
        <w:t>The world economy</w:t>
      </w:r>
    </w:p>
    <w:p>
      <w:pPr>
        <w:pStyle w:val="ListParagraph"/>
        <w:numPr>
          <w:ilvl w:val="0"/>
          <w:numId w:val="40"/>
        </w:numPr>
        <w:tabs>
          <w:tab w:pos="639" w:val="left" w:leader="none"/>
          <w:tab w:pos="641" w:val="left" w:leader="none"/>
        </w:tabs>
        <w:spacing w:line="232" w:lineRule="auto" w:before="110" w:after="0"/>
        <w:ind w:left="160" w:right="212" w:firstLine="0"/>
        <w:jc w:val="left"/>
        <w:rPr>
          <w:sz w:val="18"/>
        </w:rPr>
      </w:pPr>
      <w:r>
        <w:rPr>
          <w:color w:val="231F20"/>
          <w:sz w:val="18"/>
        </w:rPr>
        <w:t>The Committee discussed whether the prospects for the world economy had improved over the past month. In the </w:t>
      </w:r>
      <w:r>
        <w:rPr>
          <w:color w:val="231F20"/>
          <w:spacing w:val="-3"/>
          <w:sz w:val="18"/>
        </w:rPr>
        <w:t>United </w:t>
      </w:r>
      <w:r>
        <w:rPr>
          <w:color w:val="231F20"/>
          <w:sz w:val="18"/>
        </w:rPr>
        <w:t>States, domestic demand in particular had continued to grow strongly, with little sign yet of any slowdown in growth or any</w:t>
      </w:r>
    </w:p>
    <w:p>
      <w:pPr>
        <w:pStyle w:val="BodyText"/>
        <w:spacing w:line="232" w:lineRule="auto"/>
        <w:ind w:left="160"/>
      </w:pPr>
      <w:r>
        <w:rPr>
          <w:color w:val="231F20"/>
        </w:rPr>
        <w:t>pick-up in inflation. Supply side developments in the United States appeared to be more favourable than in the euro area, although in several European countries output remained below potential.</w:t>
      </w:r>
    </w:p>
    <w:p>
      <w:pPr>
        <w:pStyle w:val="BodyText"/>
        <w:spacing w:line="232" w:lineRule="auto"/>
        <w:ind w:left="160" w:right="40"/>
      </w:pPr>
      <w:r>
        <w:rPr>
          <w:color w:val="231F20"/>
        </w:rPr>
        <w:t>Growth was sluggish and industrial sentiment weak, particularly in Germany. Meanwhile expectations had grown of a reduction in interest rates by the European Central Bank (ECB). In Japan, the Nikkei had recovered strongly in the last few weeks of the financial year, with buying from foreign investors amid signs of a higher probability of corporate restructuring. But any recovery in business sentiment had been muted—and might be reversed—while consumer confidence could be further damaged by record levels of unemployment.</w:t>
      </w:r>
    </w:p>
    <w:p>
      <w:pPr>
        <w:pStyle w:val="BodyText"/>
        <w:spacing w:before="3"/>
        <w:rPr>
          <w:sz w:val="16"/>
        </w:rPr>
      </w:pPr>
    </w:p>
    <w:p>
      <w:pPr>
        <w:pStyle w:val="ListParagraph"/>
        <w:numPr>
          <w:ilvl w:val="0"/>
          <w:numId w:val="40"/>
        </w:numPr>
        <w:tabs>
          <w:tab w:pos="639" w:val="left" w:leader="none"/>
          <w:tab w:pos="641" w:val="left" w:leader="none"/>
        </w:tabs>
        <w:spacing w:line="232" w:lineRule="auto" w:before="0" w:after="0"/>
        <w:ind w:left="159" w:right="108" w:firstLine="0"/>
        <w:jc w:val="left"/>
        <w:rPr>
          <w:sz w:val="18"/>
        </w:rPr>
      </w:pPr>
      <w:r>
        <w:rPr>
          <w:color w:val="231F20"/>
          <w:sz w:val="18"/>
        </w:rPr>
        <w:t>Outside the major industrial countries, spreads on emerging market sovereign dollar debt—as measured by J P Morgan—had fallen by over 200 basis points during the month. Sentiment—and in some cases activity—was a little stronger in East Asia and Latin America, where some countries had benefited from higher oil prices. The markets appeared to have discounted a deterioration </w:t>
      </w:r>
      <w:r>
        <w:rPr>
          <w:color w:val="231F20"/>
          <w:spacing w:val="-9"/>
          <w:sz w:val="18"/>
        </w:rPr>
        <w:t>in </w:t>
      </w:r>
      <w:r>
        <w:rPr>
          <w:color w:val="231F20"/>
          <w:sz w:val="18"/>
        </w:rPr>
        <w:t>prospects in Russia. So in general, developments in the world economy seemed much as expected in the February </w:t>
      </w:r>
      <w:r>
        <w:rPr>
          <w:i/>
          <w:color w:val="231F20"/>
          <w:sz w:val="18"/>
        </w:rPr>
        <w:t>Inflation </w:t>
      </w:r>
      <w:r>
        <w:rPr>
          <w:i/>
          <w:color w:val="231F20"/>
          <w:sz w:val="18"/>
        </w:rPr>
        <w:t>Report</w:t>
      </w:r>
      <w:r>
        <w:rPr>
          <w:color w:val="231F20"/>
          <w:sz w:val="18"/>
        </w:rPr>
        <w:t>, although the downside risks to activity might have diminished somewhat. A major uncertainty was over the events in Kosovo, where the effects on consumer and business confidence elsewhere, and on the budgetary positions of the N</w:t>
      </w:r>
      <w:r>
        <w:rPr>
          <w:color w:val="231F20"/>
          <w:sz w:val="14"/>
        </w:rPr>
        <w:t>ATO </w:t>
      </w:r>
      <w:r>
        <w:rPr>
          <w:color w:val="231F20"/>
          <w:sz w:val="18"/>
        </w:rPr>
        <w:t>countries, were not yet clear.</w:t>
      </w:r>
    </w:p>
    <w:p>
      <w:pPr>
        <w:pStyle w:val="BodyText"/>
        <w:spacing w:before="6"/>
        <w:rPr>
          <w:sz w:val="16"/>
        </w:rPr>
      </w:pPr>
    </w:p>
    <w:p>
      <w:pPr>
        <w:pStyle w:val="ListParagraph"/>
        <w:numPr>
          <w:ilvl w:val="0"/>
          <w:numId w:val="40"/>
        </w:numPr>
        <w:tabs>
          <w:tab w:pos="639" w:val="left" w:leader="none"/>
          <w:tab w:pos="641" w:val="left" w:leader="none"/>
        </w:tabs>
        <w:spacing w:line="232" w:lineRule="auto" w:before="0" w:after="0"/>
        <w:ind w:left="159" w:right="38" w:firstLine="0"/>
        <w:jc w:val="left"/>
        <w:rPr>
          <w:sz w:val="18"/>
        </w:rPr>
      </w:pPr>
      <w:r>
        <w:rPr>
          <w:color w:val="231F20"/>
          <w:sz w:val="18"/>
        </w:rPr>
        <w:t>There were some signs that commodity prices had begun to bottom out, and oil prices had risen sharply as a result of agreed cutbacks in supply. While it was too soon to judge whether these increases would persist, the cutbacks appeared to have greater credibility in the market than had sometimes been the case. The downward pressure on world prices from oil and other commodities might therefore be less than in the recent past. But with most economies outside the United States below productive capacity, the scope for a generalised pick-up in inflation was limited.</w:t>
      </w:r>
    </w:p>
    <w:p>
      <w:pPr>
        <w:pStyle w:val="BodyText"/>
        <w:spacing w:before="1"/>
        <w:rPr>
          <w:sz w:val="20"/>
        </w:rPr>
      </w:pPr>
    </w:p>
    <w:p>
      <w:pPr>
        <w:pStyle w:val="Heading3"/>
      </w:pPr>
      <w:r>
        <w:rPr>
          <w:color w:val="009483"/>
        </w:rPr>
        <w:t>The exchange rate, money and credit</w:t>
      </w:r>
    </w:p>
    <w:p>
      <w:pPr>
        <w:pStyle w:val="ListParagraph"/>
        <w:numPr>
          <w:ilvl w:val="0"/>
          <w:numId w:val="40"/>
        </w:numPr>
        <w:tabs>
          <w:tab w:pos="639" w:val="left" w:leader="none"/>
          <w:tab w:pos="641" w:val="left" w:leader="none"/>
        </w:tabs>
        <w:spacing w:line="232" w:lineRule="auto" w:before="190" w:after="0"/>
        <w:ind w:left="160" w:right="83" w:firstLine="0"/>
        <w:jc w:val="left"/>
        <w:rPr>
          <w:sz w:val="18"/>
        </w:rPr>
      </w:pPr>
      <w:r>
        <w:rPr>
          <w:color w:val="231F20"/>
          <w:sz w:val="18"/>
        </w:rPr>
        <w:t>For most of the month sterling had been stronger than at the time of the previous meeting of the Committee, particularly </w:t>
      </w:r>
      <w:r>
        <w:rPr>
          <w:color w:val="231F20"/>
          <w:spacing w:val="-3"/>
          <w:sz w:val="18"/>
        </w:rPr>
        <w:t>against </w:t>
      </w:r>
      <w:r>
        <w:rPr>
          <w:color w:val="231F20"/>
          <w:sz w:val="18"/>
        </w:rPr>
        <w:t>the euro, although it had weakened a little in recent days. But the effective exchange rate index remained over 2% higher than implied by the central projection in the February </w:t>
      </w:r>
      <w:r>
        <w:rPr>
          <w:i/>
          <w:color w:val="231F20"/>
          <w:sz w:val="18"/>
        </w:rPr>
        <w:t>Inflation Report</w:t>
      </w:r>
      <w:r>
        <w:rPr>
          <w:color w:val="231F20"/>
          <w:sz w:val="18"/>
        </w:rPr>
        <w:t>. Many possible explanations had been advanced for sterling’s strength, and discussed by the Committee in this as in previous meetings. If this strength in the exchange rate were sustained, it would tend to dampen inflation, and also activity in the internationally traded sectors of the economy.</w:t>
      </w:r>
    </w:p>
    <w:p>
      <w:pPr>
        <w:pStyle w:val="BodyText"/>
        <w:spacing w:before="8"/>
        <w:rPr>
          <w:sz w:val="16"/>
        </w:rPr>
      </w:pPr>
    </w:p>
    <w:p>
      <w:pPr>
        <w:pStyle w:val="ListParagraph"/>
        <w:numPr>
          <w:ilvl w:val="0"/>
          <w:numId w:val="40"/>
        </w:numPr>
        <w:tabs>
          <w:tab w:pos="639" w:val="left" w:leader="none"/>
          <w:tab w:pos="641" w:val="left" w:leader="none"/>
        </w:tabs>
        <w:spacing w:line="232" w:lineRule="auto" w:before="0" w:after="0"/>
        <w:ind w:left="160" w:right="167" w:firstLine="0"/>
        <w:jc w:val="left"/>
        <w:rPr>
          <w:sz w:val="18"/>
        </w:rPr>
      </w:pPr>
      <w:r>
        <w:rPr>
          <w:color w:val="231F20"/>
          <w:sz w:val="18"/>
        </w:rPr>
        <w:t>So far as money was concerned, growth rates for M4 had continued to slow, as expected, with a sharp decrease in the contribution from other financial corporations (OFCs). Growth </w:t>
      </w:r>
      <w:r>
        <w:rPr>
          <w:color w:val="231F20"/>
          <w:spacing w:val="-9"/>
          <w:sz w:val="18"/>
        </w:rPr>
        <w:t>in </w:t>
      </w:r>
      <w:r>
        <w:rPr>
          <w:color w:val="231F20"/>
          <w:sz w:val="18"/>
        </w:rPr>
        <w:t>M4 lending had also slowed further.</w:t>
      </w:r>
    </w:p>
    <w:p>
      <w:pPr>
        <w:pStyle w:val="Heading3"/>
        <w:spacing w:before="91"/>
      </w:pPr>
      <w:r>
        <w:rPr>
          <w:b w:val="0"/>
        </w:rPr>
        <w:br w:type="column"/>
      </w:r>
      <w:r>
        <w:rPr>
          <w:color w:val="009483"/>
        </w:rPr>
        <w:t>Demand and output</w:t>
      </w:r>
    </w:p>
    <w:p>
      <w:pPr>
        <w:pStyle w:val="ListParagraph"/>
        <w:numPr>
          <w:ilvl w:val="0"/>
          <w:numId w:val="40"/>
        </w:numPr>
        <w:tabs>
          <w:tab w:pos="639" w:val="left" w:leader="none"/>
          <w:tab w:pos="641" w:val="left" w:leader="none"/>
        </w:tabs>
        <w:spacing w:line="232" w:lineRule="auto" w:before="110" w:after="0"/>
        <w:ind w:left="160" w:right="168" w:firstLine="0"/>
        <w:jc w:val="left"/>
        <w:rPr>
          <w:sz w:val="18"/>
        </w:rPr>
      </w:pPr>
      <w:r>
        <w:rPr>
          <w:color w:val="231F20"/>
          <w:sz w:val="18"/>
        </w:rPr>
        <w:t>The Committee discussed the revisions made to the estimates of the level and composition of GDP for 1997 and 1998. Since the February </w:t>
      </w:r>
      <w:r>
        <w:rPr>
          <w:i/>
          <w:color w:val="231F20"/>
          <w:sz w:val="18"/>
        </w:rPr>
        <w:t>Inflation Report</w:t>
      </w:r>
      <w:r>
        <w:rPr>
          <w:color w:val="231F20"/>
          <w:sz w:val="18"/>
        </w:rPr>
        <w:t>, the estimated level of GDP at market prices in 1998 Q4 had been reduced by </w:t>
      </w:r>
      <w:r>
        <w:rPr>
          <w:color w:val="231F20"/>
          <w:position w:val="6"/>
          <w:sz w:val="9"/>
        </w:rPr>
        <w:t>1</w:t>
      </w:r>
      <w:r>
        <w:rPr>
          <w:color w:val="231F20"/>
          <w:sz w:val="18"/>
        </w:rPr>
        <w:t>/</w:t>
      </w:r>
      <w:r>
        <w:rPr>
          <w:color w:val="231F20"/>
          <w:sz w:val="9"/>
        </w:rPr>
        <w:t>2</w:t>
      </w:r>
      <w:r>
        <w:rPr>
          <w:color w:val="231F20"/>
          <w:sz w:val="18"/>
        </w:rPr>
        <w:t>%, although by only </w:t>
      </w:r>
      <w:r>
        <w:rPr>
          <w:color w:val="231F20"/>
          <w:position w:val="6"/>
          <w:sz w:val="9"/>
        </w:rPr>
        <w:t>1</w:t>
      </w:r>
      <w:r>
        <w:rPr>
          <w:color w:val="231F20"/>
          <w:sz w:val="18"/>
        </w:rPr>
        <w:t>/</w:t>
      </w:r>
      <w:r>
        <w:rPr>
          <w:color w:val="231F20"/>
          <w:sz w:val="9"/>
        </w:rPr>
        <w:t>4</w:t>
      </w:r>
      <w:r>
        <w:rPr>
          <w:color w:val="231F20"/>
          <w:sz w:val="18"/>
        </w:rPr>
        <w:t>% when measured at basic prices. This had consequences for measures of the output gap and labour productivity. The implications for future price developments were unclear. On one interpretation, this implied that there was less pressure on capacity and that, given the lags involved, the effects of slower GDP growth had yet to feed through fully into lower inflation. On an alternative view, it suggested a less favourable short-run trade-off between activity and inflation; inflation was unchanged and either capacity utilisation was lower, core inflation higher or estimates of capacity had been reduced. But the size of the changes had not been large, and it was not clear on either view how much significance should be attached to this.</w:t>
      </w:r>
    </w:p>
    <w:p>
      <w:pPr>
        <w:pStyle w:val="ListParagraph"/>
        <w:numPr>
          <w:ilvl w:val="0"/>
          <w:numId w:val="40"/>
        </w:numPr>
        <w:tabs>
          <w:tab w:pos="639" w:val="left" w:leader="none"/>
          <w:tab w:pos="641" w:val="left" w:leader="none"/>
        </w:tabs>
        <w:spacing w:line="232" w:lineRule="auto" w:before="167" w:after="0"/>
        <w:ind w:left="160" w:right="234" w:firstLine="0"/>
        <w:jc w:val="left"/>
        <w:rPr>
          <w:sz w:val="18"/>
        </w:rPr>
      </w:pPr>
      <w:r>
        <w:rPr>
          <w:color w:val="231F20"/>
          <w:sz w:val="18"/>
        </w:rPr>
        <w:t>Estimates for the growth of GDP in 1998 Q4 had also been revised downwards, to 0.1% over the previous quarter. Within </w:t>
      </w:r>
      <w:r>
        <w:rPr>
          <w:color w:val="231F20"/>
          <w:spacing w:val="-5"/>
          <w:sz w:val="18"/>
        </w:rPr>
        <w:t>this </w:t>
      </w:r>
      <w:r>
        <w:rPr>
          <w:color w:val="231F20"/>
          <w:sz w:val="18"/>
        </w:rPr>
        <w:t>total, the weakest demand components had been government consumption and net trade. In contrast private consumption and investment had been revised up, significantly so in the case of business investment. At the same time, the downwards revision to inventories suggested that the risks of a significant stock cycle in 1999 had diminished, particularly since stocks held by manufacturers and retailers appeared under control. This interpretation was in line with earlier survey evidence for these sectors. But because of the downwards revision to the level of GDP, the estimated stock-output ratio was little changed.</w:t>
      </w:r>
    </w:p>
    <w:p>
      <w:pPr>
        <w:pStyle w:val="ListParagraph"/>
        <w:numPr>
          <w:ilvl w:val="0"/>
          <w:numId w:val="40"/>
        </w:numPr>
        <w:tabs>
          <w:tab w:pos="639" w:val="left" w:leader="none"/>
          <w:tab w:pos="641" w:val="left" w:leader="none"/>
        </w:tabs>
        <w:spacing w:line="232" w:lineRule="auto" w:before="171" w:after="0"/>
        <w:ind w:left="159" w:right="158" w:firstLine="0"/>
        <w:jc w:val="left"/>
        <w:rPr>
          <w:sz w:val="18"/>
        </w:rPr>
      </w:pPr>
      <w:r>
        <w:rPr>
          <w:color w:val="231F20"/>
          <w:sz w:val="18"/>
        </w:rPr>
        <w:t>Retail sales volumes had declined in February, and on a </w:t>
      </w:r>
      <w:r>
        <w:rPr>
          <w:color w:val="231F20"/>
          <w:spacing w:val="-3"/>
          <w:sz w:val="18"/>
        </w:rPr>
        <w:t>three </w:t>
      </w:r>
      <w:r>
        <w:rPr>
          <w:color w:val="231F20"/>
          <w:sz w:val="18"/>
        </w:rPr>
        <w:t>month average had been only 1% above the levels of a year earlier. But the CBI distributive trades survey suggested that a trough </w:t>
      </w:r>
      <w:r>
        <w:rPr>
          <w:color w:val="231F20"/>
          <w:spacing w:val="-4"/>
          <w:sz w:val="18"/>
        </w:rPr>
        <w:t>might </w:t>
      </w:r>
      <w:r>
        <w:rPr>
          <w:color w:val="231F20"/>
          <w:sz w:val="18"/>
        </w:rPr>
        <w:t>have been reached, and spending on services, which was not included in retail sales, had continued to grow faster than spending on goods. The GfK consumer confidence index was now positive for the first time in nine months. When taken together with other information on consumer spending, the data appeared in line with the </w:t>
      </w:r>
      <w:r>
        <w:rPr>
          <w:i/>
          <w:color w:val="231F20"/>
          <w:sz w:val="18"/>
        </w:rPr>
        <w:t>Inflation Report </w:t>
      </w:r>
      <w:r>
        <w:rPr>
          <w:color w:val="231F20"/>
          <w:sz w:val="18"/>
        </w:rPr>
        <w:t>projections for consumption in the first quarter of 1999.</w:t>
      </w:r>
    </w:p>
    <w:p>
      <w:pPr>
        <w:pStyle w:val="ListParagraph"/>
        <w:numPr>
          <w:ilvl w:val="0"/>
          <w:numId w:val="40"/>
        </w:numPr>
        <w:tabs>
          <w:tab w:pos="639" w:val="left" w:leader="none"/>
          <w:tab w:pos="641" w:val="left" w:leader="none"/>
        </w:tabs>
        <w:spacing w:line="232" w:lineRule="auto" w:before="172" w:after="0"/>
        <w:ind w:left="159" w:right="313" w:firstLine="0"/>
        <w:jc w:val="left"/>
        <w:rPr>
          <w:sz w:val="18"/>
        </w:rPr>
      </w:pPr>
      <w:r>
        <w:rPr>
          <w:color w:val="231F20"/>
          <w:sz w:val="18"/>
        </w:rPr>
        <w:t>The Committee considered the prospects for investment. The financial deficit of the private non-financial corporations (P</w:t>
      </w:r>
      <w:r>
        <w:rPr>
          <w:color w:val="231F20"/>
          <w:sz w:val="14"/>
        </w:rPr>
        <w:t>NFC</w:t>
      </w:r>
      <w:r>
        <w:rPr>
          <w:color w:val="231F20"/>
          <w:sz w:val="18"/>
        </w:rPr>
        <w:t>s) had widened to 3% of GDP, the highest level since 1990. This might in part reflect the growth of business investment in </w:t>
      </w:r>
      <w:r>
        <w:rPr>
          <w:color w:val="231F20"/>
          <w:spacing w:val="-6"/>
          <w:sz w:val="18"/>
        </w:rPr>
        <w:t>the </w:t>
      </w:r>
      <w:r>
        <w:rPr>
          <w:color w:val="231F20"/>
          <w:sz w:val="18"/>
        </w:rPr>
        <w:t>second half of 1998. The increase appeared to have been most marked in the services sector, and might represent a bringing forward of IT-related spending ahead of the millennium. The millennium might also boost spending on construction this year, with signs, perhaps, that next year would be less buoyant. All</w:t>
      </w:r>
    </w:p>
    <w:p>
      <w:pPr>
        <w:pStyle w:val="BodyText"/>
        <w:spacing w:line="232" w:lineRule="auto"/>
        <w:ind w:left="160" w:right="216"/>
      </w:pPr>
      <w:r>
        <w:rPr>
          <w:color w:val="231F20"/>
        </w:rPr>
        <w:t>this might have implications for the profile of activity over the </w:t>
      </w:r>
      <w:r>
        <w:rPr>
          <w:color w:val="231F20"/>
          <w:spacing w:val="-5"/>
        </w:rPr>
        <w:t>next </w:t>
      </w:r>
      <w:r>
        <w:rPr>
          <w:color w:val="231F20"/>
        </w:rPr>
        <w:t>two years. But work by Bank staff suggested that movements in the credit and money holdings of the P</w:t>
      </w:r>
      <w:r>
        <w:rPr>
          <w:color w:val="231F20"/>
          <w:sz w:val="14"/>
        </w:rPr>
        <w:t>NFC</w:t>
      </w:r>
      <w:r>
        <w:rPr>
          <w:color w:val="231F20"/>
        </w:rPr>
        <w:t>s were consistent both with the recent strength of investment, and continued growth</w:t>
      </w:r>
    </w:p>
    <w:p>
      <w:pPr>
        <w:pStyle w:val="BodyText"/>
        <w:spacing w:line="199" w:lineRule="exact"/>
        <w:ind w:left="160"/>
      </w:pPr>
      <w:r>
        <w:rPr>
          <w:color w:val="231F20"/>
        </w:rPr>
        <w:t>in 1999.</w:t>
      </w:r>
    </w:p>
    <w:p>
      <w:pPr>
        <w:pStyle w:val="ListParagraph"/>
        <w:numPr>
          <w:ilvl w:val="0"/>
          <w:numId w:val="40"/>
        </w:numPr>
        <w:tabs>
          <w:tab w:pos="639" w:val="left" w:leader="none"/>
          <w:tab w:pos="641" w:val="left" w:leader="none"/>
        </w:tabs>
        <w:spacing w:line="232" w:lineRule="auto" w:before="171" w:after="0"/>
        <w:ind w:left="160" w:right="178" w:firstLine="0"/>
        <w:jc w:val="left"/>
        <w:rPr>
          <w:sz w:val="18"/>
        </w:rPr>
      </w:pPr>
      <w:r>
        <w:rPr>
          <w:color w:val="231F20"/>
          <w:sz w:val="18"/>
        </w:rPr>
        <w:t>The Committee agreed that the Budget contained little that altered the outlook for inflation. At its previous meeting it had decided that the figures for the overall fiscal position, on which the Committee had been briefed, were in line with the assumptions made in the February </w:t>
      </w:r>
      <w:r>
        <w:rPr>
          <w:i/>
          <w:color w:val="231F20"/>
          <w:sz w:val="18"/>
        </w:rPr>
        <w:t>Inflation Report</w:t>
      </w:r>
      <w:r>
        <w:rPr>
          <w:color w:val="231F20"/>
          <w:sz w:val="18"/>
        </w:rPr>
        <w:t>. Following the Budget </w:t>
      </w:r>
      <w:r>
        <w:rPr>
          <w:color w:val="231F20"/>
          <w:spacing w:val="-3"/>
          <w:sz w:val="18"/>
        </w:rPr>
        <w:t>itself, </w:t>
      </w:r>
      <w:r>
        <w:rPr>
          <w:color w:val="231F20"/>
          <w:sz w:val="18"/>
        </w:rPr>
        <w:t>an analysis of the implications of the detailed measures for the composition of demand suggested that these should not have a significant additional effect on the prospects for activity and inflation over the forecast period.</w:t>
      </w:r>
    </w:p>
    <w:p>
      <w:pPr>
        <w:spacing w:after="0" w:line="232" w:lineRule="auto"/>
        <w:jc w:val="left"/>
        <w:rPr>
          <w:sz w:val="18"/>
        </w:rPr>
        <w:sectPr>
          <w:type w:val="continuous"/>
          <w:pgSz w:w="11900" w:h="16840"/>
          <w:pgMar w:top="1220" w:bottom="280" w:left="640" w:right="640"/>
          <w:cols w:num="2" w:equalWidth="0">
            <w:col w:w="5094" w:space="296"/>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ListParagraph"/>
        <w:numPr>
          <w:ilvl w:val="0"/>
          <w:numId w:val="40"/>
        </w:numPr>
        <w:tabs>
          <w:tab w:pos="639" w:val="left" w:leader="none"/>
          <w:tab w:pos="641" w:val="left" w:leader="none"/>
        </w:tabs>
        <w:spacing w:line="232" w:lineRule="auto" w:before="1" w:after="0"/>
        <w:ind w:left="160" w:right="38" w:firstLine="0"/>
        <w:jc w:val="left"/>
        <w:rPr>
          <w:sz w:val="14"/>
        </w:rPr>
      </w:pPr>
      <w:r>
        <w:rPr>
          <w:color w:val="231F20"/>
          <w:sz w:val="18"/>
        </w:rPr>
        <w:t>Forward-looking survey evidence continued to suggest an improvement (from a low base) in business confidence in all </w:t>
      </w:r>
      <w:r>
        <w:rPr>
          <w:color w:val="231F20"/>
          <w:spacing w:val="-3"/>
          <w:sz w:val="18"/>
        </w:rPr>
        <w:t>sectors </w:t>
      </w:r>
      <w:r>
        <w:rPr>
          <w:color w:val="231F20"/>
          <w:sz w:val="18"/>
        </w:rPr>
        <w:t>of the economy. But official data and that from surveys indicated that manufacturing output was still declining, and information from the Bank’s regional Agents suggested that in this sector in particular, confidence remained fragile. By contrast, the</w:t>
      </w:r>
      <w:r>
        <w:rPr>
          <w:color w:val="231F20"/>
          <w:spacing w:val="-1"/>
          <w:sz w:val="18"/>
        </w:rPr>
        <w:t> </w:t>
      </w:r>
      <w:r>
        <w:rPr>
          <w:color w:val="231F20"/>
          <w:sz w:val="18"/>
        </w:rPr>
        <w:t>C</w:t>
      </w:r>
      <w:r>
        <w:rPr>
          <w:color w:val="231F20"/>
          <w:sz w:val="14"/>
        </w:rPr>
        <w:t>IPS</w:t>
      </w:r>
    </w:p>
    <w:p>
      <w:pPr>
        <w:pStyle w:val="BodyText"/>
        <w:spacing w:line="232" w:lineRule="auto"/>
        <w:ind w:left="160" w:right="204"/>
      </w:pPr>
      <w:r>
        <w:rPr>
          <w:color w:val="231F20"/>
        </w:rPr>
        <w:t>index for services output had risen above 50, indicating growth rather than contraction, for the first time since October.  The sharp fall seen in the second half of 1998 might have been partly in response to events in financial markets at that time. A </w:t>
      </w:r>
      <w:r>
        <w:rPr>
          <w:color w:val="231F20"/>
          <w:spacing w:val="-3"/>
        </w:rPr>
        <w:t>recovery </w:t>
      </w:r>
      <w:r>
        <w:rPr>
          <w:color w:val="231F20"/>
        </w:rPr>
        <w:t>in confidence had therefore been expected, with the readings</w:t>
      </w:r>
    </w:p>
    <w:p>
      <w:pPr>
        <w:pStyle w:val="BodyText"/>
        <w:spacing w:line="232" w:lineRule="auto"/>
        <w:ind w:left="159" w:right="101"/>
      </w:pPr>
      <w:r>
        <w:rPr>
          <w:color w:val="231F20"/>
        </w:rPr>
        <w:t>now consistent with the central projection for output in 1999 contained in the February </w:t>
      </w:r>
      <w:r>
        <w:rPr>
          <w:i/>
          <w:color w:val="231F20"/>
        </w:rPr>
        <w:t>Inflation Report</w:t>
      </w:r>
      <w:r>
        <w:rPr>
          <w:color w:val="231F20"/>
        </w:rPr>
        <w:t>. The C</w:t>
      </w:r>
      <w:r>
        <w:rPr>
          <w:color w:val="231F20"/>
          <w:sz w:val="14"/>
        </w:rPr>
        <w:t>IPS </w:t>
      </w:r>
      <w:r>
        <w:rPr>
          <w:color w:val="231F20"/>
        </w:rPr>
        <w:t>survey for construction had also strengthened, in line with other indicators for that sector.</w:t>
      </w:r>
    </w:p>
    <w:p>
      <w:pPr>
        <w:pStyle w:val="BodyText"/>
        <w:spacing w:before="4"/>
        <w:rPr>
          <w:sz w:val="16"/>
        </w:rPr>
      </w:pPr>
    </w:p>
    <w:p>
      <w:pPr>
        <w:pStyle w:val="ListParagraph"/>
        <w:numPr>
          <w:ilvl w:val="0"/>
          <w:numId w:val="40"/>
        </w:numPr>
        <w:tabs>
          <w:tab w:pos="639" w:val="left" w:leader="none"/>
          <w:tab w:pos="641" w:val="left" w:leader="none"/>
        </w:tabs>
        <w:spacing w:line="232" w:lineRule="auto" w:before="0" w:after="0"/>
        <w:ind w:left="159" w:right="93" w:firstLine="0"/>
        <w:jc w:val="left"/>
        <w:rPr>
          <w:sz w:val="18"/>
        </w:rPr>
      </w:pPr>
      <w:r>
        <w:rPr>
          <w:color w:val="231F20"/>
          <w:sz w:val="18"/>
        </w:rPr>
        <w:t>All in all, the data suggested that the prospects for activity were little different from those expected at the time of the </w:t>
      </w:r>
      <w:r>
        <w:rPr>
          <w:color w:val="231F20"/>
          <w:spacing w:val="-3"/>
          <w:sz w:val="18"/>
        </w:rPr>
        <w:t>February </w:t>
      </w:r>
      <w:r>
        <w:rPr>
          <w:i/>
          <w:color w:val="231F20"/>
          <w:sz w:val="18"/>
        </w:rPr>
        <w:t>Inflation Report</w:t>
      </w:r>
      <w:r>
        <w:rPr>
          <w:color w:val="231F20"/>
          <w:sz w:val="18"/>
        </w:rPr>
        <w:t>. The downwards revision to the level of GDP had been interpreted by some commentators as reducing inflationary pressures, but the size of the revision of GDP measured at basic prices was small, and the implications for inflation ambiguous. At the same time, significant changes had been made to the composition of demand, particularly to investment and stockbuilding. While the recovery in business confidence had yet to be reflected in official figures, this was to be expected given the lags involved.</w:t>
      </w:r>
    </w:p>
    <w:p>
      <w:pPr>
        <w:pStyle w:val="BodyText"/>
        <w:spacing w:before="10"/>
        <w:rPr>
          <w:sz w:val="19"/>
        </w:rPr>
      </w:pPr>
    </w:p>
    <w:p>
      <w:pPr>
        <w:pStyle w:val="Heading3"/>
        <w:spacing w:before="1"/>
      </w:pPr>
      <w:r>
        <w:rPr>
          <w:color w:val="009483"/>
        </w:rPr>
        <w:t>The housing market</w:t>
      </w:r>
    </w:p>
    <w:p>
      <w:pPr>
        <w:pStyle w:val="ListParagraph"/>
        <w:numPr>
          <w:ilvl w:val="0"/>
          <w:numId w:val="40"/>
        </w:numPr>
        <w:tabs>
          <w:tab w:pos="639" w:val="left" w:leader="none"/>
          <w:tab w:pos="641" w:val="left" w:leader="none"/>
        </w:tabs>
        <w:spacing w:line="232" w:lineRule="auto" w:before="109" w:after="0"/>
        <w:ind w:left="160" w:right="47" w:firstLine="0"/>
        <w:jc w:val="left"/>
        <w:rPr>
          <w:sz w:val="18"/>
        </w:rPr>
      </w:pPr>
      <w:r>
        <w:rPr>
          <w:color w:val="231F20"/>
          <w:sz w:val="18"/>
        </w:rPr>
        <w:t>There had been a sharp increase in the Halifax and Nationwide house price indices in March. Data from the House Builders Federation on net reservations and site visits, together </w:t>
      </w:r>
      <w:r>
        <w:rPr>
          <w:color w:val="231F20"/>
          <w:spacing w:val="-5"/>
          <w:sz w:val="18"/>
        </w:rPr>
        <w:t>with </w:t>
      </w:r>
      <w:r>
        <w:rPr>
          <w:color w:val="231F20"/>
          <w:sz w:val="18"/>
        </w:rPr>
        <w:t>figures on loan approvals and particulars delivered, suggested that turnover in the housing market had risen. The increase had followed a sharp fall towards the end of 1998, and the turnaround might have been influenced by the fall in interest rates since October.</w:t>
      </w:r>
    </w:p>
    <w:p>
      <w:pPr>
        <w:pStyle w:val="BodyText"/>
        <w:spacing w:before="1"/>
        <w:rPr>
          <w:sz w:val="20"/>
        </w:rPr>
      </w:pPr>
    </w:p>
    <w:p>
      <w:pPr>
        <w:pStyle w:val="Heading3"/>
        <w:spacing w:before="1"/>
      </w:pPr>
      <w:r>
        <w:rPr>
          <w:color w:val="009483"/>
        </w:rPr>
        <w:t>The labour market</w:t>
      </w:r>
    </w:p>
    <w:p>
      <w:pPr>
        <w:pStyle w:val="ListParagraph"/>
        <w:numPr>
          <w:ilvl w:val="0"/>
          <w:numId w:val="40"/>
        </w:numPr>
        <w:tabs>
          <w:tab w:pos="639" w:val="left" w:leader="none"/>
          <w:tab w:pos="641" w:val="left" w:leader="none"/>
        </w:tabs>
        <w:spacing w:line="232" w:lineRule="auto" w:before="109" w:after="0"/>
        <w:ind w:left="160" w:right="63" w:firstLine="0"/>
        <w:jc w:val="left"/>
        <w:rPr>
          <w:sz w:val="18"/>
        </w:rPr>
      </w:pPr>
      <w:r>
        <w:rPr>
          <w:color w:val="231F20"/>
          <w:sz w:val="18"/>
        </w:rPr>
        <w:t>Employment had continued to rise, with the LFS measure increasing by 119,000 in the last three months. However, much of this increase had been in part-time employment, and on a full time equivalent basis the increase had probably been closer to 50,000. Total hours worked had fallen, and the unemployment rate had risen. The effects of this on consumer confidence may not yet have been seen. The surveys were mixed; while some suggested a </w:t>
      </w:r>
      <w:r>
        <w:rPr>
          <w:color w:val="231F20"/>
          <w:spacing w:val="-4"/>
          <w:sz w:val="18"/>
        </w:rPr>
        <w:t>sharp </w:t>
      </w:r>
      <w:r>
        <w:rPr>
          <w:color w:val="231F20"/>
          <w:sz w:val="18"/>
        </w:rPr>
        <w:t>downturn in the demand for labour, with the Manpower survey showing the weakest job prospects since 1993, the C</w:t>
      </w:r>
      <w:r>
        <w:rPr>
          <w:color w:val="231F20"/>
          <w:sz w:val="14"/>
        </w:rPr>
        <w:t>IPS </w:t>
      </w:r>
      <w:r>
        <w:rPr>
          <w:color w:val="231F20"/>
          <w:sz w:val="18"/>
        </w:rPr>
        <w:t>employment index had risen slightly, but remained below 50.</w:t>
      </w:r>
    </w:p>
    <w:p>
      <w:pPr>
        <w:pStyle w:val="BodyText"/>
        <w:spacing w:before="8"/>
        <w:rPr>
          <w:sz w:val="16"/>
        </w:rPr>
      </w:pPr>
    </w:p>
    <w:p>
      <w:pPr>
        <w:pStyle w:val="ListParagraph"/>
        <w:numPr>
          <w:ilvl w:val="0"/>
          <w:numId w:val="40"/>
        </w:numPr>
        <w:tabs>
          <w:tab w:pos="639" w:val="left" w:leader="none"/>
          <w:tab w:pos="641" w:val="left" w:leader="none"/>
        </w:tabs>
        <w:spacing w:line="232" w:lineRule="auto" w:before="0" w:after="0"/>
        <w:ind w:left="160" w:right="43" w:firstLine="0"/>
        <w:jc w:val="left"/>
        <w:rPr>
          <w:sz w:val="18"/>
        </w:rPr>
      </w:pPr>
      <w:r>
        <w:rPr>
          <w:color w:val="231F20"/>
          <w:sz w:val="18"/>
        </w:rPr>
        <w:t>The latest data for average earnings growth continued the </w:t>
      </w:r>
      <w:r>
        <w:rPr>
          <w:color w:val="231F20"/>
          <w:spacing w:val="-5"/>
          <w:sz w:val="18"/>
        </w:rPr>
        <w:t>fall </w:t>
      </w:r>
      <w:r>
        <w:rPr>
          <w:color w:val="231F20"/>
          <w:sz w:val="18"/>
        </w:rPr>
        <w:t>seen since the new series was released. The headline figure had reached 4.3% in December. This decline was linked to a reduction in hours worked per head, and to a negative contribution from bonuses.</w:t>
      </w:r>
    </w:p>
    <w:p>
      <w:pPr>
        <w:pStyle w:val="BodyText"/>
        <w:spacing w:before="1"/>
        <w:rPr>
          <w:sz w:val="17"/>
        </w:rPr>
      </w:pPr>
    </w:p>
    <w:p>
      <w:pPr>
        <w:pStyle w:val="ListParagraph"/>
        <w:numPr>
          <w:ilvl w:val="0"/>
          <w:numId w:val="40"/>
        </w:numPr>
        <w:tabs>
          <w:tab w:pos="639" w:val="left" w:leader="none"/>
          <w:tab w:pos="641" w:val="left" w:leader="none"/>
        </w:tabs>
        <w:spacing w:line="232" w:lineRule="auto" w:before="0" w:after="0"/>
        <w:ind w:left="160" w:right="72" w:firstLine="0"/>
        <w:jc w:val="left"/>
        <w:rPr>
          <w:sz w:val="18"/>
        </w:rPr>
      </w:pPr>
      <w:r>
        <w:rPr>
          <w:color w:val="231F20"/>
          <w:sz w:val="18"/>
        </w:rPr>
        <w:t>Data on settlements also indicated a decline in nominal </w:t>
      </w:r>
      <w:r>
        <w:rPr>
          <w:color w:val="231F20"/>
          <w:spacing w:val="-4"/>
          <w:sz w:val="18"/>
        </w:rPr>
        <w:t>wage </w:t>
      </w:r>
      <w:r>
        <w:rPr>
          <w:color w:val="231F20"/>
          <w:sz w:val="18"/>
        </w:rPr>
        <w:t>pressures, although inflation expectations appeared to have fallen by even more. The decline in settlements was not yet apparent from the headline twelve month figures, but for a matched sample of firms from the Bank’s database, settlements this year were running at 3.3% in January and February, as against 4% the previous year.</w:t>
      </w:r>
    </w:p>
    <w:p>
      <w:pPr>
        <w:pStyle w:val="BodyText"/>
        <w:spacing w:before="2"/>
        <w:rPr>
          <w:sz w:val="20"/>
        </w:rPr>
      </w:pPr>
    </w:p>
    <w:p>
      <w:pPr>
        <w:pStyle w:val="Heading3"/>
      </w:pPr>
      <w:r>
        <w:rPr>
          <w:color w:val="009483"/>
        </w:rPr>
        <w:t>Prices</w:t>
      </w:r>
    </w:p>
    <w:p>
      <w:pPr>
        <w:pStyle w:val="ListParagraph"/>
        <w:numPr>
          <w:ilvl w:val="0"/>
          <w:numId w:val="40"/>
        </w:numPr>
        <w:tabs>
          <w:tab w:pos="639" w:val="left" w:leader="none"/>
          <w:tab w:pos="641" w:val="left" w:leader="none"/>
        </w:tabs>
        <w:spacing w:line="232" w:lineRule="auto" w:before="110" w:after="0"/>
        <w:ind w:left="160" w:right="317" w:firstLine="0"/>
        <w:jc w:val="left"/>
        <w:rPr>
          <w:sz w:val="18"/>
        </w:rPr>
      </w:pPr>
      <w:r>
        <w:rPr>
          <w:color w:val="231F20"/>
          <w:sz w:val="18"/>
        </w:rPr>
        <w:t>The implications of a reduction in earnings growth for inflation would depend on a variety of factors, including developments in productivity, margins and import prices. Productivity growth over the past three years had been below </w:t>
      </w:r>
      <w:r>
        <w:rPr>
          <w:color w:val="231F20"/>
          <w:spacing w:val="-6"/>
          <w:sz w:val="18"/>
        </w:rPr>
        <w:t>its</w:t>
      </w:r>
    </w:p>
    <w:p>
      <w:pPr>
        <w:pStyle w:val="BodyText"/>
        <w:spacing w:before="7"/>
        <w:rPr>
          <w:sz w:val="19"/>
        </w:rPr>
      </w:pPr>
      <w:r>
        <w:rPr/>
        <w:br w:type="column"/>
      </w:r>
      <w:r>
        <w:rPr>
          <w:sz w:val="19"/>
        </w:rPr>
      </w:r>
    </w:p>
    <w:p>
      <w:pPr>
        <w:pStyle w:val="BodyText"/>
        <w:spacing w:line="232" w:lineRule="auto" w:before="1"/>
        <w:ind w:left="159" w:right="196"/>
      </w:pPr>
      <w:r>
        <w:rPr>
          <w:color w:val="231F20"/>
        </w:rPr>
        <w:t>40 year average. It was difficult to know how much weight to attach to observed productivity growth over such a short period. But relatively small differences in assumptions about productivity could have a material effect on the projections for inflation over </w:t>
      </w:r>
      <w:r>
        <w:rPr>
          <w:color w:val="231F20"/>
          <w:spacing w:val="-6"/>
        </w:rPr>
        <w:t>the </w:t>
      </w:r>
      <w:r>
        <w:rPr>
          <w:color w:val="231F20"/>
        </w:rPr>
        <w:t>next two years. More generally, the pass-through from unit labour costs to prices was not straightforward. It would depend, among other things, on cyclical conditions and on other input prices.</w:t>
      </w:r>
    </w:p>
    <w:p>
      <w:pPr>
        <w:spacing w:line="232" w:lineRule="auto" w:before="0"/>
        <w:ind w:left="159" w:right="241" w:firstLine="0"/>
        <w:jc w:val="left"/>
        <w:rPr>
          <w:sz w:val="18"/>
        </w:rPr>
      </w:pPr>
      <w:r>
        <w:rPr>
          <w:color w:val="231F20"/>
          <w:sz w:val="18"/>
        </w:rPr>
        <w:t>These issues would be looked at again in the forthcoming </w:t>
      </w:r>
      <w:r>
        <w:rPr>
          <w:i/>
          <w:color w:val="231F20"/>
          <w:sz w:val="18"/>
        </w:rPr>
        <w:t>Inflation </w:t>
      </w:r>
      <w:r>
        <w:rPr>
          <w:i/>
          <w:color w:val="231F20"/>
          <w:sz w:val="18"/>
        </w:rPr>
        <w:t>Report </w:t>
      </w:r>
      <w:r>
        <w:rPr>
          <w:color w:val="231F20"/>
          <w:sz w:val="18"/>
        </w:rPr>
        <w:t>round.</w:t>
      </w:r>
    </w:p>
    <w:p>
      <w:pPr>
        <w:pStyle w:val="BodyText"/>
        <w:spacing w:before="2"/>
        <w:rPr>
          <w:sz w:val="20"/>
        </w:rPr>
      </w:pPr>
    </w:p>
    <w:p>
      <w:pPr>
        <w:pStyle w:val="ListParagraph"/>
        <w:numPr>
          <w:ilvl w:val="0"/>
          <w:numId w:val="41"/>
        </w:numPr>
        <w:tabs>
          <w:tab w:pos="639" w:val="left" w:leader="none"/>
          <w:tab w:pos="641" w:val="left" w:leader="none"/>
        </w:tabs>
        <w:spacing w:line="232" w:lineRule="auto" w:before="1" w:after="0"/>
        <w:ind w:left="159" w:right="244" w:firstLine="0"/>
        <w:jc w:val="left"/>
        <w:rPr>
          <w:sz w:val="18"/>
        </w:rPr>
      </w:pPr>
      <w:r>
        <w:rPr>
          <w:color w:val="231F20"/>
          <w:sz w:val="18"/>
        </w:rPr>
        <w:t>Oil prices were much higher than a month ago, although some rise had already been assumed in the central projection in </w:t>
      </w:r>
      <w:r>
        <w:rPr>
          <w:color w:val="231F20"/>
          <w:spacing w:val="-6"/>
          <w:sz w:val="18"/>
        </w:rPr>
        <w:t>the </w:t>
      </w:r>
      <w:r>
        <w:rPr>
          <w:color w:val="231F20"/>
          <w:sz w:val="18"/>
        </w:rPr>
        <w:t>February </w:t>
      </w:r>
      <w:r>
        <w:rPr>
          <w:i/>
          <w:color w:val="231F20"/>
          <w:sz w:val="18"/>
        </w:rPr>
        <w:t>Inflation Report. </w:t>
      </w:r>
      <w:r>
        <w:rPr>
          <w:color w:val="231F20"/>
          <w:sz w:val="18"/>
        </w:rPr>
        <w:t>These increases would exert some upwards pressure on input prices, particularly since the falls in non-oil commodity prices might be coming to an end. Depending on the path of the exchange rate, domestic inflationary pressures</w:t>
      </w:r>
    </w:p>
    <w:p>
      <w:pPr>
        <w:pStyle w:val="BodyText"/>
        <w:spacing w:line="232" w:lineRule="auto"/>
        <w:ind w:left="160" w:right="186"/>
      </w:pPr>
      <w:r>
        <w:rPr>
          <w:color w:val="231F20"/>
        </w:rPr>
        <w:t>might come more to the fore in determining the path of RPIX, even if competition from imports remained intense. On the other hand, the recent falls in non-oil commodity prices had been steeper than expected, and the exchange rate had strengthened. The balance between domestic and international inflationary pressures would be examined in the context of the next </w:t>
      </w:r>
      <w:r>
        <w:rPr>
          <w:i/>
          <w:color w:val="231F20"/>
        </w:rPr>
        <w:t>Inflation Report</w:t>
      </w:r>
      <w:r>
        <w:rPr>
          <w:color w:val="231F20"/>
        </w:rPr>
        <w:t>.</w:t>
      </w:r>
    </w:p>
    <w:p>
      <w:pPr>
        <w:pStyle w:val="BodyText"/>
        <w:rPr>
          <w:sz w:val="20"/>
        </w:rPr>
      </w:pPr>
    </w:p>
    <w:p>
      <w:pPr>
        <w:pStyle w:val="ListParagraph"/>
        <w:numPr>
          <w:ilvl w:val="0"/>
          <w:numId w:val="41"/>
        </w:numPr>
        <w:tabs>
          <w:tab w:pos="640" w:val="left" w:leader="none"/>
          <w:tab w:pos="641" w:val="left" w:leader="none"/>
        </w:tabs>
        <w:spacing w:line="232" w:lineRule="auto" w:before="0" w:after="0"/>
        <w:ind w:left="160" w:right="199" w:firstLine="0"/>
        <w:jc w:val="left"/>
        <w:rPr>
          <w:sz w:val="18"/>
        </w:rPr>
      </w:pPr>
      <w:r>
        <w:rPr>
          <w:color w:val="231F20"/>
          <w:sz w:val="18"/>
        </w:rPr>
        <w:t>The most recent figure for RPIX inflation—at 2.4%—had been below the target for the first time since the Committee had been established. This had been despite some strength in the price of seasonal foods, which might unwind in coming months. But the difference from the 2.5% target was very small, and of little relevance to the prospects for inflation two years ahead. Next month it was very likely that RPIX inflation would be above target as a result of the timing of Budget measures, which would affect petrol prices in March as compared with April last year. But this effect would last for only a month, and should have no </w:t>
      </w:r>
      <w:r>
        <w:rPr>
          <w:color w:val="231F20"/>
          <w:spacing w:val="-2"/>
          <w:sz w:val="18"/>
        </w:rPr>
        <w:t>implications </w:t>
      </w:r>
      <w:r>
        <w:rPr>
          <w:color w:val="231F20"/>
          <w:sz w:val="18"/>
        </w:rPr>
        <w:t>for inflation in two years’ time.</w:t>
      </w:r>
    </w:p>
    <w:p>
      <w:pPr>
        <w:pStyle w:val="BodyText"/>
        <w:spacing w:before="5"/>
        <w:rPr>
          <w:sz w:val="23"/>
        </w:rPr>
      </w:pPr>
    </w:p>
    <w:p>
      <w:pPr>
        <w:pStyle w:val="Heading3"/>
      </w:pPr>
      <w:r>
        <w:rPr>
          <w:color w:val="009483"/>
        </w:rPr>
        <w:t>Tactical considerations</w:t>
      </w:r>
    </w:p>
    <w:p>
      <w:pPr>
        <w:pStyle w:val="ListParagraph"/>
        <w:numPr>
          <w:ilvl w:val="0"/>
          <w:numId w:val="41"/>
        </w:numPr>
        <w:tabs>
          <w:tab w:pos="639" w:val="left" w:leader="none"/>
          <w:tab w:pos="641" w:val="left" w:leader="none"/>
        </w:tabs>
        <w:spacing w:line="232" w:lineRule="auto" w:before="129" w:after="0"/>
        <w:ind w:left="160" w:right="229" w:firstLine="0"/>
        <w:jc w:val="left"/>
        <w:rPr>
          <w:sz w:val="18"/>
        </w:rPr>
      </w:pPr>
      <w:r>
        <w:rPr>
          <w:color w:val="231F20"/>
          <w:sz w:val="18"/>
        </w:rPr>
        <w:t>The Committee noted that a reduction in rates was widely expected this month, although rather less universally than had </w:t>
      </w:r>
      <w:r>
        <w:rPr>
          <w:color w:val="231F20"/>
          <w:spacing w:val="-5"/>
          <w:sz w:val="18"/>
        </w:rPr>
        <w:t>been </w:t>
      </w:r>
      <w:r>
        <w:rPr>
          <w:color w:val="231F20"/>
          <w:sz w:val="18"/>
        </w:rPr>
        <w:t>the case a week earlier. There was also a growing feeling in the market that the ECB might reduce its rates later that day. Should either factor influence the Committee’s thinking?</w:t>
      </w:r>
    </w:p>
    <w:p>
      <w:pPr>
        <w:pStyle w:val="BodyText"/>
        <w:spacing w:before="9"/>
      </w:pPr>
    </w:p>
    <w:p>
      <w:pPr>
        <w:pStyle w:val="ListParagraph"/>
        <w:numPr>
          <w:ilvl w:val="0"/>
          <w:numId w:val="41"/>
        </w:numPr>
        <w:tabs>
          <w:tab w:pos="639" w:val="left" w:leader="none"/>
          <w:tab w:pos="641" w:val="left" w:leader="none"/>
        </w:tabs>
        <w:spacing w:line="232" w:lineRule="auto" w:before="1" w:after="0"/>
        <w:ind w:left="160" w:right="269" w:firstLine="0"/>
        <w:jc w:val="left"/>
        <w:rPr>
          <w:sz w:val="18"/>
        </w:rPr>
      </w:pPr>
      <w:r>
        <w:rPr>
          <w:color w:val="231F20"/>
          <w:sz w:val="18"/>
        </w:rPr>
        <w:t>It was possible that a decision to leave interest rates unchanged would be interpreted as a signal that current levels would be the trough of this interest rate cycle. It was also </w:t>
      </w:r>
      <w:r>
        <w:rPr>
          <w:color w:val="231F20"/>
          <w:spacing w:val="-3"/>
          <w:sz w:val="18"/>
        </w:rPr>
        <w:t>possible </w:t>
      </w:r>
      <w:r>
        <w:rPr>
          <w:color w:val="231F20"/>
          <w:sz w:val="18"/>
        </w:rPr>
        <w:t>that a similar conclusion might be reached from an unexpectedly large reduction in rates. Given that any decision was open to misinterpretation, the Committee agreed that this was not a factor which it would take into account.</w:t>
      </w:r>
    </w:p>
    <w:p>
      <w:pPr>
        <w:pStyle w:val="BodyText"/>
        <w:spacing w:before="7"/>
      </w:pPr>
    </w:p>
    <w:p>
      <w:pPr>
        <w:pStyle w:val="ListParagraph"/>
        <w:numPr>
          <w:ilvl w:val="0"/>
          <w:numId w:val="41"/>
        </w:numPr>
        <w:tabs>
          <w:tab w:pos="639" w:val="left" w:leader="none"/>
          <w:tab w:pos="641" w:val="left" w:leader="none"/>
        </w:tabs>
        <w:spacing w:line="232" w:lineRule="auto" w:before="0" w:after="0"/>
        <w:ind w:left="160" w:right="164" w:firstLine="0"/>
        <w:jc w:val="left"/>
        <w:rPr>
          <w:sz w:val="18"/>
        </w:rPr>
      </w:pPr>
      <w:r>
        <w:rPr>
          <w:color w:val="231F20"/>
          <w:sz w:val="18"/>
        </w:rPr>
        <w:t>There was also the issue of the exchange rate.  While this was little changed from its level at the time of the previous </w:t>
      </w:r>
      <w:r>
        <w:rPr>
          <w:color w:val="231F20"/>
          <w:spacing w:val="-3"/>
          <w:sz w:val="18"/>
        </w:rPr>
        <w:t>meeting, </w:t>
      </w:r>
      <w:r>
        <w:rPr>
          <w:color w:val="231F20"/>
          <w:sz w:val="18"/>
        </w:rPr>
        <w:t>its strength against the euro continued to surprise many observers. But the reaction of sterling to any change in UK interest rates was unclear.</w:t>
      </w:r>
    </w:p>
    <w:p>
      <w:pPr>
        <w:pStyle w:val="BodyText"/>
        <w:spacing w:before="1"/>
        <w:rPr>
          <w:sz w:val="22"/>
        </w:rPr>
      </w:pPr>
    </w:p>
    <w:p>
      <w:pPr>
        <w:pStyle w:val="Heading3"/>
      </w:pPr>
      <w:r>
        <w:rPr>
          <w:color w:val="009483"/>
        </w:rPr>
        <w:t>The immediate policy decision</w:t>
      </w:r>
    </w:p>
    <w:p>
      <w:pPr>
        <w:pStyle w:val="ListParagraph"/>
        <w:numPr>
          <w:ilvl w:val="0"/>
          <w:numId w:val="41"/>
        </w:numPr>
        <w:tabs>
          <w:tab w:pos="639" w:val="left" w:leader="none"/>
          <w:tab w:pos="641" w:val="left" w:leader="none"/>
        </w:tabs>
        <w:spacing w:line="232" w:lineRule="auto" w:before="109" w:after="0"/>
        <w:ind w:left="160" w:right="164" w:firstLine="0"/>
        <w:jc w:val="left"/>
        <w:rPr>
          <w:sz w:val="18"/>
        </w:rPr>
      </w:pPr>
      <w:r>
        <w:rPr>
          <w:color w:val="231F20"/>
          <w:sz w:val="18"/>
        </w:rPr>
        <w:t>Over the past month, there had been further revisions to the level and composition of GDP, a continuing recovery in survey </w:t>
      </w:r>
      <w:r>
        <w:rPr>
          <w:color w:val="231F20"/>
          <w:spacing w:val="-5"/>
          <w:sz w:val="18"/>
        </w:rPr>
        <w:t>data </w:t>
      </w:r>
      <w:r>
        <w:rPr>
          <w:color w:val="231F20"/>
          <w:sz w:val="18"/>
        </w:rPr>
        <w:t>from the low points reached in the latter part of 1998, and some easing in labour market pressures, including lower settlements and earnings growth. This was against the backdrop of a world economy in which some of the downside risks had diminished, oil prices had risen sharply, and the exchange rate was over 2% higher than assumed in the February </w:t>
      </w:r>
      <w:r>
        <w:rPr>
          <w:i/>
          <w:color w:val="231F20"/>
          <w:sz w:val="18"/>
        </w:rPr>
        <w:t>Inflation</w:t>
      </w:r>
      <w:r>
        <w:rPr>
          <w:i/>
          <w:color w:val="231F20"/>
          <w:spacing w:val="-2"/>
          <w:sz w:val="18"/>
        </w:rPr>
        <w:t> </w:t>
      </w:r>
      <w:r>
        <w:rPr>
          <w:i/>
          <w:color w:val="231F20"/>
          <w:sz w:val="18"/>
        </w:rPr>
        <w:t>Report</w:t>
      </w:r>
      <w:r>
        <w:rPr>
          <w:color w:val="231F20"/>
          <w:sz w:val="18"/>
        </w:rPr>
        <w:t>.</w:t>
      </w:r>
    </w:p>
    <w:p>
      <w:pPr>
        <w:pStyle w:val="BodyText"/>
        <w:spacing w:before="10"/>
        <w:rPr>
          <w:sz w:val="16"/>
        </w:rPr>
      </w:pPr>
    </w:p>
    <w:p>
      <w:pPr>
        <w:pStyle w:val="ListParagraph"/>
        <w:numPr>
          <w:ilvl w:val="0"/>
          <w:numId w:val="41"/>
        </w:numPr>
        <w:tabs>
          <w:tab w:pos="639" w:val="left" w:leader="none"/>
          <w:tab w:pos="641" w:val="left" w:leader="none"/>
        </w:tabs>
        <w:spacing w:line="232" w:lineRule="auto" w:before="0" w:after="0"/>
        <w:ind w:left="160" w:right="164" w:firstLine="0"/>
        <w:jc w:val="left"/>
        <w:rPr>
          <w:sz w:val="18"/>
        </w:rPr>
      </w:pPr>
      <w:r>
        <w:rPr>
          <w:color w:val="231F20"/>
          <w:sz w:val="18"/>
        </w:rPr>
        <w:t>Given this background the Committee discussed the case for no change to rates, a reduction of 25 basis points, and a reduction </w:t>
      </w:r>
      <w:r>
        <w:rPr>
          <w:color w:val="231F20"/>
          <w:spacing w:val="-9"/>
          <w:sz w:val="18"/>
        </w:rPr>
        <w:t>of </w:t>
      </w:r>
      <w:r>
        <w:rPr>
          <w:color w:val="231F20"/>
          <w:sz w:val="18"/>
        </w:rPr>
        <w:t>50 basis points.</w:t>
      </w:r>
    </w:p>
    <w:p>
      <w:pPr>
        <w:spacing w:after="0" w:line="232" w:lineRule="auto"/>
        <w:jc w:val="left"/>
        <w:rPr>
          <w:sz w:val="18"/>
        </w:rPr>
        <w:sectPr>
          <w:type w:val="continuous"/>
          <w:pgSz w:w="11900" w:h="16840"/>
          <w:pgMar w:top="1220" w:bottom="280" w:left="640" w:right="640"/>
          <w:cols w:num="2" w:equalWidth="0">
            <w:col w:w="5109" w:space="281"/>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ListParagraph"/>
        <w:numPr>
          <w:ilvl w:val="0"/>
          <w:numId w:val="41"/>
        </w:numPr>
        <w:tabs>
          <w:tab w:pos="659" w:val="left" w:leader="none"/>
          <w:tab w:pos="661" w:val="left" w:leader="none"/>
        </w:tabs>
        <w:spacing w:line="232" w:lineRule="auto" w:before="1" w:after="0"/>
        <w:ind w:left="180" w:right="63" w:firstLine="0"/>
        <w:jc w:val="left"/>
        <w:rPr>
          <w:sz w:val="18"/>
        </w:rPr>
      </w:pPr>
      <w:r>
        <w:rPr>
          <w:color w:val="231F20"/>
          <w:sz w:val="18"/>
        </w:rPr>
        <w:t>The Committee considered various developments which could have suggested leaving rates unchanged this month. The prospects for activity were much as expected, with some signs that past reductions in interest rates were beginning to sustain activity. The changes to the composition of demand were at least as important as the downwards revision to GDP, and suggested that the downside risks to output from a stock cycle or weak investment during 1999 were less now than previously thought. Financial wealth had risen, with share prices up further during the month and the housing market showing signs of recovery. Survey measures </w:t>
      </w:r>
      <w:r>
        <w:rPr>
          <w:color w:val="231F20"/>
          <w:spacing w:val="-9"/>
          <w:sz w:val="18"/>
        </w:rPr>
        <w:t>of </w:t>
      </w:r>
      <w:r>
        <w:rPr>
          <w:color w:val="231F20"/>
          <w:sz w:val="18"/>
        </w:rPr>
        <w:t>confidence had also recovered somewhat. Overall, the evidence appeared consistent with positive, if slow, growth in GDP during the rest of this year, as set out in the central projection of the February </w:t>
      </w:r>
      <w:r>
        <w:rPr>
          <w:i/>
          <w:color w:val="231F20"/>
          <w:sz w:val="18"/>
        </w:rPr>
        <w:t>Inflation Report</w:t>
      </w:r>
      <w:r>
        <w:rPr>
          <w:color w:val="231F20"/>
          <w:sz w:val="18"/>
        </w:rPr>
        <w:t>. And while there were signs that labour market pressures had begun to ease, the evidence was not conclusive (for example on earnings per hour) and the link between this and prices required further analysis. Finally, oil prices were sharply higher.</w:t>
      </w:r>
    </w:p>
    <w:p>
      <w:pPr>
        <w:pStyle w:val="BodyText"/>
        <w:spacing w:before="1"/>
        <w:rPr>
          <w:sz w:val="16"/>
        </w:rPr>
      </w:pPr>
    </w:p>
    <w:p>
      <w:pPr>
        <w:pStyle w:val="ListParagraph"/>
        <w:numPr>
          <w:ilvl w:val="0"/>
          <w:numId w:val="41"/>
        </w:numPr>
        <w:tabs>
          <w:tab w:pos="659" w:val="left" w:leader="none"/>
          <w:tab w:pos="661" w:val="left" w:leader="none"/>
        </w:tabs>
        <w:spacing w:line="232" w:lineRule="auto" w:before="1" w:after="0"/>
        <w:ind w:left="180" w:right="38" w:firstLine="0"/>
        <w:jc w:val="left"/>
        <w:rPr>
          <w:sz w:val="18"/>
        </w:rPr>
      </w:pPr>
      <w:r>
        <w:rPr>
          <w:color w:val="231F20"/>
          <w:sz w:val="18"/>
        </w:rPr>
        <w:t>But other developments pointed to the need for a further reduction in interest rates. The effective exchange rate had been stronger throughout most of the previous month. Earnings growth seemed to be lower than expected, a view supported by information on settlements, although assessing the implications of this for </w:t>
      </w:r>
      <w:r>
        <w:rPr>
          <w:color w:val="231F20"/>
          <w:spacing w:val="-3"/>
          <w:sz w:val="18"/>
        </w:rPr>
        <w:t>prices </w:t>
      </w:r>
      <w:r>
        <w:rPr>
          <w:color w:val="231F20"/>
          <w:sz w:val="18"/>
        </w:rPr>
        <w:t>required more work. Finally, confidence, although improved, probably remained fragile. With a reduction in interest rates widely expected a decision to maintain rates at their current levels could be seen as a policy tightening, which might have an unnecessarily damaging effect on confidence and activity.</w:t>
      </w:r>
    </w:p>
    <w:p>
      <w:pPr>
        <w:pStyle w:val="BodyText"/>
        <w:spacing w:before="8"/>
        <w:rPr>
          <w:sz w:val="16"/>
        </w:rPr>
      </w:pPr>
    </w:p>
    <w:p>
      <w:pPr>
        <w:pStyle w:val="ListParagraph"/>
        <w:numPr>
          <w:ilvl w:val="0"/>
          <w:numId w:val="41"/>
        </w:numPr>
        <w:tabs>
          <w:tab w:pos="659" w:val="left" w:leader="none"/>
          <w:tab w:pos="661" w:val="left" w:leader="none"/>
        </w:tabs>
        <w:spacing w:line="232" w:lineRule="auto" w:before="0" w:after="0"/>
        <w:ind w:left="180" w:right="53" w:firstLine="0"/>
        <w:jc w:val="left"/>
        <w:rPr>
          <w:sz w:val="18"/>
        </w:rPr>
      </w:pPr>
      <w:r>
        <w:rPr>
          <w:color w:val="231F20"/>
          <w:sz w:val="18"/>
        </w:rPr>
        <w:t>The previous month several members had felt that not much additional news would be required to justify a further reduction in rates. They took the view that the balance of evidence since then supported a reduction in interest rates this month. While the prospects for activity were little changed over the month, the risks to the inflation outlook had shifted somewhat to the downside. It was therefore appropriate to reduce rates by 25 basis points in </w:t>
      </w:r>
      <w:r>
        <w:rPr>
          <w:color w:val="231F20"/>
          <w:spacing w:val="-4"/>
          <w:sz w:val="18"/>
        </w:rPr>
        <w:t>order </w:t>
      </w:r>
      <w:r>
        <w:rPr>
          <w:color w:val="231F20"/>
          <w:sz w:val="18"/>
        </w:rPr>
        <w:t>to meet the inflation target.</w:t>
      </w:r>
    </w:p>
    <w:p>
      <w:pPr>
        <w:pStyle w:val="BodyText"/>
        <w:spacing w:before="10"/>
        <w:rPr>
          <w:sz w:val="16"/>
        </w:rPr>
      </w:pPr>
    </w:p>
    <w:p>
      <w:pPr>
        <w:pStyle w:val="ListParagraph"/>
        <w:numPr>
          <w:ilvl w:val="0"/>
          <w:numId w:val="41"/>
        </w:numPr>
        <w:tabs>
          <w:tab w:pos="659" w:val="left" w:leader="none"/>
          <w:tab w:pos="661" w:val="left" w:leader="none"/>
        </w:tabs>
        <w:spacing w:line="232" w:lineRule="auto" w:before="0" w:after="0"/>
        <w:ind w:left="180" w:right="108" w:firstLine="0"/>
        <w:jc w:val="left"/>
        <w:rPr>
          <w:sz w:val="18"/>
        </w:rPr>
      </w:pPr>
      <w:r>
        <w:rPr>
          <w:color w:val="231F20"/>
          <w:sz w:val="18"/>
        </w:rPr>
        <w:t>Another view which favoured an immediate reduction in </w:t>
      </w:r>
      <w:r>
        <w:rPr>
          <w:color w:val="231F20"/>
          <w:spacing w:val="-6"/>
          <w:sz w:val="18"/>
        </w:rPr>
        <w:t>the </w:t>
      </w:r>
      <w:r>
        <w:rPr>
          <w:color w:val="231F20"/>
          <w:sz w:val="18"/>
        </w:rPr>
        <w:t>repo rate of 25 basis points was that there was a growing risk that the inflation target would be undershot, given the lags between output and inflation, the intensity of price competition from</w:t>
      </w:r>
    </w:p>
    <w:p>
      <w:pPr>
        <w:pStyle w:val="BodyText"/>
        <w:spacing w:before="7"/>
        <w:rPr>
          <w:sz w:val="19"/>
        </w:rPr>
      </w:pPr>
      <w:r>
        <w:rPr/>
        <w:br w:type="column"/>
      </w:r>
      <w:r>
        <w:rPr>
          <w:sz w:val="19"/>
        </w:rPr>
      </w:r>
    </w:p>
    <w:p>
      <w:pPr>
        <w:pStyle w:val="BodyText"/>
        <w:spacing w:line="232" w:lineRule="auto" w:before="1"/>
        <w:ind w:left="180" w:right="329"/>
      </w:pPr>
      <w:r>
        <w:rPr>
          <w:color w:val="231F20"/>
        </w:rPr>
        <w:t>overseas and the deceleration seen in settlements and earnings. Short-term inflation expectations as measured by surveys had declined, and might fall further given the sharp decline in the RPI measure of inflation. The size of the P</w:t>
      </w:r>
      <w:r>
        <w:rPr>
          <w:color w:val="231F20"/>
          <w:sz w:val="14"/>
        </w:rPr>
        <w:t>NFC </w:t>
      </w:r>
      <w:r>
        <w:rPr>
          <w:color w:val="231F20"/>
        </w:rPr>
        <w:t>deficit was a concern, and the growth in investment might well be a temporary</w:t>
      </w:r>
    </w:p>
    <w:p>
      <w:pPr>
        <w:pStyle w:val="BodyText"/>
        <w:spacing w:line="232" w:lineRule="auto"/>
        <w:ind w:left="180" w:right="246"/>
      </w:pPr>
      <w:r>
        <w:rPr>
          <w:color w:val="231F20"/>
        </w:rPr>
        <w:t>pre-millennium effect. Finally, the intensifying Balkans conflict increased the downside risks of a further blow to confidence in the global economy. It was therefore necessary to keep interest rates on a downwards path, and a reduction in rates of 25 basis points this month was appropriate.</w:t>
      </w:r>
    </w:p>
    <w:p>
      <w:pPr>
        <w:pStyle w:val="BodyText"/>
        <w:spacing w:before="8"/>
        <w:rPr>
          <w:sz w:val="16"/>
        </w:rPr>
      </w:pPr>
    </w:p>
    <w:p>
      <w:pPr>
        <w:pStyle w:val="ListParagraph"/>
        <w:numPr>
          <w:ilvl w:val="0"/>
          <w:numId w:val="41"/>
        </w:numPr>
        <w:tabs>
          <w:tab w:pos="659" w:val="left" w:leader="none"/>
          <w:tab w:pos="661" w:val="left" w:leader="none"/>
        </w:tabs>
        <w:spacing w:line="232" w:lineRule="auto" w:before="0" w:after="0"/>
        <w:ind w:left="180" w:right="158" w:firstLine="0"/>
        <w:jc w:val="left"/>
        <w:rPr>
          <w:sz w:val="18"/>
        </w:rPr>
      </w:pPr>
      <w:r>
        <w:rPr>
          <w:color w:val="231F20"/>
          <w:sz w:val="18"/>
        </w:rPr>
        <w:t>Another view was that in March, a reduction of 40 basis points had been required. Since then the revisions to GDP had contained little news, although given the underspend in 1998, it </w:t>
      </w:r>
      <w:r>
        <w:rPr>
          <w:color w:val="231F20"/>
          <w:spacing w:val="-6"/>
          <w:sz w:val="18"/>
        </w:rPr>
        <w:t>was </w:t>
      </w:r>
      <w:r>
        <w:rPr>
          <w:color w:val="231F20"/>
          <w:sz w:val="18"/>
        </w:rPr>
        <w:t>possible that government final demand might increase by less than planned. With price developments favourable, and the future earnings profile likely to be below that contained in the February </w:t>
      </w:r>
      <w:r>
        <w:rPr>
          <w:i/>
          <w:color w:val="231F20"/>
          <w:sz w:val="18"/>
        </w:rPr>
        <w:t>Inflation Report</w:t>
      </w:r>
      <w:r>
        <w:rPr>
          <w:color w:val="231F20"/>
          <w:sz w:val="18"/>
        </w:rPr>
        <w:t>, it was preferable to reduce the repo rate by 50 basis points now, in order to prevent inflation falling below the target and to underpin activity.</w:t>
      </w:r>
    </w:p>
    <w:p>
      <w:pPr>
        <w:pStyle w:val="BodyText"/>
        <w:spacing w:before="9"/>
        <w:rPr>
          <w:sz w:val="16"/>
        </w:rPr>
      </w:pPr>
    </w:p>
    <w:p>
      <w:pPr>
        <w:pStyle w:val="ListParagraph"/>
        <w:numPr>
          <w:ilvl w:val="0"/>
          <w:numId w:val="41"/>
        </w:numPr>
        <w:tabs>
          <w:tab w:pos="659" w:val="left" w:leader="none"/>
          <w:tab w:pos="661" w:val="left" w:leader="none"/>
        </w:tabs>
        <w:spacing w:line="232" w:lineRule="auto" w:before="0" w:after="0"/>
        <w:ind w:left="180" w:right="214" w:firstLine="0"/>
        <w:jc w:val="left"/>
        <w:rPr>
          <w:sz w:val="18"/>
        </w:rPr>
      </w:pPr>
      <w:r>
        <w:rPr>
          <w:color w:val="231F20"/>
          <w:sz w:val="18"/>
        </w:rPr>
        <w:t>The Governor invited members of the Committee to vote on the proposition that the Bank’s repo rate be reduced by 25 basis points to 5.25%. Eight members of the Committee (the Governor, Mervyn King, David Clementi, Alan Budd, Charles Goodhart, DeAnne Julius, Ian Plenderleith and John Vickers) voted for the proposition. Willem Buiter voted against, preferring a reduction </w:t>
      </w:r>
      <w:r>
        <w:rPr>
          <w:color w:val="231F20"/>
          <w:spacing w:val="-9"/>
          <w:sz w:val="18"/>
        </w:rPr>
        <w:t>of </w:t>
      </w:r>
      <w:r>
        <w:rPr>
          <w:color w:val="231F20"/>
          <w:sz w:val="18"/>
        </w:rPr>
        <w:t>50 basis points.</w:t>
      </w:r>
    </w:p>
    <w:p>
      <w:pPr>
        <w:pStyle w:val="ListParagraph"/>
        <w:numPr>
          <w:ilvl w:val="0"/>
          <w:numId w:val="41"/>
        </w:numPr>
        <w:tabs>
          <w:tab w:pos="659" w:val="left" w:leader="none"/>
          <w:tab w:pos="661" w:val="left" w:leader="none"/>
        </w:tabs>
        <w:spacing w:line="360" w:lineRule="atLeast" w:before="36" w:after="0"/>
        <w:ind w:left="180" w:right="539" w:firstLine="0"/>
        <w:jc w:val="left"/>
        <w:rPr>
          <w:sz w:val="18"/>
        </w:rPr>
      </w:pPr>
      <w:r>
        <w:rPr>
          <w:color w:val="231F20"/>
          <w:sz w:val="18"/>
        </w:rPr>
        <w:t>The following members of the Committee were </w:t>
      </w:r>
      <w:r>
        <w:rPr>
          <w:color w:val="231F20"/>
          <w:spacing w:val="-3"/>
          <w:sz w:val="18"/>
        </w:rPr>
        <w:t>present. </w:t>
      </w:r>
      <w:r>
        <w:rPr>
          <w:color w:val="231F20"/>
          <w:sz w:val="18"/>
        </w:rPr>
        <w:t>Eddie George, Governor</w:t>
      </w:r>
    </w:p>
    <w:p>
      <w:pPr>
        <w:pStyle w:val="BodyText"/>
        <w:spacing w:line="232" w:lineRule="auto"/>
        <w:ind w:left="180" w:right="371"/>
      </w:pPr>
      <w:r>
        <w:rPr>
          <w:color w:val="231F20"/>
        </w:rPr>
        <w:t>Mervyn King, Deputy Governor responsible for monetary policy David Clementi, Deputy Governor responsible for financial stability</w:t>
      </w:r>
    </w:p>
    <w:p>
      <w:pPr>
        <w:pStyle w:val="BodyText"/>
        <w:spacing w:line="232" w:lineRule="auto"/>
        <w:ind w:left="180" w:right="3765"/>
      </w:pPr>
      <w:r>
        <w:rPr>
          <w:color w:val="231F20"/>
        </w:rPr>
        <w:t>Alan Budd Willem Buiter Charles Goodhart DeAnne Julius Ian Plenderleith John Vickers</w:t>
      </w:r>
    </w:p>
    <w:p>
      <w:pPr>
        <w:pStyle w:val="BodyText"/>
        <w:spacing w:before="8"/>
        <w:rPr>
          <w:sz w:val="19"/>
        </w:rPr>
      </w:pPr>
    </w:p>
    <w:p>
      <w:pPr>
        <w:pStyle w:val="ListParagraph"/>
        <w:numPr>
          <w:ilvl w:val="0"/>
          <w:numId w:val="41"/>
        </w:numPr>
        <w:tabs>
          <w:tab w:pos="659" w:val="left" w:leader="none"/>
          <w:tab w:pos="661" w:val="left" w:leader="none"/>
        </w:tabs>
        <w:spacing w:line="240" w:lineRule="auto" w:before="0" w:after="0"/>
        <w:ind w:left="660" w:right="0" w:hanging="481"/>
        <w:jc w:val="left"/>
        <w:rPr>
          <w:sz w:val="18"/>
        </w:rPr>
      </w:pPr>
      <w:r>
        <w:rPr>
          <w:color w:val="231F20"/>
          <w:sz w:val="18"/>
        </w:rPr>
        <w:t>Andrew Turnbull was present as the Treasury representative.</w:t>
      </w:r>
    </w:p>
    <w:p>
      <w:pPr>
        <w:spacing w:after="0" w:line="240" w:lineRule="auto"/>
        <w:jc w:val="left"/>
        <w:rPr>
          <w:sz w:val="18"/>
        </w:rPr>
        <w:sectPr>
          <w:type w:val="continuous"/>
          <w:pgSz w:w="11900" w:h="16840"/>
          <w:pgMar w:top="1220" w:bottom="280" w:left="640" w:right="640"/>
          <w:cols w:num="2" w:equalWidth="0">
            <w:col w:w="5120" w:space="260"/>
            <w:col w:w="5240"/>
          </w:cols>
        </w:sectPr>
      </w:pPr>
    </w:p>
    <w:p>
      <w:pPr>
        <w:pStyle w:val="BodyText"/>
        <w:rPr>
          <w:sz w:val="20"/>
        </w:rPr>
      </w:pPr>
    </w:p>
    <w:p>
      <w:pPr>
        <w:pStyle w:val="BodyText"/>
        <w:rPr>
          <w:sz w:val="20"/>
        </w:rPr>
      </w:pPr>
    </w:p>
    <w:p>
      <w:pPr>
        <w:pStyle w:val="BodyText"/>
        <w:spacing w:before="1"/>
        <w:rPr>
          <w:sz w:val="16"/>
        </w:rPr>
      </w:pPr>
    </w:p>
    <w:p>
      <w:pPr>
        <w:spacing w:before="86"/>
        <w:ind w:left="165" w:right="0" w:firstLine="0"/>
        <w:jc w:val="left"/>
        <w:rPr>
          <w:b/>
          <w:sz w:val="32"/>
        </w:rPr>
      </w:pPr>
      <w:r>
        <w:rPr>
          <w:b/>
          <w:color w:val="009483"/>
          <w:sz w:val="32"/>
        </w:rPr>
        <w:t>Annex: Summary of data presented by Bank staff</w:t>
      </w:r>
    </w:p>
    <w:p>
      <w:pPr>
        <w:pStyle w:val="BodyText"/>
        <w:rPr>
          <w:b/>
          <w:sz w:val="20"/>
        </w:rPr>
      </w:pPr>
    </w:p>
    <w:p>
      <w:pPr>
        <w:spacing w:after="0"/>
        <w:rPr>
          <w:sz w:val="20"/>
        </w:rPr>
        <w:sectPr>
          <w:pgSz w:w="11900" w:h="16840"/>
          <w:pgMar w:header="566" w:footer="597" w:top="760" w:bottom="780" w:left="640" w:right="640"/>
        </w:sectPr>
      </w:pPr>
    </w:p>
    <w:p>
      <w:pPr>
        <w:pStyle w:val="BodyText"/>
        <w:spacing w:before="7"/>
        <w:rPr>
          <w:b/>
          <w:sz w:val="20"/>
        </w:rPr>
      </w:pPr>
    </w:p>
    <w:p>
      <w:pPr>
        <w:pStyle w:val="ListParagraph"/>
        <w:numPr>
          <w:ilvl w:val="0"/>
          <w:numId w:val="42"/>
        </w:numPr>
        <w:tabs>
          <w:tab w:pos="649" w:val="left" w:leader="none"/>
          <w:tab w:pos="651" w:val="left" w:leader="none"/>
        </w:tabs>
        <w:spacing w:line="232" w:lineRule="auto" w:before="0" w:after="0"/>
        <w:ind w:left="170" w:right="105" w:firstLine="0"/>
        <w:jc w:val="left"/>
        <w:rPr>
          <w:sz w:val="18"/>
        </w:rPr>
      </w:pPr>
      <w:r>
        <w:rPr>
          <w:color w:val="231F20"/>
          <w:sz w:val="18"/>
        </w:rPr>
        <w:t>This Annex summarises the analysis presented by the Bank staff to the Monetary Policy Committee on 1 April, in advance of its meeting on 7–8 April 1999. At the start of the Committee meeting itself, members were made aware of information that had subsequently become available, and that information is included </w:t>
      </w:r>
      <w:r>
        <w:rPr>
          <w:color w:val="231F20"/>
          <w:spacing w:val="-9"/>
          <w:sz w:val="18"/>
        </w:rPr>
        <w:t>in </w:t>
      </w:r>
      <w:r>
        <w:rPr>
          <w:color w:val="231F20"/>
          <w:sz w:val="18"/>
        </w:rPr>
        <w:t>the Annex.</w:t>
      </w:r>
    </w:p>
    <w:p>
      <w:pPr>
        <w:pStyle w:val="BodyText"/>
        <w:spacing w:before="9"/>
        <w:rPr>
          <w:sz w:val="23"/>
        </w:rPr>
      </w:pPr>
    </w:p>
    <w:p>
      <w:pPr>
        <w:pStyle w:val="Heading3"/>
        <w:numPr>
          <w:ilvl w:val="0"/>
          <w:numId w:val="43"/>
        </w:numPr>
        <w:tabs>
          <w:tab w:pos="649" w:val="left" w:leader="none"/>
          <w:tab w:pos="651" w:val="left" w:leader="none"/>
        </w:tabs>
        <w:spacing w:line="240" w:lineRule="auto" w:before="0" w:after="0"/>
        <w:ind w:left="650" w:right="0" w:hanging="481"/>
        <w:jc w:val="left"/>
      </w:pPr>
      <w:r>
        <w:rPr>
          <w:color w:val="009483"/>
        </w:rPr>
        <w:t>The international</w:t>
      </w:r>
      <w:r>
        <w:rPr>
          <w:color w:val="009483"/>
          <w:spacing w:val="-1"/>
        </w:rPr>
        <w:t> </w:t>
      </w:r>
      <w:r>
        <w:rPr>
          <w:color w:val="009483"/>
        </w:rPr>
        <w:t>economy</w:t>
      </w:r>
    </w:p>
    <w:p>
      <w:pPr>
        <w:pStyle w:val="ListParagraph"/>
        <w:numPr>
          <w:ilvl w:val="0"/>
          <w:numId w:val="42"/>
        </w:numPr>
        <w:tabs>
          <w:tab w:pos="649" w:val="left" w:leader="none"/>
          <w:tab w:pos="651" w:val="left" w:leader="none"/>
        </w:tabs>
        <w:spacing w:line="232" w:lineRule="auto" w:before="149" w:after="0"/>
        <w:ind w:left="170" w:right="60" w:firstLine="0"/>
        <w:jc w:val="left"/>
        <w:rPr>
          <w:sz w:val="18"/>
        </w:rPr>
      </w:pPr>
      <w:r>
        <w:rPr>
          <w:color w:val="231F20"/>
          <w:sz w:val="18"/>
        </w:rPr>
        <w:t>In the United States the final estimate of GDP in 1998 Q4 had been 1.5%, in line with the preliminary estimate. Some </w:t>
      </w:r>
      <w:r>
        <w:rPr>
          <w:color w:val="231F20"/>
          <w:spacing w:val="-3"/>
          <w:sz w:val="18"/>
        </w:rPr>
        <w:t>special </w:t>
      </w:r>
      <w:r>
        <w:rPr>
          <w:color w:val="231F20"/>
          <w:sz w:val="18"/>
        </w:rPr>
        <w:t>factors which may have supported robust growth in Q4, such as the seasonality of trade data, had possibly begun to unwind in Q1. </w:t>
      </w:r>
      <w:r>
        <w:rPr>
          <w:color w:val="231F20"/>
          <w:spacing w:val="-6"/>
          <w:sz w:val="18"/>
        </w:rPr>
        <w:t>The </w:t>
      </w:r>
      <w:r>
        <w:rPr>
          <w:color w:val="231F20"/>
          <w:sz w:val="18"/>
        </w:rPr>
        <w:t>trade deficit had widened to $17.0 billion in January from</w:t>
      </w:r>
    </w:p>
    <w:p>
      <w:pPr>
        <w:pStyle w:val="BodyText"/>
        <w:spacing w:line="232" w:lineRule="auto"/>
        <w:ind w:left="169" w:right="56"/>
      </w:pPr>
      <w:r>
        <w:rPr>
          <w:color w:val="231F20"/>
        </w:rPr>
        <w:t>$14.1 billion in December.  However, other factors supporting rapid growth in Q4 had persisted in early 1999. The outlook for consumption had been little changed: retail sales growth had remained rapid in the first two months of the year and consumer confidence had risen again in March. The N</w:t>
      </w:r>
      <w:r>
        <w:rPr>
          <w:color w:val="231F20"/>
          <w:sz w:val="14"/>
        </w:rPr>
        <w:t>APM </w:t>
      </w:r>
      <w:r>
        <w:rPr>
          <w:color w:val="231F20"/>
        </w:rPr>
        <w:t>index of industrial sentiment had risen further in March. The sharpness of the rise in the N</w:t>
      </w:r>
      <w:r>
        <w:rPr>
          <w:color w:val="231F20"/>
          <w:sz w:val="14"/>
        </w:rPr>
        <w:t>APM </w:t>
      </w:r>
      <w:r>
        <w:rPr>
          <w:color w:val="231F20"/>
        </w:rPr>
        <w:t>index in recent months had suggested at least that the slowdown in industrial production growth might have bottomed out. Employment growth had been strong in February, but had weakened in March. This month-to-month volatility may have reflected some weather-related erratic influences. The unemployment rate had fallen to 4.2% in March. Annual growth in average hourly earnings had continued to ease, falling to 3.6% in March, and consumer price inflation had remained muted. Since the March MPC meeting, market expectations of interest rates in the United States had declined, while equity prices in mid-1999 were expected by the market to be slightly higher.</w:t>
      </w:r>
    </w:p>
    <w:p>
      <w:pPr>
        <w:pStyle w:val="BodyText"/>
        <w:spacing w:before="7"/>
        <w:rPr>
          <w:sz w:val="17"/>
        </w:rPr>
      </w:pPr>
    </w:p>
    <w:p>
      <w:pPr>
        <w:pStyle w:val="ListParagraph"/>
        <w:numPr>
          <w:ilvl w:val="0"/>
          <w:numId w:val="42"/>
        </w:numPr>
        <w:tabs>
          <w:tab w:pos="649" w:val="left" w:leader="none"/>
          <w:tab w:pos="651" w:val="left" w:leader="none"/>
        </w:tabs>
        <w:spacing w:line="232" w:lineRule="auto" w:before="1" w:after="0"/>
        <w:ind w:left="169" w:right="75" w:firstLine="0"/>
        <w:jc w:val="left"/>
        <w:rPr>
          <w:sz w:val="18"/>
        </w:rPr>
      </w:pPr>
      <w:r>
        <w:rPr>
          <w:color w:val="231F20"/>
          <w:sz w:val="18"/>
        </w:rPr>
        <w:t>Within the euro area, Italian GDP had declined by 0.3% in 1998 Q4. This decline had been exaggerated by the smaller number of working days in the quarter compared with Q3, though the data had still revealed unexpected weakness in domestic demand growth. In the euro area as a whole, industrial sentiment had weakened slightly in February. The western German Ifo index had fallen in February to its lowest level since August 1996. Yet consumer confidence had remained buoyant. French retail sales had fallen in February but underlying growth had remained robust. The three-month centred moving average of annual broad money growth in the euro area had risen to 5.1% in January from 4.9% in December. Monthly data showed that year on year growth had slowed to 5.2% in February from 5.6% in January, partly reflecting weaker growth of overnight deposits. Annual growth in the</w:t>
      </w:r>
    </w:p>
    <w:p>
      <w:pPr>
        <w:pStyle w:val="BodyText"/>
        <w:spacing w:line="232" w:lineRule="auto"/>
        <w:ind w:left="169" w:right="114"/>
      </w:pPr>
      <w:r>
        <w:rPr>
          <w:color w:val="231F20"/>
        </w:rPr>
        <w:t>euro-area H</w:t>
      </w:r>
      <w:r>
        <w:rPr>
          <w:color w:val="231F20"/>
          <w:sz w:val="14"/>
        </w:rPr>
        <w:t>ICP </w:t>
      </w:r>
      <w:r>
        <w:rPr>
          <w:color w:val="231F20"/>
        </w:rPr>
        <w:t>had remained at 0.8% in February, and there had been little sign of inflationary pressure from intermediate prices. Since the previous MPC meeting, the euro had depreciated against the dollar and market expectations of short-term interest rates had declined. In its spring forecast, the European Commission had revised down its projections for GDP growth in the euro area in 1999 and 2000, to 2.2% and 2.7% respectively.</w:t>
      </w:r>
    </w:p>
    <w:p>
      <w:pPr>
        <w:pStyle w:val="BodyText"/>
        <w:spacing w:before="11"/>
        <w:rPr>
          <w:sz w:val="15"/>
        </w:rPr>
      </w:pPr>
    </w:p>
    <w:p>
      <w:pPr>
        <w:pStyle w:val="ListParagraph"/>
        <w:numPr>
          <w:ilvl w:val="0"/>
          <w:numId w:val="42"/>
        </w:numPr>
        <w:tabs>
          <w:tab w:pos="649" w:val="left" w:leader="none"/>
          <w:tab w:pos="651" w:val="left" w:leader="none"/>
        </w:tabs>
        <w:spacing w:line="232" w:lineRule="auto" w:before="0" w:after="0"/>
        <w:ind w:left="169" w:right="110" w:firstLine="0"/>
        <w:jc w:val="left"/>
        <w:rPr>
          <w:sz w:val="18"/>
        </w:rPr>
      </w:pPr>
      <w:r>
        <w:rPr>
          <w:color w:val="231F20"/>
          <w:sz w:val="18"/>
        </w:rPr>
        <w:t>Japanese GDP had fallen by 0.8% in 1998 Q4. There had been evidence of earlier fiscal stimulus in the data on government investment, which had contributed 0.9 percentage points to </w:t>
      </w:r>
      <w:r>
        <w:rPr>
          <w:color w:val="231F20"/>
          <w:spacing w:val="-3"/>
          <w:sz w:val="18"/>
        </w:rPr>
        <w:t>growth </w:t>
      </w:r>
      <w:r>
        <w:rPr>
          <w:color w:val="231F20"/>
          <w:sz w:val="18"/>
        </w:rPr>
        <w:t>in that quarter. But all other major components of GDP had remained weak in Q4. In February, the unemployment rate had risen to a record high of 4.6% and inactivity had increased. Employment had continued to fall. In February, personal incomes had continued to decline. Real consumption had fallen by 3.8% in the year to February. The March Tankan survey of industrial sentiment had recorded a slight improvement in business confidence, owing primarily to an easing of financial conditions. But other indicators within the Tankan had remained weak. Since</w:t>
      </w:r>
    </w:p>
    <w:p>
      <w:pPr>
        <w:pStyle w:val="BodyText"/>
        <w:spacing w:before="7"/>
        <w:rPr>
          <w:sz w:val="20"/>
        </w:rPr>
      </w:pPr>
      <w:r>
        <w:rPr/>
        <w:br w:type="column"/>
      </w:r>
      <w:r>
        <w:rPr>
          <w:sz w:val="20"/>
        </w:rPr>
      </w:r>
    </w:p>
    <w:p>
      <w:pPr>
        <w:pStyle w:val="BodyText"/>
        <w:spacing w:line="232" w:lineRule="auto"/>
        <w:ind w:left="169"/>
      </w:pPr>
      <w:r>
        <w:rPr>
          <w:color w:val="231F20"/>
        </w:rPr>
        <w:t>the March MPC meeting, ten-year government bond yields had continued to fall, by around 25 basis points. Market expectations of Japanese short-term interest rates had remained relatively stable, as had the yen.</w:t>
      </w:r>
    </w:p>
    <w:p>
      <w:pPr>
        <w:pStyle w:val="BodyText"/>
        <w:spacing w:before="7"/>
        <w:rPr>
          <w:sz w:val="20"/>
        </w:rPr>
      </w:pPr>
    </w:p>
    <w:p>
      <w:pPr>
        <w:pStyle w:val="ListParagraph"/>
        <w:numPr>
          <w:ilvl w:val="0"/>
          <w:numId w:val="42"/>
        </w:numPr>
        <w:tabs>
          <w:tab w:pos="649" w:val="left" w:leader="none"/>
          <w:tab w:pos="651" w:val="left" w:leader="none"/>
        </w:tabs>
        <w:spacing w:line="232" w:lineRule="auto" w:before="0" w:after="0"/>
        <w:ind w:left="169" w:right="464" w:firstLine="0"/>
        <w:jc w:val="left"/>
        <w:rPr>
          <w:sz w:val="18"/>
        </w:rPr>
      </w:pPr>
      <w:r>
        <w:rPr>
          <w:color w:val="231F20"/>
          <w:sz w:val="18"/>
        </w:rPr>
        <w:t>Spreads on government bonds in emerging markets over US Treasuries had narrowed over the month, although they remained higher in Latin America than in Asian countries.</w:t>
      </w:r>
    </w:p>
    <w:p>
      <w:pPr>
        <w:pStyle w:val="BodyText"/>
        <w:spacing w:line="232" w:lineRule="auto"/>
        <w:ind w:left="169" w:right="208"/>
      </w:pPr>
      <w:r>
        <w:rPr>
          <w:color w:val="231F20"/>
        </w:rPr>
        <w:t>Agreement on a new IMF financial package for Brazil had been reflected in the appreciation of the Brazilian real since the previous MPC meeting. But available data for the first two months of this year had shown that capital flows to emerging markets were unlikely to be markedly larger in Q1 than in Q4.</w:t>
      </w:r>
    </w:p>
    <w:p>
      <w:pPr>
        <w:pStyle w:val="BodyText"/>
        <w:spacing w:before="7"/>
        <w:rPr>
          <w:sz w:val="23"/>
        </w:rPr>
      </w:pPr>
    </w:p>
    <w:p>
      <w:pPr>
        <w:pStyle w:val="Heading3"/>
        <w:numPr>
          <w:ilvl w:val="0"/>
          <w:numId w:val="43"/>
        </w:numPr>
        <w:tabs>
          <w:tab w:pos="650" w:val="left" w:leader="none"/>
          <w:tab w:pos="651" w:val="left" w:leader="none"/>
        </w:tabs>
        <w:spacing w:line="240" w:lineRule="auto" w:before="0" w:after="0"/>
        <w:ind w:left="650" w:right="0" w:hanging="482"/>
        <w:jc w:val="left"/>
      </w:pPr>
      <w:r>
        <w:rPr>
          <w:color w:val="009483"/>
        </w:rPr>
        <w:t>Monetary and financial</w:t>
      </w:r>
      <w:r>
        <w:rPr>
          <w:color w:val="009483"/>
          <w:spacing w:val="-1"/>
        </w:rPr>
        <w:t> </w:t>
      </w:r>
      <w:r>
        <w:rPr>
          <w:color w:val="009483"/>
        </w:rPr>
        <w:t>conditions</w:t>
      </w:r>
    </w:p>
    <w:p>
      <w:pPr>
        <w:pStyle w:val="ListParagraph"/>
        <w:numPr>
          <w:ilvl w:val="0"/>
          <w:numId w:val="42"/>
        </w:numPr>
        <w:tabs>
          <w:tab w:pos="649" w:val="left" w:leader="none"/>
          <w:tab w:pos="651" w:val="left" w:leader="none"/>
        </w:tabs>
        <w:spacing w:line="232" w:lineRule="auto" w:before="129" w:after="0"/>
        <w:ind w:left="169" w:right="174" w:firstLine="0"/>
        <w:jc w:val="left"/>
        <w:rPr>
          <w:sz w:val="18"/>
        </w:rPr>
      </w:pPr>
      <w:r>
        <w:rPr>
          <w:color w:val="231F20"/>
          <w:sz w:val="18"/>
        </w:rPr>
        <w:t>Growth of notes and coin had remained stable in March. After adjusting for the effects of the new 50 pence and £2 coins, </w:t>
      </w:r>
      <w:r>
        <w:rPr>
          <w:color w:val="231F20"/>
          <w:spacing w:val="-6"/>
          <w:sz w:val="18"/>
        </w:rPr>
        <w:t>the </w:t>
      </w:r>
      <w:r>
        <w:rPr>
          <w:color w:val="231F20"/>
          <w:sz w:val="18"/>
        </w:rPr>
        <w:t>one-month growth rate had remained at 0.5%, as in January and February. The annualised three-month growth rate had fallen to 6.0% in March from 6.9% in February.</w:t>
      </w:r>
    </w:p>
    <w:p>
      <w:pPr>
        <w:pStyle w:val="BodyText"/>
        <w:spacing w:before="1"/>
        <w:rPr>
          <w:sz w:val="17"/>
        </w:rPr>
      </w:pPr>
    </w:p>
    <w:p>
      <w:pPr>
        <w:pStyle w:val="ListParagraph"/>
        <w:numPr>
          <w:ilvl w:val="0"/>
          <w:numId w:val="42"/>
        </w:numPr>
        <w:tabs>
          <w:tab w:pos="649" w:val="left" w:leader="none"/>
          <w:tab w:pos="651" w:val="left" w:leader="none"/>
        </w:tabs>
        <w:spacing w:line="232" w:lineRule="auto" w:before="0" w:after="0"/>
        <w:ind w:left="169" w:right="269" w:firstLine="0"/>
        <w:jc w:val="left"/>
        <w:rPr>
          <w:sz w:val="18"/>
        </w:rPr>
      </w:pPr>
      <w:r>
        <w:rPr>
          <w:color w:val="231F20"/>
          <w:sz w:val="18"/>
        </w:rPr>
        <w:t>The stock of M4 had increased by £4.2 billion in February compared with £1.2 billion in January. The February figure included a £3.9 billion rise in repos (not seasonally adjusted). </w:t>
      </w:r>
      <w:r>
        <w:rPr>
          <w:color w:val="231F20"/>
          <w:spacing w:val="-6"/>
          <w:sz w:val="18"/>
        </w:rPr>
        <w:t>The </w:t>
      </w:r>
      <w:r>
        <w:rPr>
          <w:color w:val="231F20"/>
          <w:sz w:val="18"/>
        </w:rPr>
        <w:t>slowdown in annual M4 growth had continued in February: the twelve-month growth rate of M4 had fallen to 7.4%, from 7.7% in January.</w:t>
      </w:r>
    </w:p>
    <w:p>
      <w:pPr>
        <w:pStyle w:val="BodyText"/>
        <w:rPr>
          <w:sz w:val="17"/>
        </w:rPr>
      </w:pPr>
    </w:p>
    <w:p>
      <w:pPr>
        <w:pStyle w:val="ListParagraph"/>
        <w:numPr>
          <w:ilvl w:val="0"/>
          <w:numId w:val="42"/>
        </w:numPr>
        <w:tabs>
          <w:tab w:pos="649" w:val="left" w:leader="none"/>
          <w:tab w:pos="651" w:val="left" w:leader="none"/>
        </w:tabs>
        <w:spacing w:line="232" w:lineRule="auto" w:before="0" w:after="0"/>
        <w:ind w:left="169" w:right="169" w:firstLine="0"/>
        <w:jc w:val="left"/>
        <w:rPr>
          <w:sz w:val="18"/>
        </w:rPr>
      </w:pPr>
      <w:r>
        <w:rPr>
          <w:color w:val="231F20"/>
          <w:sz w:val="18"/>
        </w:rPr>
        <w:t>The growth of M4 lending had been relatively weak in February at £3.6 billion, despite strong reverse repo activity, partly reflecting a substantial securitisation. The twelve-month growth rate of M4 lending had been 6.9% in February compared with 7.8% in January (after adjustment for the securitisation, the </w:t>
      </w:r>
      <w:r>
        <w:rPr>
          <w:color w:val="231F20"/>
          <w:spacing w:val="-2"/>
          <w:sz w:val="18"/>
        </w:rPr>
        <w:t>twelve-month </w:t>
      </w:r>
      <w:r>
        <w:rPr>
          <w:color w:val="231F20"/>
          <w:sz w:val="18"/>
        </w:rPr>
        <w:t>growth rate was 7.1%). This slowdown had partly reflected strong February 1998 figures dropping out of the calculation.</w:t>
      </w:r>
    </w:p>
    <w:p>
      <w:pPr>
        <w:pStyle w:val="BodyText"/>
        <w:spacing w:before="10"/>
        <w:rPr>
          <w:sz w:val="16"/>
        </w:rPr>
      </w:pPr>
    </w:p>
    <w:p>
      <w:pPr>
        <w:pStyle w:val="ListParagraph"/>
        <w:numPr>
          <w:ilvl w:val="0"/>
          <w:numId w:val="42"/>
        </w:numPr>
        <w:tabs>
          <w:tab w:pos="649" w:val="left" w:leader="none"/>
          <w:tab w:pos="651" w:val="left" w:leader="none"/>
        </w:tabs>
        <w:spacing w:line="232" w:lineRule="auto" w:before="1" w:after="0"/>
        <w:ind w:left="169" w:right="194" w:firstLine="0"/>
        <w:jc w:val="left"/>
        <w:rPr>
          <w:sz w:val="18"/>
        </w:rPr>
      </w:pPr>
      <w:r>
        <w:rPr>
          <w:color w:val="231F20"/>
          <w:sz w:val="18"/>
        </w:rPr>
        <w:t>Private non-financial corporations’ (P</w:t>
      </w:r>
      <w:r>
        <w:rPr>
          <w:color w:val="231F20"/>
          <w:sz w:val="14"/>
        </w:rPr>
        <w:t>NFC</w:t>
      </w:r>
      <w:r>
        <w:rPr>
          <w:color w:val="231F20"/>
          <w:sz w:val="18"/>
        </w:rPr>
        <w:t>s’) holdings of M4 had grown by 1.6% in February. The strong flow had been distorted by the proceeds of a large corporate debt issue being held on deposit. Excluding the estimated effects of this issue, the twelve-month growth rate had risen to 6.2% in February from </w:t>
      </w:r>
      <w:r>
        <w:rPr>
          <w:color w:val="231F20"/>
          <w:spacing w:val="-5"/>
          <w:sz w:val="18"/>
        </w:rPr>
        <w:t>5.8% </w:t>
      </w:r>
      <w:r>
        <w:rPr>
          <w:color w:val="231F20"/>
          <w:sz w:val="18"/>
        </w:rPr>
        <w:t>in January. When adjusted in the same way, the three and</w:t>
      </w:r>
    </w:p>
    <w:p>
      <w:pPr>
        <w:pStyle w:val="BodyText"/>
        <w:spacing w:line="232" w:lineRule="auto"/>
        <w:ind w:left="169" w:right="183"/>
      </w:pPr>
      <w:r>
        <w:rPr>
          <w:color w:val="231F20"/>
        </w:rPr>
        <w:t>six-month growth rates in February had fallen below their rates in January. M4 lending to P</w:t>
      </w:r>
      <w:r>
        <w:rPr>
          <w:color w:val="231F20"/>
          <w:sz w:val="14"/>
        </w:rPr>
        <w:t>NFC</w:t>
      </w:r>
      <w:r>
        <w:rPr>
          <w:color w:val="231F20"/>
        </w:rPr>
        <w:t>s had fallen by £0.2 billion in February. Analysis by Bank staff had suggested that the coincident pick-up in the growth of P</w:t>
      </w:r>
      <w:r>
        <w:rPr>
          <w:color w:val="231F20"/>
          <w:sz w:val="14"/>
        </w:rPr>
        <w:t>NFC</w:t>
      </w:r>
      <w:r>
        <w:rPr>
          <w:color w:val="231F20"/>
        </w:rPr>
        <w:t>s’ M4 lending and slowdown in M4 deposits over the previous six months might have been due to the strength of business investment in 1998 H2. The same analysis had indicated that the current level of P</w:t>
      </w:r>
      <w:r>
        <w:rPr>
          <w:color w:val="231F20"/>
          <w:sz w:val="14"/>
        </w:rPr>
        <w:t>NFC</w:t>
      </w:r>
      <w:r>
        <w:rPr>
          <w:color w:val="231F20"/>
        </w:rPr>
        <w:t>s’ M4 deposits and lending might suggest that business investment would remain relatively robust this year.</w:t>
      </w:r>
    </w:p>
    <w:p>
      <w:pPr>
        <w:pStyle w:val="BodyText"/>
        <w:spacing w:before="4"/>
        <w:rPr>
          <w:sz w:val="16"/>
        </w:rPr>
      </w:pPr>
    </w:p>
    <w:p>
      <w:pPr>
        <w:pStyle w:val="ListParagraph"/>
        <w:numPr>
          <w:ilvl w:val="0"/>
          <w:numId w:val="42"/>
        </w:numPr>
        <w:tabs>
          <w:tab w:pos="649" w:val="left" w:leader="none"/>
          <w:tab w:pos="651" w:val="left" w:leader="none"/>
        </w:tabs>
        <w:spacing w:line="232" w:lineRule="auto" w:before="0" w:after="0"/>
        <w:ind w:left="170" w:right="203" w:firstLine="0"/>
        <w:jc w:val="left"/>
        <w:rPr>
          <w:sz w:val="18"/>
        </w:rPr>
      </w:pPr>
      <w:r>
        <w:rPr>
          <w:color w:val="231F20"/>
          <w:sz w:val="18"/>
        </w:rPr>
        <w:t>Households’ holdings of M4 had increased by £2.0 billion </w:t>
      </w:r>
      <w:r>
        <w:rPr>
          <w:color w:val="231F20"/>
          <w:spacing w:val="-9"/>
          <w:sz w:val="18"/>
        </w:rPr>
        <w:t>in </w:t>
      </w:r>
      <w:r>
        <w:rPr>
          <w:color w:val="231F20"/>
          <w:sz w:val="18"/>
        </w:rPr>
        <w:t>February, compared with an increase of £1.9 billion in January. The weak figure for January had been attributed, in part, to the effects of concentrated income tax payments following the introduction of self-assessment. While it was possible that these effects had also been present in the February data, the new information might imply a more general slowdown. Households’ M4 borrowing had remained steady at £3.2 billion in February. Total lending to individuals had increased by 0.6% in February, much the same as the average since February 1998. Within individuals’ lending, secured lending had increased by 0.5% in February. Again this was broadly in line with one-month</w:t>
      </w:r>
    </w:p>
    <w:p>
      <w:pPr>
        <w:pStyle w:val="BodyText"/>
        <w:spacing w:line="193" w:lineRule="exact"/>
        <w:ind w:left="170"/>
      </w:pPr>
      <w:r>
        <w:rPr>
          <w:color w:val="231F20"/>
        </w:rPr>
        <w:t>changes since February 1998. But the one-month growth rate</w:t>
      </w:r>
    </w:p>
    <w:p>
      <w:pPr>
        <w:spacing w:after="0" w:line="193" w:lineRule="exact"/>
        <w:sectPr>
          <w:type w:val="continuous"/>
          <w:pgSz w:w="11900" w:h="16840"/>
          <w:pgMar w:top="1220" w:bottom="280" w:left="640" w:right="640"/>
          <w:cols w:num="2" w:equalWidth="0">
            <w:col w:w="5092" w:space="293"/>
            <w:col w:w="5235"/>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BodyText"/>
        <w:spacing w:line="232" w:lineRule="auto" w:before="1"/>
        <w:ind w:left="160" w:right="231"/>
      </w:pPr>
      <w:r>
        <w:rPr>
          <w:color w:val="231F20"/>
        </w:rPr>
        <w:t>of unsecured lending had fallen from 1.3% in January to 0.9% in February.</w:t>
      </w:r>
    </w:p>
    <w:p>
      <w:pPr>
        <w:pStyle w:val="BodyText"/>
        <w:spacing w:before="2"/>
        <w:rPr>
          <w:sz w:val="17"/>
        </w:rPr>
      </w:pPr>
    </w:p>
    <w:p>
      <w:pPr>
        <w:pStyle w:val="ListParagraph"/>
        <w:numPr>
          <w:ilvl w:val="0"/>
          <w:numId w:val="42"/>
        </w:numPr>
        <w:tabs>
          <w:tab w:pos="639" w:val="left" w:leader="none"/>
          <w:tab w:pos="641" w:val="left" w:leader="none"/>
        </w:tabs>
        <w:spacing w:line="232" w:lineRule="auto" w:before="1" w:after="0"/>
        <w:ind w:left="160" w:right="38" w:firstLine="0"/>
        <w:jc w:val="left"/>
        <w:rPr>
          <w:sz w:val="18"/>
        </w:rPr>
      </w:pPr>
      <w:r>
        <w:rPr>
          <w:color w:val="231F20"/>
          <w:sz w:val="18"/>
        </w:rPr>
        <w:t>The stock of M4 held by other financial corporations </w:t>
      </w:r>
      <w:r>
        <w:rPr>
          <w:color w:val="231F20"/>
          <w:spacing w:val="-3"/>
          <w:sz w:val="18"/>
        </w:rPr>
        <w:t>(OFCs) </w:t>
      </w:r>
      <w:r>
        <w:rPr>
          <w:color w:val="231F20"/>
          <w:sz w:val="18"/>
        </w:rPr>
        <w:t>had increased by £0.3 billion in February compared with a fall of</w:t>
      </w:r>
    </w:p>
    <w:p>
      <w:pPr>
        <w:pStyle w:val="BodyText"/>
        <w:spacing w:line="232" w:lineRule="auto"/>
        <w:ind w:left="160" w:right="50"/>
      </w:pPr>
      <w:r>
        <w:rPr>
          <w:color w:val="231F20"/>
        </w:rPr>
        <w:t>£1.8 billion in January. The twelve-month growth rate in OFCs’ M4 had fallen to its lowest level since 1995 Q1. M4 lending to OFCs had increased to £1.7 billion in February from £0.3 billion in January.</w:t>
      </w:r>
    </w:p>
    <w:p>
      <w:pPr>
        <w:pStyle w:val="BodyText"/>
        <w:spacing w:before="11"/>
        <w:rPr>
          <w:sz w:val="16"/>
        </w:rPr>
      </w:pPr>
    </w:p>
    <w:p>
      <w:pPr>
        <w:pStyle w:val="ListParagraph"/>
        <w:numPr>
          <w:ilvl w:val="0"/>
          <w:numId w:val="42"/>
        </w:numPr>
        <w:tabs>
          <w:tab w:pos="639" w:val="left" w:leader="none"/>
          <w:tab w:pos="641" w:val="left" w:leader="none"/>
        </w:tabs>
        <w:spacing w:line="232" w:lineRule="auto" w:before="0" w:after="0"/>
        <w:ind w:left="160" w:right="53" w:firstLine="0"/>
        <w:jc w:val="left"/>
        <w:rPr>
          <w:sz w:val="18"/>
        </w:rPr>
      </w:pPr>
      <w:r>
        <w:rPr>
          <w:color w:val="231F20"/>
          <w:sz w:val="18"/>
        </w:rPr>
        <w:t>Turning to price indicators of monetary conditions, sterling interest rate expectations had fallen since the March MPC decision. Short-term interest rates had implied that financial market participants expected the repo rate to fall to around 5% during 1999. Longer-term nominal interest rates had also fallen:</w:t>
      </w:r>
    </w:p>
    <w:p>
      <w:pPr>
        <w:pStyle w:val="BodyText"/>
        <w:spacing w:line="232" w:lineRule="auto"/>
        <w:ind w:left="160" w:right="106"/>
      </w:pPr>
      <w:r>
        <w:rPr>
          <w:color w:val="231F20"/>
        </w:rPr>
        <w:t>three-year forward rates had fallen by around 20 basis points since the March MPC meeting. The falls had been concentrated at the short end of the yield curve.</w:t>
      </w:r>
    </w:p>
    <w:p>
      <w:pPr>
        <w:pStyle w:val="BodyText"/>
        <w:spacing w:before="10"/>
        <w:rPr>
          <w:sz w:val="16"/>
        </w:rPr>
      </w:pPr>
    </w:p>
    <w:p>
      <w:pPr>
        <w:pStyle w:val="ListParagraph"/>
        <w:numPr>
          <w:ilvl w:val="0"/>
          <w:numId w:val="42"/>
        </w:numPr>
        <w:tabs>
          <w:tab w:pos="639" w:val="left" w:leader="none"/>
          <w:tab w:pos="641" w:val="left" w:leader="none"/>
        </w:tabs>
        <w:spacing w:line="232" w:lineRule="auto" w:before="0" w:after="0"/>
        <w:ind w:left="159" w:right="58" w:firstLine="0"/>
        <w:jc w:val="left"/>
        <w:rPr>
          <w:sz w:val="18"/>
        </w:rPr>
      </w:pPr>
      <w:r>
        <w:rPr>
          <w:color w:val="231F20"/>
          <w:sz w:val="18"/>
        </w:rPr>
        <w:t>Measures of short-term inflation expectations from monthly surveys had remained broadly unchanged at 2.2% to 2.3%. Measures of two-year inflation expectations from quarterly </w:t>
      </w:r>
      <w:r>
        <w:rPr>
          <w:color w:val="231F20"/>
          <w:spacing w:val="-3"/>
          <w:sz w:val="18"/>
        </w:rPr>
        <w:t>surveys </w:t>
      </w:r>
      <w:r>
        <w:rPr>
          <w:color w:val="231F20"/>
          <w:sz w:val="18"/>
        </w:rPr>
        <w:t>had shown falls for almost all groups surveyed: for example, the Barclays Basix survey had reported that trade unions’ average RPI inflation expectations for the next two years had fallen by 40 basis points since the 1998 Q4 survey. Inflation forward rates, derived from index-linked bond yields, had shown little change since the March MPC meeting. Since the February </w:t>
      </w:r>
      <w:r>
        <w:rPr>
          <w:i/>
          <w:color w:val="231F20"/>
          <w:sz w:val="18"/>
        </w:rPr>
        <w:t>Inflation Report</w:t>
      </w:r>
      <w:r>
        <w:rPr>
          <w:color w:val="231F20"/>
          <w:sz w:val="18"/>
        </w:rPr>
        <w:t>, however, inflation forward rates at all maturities had risen from a range of 2.5% to 2.9% to around 3%. One explanation offered by Bank staff was that nominal yields may have been artificially depressed earlier this year as a result of institutional investors’ demand to hold liquid instruments.</w:t>
      </w:r>
    </w:p>
    <w:p>
      <w:pPr>
        <w:pStyle w:val="BodyText"/>
        <w:spacing w:before="5"/>
        <w:rPr>
          <w:sz w:val="16"/>
        </w:rPr>
      </w:pPr>
    </w:p>
    <w:p>
      <w:pPr>
        <w:pStyle w:val="ListParagraph"/>
        <w:numPr>
          <w:ilvl w:val="0"/>
          <w:numId w:val="42"/>
        </w:numPr>
        <w:tabs>
          <w:tab w:pos="639" w:val="left" w:leader="none"/>
          <w:tab w:pos="641" w:val="left" w:leader="none"/>
        </w:tabs>
        <w:spacing w:line="232" w:lineRule="auto" w:before="0" w:after="0"/>
        <w:ind w:left="159" w:right="88" w:firstLine="0"/>
        <w:jc w:val="left"/>
        <w:rPr>
          <w:sz w:val="18"/>
        </w:rPr>
      </w:pPr>
      <w:r>
        <w:rPr>
          <w:color w:val="231F20"/>
          <w:sz w:val="18"/>
        </w:rPr>
        <w:t>The F</w:t>
      </w:r>
      <w:r>
        <w:rPr>
          <w:color w:val="231F20"/>
          <w:sz w:val="14"/>
        </w:rPr>
        <w:t>T-SE </w:t>
      </w:r>
      <w:r>
        <w:rPr>
          <w:color w:val="231F20"/>
          <w:sz w:val="18"/>
        </w:rPr>
        <w:t>100 index had risen by 6.8% since the March MPC meeting. Implied volatility had fallen further, and to below the levels seen before the Russian debt crisis. The F</w:t>
      </w:r>
      <w:r>
        <w:rPr>
          <w:color w:val="231F20"/>
          <w:sz w:val="14"/>
        </w:rPr>
        <w:t>T-SE </w:t>
      </w:r>
      <w:r>
        <w:rPr>
          <w:color w:val="231F20"/>
          <w:sz w:val="18"/>
        </w:rPr>
        <w:t>SmallCap index had risen more than the rest of the market, reflecting in part the strength of the General industrials sector over the period. The Resources sector had also performed very strongly alongside the rise in oil prices.</w:t>
      </w:r>
    </w:p>
    <w:p>
      <w:pPr>
        <w:pStyle w:val="BodyText"/>
        <w:spacing w:before="10"/>
        <w:rPr>
          <w:sz w:val="16"/>
        </w:rPr>
      </w:pPr>
    </w:p>
    <w:p>
      <w:pPr>
        <w:pStyle w:val="ListParagraph"/>
        <w:numPr>
          <w:ilvl w:val="0"/>
          <w:numId w:val="42"/>
        </w:numPr>
        <w:tabs>
          <w:tab w:pos="639" w:val="left" w:leader="none"/>
          <w:tab w:pos="641" w:val="left" w:leader="none"/>
        </w:tabs>
        <w:spacing w:line="232" w:lineRule="auto" w:before="1" w:after="0"/>
        <w:ind w:left="159" w:right="38" w:firstLine="0"/>
        <w:jc w:val="left"/>
        <w:rPr>
          <w:sz w:val="18"/>
        </w:rPr>
      </w:pPr>
      <w:r>
        <w:rPr>
          <w:color w:val="231F20"/>
          <w:sz w:val="18"/>
        </w:rPr>
        <w:t>The effective exchange rate had fallen in recent days, after an earlier appreciation, to stand 0.3% lower than at the March </w:t>
      </w:r>
      <w:r>
        <w:rPr>
          <w:color w:val="231F20"/>
          <w:spacing w:val="-6"/>
          <w:sz w:val="18"/>
        </w:rPr>
        <w:t>MPC </w:t>
      </w:r>
      <w:r>
        <w:rPr>
          <w:color w:val="231F20"/>
          <w:sz w:val="18"/>
        </w:rPr>
        <w:t>meeting. Sterling had changed little against the euro and had depreciated slightly against the US dollar.</w:t>
      </w:r>
    </w:p>
    <w:p>
      <w:pPr>
        <w:pStyle w:val="BodyText"/>
        <w:spacing w:before="4"/>
        <w:rPr>
          <w:sz w:val="20"/>
        </w:rPr>
      </w:pPr>
    </w:p>
    <w:p>
      <w:pPr>
        <w:pStyle w:val="Heading3"/>
        <w:numPr>
          <w:ilvl w:val="0"/>
          <w:numId w:val="43"/>
        </w:numPr>
        <w:tabs>
          <w:tab w:pos="640" w:val="left" w:leader="none"/>
          <w:tab w:pos="641" w:val="left" w:leader="none"/>
        </w:tabs>
        <w:spacing w:line="240" w:lineRule="auto" w:before="0" w:after="0"/>
        <w:ind w:left="640" w:right="0" w:hanging="481"/>
        <w:jc w:val="left"/>
      </w:pPr>
      <w:r>
        <w:rPr>
          <w:color w:val="009483"/>
        </w:rPr>
        <w:t>The Budget</w:t>
      </w:r>
    </w:p>
    <w:p>
      <w:pPr>
        <w:pStyle w:val="ListParagraph"/>
        <w:numPr>
          <w:ilvl w:val="0"/>
          <w:numId w:val="42"/>
        </w:numPr>
        <w:tabs>
          <w:tab w:pos="639" w:val="left" w:leader="none"/>
          <w:tab w:pos="641" w:val="left" w:leader="none"/>
        </w:tabs>
        <w:spacing w:line="232" w:lineRule="auto" w:before="110" w:after="0"/>
        <w:ind w:left="159" w:right="163" w:firstLine="0"/>
        <w:jc w:val="left"/>
        <w:rPr>
          <w:sz w:val="18"/>
        </w:rPr>
      </w:pPr>
      <w:r>
        <w:rPr>
          <w:color w:val="231F20"/>
          <w:sz w:val="18"/>
        </w:rPr>
        <w:t>Staff presented a short summary of the Chancellor’s recent Budget. HM Treasury’s forecast of P</w:t>
      </w:r>
      <w:r>
        <w:rPr>
          <w:color w:val="231F20"/>
          <w:sz w:val="14"/>
        </w:rPr>
        <w:t>SNB </w:t>
      </w:r>
      <w:r>
        <w:rPr>
          <w:color w:val="231F20"/>
          <w:sz w:val="18"/>
        </w:rPr>
        <w:t>(including the windfall tax) for 1998/99 had been revised up slightly. Lower receipts </w:t>
      </w:r>
      <w:r>
        <w:rPr>
          <w:color w:val="231F20"/>
          <w:spacing w:val="-6"/>
          <w:sz w:val="18"/>
        </w:rPr>
        <w:t>had </w:t>
      </w:r>
      <w:r>
        <w:rPr>
          <w:color w:val="231F20"/>
          <w:sz w:val="18"/>
        </w:rPr>
        <w:t>more than off-set lower spending. The Budget had announced measures that would increase borrowing by £1 billion in 1999/00,</w:t>
      </w:r>
    </w:p>
    <w:p>
      <w:pPr>
        <w:pStyle w:val="BodyText"/>
        <w:spacing w:line="232" w:lineRule="auto"/>
        <w:ind w:left="159" w:right="46"/>
      </w:pPr>
      <w:r>
        <w:rPr>
          <w:color w:val="231F20"/>
        </w:rPr>
        <w:t>£1.4 billion in 2000/01 and £3.6 billion in 2001/02.  However, other changes to HM Treasury’s forecasts for spending and </w:t>
      </w:r>
      <w:r>
        <w:rPr>
          <w:color w:val="231F20"/>
          <w:spacing w:val="-3"/>
        </w:rPr>
        <w:t>receipts </w:t>
      </w:r>
      <w:r>
        <w:rPr>
          <w:color w:val="231F20"/>
        </w:rPr>
        <w:t>over these years had led to lower projected borrowing over the same period.  Lower forecasts for social security payments and debt interest payments had more than offset lower projected receipts.</w:t>
      </w:r>
    </w:p>
    <w:p>
      <w:pPr>
        <w:pStyle w:val="BodyText"/>
        <w:spacing w:before="7"/>
        <w:rPr>
          <w:sz w:val="16"/>
        </w:rPr>
      </w:pPr>
    </w:p>
    <w:p>
      <w:pPr>
        <w:pStyle w:val="ListParagraph"/>
        <w:numPr>
          <w:ilvl w:val="0"/>
          <w:numId w:val="42"/>
        </w:numPr>
        <w:tabs>
          <w:tab w:pos="639" w:val="left" w:leader="none"/>
          <w:tab w:pos="641" w:val="left" w:leader="none"/>
        </w:tabs>
        <w:spacing w:line="232" w:lineRule="auto" w:before="0" w:after="0"/>
        <w:ind w:left="159" w:right="153" w:firstLine="0"/>
        <w:jc w:val="left"/>
        <w:rPr>
          <w:sz w:val="18"/>
        </w:rPr>
      </w:pPr>
      <w:r>
        <w:rPr>
          <w:color w:val="231F20"/>
          <w:sz w:val="18"/>
        </w:rPr>
        <w:t>Overall, the outlook for the fiscal stance was little changed since the </w:t>
      </w:r>
      <w:r>
        <w:rPr>
          <w:i/>
          <w:color w:val="231F20"/>
          <w:sz w:val="18"/>
        </w:rPr>
        <w:t>Pre-Budget Report</w:t>
      </w:r>
      <w:r>
        <w:rPr>
          <w:color w:val="231F20"/>
          <w:sz w:val="18"/>
        </w:rPr>
        <w:t>: a small deficit had still been projected in 1999/00 and 2000/01 but this was cyclical in nature; the structural deficit had been projected to be broadly balanced. The ‘Golden Rule’ was expected to be met with a small margin </w:t>
      </w:r>
      <w:r>
        <w:rPr>
          <w:color w:val="231F20"/>
          <w:spacing w:val="-9"/>
          <w:sz w:val="18"/>
        </w:rPr>
        <w:t>of </w:t>
      </w:r>
      <w:r>
        <w:rPr>
          <w:color w:val="231F20"/>
          <w:sz w:val="18"/>
        </w:rPr>
        <w:t>safety over the next three years. The net debt to GDP ratio had been projected to fall well below 40% by 2001/02.</w:t>
      </w:r>
    </w:p>
    <w:p>
      <w:pPr>
        <w:pStyle w:val="BodyText"/>
        <w:spacing w:before="10"/>
        <w:rPr>
          <w:sz w:val="16"/>
        </w:rPr>
      </w:pPr>
    </w:p>
    <w:p>
      <w:pPr>
        <w:pStyle w:val="ListParagraph"/>
        <w:numPr>
          <w:ilvl w:val="0"/>
          <w:numId w:val="42"/>
        </w:numPr>
        <w:tabs>
          <w:tab w:pos="639" w:val="left" w:leader="none"/>
          <w:tab w:pos="641" w:val="left" w:leader="none"/>
        </w:tabs>
        <w:spacing w:line="232" w:lineRule="auto" w:before="1" w:after="0"/>
        <w:ind w:left="159" w:right="202" w:firstLine="0"/>
        <w:jc w:val="left"/>
        <w:rPr>
          <w:sz w:val="18"/>
        </w:rPr>
      </w:pPr>
      <w:r>
        <w:rPr>
          <w:color w:val="231F20"/>
          <w:sz w:val="18"/>
        </w:rPr>
        <w:t>The Budget measures had been aimed at targeting help on families with children, improving work incentives and promoting enterprise through microeconomic reform. These had included</w:t>
      </w:r>
    </w:p>
    <w:p>
      <w:pPr>
        <w:pStyle w:val="BodyText"/>
        <w:spacing w:before="7"/>
        <w:rPr>
          <w:sz w:val="19"/>
        </w:rPr>
      </w:pPr>
      <w:r>
        <w:rPr/>
        <w:br w:type="column"/>
      </w:r>
      <w:r>
        <w:rPr>
          <w:sz w:val="19"/>
        </w:rPr>
      </w:r>
    </w:p>
    <w:p>
      <w:pPr>
        <w:pStyle w:val="BodyText"/>
        <w:spacing w:line="232" w:lineRule="auto" w:before="1"/>
        <w:ind w:left="159" w:right="652"/>
      </w:pPr>
      <w:r>
        <w:rPr>
          <w:color w:val="231F20"/>
        </w:rPr>
        <w:t>reductions in personal income tax rates; changes to National Insurance contributions; measures to reduce taxation for small businesses; and the introduction of a Children’s Tax</w:t>
      </w:r>
    </w:p>
    <w:p>
      <w:pPr>
        <w:pStyle w:val="BodyText"/>
        <w:spacing w:line="232" w:lineRule="auto"/>
        <w:ind w:left="159" w:right="496"/>
      </w:pPr>
      <w:r>
        <w:rPr>
          <w:color w:val="231F20"/>
        </w:rPr>
        <w:t>Credit along with increases in existing benefits to families with children.</w:t>
      </w:r>
    </w:p>
    <w:p>
      <w:pPr>
        <w:pStyle w:val="BodyText"/>
        <w:spacing w:before="3"/>
        <w:rPr>
          <w:sz w:val="20"/>
        </w:rPr>
      </w:pPr>
    </w:p>
    <w:p>
      <w:pPr>
        <w:pStyle w:val="Heading3"/>
        <w:numPr>
          <w:ilvl w:val="0"/>
          <w:numId w:val="43"/>
        </w:numPr>
        <w:tabs>
          <w:tab w:pos="640" w:val="left" w:leader="none"/>
          <w:tab w:pos="641" w:val="left" w:leader="none"/>
        </w:tabs>
        <w:spacing w:line="240" w:lineRule="auto" w:before="0" w:after="0"/>
        <w:ind w:left="640" w:right="0" w:hanging="481"/>
        <w:jc w:val="left"/>
      </w:pPr>
      <w:r>
        <w:rPr>
          <w:color w:val="009483"/>
        </w:rPr>
        <w:t>Demand and output</w:t>
      </w:r>
    </w:p>
    <w:p>
      <w:pPr>
        <w:pStyle w:val="ListParagraph"/>
        <w:numPr>
          <w:ilvl w:val="0"/>
          <w:numId w:val="42"/>
        </w:numPr>
        <w:tabs>
          <w:tab w:pos="639" w:val="left" w:leader="none"/>
          <w:tab w:pos="641" w:val="left" w:leader="none"/>
        </w:tabs>
        <w:spacing w:line="232" w:lineRule="auto" w:before="110" w:after="0"/>
        <w:ind w:left="160" w:right="209" w:firstLine="0"/>
        <w:jc w:val="left"/>
        <w:rPr>
          <w:sz w:val="18"/>
        </w:rPr>
      </w:pPr>
      <w:r>
        <w:rPr>
          <w:color w:val="231F20"/>
          <w:sz w:val="18"/>
        </w:rPr>
        <w:t>The 1998 Q4 National Accounts release had included revisions back to 1997 Q1. The level of GDP at constant market prices in 1998 Q4 had been 0.3 percentage points lower than the February estimate, and 0.5 percentage points lower than the preliminary estimate. Revisions to GDP at constant basic prices had been more limited. Downward revisions to the level of the income and output based measures of GDP had reduced the shortfall of expenditure relative to the average measure. In 1998 </w:t>
      </w:r>
      <w:r>
        <w:rPr>
          <w:color w:val="231F20"/>
          <w:spacing w:val="-9"/>
          <w:sz w:val="18"/>
        </w:rPr>
        <w:t>as </w:t>
      </w:r>
      <w:r>
        <w:rPr>
          <w:color w:val="231F20"/>
          <w:sz w:val="18"/>
        </w:rPr>
        <w:t>a whole, GDP had grown by 2.1% (revised from 2.3%) compared with 3.5% (unrevised) in 1997. The quarterly growth rate of GDP at constant market prices in Q4 had been revised down to 0.1% from 0.2%. Within the expenditure measure of GDP, upward revisions to consumption and investment growth and the contribution of net trade had been matched by a large downward revision to changes in inventories.</w:t>
      </w:r>
    </w:p>
    <w:p>
      <w:pPr>
        <w:pStyle w:val="BodyText"/>
        <w:spacing w:before="4"/>
        <w:rPr>
          <w:sz w:val="16"/>
        </w:rPr>
      </w:pPr>
    </w:p>
    <w:p>
      <w:pPr>
        <w:pStyle w:val="ListParagraph"/>
        <w:numPr>
          <w:ilvl w:val="0"/>
          <w:numId w:val="42"/>
        </w:numPr>
        <w:tabs>
          <w:tab w:pos="639" w:val="left" w:leader="none"/>
          <w:tab w:pos="641" w:val="left" w:leader="none"/>
        </w:tabs>
        <w:spacing w:line="232" w:lineRule="auto" w:before="0" w:after="0"/>
        <w:ind w:left="160" w:right="164" w:firstLine="0"/>
        <w:jc w:val="left"/>
        <w:rPr>
          <w:sz w:val="18"/>
        </w:rPr>
      </w:pPr>
      <w:r>
        <w:rPr>
          <w:color w:val="231F20"/>
          <w:sz w:val="18"/>
        </w:rPr>
        <w:t>Household spending growth in Q4 had been revised up to 0.6% from 0.4%, following an outturn of 0.1% in Q3. Spending on vehicles and energy had been particularly volatile in Q3 and Q4. Household spending growth had slowed overall in 1998: the annualised rate of growth had eased to 1.2% in 1998 H2 from 3.0% in H1. Despite strong consumption growth, the household saving ratio in Q4 had risen to 7.4% from 6.3%. This had reflected a sharp decline in tax payments which had led to an increase of 1.8% in post-tax income. Compensation of employees had risen by 1.5% in nominal terms in Q4. The erratic path of tax payments and household income during 1998 had partly been related to the introduction of self-assessment. The level of tax payments made </w:t>
      </w:r>
      <w:r>
        <w:rPr>
          <w:color w:val="231F20"/>
          <w:spacing w:val="-9"/>
          <w:sz w:val="18"/>
        </w:rPr>
        <w:t>by </w:t>
      </w:r>
      <w:r>
        <w:rPr>
          <w:color w:val="231F20"/>
          <w:sz w:val="18"/>
        </w:rPr>
        <w:t>households had risen sharply in 1998 by 17%, leading to virtually no growth in real post-tax household income.</w:t>
      </w:r>
    </w:p>
    <w:p>
      <w:pPr>
        <w:pStyle w:val="BodyText"/>
        <w:spacing w:before="5"/>
        <w:rPr>
          <w:sz w:val="16"/>
        </w:rPr>
      </w:pPr>
    </w:p>
    <w:p>
      <w:pPr>
        <w:pStyle w:val="ListParagraph"/>
        <w:numPr>
          <w:ilvl w:val="0"/>
          <w:numId w:val="42"/>
        </w:numPr>
        <w:tabs>
          <w:tab w:pos="639" w:val="left" w:leader="none"/>
          <w:tab w:pos="641" w:val="left" w:leader="none"/>
        </w:tabs>
        <w:spacing w:line="232" w:lineRule="auto" w:before="0" w:after="0"/>
        <w:ind w:left="160" w:right="164" w:firstLine="0"/>
        <w:jc w:val="left"/>
        <w:rPr>
          <w:sz w:val="18"/>
        </w:rPr>
      </w:pPr>
      <w:r>
        <w:rPr>
          <w:color w:val="231F20"/>
          <w:sz w:val="18"/>
        </w:rPr>
        <w:t>Whole economy investment growth in Q4 had been revised upwards to 2.9% from 2.0%. Business investment had grown by 5.5%. The ratio of business investment to GDP had increased sharply in recent years—in line with the ratio in the US—to exceed its previous peak in 1989 Q3. But the increase in the capital stock to output ratio had been more moderate. In both the UK and the </w:t>
      </w:r>
      <w:r>
        <w:rPr>
          <w:color w:val="231F20"/>
          <w:spacing w:val="-9"/>
          <w:sz w:val="18"/>
        </w:rPr>
        <w:t>US </w:t>
      </w:r>
      <w:r>
        <w:rPr>
          <w:color w:val="231F20"/>
          <w:sz w:val="18"/>
        </w:rPr>
        <w:t>part of the recent strength in business investment was due to IT spending.</w:t>
      </w:r>
    </w:p>
    <w:p>
      <w:pPr>
        <w:pStyle w:val="BodyText"/>
        <w:spacing w:before="5"/>
        <w:rPr>
          <w:sz w:val="16"/>
        </w:rPr>
      </w:pPr>
    </w:p>
    <w:p>
      <w:pPr>
        <w:pStyle w:val="ListParagraph"/>
        <w:numPr>
          <w:ilvl w:val="0"/>
          <w:numId w:val="42"/>
        </w:numPr>
        <w:tabs>
          <w:tab w:pos="639" w:val="left" w:leader="none"/>
          <w:tab w:pos="641" w:val="left" w:leader="none"/>
        </w:tabs>
        <w:spacing w:line="203" w:lineRule="exact" w:before="0" w:after="0"/>
        <w:ind w:left="640" w:right="0" w:hanging="481"/>
        <w:jc w:val="left"/>
        <w:rPr>
          <w:sz w:val="18"/>
        </w:rPr>
      </w:pPr>
      <w:r>
        <w:rPr>
          <w:color w:val="231F20"/>
          <w:sz w:val="18"/>
        </w:rPr>
        <w:t>Changes in inventories in Q4 had been revised downwards to</w:t>
      </w:r>
    </w:p>
    <w:p>
      <w:pPr>
        <w:pStyle w:val="BodyText"/>
        <w:spacing w:line="232" w:lineRule="auto" w:before="2"/>
        <w:ind w:left="160" w:right="199"/>
      </w:pPr>
      <w:r>
        <w:rPr>
          <w:color w:val="231F20"/>
        </w:rPr>
        <w:t>£0.9 billion from £1.9 billion. If alignment adjustments are excluded, stockbuilding had increased by less in Q4 than in Q3. The revisions had been concentrated in ‘other industries’ and manufacturing. Manufacturers and retailers had destocked in Q4, consistent with earlier survey evidence. But lower stockbuilding had been to some extent offset by a downward revision to output </w:t>
      </w:r>
      <w:r>
        <w:rPr>
          <w:color w:val="231F20"/>
          <w:spacing w:val="-9"/>
        </w:rPr>
        <w:t>so </w:t>
      </w:r>
      <w:r>
        <w:rPr>
          <w:color w:val="231F20"/>
        </w:rPr>
        <w:t>that the stock-output ratio had been little changed. The March CBI monthly Industrial Trends survey had continued to indicate that stocks were more than adequate: the balance had been +20, above its average of +13 since 1985.</w:t>
      </w:r>
    </w:p>
    <w:p>
      <w:pPr>
        <w:pStyle w:val="BodyText"/>
        <w:spacing w:before="8"/>
        <w:rPr>
          <w:sz w:val="16"/>
        </w:rPr>
      </w:pPr>
    </w:p>
    <w:p>
      <w:pPr>
        <w:pStyle w:val="ListParagraph"/>
        <w:numPr>
          <w:ilvl w:val="0"/>
          <w:numId w:val="42"/>
        </w:numPr>
        <w:tabs>
          <w:tab w:pos="639" w:val="left" w:leader="none"/>
          <w:tab w:pos="641" w:val="left" w:leader="none"/>
        </w:tabs>
        <w:spacing w:line="232" w:lineRule="auto" w:before="0" w:after="0"/>
        <w:ind w:left="160" w:right="188" w:firstLine="0"/>
        <w:jc w:val="left"/>
        <w:rPr>
          <w:sz w:val="18"/>
        </w:rPr>
      </w:pPr>
      <w:r>
        <w:rPr>
          <w:color w:val="231F20"/>
          <w:sz w:val="18"/>
        </w:rPr>
        <w:t>The contribution of net trade to GDP growth in Q4 had been revised to -0.9 percentage points from -1.1 as a result of upward revisions to exports and imports. The level of exports and, to a larger extent, imports back to 1997 Q1 had also been revised upwards. The revisions to imports had helped to reduce the puzzle about their relative weakness following sterling’s appreciation. Monthly trade data for January had shown a sharp decline in exports to EU and non-EU countries (of 3.3% and 6.7%) and a continued rise in imports. Though the decline in exports to </w:t>
      </w:r>
      <w:r>
        <w:rPr>
          <w:color w:val="231F20"/>
          <w:spacing w:val="-3"/>
          <w:sz w:val="18"/>
        </w:rPr>
        <w:t>non-EU </w:t>
      </w:r>
      <w:r>
        <w:rPr>
          <w:color w:val="231F20"/>
          <w:sz w:val="18"/>
        </w:rPr>
        <w:t>countries had unwound in February, overall these data had suggested another negative net trade contribution to GDP growth </w:t>
      </w:r>
      <w:r>
        <w:rPr>
          <w:color w:val="231F20"/>
          <w:spacing w:val="-6"/>
          <w:sz w:val="18"/>
        </w:rPr>
        <w:t>in </w:t>
      </w:r>
      <w:r>
        <w:rPr>
          <w:color w:val="231F20"/>
          <w:sz w:val="18"/>
        </w:rPr>
        <w:t>1999 Q1.</w:t>
      </w:r>
    </w:p>
    <w:p>
      <w:pPr>
        <w:spacing w:after="0" w:line="232" w:lineRule="auto"/>
        <w:jc w:val="left"/>
        <w:rPr>
          <w:sz w:val="18"/>
        </w:rPr>
        <w:sectPr>
          <w:type w:val="continuous"/>
          <w:pgSz w:w="11900" w:h="16840"/>
          <w:pgMar w:top="1220" w:bottom="280" w:left="640" w:right="640"/>
          <w:cols w:num="2" w:equalWidth="0">
            <w:col w:w="5075" w:space="315"/>
            <w:col w:w="5230"/>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ListParagraph"/>
        <w:numPr>
          <w:ilvl w:val="0"/>
          <w:numId w:val="42"/>
        </w:numPr>
        <w:tabs>
          <w:tab w:pos="629" w:val="left" w:leader="none"/>
          <w:tab w:pos="631" w:val="left" w:leader="none"/>
        </w:tabs>
        <w:spacing w:line="232" w:lineRule="auto" w:before="1" w:after="0"/>
        <w:ind w:left="150" w:right="38" w:firstLine="0"/>
        <w:jc w:val="left"/>
        <w:rPr>
          <w:sz w:val="18"/>
        </w:rPr>
      </w:pPr>
      <w:r>
        <w:rPr>
          <w:color w:val="231F20"/>
          <w:sz w:val="18"/>
        </w:rPr>
        <w:t>Service sector output growth in Q4 had been revised down </w:t>
      </w:r>
      <w:r>
        <w:rPr>
          <w:color w:val="231F20"/>
          <w:spacing w:val="-9"/>
          <w:sz w:val="18"/>
        </w:rPr>
        <w:t>to </w:t>
      </w:r>
      <w:r>
        <w:rPr>
          <w:color w:val="231F20"/>
          <w:sz w:val="18"/>
        </w:rPr>
        <w:t>0.5% from 0.6%. Manufacturing output had declined by an unrevised 1.3% in Q4. Construction output growth had been revised up to 0.1%. On the income side of the accounts, the main news had been the decline in financial company profits in Q4.</w:t>
      </w:r>
    </w:p>
    <w:p>
      <w:pPr>
        <w:pStyle w:val="BodyText"/>
        <w:rPr>
          <w:sz w:val="17"/>
        </w:rPr>
      </w:pPr>
    </w:p>
    <w:p>
      <w:pPr>
        <w:pStyle w:val="ListParagraph"/>
        <w:numPr>
          <w:ilvl w:val="0"/>
          <w:numId w:val="42"/>
        </w:numPr>
        <w:tabs>
          <w:tab w:pos="629" w:val="left" w:leader="none"/>
          <w:tab w:pos="631" w:val="left" w:leader="none"/>
        </w:tabs>
        <w:spacing w:line="232" w:lineRule="auto" w:before="0" w:after="0"/>
        <w:ind w:left="150" w:right="206" w:firstLine="0"/>
        <w:jc w:val="left"/>
        <w:rPr>
          <w:sz w:val="18"/>
        </w:rPr>
      </w:pPr>
      <w:r>
        <w:rPr>
          <w:color w:val="231F20"/>
          <w:sz w:val="18"/>
        </w:rPr>
        <w:t>Retail sales volumes had declined by 0.3% in February, following January’s strong rise. Though the three month annual growth rate declined further to 1.0%, the CBI Distributive Trades survey had suggested that the decline in sales volumes growth might have reached a trough. The balance on reported sales in March had risen to +14—the highest since September </w:t>
      </w:r>
      <w:r>
        <w:rPr>
          <w:color w:val="231F20"/>
          <w:spacing w:val="-3"/>
          <w:sz w:val="18"/>
        </w:rPr>
        <w:t>1998—and </w:t>
      </w:r>
      <w:r>
        <w:rPr>
          <w:color w:val="231F20"/>
          <w:sz w:val="18"/>
        </w:rPr>
        <w:t>the orders balance had risen for the second month running.</w:t>
      </w:r>
    </w:p>
    <w:p>
      <w:pPr>
        <w:pStyle w:val="BodyText"/>
        <w:spacing w:line="232" w:lineRule="auto"/>
        <w:ind w:left="150" w:right="117"/>
      </w:pPr>
      <w:r>
        <w:rPr>
          <w:color w:val="231F20"/>
        </w:rPr>
        <w:t>New car registrations had fallen sharply in January and February relative to a year ago, but had been difficult to interpret because of changing seasonal patterns following the change in registration practices.</w:t>
      </w:r>
    </w:p>
    <w:p>
      <w:pPr>
        <w:pStyle w:val="BodyText"/>
        <w:spacing w:before="8"/>
        <w:rPr>
          <w:sz w:val="16"/>
        </w:rPr>
      </w:pPr>
    </w:p>
    <w:p>
      <w:pPr>
        <w:pStyle w:val="ListParagraph"/>
        <w:numPr>
          <w:ilvl w:val="0"/>
          <w:numId w:val="42"/>
        </w:numPr>
        <w:tabs>
          <w:tab w:pos="629" w:val="left" w:leader="none"/>
          <w:tab w:pos="631" w:val="left" w:leader="none"/>
        </w:tabs>
        <w:spacing w:line="232" w:lineRule="auto" w:before="0" w:after="0"/>
        <w:ind w:left="150" w:right="48" w:firstLine="0"/>
        <w:jc w:val="left"/>
        <w:rPr>
          <w:sz w:val="18"/>
        </w:rPr>
      </w:pPr>
      <w:r>
        <w:rPr>
          <w:color w:val="231F20"/>
          <w:sz w:val="18"/>
        </w:rPr>
        <w:t>Industrial production had declined by 0.5% in January— because of a sharp fall in output in the energy extraction and </w:t>
      </w:r>
      <w:r>
        <w:rPr>
          <w:color w:val="231F20"/>
          <w:spacing w:val="-3"/>
          <w:sz w:val="18"/>
        </w:rPr>
        <w:t>supply </w:t>
      </w:r>
      <w:r>
        <w:rPr>
          <w:color w:val="231F20"/>
          <w:sz w:val="18"/>
        </w:rPr>
        <w:t>industries—but had risen by 0.1% in February because of a rise in energy-related output. Manufacturing output had shown a small increase of 0.1% in January, following five successive monthly declines, but had fallen by 0.1% in February. Growth in industrial production over the three months to February compared with the previous three months had been -1.0% (-0.9% in January); and for manufacturing output it had been -0.8% (-1.0% in January). The CBI and C</w:t>
      </w:r>
      <w:r>
        <w:rPr>
          <w:color w:val="231F20"/>
          <w:sz w:val="14"/>
        </w:rPr>
        <w:t>IPS </w:t>
      </w:r>
      <w:r>
        <w:rPr>
          <w:color w:val="231F20"/>
          <w:sz w:val="18"/>
        </w:rPr>
        <w:t>surveys had indicated another decline in manufacturing output in 1999 Q1, though it appeared that this would be less than in 1998 Q4.</w:t>
      </w:r>
    </w:p>
    <w:p>
      <w:pPr>
        <w:pStyle w:val="BodyText"/>
        <w:spacing w:before="6"/>
        <w:rPr>
          <w:sz w:val="16"/>
        </w:rPr>
      </w:pPr>
    </w:p>
    <w:p>
      <w:pPr>
        <w:pStyle w:val="ListParagraph"/>
        <w:numPr>
          <w:ilvl w:val="0"/>
          <w:numId w:val="42"/>
        </w:numPr>
        <w:tabs>
          <w:tab w:pos="629" w:val="left" w:leader="none"/>
          <w:tab w:pos="631" w:val="left" w:leader="none"/>
        </w:tabs>
        <w:spacing w:line="232" w:lineRule="auto" w:before="1" w:after="0"/>
        <w:ind w:left="150" w:right="40" w:firstLine="0"/>
        <w:jc w:val="left"/>
        <w:rPr>
          <w:sz w:val="18"/>
        </w:rPr>
      </w:pPr>
      <w:r>
        <w:rPr>
          <w:color w:val="231F20"/>
          <w:sz w:val="18"/>
        </w:rPr>
        <w:t>The C</w:t>
      </w:r>
      <w:r>
        <w:rPr>
          <w:color w:val="231F20"/>
          <w:sz w:val="14"/>
        </w:rPr>
        <w:t>IPS </w:t>
      </w:r>
      <w:r>
        <w:rPr>
          <w:color w:val="231F20"/>
          <w:sz w:val="18"/>
        </w:rPr>
        <w:t>Report on Services had reported a rise in all </w:t>
      </w:r>
      <w:r>
        <w:rPr>
          <w:color w:val="231F20"/>
          <w:spacing w:val="-3"/>
          <w:sz w:val="18"/>
        </w:rPr>
        <w:t>indices </w:t>
      </w:r>
      <w:r>
        <w:rPr>
          <w:color w:val="231F20"/>
          <w:sz w:val="18"/>
        </w:rPr>
        <w:t>in March: the output index had risen from 49.5 to 53, the first positive reading since October 1998; the incoming new business index had also risen above 50 to 53.9, the highest level since June 1998 and above the average for 1998 as whole; and the business expectations index had risen to 76.4 from 72.1 in February.</w:t>
      </w:r>
    </w:p>
    <w:p>
      <w:pPr>
        <w:pStyle w:val="BodyText"/>
        <w:spacing w:before="11"/>
        <w:rPr>
          <w:sz w:val="16"/>
        </w:rPr>
      </w:pPr>
    </w:p>
    <w:p>
      <w:pPr>
        <w:pStyle w:val="ListParagraph"/>
        <w:numPr>
          <w:ilvl w:val="0"/>
          <w:numId w:val="42"/>
        </w:numPr>
        <w:tabs>
          <w:tab w:pos="629" w:val="left" w:leader="none"/>
          <w:tab w:pos="631" w:val="left" w:leader="none"/>
        </w:tabs>
        <w:spacing w:line="232" w:lineRule="auto" w:before="0" w:after="0"/>
        <w:ind w:left="149" w:right="64" w:firstLine="0"/>
        <w:jc w:val="left"/>
        <w:rPr>
          <w:sz w:val="18"/>
        </w:rPr>
      </w:pPr>
      <w:r>
        <w:rPr>
          <w:color w:val="231F20"/>
          <w:sz w:val="18"/>
        </w:rPr>
        <w:t>The Nationwide house price index had increased by 1.5% in March—the largest monthly rise since June 1997—and had been 7.6% higher than a year earlier; the Halifax index had increased </w:t>
      </w:r>
      <w:r>
        <w:rPr>
          <w:color w:val="231F20"/>
          <w:spacing w:val="-9"/>
          <w:sz w:val="18"/>
        </w:rPr>
        <w:t>by </w:t>
      </w:r>
      <w:r>
        <w:rPr>
          <w:color w:val="231F20"/>
          <w:sz w:val="18"/>
        </w:rPr>
        <w:t>1.2% in March and had been 4.5% higher than a year earlier. The R</w:t>
      </w:r>
      <w:r>
        <w:rPr>
          <w:color w:val="231F20"/>
          <w:sz w:val="14"/>
        </w:rPr>
        <w:t>ICS </w:t>
      </w:r>
      <w:r>
        <w:rPr>
          <w:color w:val="231F20"/>
          <w:sz w:val="18"/>
        </w:rPr>
        <w:t>survey had suggested price rises across all regions in February. The HBF survey balances on site visitors and net reservations had continued to indicate an increase in housing transactions in coming months. Particulars delivered had increased for a third consecutive month, to stand 4.5% higher in the three months to February compared with the previous three months. The GfK consumer confidence indicator had risen for the third month running.</w:t>
      </w:r>
    </w:p>
    <w:p>
      <w:pPr>
        <w:pStyle w:val="BodyText"/>
        <w:spacing w:before="10"/>
        <w:rPr>
          <w:sz w:val="19"/>
        </w:rPr>
      </w:pPr>
    </w:p>
    <w:p>
      <w:pPr>
        <w:pStyle w:val="Heading3"/>
        <w:numPr>
          <w:ilvl w:val="0"/>
          <w:numId w:val="43"/>
        </w:numPr>
        <w:tabs>
          <w:tab w:pos="629" w:val="left" w:leader="none"/>
          <w:tab w:pos="631" w:val="left" w:leader="none"/>
        </w:tabs>
        <w:spacing w:line="240" w:lineRule="auto" w:before="0" w:after="0"/>
        <w:ind w:left="630" w:right="0" w:hanging="481"/>
        <w:jc w:val="left"/>
      </w:pPr>
      <w:r>
        <w:rPr>
          <w:color w:val="009483"/>
        </w:rPr>
        <w:t>Labour</w:t>
      </w:r>
      <w:r>
        <w:rPr>
          <w:color w:val="009483"/>
          <w:spacing w:val="-1"/>
        </w:rPr>
        <w:t> </w:t>
      </w:r>
      <w:r>
        <w:rPr>
          <w:color w:val="009483"/>
        </w:rPr>
        <w:t>market</w:t>
      </w:r>
    </w:p>
    <w:p>
      <w:pPr>
        <w:pStyle w:val="ListParagraph"/>
        <w:numPr>
          <w:ilvl w:val="0"/>
          <w:numId w:val="42"/>
        </w:numPr>
        <w:tabs>
          <w:tab w:pos="629" w:val="left" w:leader="none"/>
          <w:tab w:pos="631" w:val="left" w:leader="none"/>
        </w:tabs>
        <w:spacing w:line="232" w:lineRule="auto" w:before="109" w:after="0"/>
        <w:ind w:left="150" w:right="93" w:firstLine="0"/>
        <w:jc w:val="left"/>
        <w:rPr>
          <w:sz w:val="18"/>
        </w:rPr>
      </w:pPr>
      <w:r>
        <w:rPr>
          <w:color w:val="231F20"/>
          <w:sz w:val="18"/>
        </w:rPr>
        <w:t>LFS employment had grown by 119,000 (0.4%) in the three months to January, compared with the previous three months, somewhat stronger than the Workforce Jobs figure of 69,000 in </w:t>
      </w:r>
      <w:r>
        <w:rPr>
          <w:color w:val="231F20"/>
          <w:spacing w:val="-6"/>
          <w:sz w:val="18"/>
        </w:rPr>
        <w:t>the </w:t>
      </w:r>
      <w:r>
        <w:rPr>
          <w:color w:val="231F20"/>
          <w:sz w:val="18"/>
        </w:rPr>
        <w:t>three months to December. The difference between the two measures, probably due to timing and the coverage of the surveys, was accounted for by the larger rise in employees in the LFS, driven by a large increase in part-time jobs. Total hours worked had fallen by 0.2% in the three months to January, and average hours per worker had been 0.7% lower. The fall in average hours worked had reflected the large rise in part-time employment and a 0.7% fall in average hours worked by full-time workers, consistent with a reduction in overtime working.</w:t>
      </w:r>
    </w:p>
    <w:p>
      <w:pPr>
        <w:pStyle w:val="BodyText"/>
        <w:spacing w:before="7"/>
        <w:rPr>
          <w:sz w:val="16"/>
        </w:rPr>
      </w:pPr>
    </w:p>
    <w:p>
      <w:pPr>
        <w:pStyle w:val="ListParagraph"/>
        <w:numPr>
          <w:ilvl w:val="0"/>
          <w:numId w:val="42"/>
        </w:numPr>
        <w:tabs>
          <w:tab w:pos="629" w:val="left" w:leader="none"/>
          <w:tab w:pos="631" w:val="left" w:leader="none"/>
        </w:tabs>
        <w:spacing w:line="232" w:lineRule="auto" w:before="0" w:after="0"/>
        <w:ind w:left="150" w:right="53" w:firstLine="0"/>
        <w:jc w:val="left"/>
        <w:rPr>
          <w:sz w:val="18"/>
        </w:rPr>
      </w:pPr>
      <w:r>
        <w:rPr>
          <w:color w:val="231F20"/>
          <w:sz w:val="18"/>
        </w:rPr>
        <w:t>The strong increases in employment had contrasted with survey evidence. The C</w:t>
      </w:r>
      <w:r>
        <w:rPr>
          <w:color w:val="231F20"/>
          <w:sz w:val="14"/>
        </w:rPr>
        <w:t>IPS </w:t>
      </w:r>
      <w:r>
        <w:rPr>
          <w:color w:val="231F20"/>
          <w:sz w:val="18"/>
        </w:rPr>
        <w:t>surveys for March had suggested that employment was continuing to fall in the manufacturing and construction sectors, though there had been a small increase in employment in the service sector. Forward-looking surveys had suggested that this pattern might persist. The Manpower survey </w:t>
      </w:r>
      <w:r>
        <w:rPr>
          <w:color w:val="231F20"/>
          <w:spacing w:val="-6"/>
          <w:sz w:val="18"/>
        </w:rPr>
        <w:t>for</w:t>
      </w:r>
    </w:p>
    <w:p>
      <w:pPr>
        <w:pStyle w:val="BodyText"/>
        <w:spacing w:before="7"/>
        <w:rPr>
          <w:sz w:val="19"/>
        </w:rPr>
      </w:pPr>
      <w:r>
        <w:rPr/>
        <w:br w:type="column"/>
      </w:r>
      <w:r>
        <w:rPr>
          <w:sz w:val="19"/>
        </w:rPr>
      </w:r>
    </w:p>
    <w:p>
      <w:pPr>
        <w:pStyle w:val="BodyText"/>
        <w:spacing w:line="232" w:lineRule="auto" w:before="1"/>
        <w:ind w:left="149"/>
      </w:pPr>
      <w:r>
        <w:rPr>
          <w:color w:val="231F20"/>
        </w:rPr>
        <w:t>Q1 had shown the weakest job prospects since 1993, for the second quarter in succession. The outlook in manufacturing had worsened, while employment intentions in the service sector had been little changed.</w:t>
      </w:r>
    </w:p>
    <w:p>
      <w:pPr>
        <w:pStyle w:val="BodyText"/>
        <w:spacing w:before="1"/>
        <w:rPr>
          <w:sz w:val="17"/>
        </w:rPr>
      </w:pPr>
    </w:p>
    <w:p>
      <w:pPr>
        <w:pStyle w:val="ListParagraph"/>
        <w:numPr>
          <w:ilvl w:val="0"/>
          <w:numId w:val="42"/>
        </w:numPr>
        <w:tabs>
          <w:tab w:pos="629" w:val="left" w:leader="none"/>
          <w:tab w:pos="631" w:val="left" w:leader="none"/>
        </w:tabs>
        <w:spacing w:line="232" w:lineRule="auto" w:before="0" w:after="0"/>
        <w:ind w:left="149" w:right="159" w:firstLine="0"/>
        <w:jc w:val="left"/>
        <w:rPr>
          <w:sz w:val="18"/>
        </w:rPr>
      </w:pPr>
      <w:r>
        <w:rPr>
          <w:color w:val="231F20"/>
          <w:sz w:val="18"/>
        </w:rPr>
        <w:t>The stock of unfilled job-centre vacancies had edged down by 3,500 in February and the number of jobs advertised in national newspapers had fallen, according to the Press Recruitment Advertising Index. But the number of permanent placements by </w:t>
      </w:r>
      <w:r>
        <w:rPr>
          <w:color w:val="231F20"/>
          <w:spacing w:val="-6"/>
          <w:sz w:val="18"/>
        </w:rPr>
        <w:t>job </w:t>
      </w:r>
      <w:r>
        <w:rPr>
          <w:color w:val="231F20"/>
          <w:sz w:val="18"/>
        </w:rPr>
        <w:t>agencies had increased in March for the first time in six months, according to the F</w:t>
      </w:r>
      <w:r>
        <w:rPr>
          <w:color w:val="231F20"/>
          <w:sz w:val="14"/>
        </w:rPr>
        <w:t>RES </w:t>
      </w:r>
      <w:r>
        <w:rPr>
          <w:color w:val="231F20"/>
          <w:sz w:val="18"/>
        </w:rPr>
        <w:t>survey on the demand for</w:t>
      </w:r>
      <w:r>
        <w:rPr>
          <w:color w:val="231F20"/>
          <w:spacing w:val="8"/>
          <w:sz w:val="18"/>
        </w:rPr>
        <w:t> </w:t>
      </w:r>
      <w:r>
        <w:rPr>
          <w:color w:val="231F20"/>
          <w:sz w:val="18"/>
        </w:rPr>
        <w:t>staff.</w:t>
      </w:r>
    </w:p>
    <w:p>
      <w:pPr>
        <w:pStyle w:val="BodyText"/>
        <w:rPr>
          <w:sz w:val="17"/>
        </w:rPr>
      </w:pPr>
    </w:p>
    <w:p>
      <w:pPr>
        <w:pStyle w:val="ListParagraph"/>
        <w:numPr>
          <w:ilvl w:val="0"/>
          <w:numId w:val="42"/>
        </w:numPr>
        <w:tabs>
          <w:tab w:pos="629" w:val="left" w:leader="none"/>
          <w:tab w:pos="631" w:val="left" w:leader="none"/>
        </w:tabs>
        <w:spacing w:line="232" w:lineRule="auto" w:before="0" w:after="0"/>
        <w:ind w:left="149" w:right="219" w:firstLine="0"/>
        <w:jc w:val="left"/>
        <w:rPr>
          <w:sz w:val="18"/>
        </w:rPr>
      </w:pPr>
      <w:r>
        <w:rPr>
          <w:color w:val="231F20"/>
          <w:sz w:val="18"/>
        </w:rPr>
        <w:t>LFS unemployment had risen by 37,000 in the three months to January, taking the rate to 6.3%. This had been the first rise in the rate, in non-overlapping periods, since early 1993. The </w:t>
      </w:r>
      <w:r>
        <w:rPr>
          <w:color w:val="231F20"/>
          <w:spacing w:val="-3"/>
          <w:sz w:val="18"/>
        </w:rPr>
        <w:t>number </w:t>
      </w:r>
      <w:r>
        <w:rPr>
          <w:color w:val="231F20"/>
          <w:sz w:val="18"/>
        </w:rPr>
        <w:t>of people unemployed for more than one year had fallen by 17,000 in the three months to January, offset by a rise in short-term unemployment. Claimant unemployment had risen by 4,300, but the rate had remained unchanged at 4.6%. Inflows into unemployment had been broadly flat, and the exit rate from unemployment had fallen, but remained at a high level. The rise in employment had been associated with a fall in inactivity of 117,000. In net terms, all of the rise in employment had been concentrated among workers more than 25 years old, which had been roughly matched by falls in inactivity.</w:t>
      </w:r>
    </w:p>
    <w:p>
      <w:pPr>
        <w:pStyle w:val="BodyText"/>
        <w:spacing w:before="6"/>
        <w:rPr>
          <w:sz w:val="16"/>
        </w:rPr>
      </w:pPr>
    </w:p>
    <w:p>
      <w:pPr>
        <w:pStyle w:val="ListParagraph"/>
        <w:numPr>
          <w:ilvl w:val="0"/>
          <w:numId w:val="42"/>
        </w:numPr>
        <w:tabs>
          <w:tab w:pos="629" w:val="left" w:leader="none"/>
          <w:tab w:pos="631" w:val="left" w:leader="none"/>
        </w:tabs>
        <w:spacing w:line="232" w:lineRule="auto" w:before="0" w:after="0"/>
        <w:ind w:left="149" w:right="159" w:firstLine="0"/>
        <w:jc w:val="left"/>
        <w:rPr>
          <w:sz w:val="18"/>
        </w:rPr>
      </w:pPr>
      <w:r>
        <w:rPr>
          <w:color w:val="231F20"/>
          <w:sz w:val="18"/>
        </w:rPr>
        <w:t>Headline whole-economy annual average earnings growth had fallen to 4.3% in December, reflecting a decline in the growth of irregular pay. The slowdown in headline earnings growth since the peak in May had been sharp, but this measure referred to </w:t>
      </w:r>
      <w:r>
        <w:rPr>
          <w:color w:val="231F20"/>
          <w:spacing w:val="-3"/>
          <w:sz w:val="18"/>
        </w:rPr>
        <w:t>growth </w:t>
      </w:r>
      <w:r>
        <w:rPr>
          <w:color w:val="231F20"/>
          <w:sz w:val="18"/>
        </w:rPr>
        <w:t>in earnings per head. It was likely that the growth in earnings per hour had fallen less rapidly, reflecting the reduction in average hours worked over this period. The Reward index of annual earnings growth had continued to fall, from a peak of 5.4% in June 1998 to 4.5% in February. The growth of wages and salaries had been broadly flat since mid-1997. The rise in 1998 Q4, which had contrasted with the fall in growth measured by the Average Earnings Index over the same period, could be explained by volatility in pension contributions and balancing adjustments between different measures of GDP.</w:t>
      </w:r>
    </w:p>
    <w:p>
      <w:pPr>
        <w:pStyle w:val="BodyText"/>
        <w:spacing w:before="5"/>
        <w:rPr>
          <w:sz w:val="16"/>
        </w:rPr>
      </w:pPr>
    </w:p>
    <w:p>
      <w:pPr>
        <w:pStyle w:val="ListParagraph"/>
        <w:numPr>
          <w:ilvl w:val="0"/>
          <w:numId w:val="42"/>
        </w:numPr>
        <w:tabs>
          <w:tab w:pos="629" w:val="left" w:leader="none"/>
          <w:tab w:pos="631" w:val="left" w:leader="none"/>
        </w:tabs>
        <w:spacing w:line="232" w:lineRule="auto" w:before="0" w:after="0"/>
        <w:ind w:left="149" w:right="209" w:firstLine="0"/>
        <w:jc w:val="left"/>
        <w:rPr>
          <w:sz w:val="18"/>
        </w:rPr>
      </w:pPr>
      <w:r>
        <w:rPr>
          <w:color w:val="231F20"/>
          <w:sz w:val="18"/>
        </w:rPr>
        <w:t>The Bank’s employment-weighted twelve-month measure </w:t>
      </w:r>
      <w:r>
        <w:rPr>
          <w:color w:val="231F20"/>
          <w:spacing w:val="-9"/>
          <w:sz w:val="18"/>
        </w:rPr>
        <w:t>of </w:t>
      </w:r>
      <w:r>
        <w:rPr>
          <w:color w:val="231F20"/>
          <w:sz w:val="18"/>
        </w:rPr>
        <w:t>whole economy settlements had remained at 3.7% in February, but the three-month measure had fallen by 0.3 percentage points to 3.3%. In a matched sample of firms from the Bank’s settlements database, mean settlements in January and February had fallen to 3.3% in 1999, from 4% in 1998. The proportion of employees in this sample who had received a lower settlement in 1999 had been 78%. The three-month measure from Industrial Relations Services had also fallen in February.</w:t>
      </w:r>
    </w:p>
    <w:p>
      <w:pPr>
        <w:pStyle w:val="BodyText"/>
        <w:spacing w:before="9"/>
        <w:rPr>
          <w:sz w:val="16"/>
        </w:rPr>
      </w:pPr>
    </w:p>
    <w:p>
      <w:pPr>
        <w:pStyle w:val="ListParagraph"/>
        <w:numPr>
          <w:ilvl w:val="0"/>
          <w:numId w:val="42"/>
        </w:numPr>
        <w:tabs>
          <w:tab w:pos="629" w:val="left" w:leader="none"/>
          <w:tab w:pos="631" w:val="left" w:leader="none"/>
        </w:tabs>
        <w:spacing w:line="232" w:lineRule="auto" w:before="0" w:after="0"/>
        <w:ind w:left="149" w:right="558" w:firstLine="0"/>
        <w:jc w:val="left"/>
        <w:rPr>
          <w:sz w:val="18"/>
        </w:rPr>
      </w:pPr>
      <w:r>
        <w:rPr>
          <w:color w:val="231F20"/>
          <w:sz w:val="18"/>
        </w:rPr>
        <w:t>Annual productivity growth had fallen from 1.1% in </w:t>
      </w:r>
      <w:r>
        <w:rPr>
          <w:color w:val="231F20"/>
          <w:spacing w:val="-9"/>
          <w:sz w:val="18"/>
        </w:rPr>
        <w:t>Q3 </w:t>
      </w:r>
      <w:r>
        <w:rPr>
          <w:color w:val="231F20"/>
          <w:sz w:val="18"/>
        </w:rPr>
        <w:t>to 0.7% in Q4, the lowest rate since 1991. The revisions to</w:t>
      </w:r>
    </w:p>
    <w:p>
      <w:pPr>
        <w:pStyle w:val="BodyText"/>
        <w:spacing w:line="232" w:lineRule="auto"/>
        <w:ind w:left="149" w:right="241"/>
      </w:pPr>
      <w:r>
        <w:rPr>
          <w:color w:val="231F20"/>
        </w:rPr>
        <w:t>Workforce Jobs, announced in December, had caused a generally downward revision to productivity growth. Because the growth of wages and salaries per head had increased and productivity growth had fallen in Q4, the growth of unit wage costs had continued to rise.</w:t>
      </w:r>
    </w:p>
    <w:p>
      <w:pPr>
        <w:pStyle w:val="BodyText"/>
        <w:spacing w:before="10"/>
        <w:rPr>
          <w:sz w:val="16"/>
        </w:rPr>
      </w:pPr>
    </w:p>
    <w:p>
      <w:pPr>
        <w:pStyle w:val="ListParagraph"/>
        <w:numPr>
          <w:ilvl w:val="0"/>
          <w:numId w:val="42"/>
        </w:numPr>
        <w:tabs>
          <w:tab w:pos="629" w:val="left" w:leader="none"/>
          <w:tab w:pos="631" w:val="left" w:leader="none"/>
        </w:tabs>
        <w:spacing w:line="232" w:lineRule="auto" w:before="1" w:after="0"/>
        <w:ind w:left="149" w:right="224" w:firstLine="0"/>
        <w:jc w:val="left"/>
        <w:rPr>
          <w:sz w:val="18"/>
        </w:rPr>
      </w:pPr>
      <w:r>
        <w:rPr>
          <w:color w:val="231F20"/>
          <w:sz w:val="18"/>
        </w:rPr>
        <w:t>The Bank’s regional Agents had conducted a survey of their contacts about employment prospects and the adequacy and </w:t>
      </w:r>
      <w:r>
        <w:rPr>
          <w:color w:val="231F20"/>
          <w:spacing w:val="-3"/>
          <w:sz w:val="18"/>
        </w:rPr>
        <w:t>quality </w:t>
      </w:r>
      <w:r>
        <w:rPr>
          <w:color w:val="231F20"/>
          <w:sz w:val="18"/>
        </w:rPr>
        <w:t>of their labour force. They had asked whether contacts had expected employment to change over the next 6 months: 36% of respondents had reported that the level of employment was expected to be unchanged, whereas the number of companies who had been planning to increase staff had been the same as the number planning to shed labour (32% each). Over 50% of manufacturers had reported that employment levels were expected to be lower whereas in the service sector over 40% of respondents expected higher employment. There had also been some differences across regions, but most had presented a picture consistent with the overall results.</w:t>
      </w:r>
    </w:p>
    <w:p>
      <w:pPr>
        <w:spacing w:after="0" w:line="232" w:lineRule="auto"/>
        <w:jc w:val="left"/>
        <w:rPr>
          <w:sz w:val="18"/>
        </w:rPr>
        <w:sectPr>
          <w:type w:val="continuous"/>
          <w:pgSz w:w="11900" w:h="16840"/>
          <w:pgMar w:top="1220" w:bottom="280" w:left="640" w:right="640"/>
          <w:cols w:num="2" w:equalWidth="0">
            <w:col w:w="5080" w:space="316"/>
            <w:col w:w="5224"/>
          </w:cols>
        </w:sectPr>
      </w:pPr>
    </w:p>
    <w:p>
      <w:pPr>
        <w:pStyle w:val="BodyText"/>
        <w:rPr>
          <w:sz w:val="20"/>
        </w:rPr>
      </w:pPr>
    </w:p>
    <w:p>
      <w:pPr>
        <w:spacing w:after="0"/>
        <w:rPr>
          <w:sz w:val="20"/>
        </w:rPr>
        <w:sectPr>
          <w:pgSz w:w="11900" w:h="16840"/>
          <w:pgMar w:header="566" w:footer="597" w:top="760" w:bottom="780" w:left="640" w:right="640"/>
        </w:sectPr>
      </w:pPr>
    </w:p>
    <w:p>
      <w:pPr>
        <w:pStyle w:val="BodyText"/>
        <w:spacing w:before="7"/>
        <w:rPr>
          <w:sz w:val="19"/>
        </w:rPr>
      </w:pPr>
    </w:p>
    <w:p>
      <w:pPr>
        <w:pStyle w:val="ListParagraph"/>
        <w:numPr>
          <w:ilvl w:val="0"/>
          <w:numId w:val="42"/>
        </w:numPr>
        <w:tabs>
          <w:tab w:pos="639" w:val="left" w:leader="none"/>
          <w:tab w:pos="641" w:val="left" w:leader="none"/>
        </w:tabs>
        <w:spacing w:line="232" w:lineRule="auto" w:before="1" w:after="0"/>
        <w:ind w:left="160" w:right="68" w:firstLine="0"/>
        <w:jc w:val="left"/>
        <w:rPr>
          <w:sz w:val="18"/>
        </w:rPr>
      </w:pPr>
      <w:r>
        <w:rPr>
          <w:color w:val="231F20"/>
          <w:sz w:val="18"/>
        </w:rPr>
        <w:t>The Agents had also asked about the adequacy of the existing labour force in relation to current output. About 30% of respondents had reported that their current employment was more than adequate, whereas less than 20% had reported that their labour force was less than adequate. In manufacturing, there had been many more firms who had reported that they were over-staffed </w:t>
      </w:r>
      <w:r>
        <w:rPr>
          <w:color w:val="231F20"/>
          <w:spacing w:val="-5"/>
          <w:sz w:val="18"/>
        </w:rPr>
        <w:t>than </w:t>
      </w:r>
      <w:r>
        <w:rPr>
          <w:color w:val="231F20"/>
          <w:sz w:val="18"/>
        </w:rPr>
        <w:t>under-staffed, whereas in the service sector, there had been slightly more firms reporting an under-resourced rather than over-resourced labour force. Some contacts had been recruiting staff even if their existing workforce had been more than adequate, either because they were expecting a significant upturn in demand conditions or because they had been recruiting different types of staff, perhaps with specialist skills.</w:t>
      </w:r>
    </w:p>
    <w:p>
      <w:pPr>
        <w:pStyle w:val="BodyText"/>
        <w:spacing w:before="5"/>
        <w:rPr>
          <w:sz w:val="16"/>
        </w:rPr>
      </w:pPr>
    </w:p>
    <w:p>
      <w:pPr>
        <w:pStyle w:val="ListParagraph"/>
        <w:numPr>
          <w:ilvl w:val="0"/>
          <w:numId w:val="42"/>
        </w:numPr>
        <w:tabs>
          <w:tab w:pos="639" w:val="left" w:leader="none"/>
          <w:tab w:pos="641" w:val="left" w:leader="none"/>
        </w:tabs>
        <w:spacing w:line="232" w:lineRule="auto" w:before="1" w:after="0"/>
        <w:ind w:left="160" w:right="98" w:firstLine="0"/>
        <w:jc w:val="left"/>
        <w:rPr>
          <w:sz w:val="18"/>
        </w:rPr>
      </w:pPr>
      <w:r>
        <w:rPr>
          <w:color w:val="231F20"/>
          <w:sz w:val="18"/>
        </w:rPr>
        <w:t>The Agents also asked whether the quality of recruits had changed in the last 12 months. Around two-thirds of their contacts had reported that the quality of recruits had been the same recently. There had been little evidence of lower quality recruits overall. However, in the service sector, especially retail, there had been more dissatisfaction with the recent quality of recruits than in manufacturing.</w:t>
      </w:r>
    </w:p>
    <w:p>
      <w:pPr>
        <w:pStyle w:val="BodyText"/>
        <w:spacing w:before="2"/>
        <w:rPr>
          <w:sz w:val="20"/>
        </w:rPr>
      </w:pPr>
    </w:p>
    <w:p>
      <w:pPr>
        <w:pStyle w:val="Heading3"/>
        <w:numPr>
          <w:ilvl w:val="0"/>
          <w:numId w:val="43"/>
        </w:numPr>
        <w:tabs>
          <w:tab w:pos="640" w:val="left" w:leader="none"/>
          <w:tab w:pos="641" w:val="left" w:leader="none"/>
        </w:tabs>
        <w:spacing w:line="240" w:lineRule="auto" w:before="0" w:after="0"/>
        <w:ind w:left="640" w:right="0" w:hanging="481"/>
        <w:jc w:val="left"/>
      </w:pPr>
      <w:r>
        <w:rPr>
          <w:color w:val="009483"/>
        </w:rPr>
        <w:t>Prices</w:t>
      </w:r>
    </w:p>
    <w:p>
      <w:pPr>
        <w:pStyle w:val="ListParagraph"/>
        <w:numPr>
          <w:ilvl w:val="0"/>
          <w:numId w:val="42"/>
        </w:numPr>
        <w:tabs>
          <w:tab w:pos="639" w:val="left" w:leader="none"/>
          <w:tab w:pos="641" w:val="left" w:leader="none"/>
        </w:tabs>
        <w:spacing w:line="232" w:lineRule="auto" w:before="109" w:after="0"/>
        <w:ind w:left="159" w:right="87" w:firstLine="0"/>
        <w:jc w:val="left"/>
        <w:rPr>
          <w:sz w:val="18"/>
        </w:rPr>
      </w:pPr>
      <w:r>
        <w:rPr>
          <w:color w:val="231F20"/>
          <w:sz w:val="18"/>
        </w:rPr>
        <w:t>Oil prices had risen by over 20% in March in response to an agreement to new O</w:t>
      </w:r>
      <w:r>
        <w:rPr>
          <w:color w:val="231F20"/>
          <w:sz w:val="14"/>
        </w:rPr>
        <w:t>PEC </w:t>
      </w:r>
      <w:r>
        <w:rPr>
          <w:color w:val="231F20"/>
          <w:sz w:val="18"/>
        </w:rPr>
        <w:t>production cuts. The effect on RPIX inflation and GDP if oil prices were to remain at these levels was likely to be limited. The Bank’s index of commodity prices excluding oil had fallen by 0.4% in February, and 1.2% including oil prices. The trend in both measures had continued to be one of moderating deflation. The measures to reform the Common Agricultural Policy (CAP), which had been agreed at the Berlin summit in March, included smaller and later price cuts than in the original proposals. The 0.3% (upper-limit) effect on the RPI </w:t>
      </w:r>
      <w:r>
        <w:rPr>
          <w:color w:val="231F20"/>
          <w:spacing w:val="-4"/>
          <w:sz w:val="18"/>
        </w:rPr>
        <w:t>which </w:t>
      </w:r>
      <w:r>
        <w:rPr>
          <w:color w:val="231F20"/>
          <w:sz w:val="18"/>
        </w:rPr>
        <w:t>had been estimated by M</w:t>
      </w:r>
      <w:r>
        <w:rPr>
          <w:color w:val="231F20"/>
          <w:sz w:val="14"/>
        </w:rPr>
        <w:t>AFF </w:t>
      </w:r>
      <w:r>
        <w:rPr>
          <w:color w:val="231F20"/>
          <w:sz w:val="18"/>
        </w:rPr>
        <w:t>on the basis of the original proposals was likely to be smaller in light of the agreement. Producer price inflation had remained weak in February: input prices fell by 0.1%—as in January, the movement had been largely accounted for by the oil price (10% of the index); output prices excluding excise duties had risen by 0.2%, to a level 0.6% lower than a year earlier. The C</w:t>
      </w:r>
      <w:r>
        <w:rPr>
          <w:color w:val="231F20"/>
          <w:sz w:val="14"/>
        </w:rPr>
        <w:t>IPS </w:t>
      </w:r>
      <w:r>
        <w:rPr>
          <w:color w:val="231F20"/>
          <w:sz w:val="18"/>
        </w:rPr>
        <w:t>and CBI surveys had continued to suggest further falls.</w:t>
      </w:r>
    </w:p>
    <w:p>
      <w:pPr>
        <w:pStyle w:val="BodyText"/>
        <w:spacing w:before="2"/>
        <w:rPr>
          <w:sz w:val="16"/>
        </w:rPr>
      </w:pPr>
    </w:p>
    <w:p>
      <w:pPr>
        <w:pStyle w:val="ListParagraph"/>
        <w:numPr>
          <w:ilvl w:val="0"/>
          <w:numId w:val="42"/>
        </w:numPr>
        <w:tabs>
          <w:tab w:pos="639" w:val="left" w:leader="none"/>
          <w:tab w:pos="641" w:val="left" w:leader="none"/>
        </w:tabs>
        <w:spacing w:line="232" w:lineRule="auto" w:before="0" w:after="0"/>
        <w:ind w:left="159" w:right="38" w:firstLine="0"/>
        <w:jc w:val="left"/>
        <w:rPr>
          <w:sz w:val="18"/>
        </w:rPr>
      </w:pPr>
      <w:r>
        <w:rPr>
          <w:color w:val="231F20"/>
          <w:sz w:val="18"/>
        </w:rPr>
        <w:t>Import prices had fallen by 0.6% in January whereas export prices had risen by 0.6%. The difference between the annual rates of export and import price inflation had reached 1.5 percentage points in January, the largest difference since June 1997—though both had remained sharply negative (imports -4.9%, exports </w:t>
      </w:r>
      <w:r>
        <w:rPr>
          <w:color w:val="231F20"/>
          <w:spacing w:val="-3"/>
          <w:sz w:val="18"/>
        </w:rPr>
        <w:t>-3.4%). </w:t>
      </w:r>
      <w:r>
        <w:rPr>
          <w:color w:val="231F20"/>
          <w:sz w:val="18"/>
        </w:rPr>
        <w:t>The GDP (market prices) deflator in the year to the fourth quarter of 1998 had grown by 2.6%, revised down from 2.8%. The equivalent measure for the implied household consumption deflator had been revised up by 0.4 percentage points to 2.3%—close to the annual rate of RPIX inflation in the fourth quarter (2.5%). The unit labour costs based measure of domestically generated inflation had become available again, and had continued to rise in the fourth quarter of 1998.</w:t>
      </w:r>
    </w:p>
    <w:p>
      <w:pPr>
        <w:pStyle w:val="BodyText"/>
        <w:spacing w:before="6"/>
        <w:rPr>
          <w:sz w:val="16"/>
        </w:rPr>
      </w:pPr>
    </w:p>
    <w:p>
      <w:pPr>
        <w:pStyle w:val="ListParagraph"/>
        <w:numPr>
          <w:ilvl w:val="0"/>
          <w:numId w:val="42"/>
        </w:numPr>
        <w:tabs>
          <w:tab w:pos="639" w:val="left" w:leader="none"/>
          <w:tab w:pos="641" w:val="left" w:leader="none"/>
        </w:tabs>
        <w:spacing w:line="232" w:lineRule="auto" w:before="0" w:after="0"/>
        <w:ind w:left="159" w:right="47" w:firstLine="0"/>
        <w:jc w:val="left"/>
        <w:rPr>
          <w:sz w:val="18"/>
        </w:rPr>
      </w:pPr>
      <w:r>
        <w:rPr>
          <w:color w:val="231F20"/>
          <w:sz w:val="18"/>
        </w:rPr>
        <w:t>RPIX inflation had fallen by 0.2 percentage points to 2.4% </w:t>
      </w:r>
      <w:r>
        <w:rPr>
          <w:color w:val="231F20"/>
          <w:spacing w:val="-9"/>
          <w:sz w:val="18"/>
        </w:rPr>
        <w:t>in </w:t>
      </w:r>
      <w:r>
        <w:rPr>
          <w:color w:val="231F20"/>
          <w:sz w:val="18"/>
        </w:rPr>
        <w:t>February; both RPIY and RPI inflation had also fallen, to 1.8% </w:t>
      </w:r>
      <w:r>
        <w:rPr>
          <w:color w:val="231F20"/>
          <w:spacing w:val="-6"/>
          <w:sz w:val="18"/>
        </w:rPr>
        <w:t>and </w:t>
      </w:r>
      <w:r>
        <w:rPr>
          <w:color w:val="231F20"/>
          <w:sz w:val="18"/>
        </w:rPr>
        <w:t>2.1% respectively. The fall had been largely due to goods price inflation falling by 0.3 percentage points to 1.1%. The H</w:t>
      </w:r>
      <w:r>
        <w:rPr>
          <w:color w:val="231F20"/>
          <w:sz w:val="14"/>
        </w:rPr>
        <w:t>ICP </w:t>
      </w:r>
      <w:r>
        <w:rPr>
          <w:color w:val="231F20"/>
          <w:sz w:val="18"/>
        </w:rPr>
        <w:t>inflation rate had also fallen, by 0.1 percentage points to 1.5%, for the same reasons as RPIX. Annual RPIX inflation was likely to</w:t>
      </w:r>
    </w:p>
    <w:p>
      <w:pPr>
        <w:pStyle w:val="BodyText"/>
        <w:spacing w:before="7"/>
        <w:rPr>
          <w:sz w:val="19"/>
        </w:rPr>
      </w:pPr>
      <w:r>
        <w:rPr/>
        <w:br w:type="column"/>
      </w:r>
      <w:r>
        <w:rPr>
          <w:sz w:val="19"/>
        </w:rPr>
      </w:r>
    </w:p>
    <w:p>
      <w:pPr>
        <w:pStyle w:val="BodyText"/>
        <w:spacing w:line="232" w:lineRule="auto" w:before="1"/>
        <w:ind w:left="159" w:right="473"/>
      </w:pPr>
      <w:r>
        <w:rPr>
          <w:color w:val="231F20"/>
        </w:rPr>
        <w:t>increase temporarily in March—largely due to the difference of timing of the budgets in 1998 and 1999—and fall in April.</w:t>
      </w:r>
    </w:p>
    <w:p>
      <w:pPr>
        <w:pStyle w:val="BodyText"/>
        <w:spacing w:before="6"/>
        <w:rPr>
          <w:sz w:val="20"/>
        </w:rPr>
      </w:pPr>
    </w:p>
    <w:p>
      <w:pPr>
        <w:pStyle w:val="Heading3"/>
        <w:numPr>
          <w:ilvl w:val="0"/>
          <w:numId w:val="43"/>
        </w:numPr>
        <w:tabs>
          <w:tab w:pos="641" w:val="left" w:leader="none"/>
        </w:tabs>
        <w:spacing w:line="240" w:lineRule="auto" w:before="0" w:after="0"/>
        <w:ind w:left="640" w:right="0" w:hanging="481"/>
        <w:jc w:val="left"/>
      </w:pPr>
      <w:r>
        <w:rPr>
          <w:color w:val="009483"/>
        </w:rPr>
        <w:t>Reports by the Bank’s</w:t>
      </w:r>
      <w:r>
        <w:rPr>
          <w:color w:val="009483"/>
          <w:spacing w:val="-1"/>
        </w:rPr>
        <w:t> </w:t>
      </w:r>
      <w:r>
        <w:rPr>
          <w:color w:val="009483"/>
        </w:rPr>
        <w:t>Agents</w:t>
      </w:r>
    </w:p>
    <w:p>
      <w:pPr>
        <w:pStyle w:val="ListParagraph"/>
        <w:numPr>
          <w:ilvl w:val="0"/>
          <w:numId w:val="42"/>
        </w:numPr>
        <w:tabs>
          <w:tab w:pos="639" w:val="left" w:leader="none"/>
          <w:tab w:pos="641" w:val="left" w:leader="none"/>
        </w:tabs>
        <w:spacing w:line="232" w:lineRule="auto" w:before="109" w:after="0"/>
        <w:ind w:left="160" w:right="159" w:firstLine="0"/>
        <w:jc w:val="left"/>
        <w:rPr>
          <w:sz w:val="18"/>
        </w:rPr>
      </w:pPr>
      <w:r>
        <w:rPr>
          <w:color w:val="231F20"/>
          <w:sz w:val="18"/>
        </w:rPr>
        <w:t>The Agents had reported on their general discussions with contacts. Firms in the service sector had tended to report slower growth. But conditions had remained fairly positive overall, particularly in leisure, finance and business services. Growth in the retail sector had continued to be relatively weak, though there had been an increasing polarisation in performance between stores reporting quite strong growth and those reporting no growth or </w:t>
      </w:r>
      <w:r>
        <w:rPr>
          <w:color w:val="231F20"/>
          <w:spacing w:val="-5"/>
          <w:sz w:val="18"/>
        </w:rPr>
        <w:t>even </w:t>
      </w:r>
      <w:r>
        <w:rPr>
          <w:color w:val="231F20"/>
          <w:sz w:val="18"/>
        </w:rPr>
        <w:t>falling sales volumes. Service firms with an exposure to the manufacturing sector—such as road hauliers—had experienced adverse trading conditions. But Agents had felt that the rate of deterioration in manufacturing activity may have eased. Stock corrections that had started in 1998 Q4 had largely been completed. But competition in the domestic market from imports had been increasing, particularly from European-based firms as European markets had remained relatively weak. The exchange rate had remained a concern for UK exporters and was considered an obstacle to recovery.  Demand from the United States had continued to be strong and some East Asian markets had seen a rise in trade enquiries.</w:t>
      </w:r>
    </w:p>
    <w:p>
      <w:pPr>
        <w:pStyle w:val="BodyText"/>
        <w:spacing w:before="1"/>
        <w:rPr>
          <w:sz w:val="16"/>
        </w:rPr>
      </w:pPr>
    </w:p>
    <w:p>
      <w:pPr>
        <w:pStyle w:val="ListParagraph"/>
        <w:numPr>
          <w:ilvl w:val="0"/>
          <w:numId w:val="42"/>
        </w:numPr>
        <w:tabs>
          <w:tab w:pos="639" w:val="left" w:leader="none"/>
          <w:tab w:pos="641" w:val="left" w:leader="none"/>
        </w:tabs>
        <w:spacing w:line="232" w:lineRule="auto" w:before="0" w:after="0"/>
        <w:ind w:left="160" w:right="194" w:firstLine="0"/>
        <w:jc w:val="left"/>
        <w:rPr>
          <w:sz w:val="18"/>
        </w:rPr>
      </w:pPr>
      <w:r>
        <w:rPr>
          <w:color w:val="231F20"/>
          <w:sz w:val="18"/>
        </w:rPr>
        <w:t>Construction sector activity had remained buoyant and this was expected to continue into next year. Housing market activity had shown signs of improvement although it had remained fairly subdued in many areas. But there was less construction work available beyond mid-2000. Firms had suggested that public </w:t>
      </w:r>
      <w:r>
        <w:rPr>
          <w:color w:val="231F20"/>
          <w:spacing w:val="-3"/>
          <w:sz w:val="18"/>
        </w:rPr>
        <w:t>sector </w:t>
      </w:r>
      <w:r>
        <w:rPr>
          <w:color w:val="231F20"/>
          <w:sz w:val="18"/>
        </w:rPr>
        <w:t>work was likely to be an important factor next year. The outlook for investment more generally had remained positive, though still cautious, and the focus of spending had continued to be on improved efficiency and product development. Investment in </w:t>
      </w:r>
      <w:r>
        <w:rPr>
          <w:color w:val="231F20"/>
          <w:spacing w:val="-5"/>
          <w:sz w:val="18"/>
        </w:rPr>
        <w:t>some </w:t>
      </w:r>
      <w:r>
        <w:rPr>
          <w:color w:val="231F20"/>
          <w:sz w:val="18"/>
        </w:rPr>
        <w:t>sectors—such as oil and steel—had been reduced or moved overseas.</w:t>
      </w:r>
    </w:p>
    <w:p>
      <w:pPr>
        <w:pStyle w:val="BodyText"/>
        <w:spacing w:before="8"/>
        <w:rPr>
          <w:sz w:val="16"/>
        </w:rPr>
      </w:pPr>
    </w:p>
    <w:p>
      <w:pPr>
        <w:pStyle w:val="ListParagraph"/>
        <w:numPr>
          <w:ilvl w:val="0"/>
          <w:numId w:val="42"/>
        </w:numPr>
        <w:tabs>
          <w:tab w:pos="639" w:val="left" w:leader="none"/>
          <w:tab w:pos="641" w:val="left" w:leader="none"/>
        </w:tabs>
        <w:spacing w:line="232" w:lineRule="auto" w:before="0" w:after="0"/>
        <w:ind w:left="160" w:right="229" w:firstLine="0"/>
        <w:jc w:val="left"/>
        <w:rPr>
          <w:sz w:val="18"/>
        </w:rPr>
      </w:pPr>
      <w:r>
        <w:rPr>
          <w:color w:val="231F20"/>
          <w:sz w:val="18"/>
        </w:rPr>
        <w:t>The service sector had continued to be the main provider of new jobs, though tighter control on numbers and increased flexibility had been evident. More firms had been introducing annualised hours contracts and making more use of part-time and temporary contract staff. There had been evidence that some firms were reluctant to shed staff as demand slowed because of likely recruitment difficulties in any upturn. Natural wastage had been employed to reduce staff numbers by small amounts. Pay awards had moderated in both the manufacturing and service sectors, </w:t>
      </w:r>
      <w:r>
        <w:rPr>
          <w:color w:val="231F20"/>
          <w:spacing w:val="-5"/>
          <w:sz w:val="18"/>
        </w:rPr>
        <w:t>more </w:t>
      </w:r>
      <w:r>
        <w:rPr>
          <w:color w:val="231F20"/>
          <w:sz w:val="18"/>
        </w:rPr>
        <w:t>so in manufacturing where there had also been a rise in the number of zero or deferred awards.</w:t>
      </w:r>
    </w:p>
    <w:p>
      <w:pPr>
        <w:pStyle w:val="BodyText"/>
        <w:spacing w:before="10"/>
        <w:rPr>
          <w:sz w:val="19"/>
        </w:rPr>
      </w:pPr>
    </w:p>
    <w:p>
      <w:pPr>
        <w:pStyle w:val="Heading3"/>
        <w:numPr>
          <w:ilvl w:val="0"/>
          <w:numId w:val="43"/>
        </w:numPr>
        <w:tabs>
          <w:tab w:pos="641" w:val="left" w:leader="none"/>
        </w:tabs>
        <w:spacing w:line="240" w:lineRule="auto" w:before="1" w:after="0"/>
        <w:ind w:left="640" w:right="0" w:hanging="481"/>
        <w:jc w:val="left"/>
      </w:pPr>
      <w:r>
        <w:rPr>
          <w:color w:val="009483"/>
        </w:rPr>
        <w:t>Market</w:t>
      </w:r>
      <w:r>
        <w:rPr>
          <w:color w:val="009483"/>
          <w:spacing w:val="-1"/>
        </w:rPr>
        <w:t> </w:t>
      </w:r>
      <w:r>
        <w:rPr>
          <w:color w:val="009483"/>
        </w:rPr>
        <w:t>intelligence</w:t>
      </w:r>
    </w:p>
    <w:p>
      <w:pPr>
        <w:pStyle w:val="ListParagraph"/>
        <w:numPr>
          <w:ilvl w:val="0"/>
          <w:numId w:val="42"/>
        </w:numPr>
        <w:tabs>
          <w:tab w:pos="639" w:val="left" w:leader="none"/>
          <w:tab w:pos="641" w:val="left" w:leader="none"/>
        </w:tabs>
        <w:spacing w:line="232" w:lineRule="auto" w:before="109" w:after="0"/>
        <w:ind w:left="160" w:right="175" w:firstLine="0"/>
        <w:jc w:val="left"/>
        <w:rPr>
          <w:sz w:val="18"/>
        </w:rPr>
      </w:pPr>
      <w:r>
        <w:rPr>
          <w:color w:val="231F20"/>
          <w:sz w:val="18"/>
        </w:rPr>
        <w:t>There had been a broad market consensus that interest rates would be lowered in April, based on the improving inflation picture, with some also expecting an ECB rate cut. Survey and asset price evidence had suggested a wider divergence of views on UK rates over the next year or two, based on alternative forecasts for growth and inflation up to 2000. Long-term rates had fallen slightly over the past month. Sterling had appreciated during 1999 versus the euro, and had appeared little affected by domestic </w:t>
      </w:r>
      <w:r>
        <w:rPr>
          <w:color w:val="231F20"/>
          <w:spacing w:val="-3"/>
          <w:sz w:val="18"/>
        </w:rPr>
        <w:t>factors </w:t>
      </w:r>
      <w:r>
        <w:rPr>
          <w:color w:val="231F20"/>
          <w:sz w:val="18"/>
        </w:rPr>
        <w:t>in the month. Some of the factors influencing sterling—such as demand related to merger and acquisition business—were thought to have been temporary, and there had been some evidence that the market saw downside risks over the next year.</w:t>
      </w:r>
    </w:p>
    <w:p>
      <w:pPr>
        <w:spacing w:after="0" w:line="232" w:lineRule="auto"/>
        <w:jc w:val="left"/>
        <w:rPr>
          <w:sz w:val="18"/>
        </w:rPr>
        <w:sectPr>
          <w:type w:val="continuous"/>
          <w:pgSz w:w="11900" w:h="16840"/>
          <w:pgMar w:top="1220" w:bottom="280" w:left="640" w:right="640"/>
          <w:cols w:num="2" w:equalWidth="0">
            <w:col w:w="5109" w:space="281"/>
            <w:col w:w="5230"/>
          </w:cols>
        </w:sectPr>
      </w:pPr>
    </w:p>
    <w:p>
      <w:pPr>
        <w:pStyle w:val="BodyText"/>
        <w:rPr>
          <w:sz w:val="20"/>
        </w:rPr>
      </w:pPr>
    </w:p>
    <w:p>
      <w:pPr>
        <w:spacing w:before="218"/>
        <w:ind w:left="155" w:right="0" w:firstLine="0"/>
        <w:jc w:val="left"/>
        <w:rPr>
          <w:b/>
          <w:sz w:val="28"/>
        </w:rPr>
      </w:pPr>
      <w:bookmarkStart w:name="April press notice" w:id="92"/>
      <w:bookmarkEnd w:id="92"/>
      <w:r>
        <w:rPr/>
      </w:r>
      <w:bookmarkStart w:name="_bookmark40" w:id="93"/>
      <w:bookmarkEnd w:id="93"/>
      <w:r>
        <w:rPr/>
      </w:r>
      <w:r>
        <w:rPr>
          <w:b/>
          <w:color w:val="009483"/>
          <w:sz w:val="28"/>
        </w:rPr>
        <w:t>Text of Bank of England press notice of 8 April 1999</w:t>
      </w:r>
    </w:p>
    <w:p>
      <w:pPr>
        <w:spacing w:before="158"/>
        <w:ind w:left="155" w:right="0" w:firstLine="0"/>
        <w:jc w:val="left"/>
        <w:rPr>
          <w:b/>
          <w:sz w:val="28"/>
        </w:rPr>
      </w:pPr>
      <w:r>
        <w:rPr>
          <w:b/>
          <w:color w:val="009483"/>
          <w:sz w:val="28"/>
        </w:rPr>
        <w:t>Bank of England reduces interest rates by 0.25% to 5.25%</w:t>
      </w:r>
    </w:p>
    <w:p>
      <w:pPr>
        <w:pStyle w:val="BodyText"/>
        <w:spacing w:before="10"/>
        <w:rPr>
          <w:b/>
          <w:sz w:val="34"/>
        </w:rPr>
      </w:pPr>
    </w:p>
    <w:p>
      <w:pPr>
        <w:pStyle w:val="BodyText"/>
        <w:spacing w:line="463" w:lineRule="auto"/>
        <w:ind w:left="160" w:right="2096"/>
      </w:pPr>
      <w:r>
        <w:rPr>
          <w:color w:val="231F20"/>
        </w:rPr>
        <w:t>The Bank of England’s Monetary Policy Committee today voted to reduce the Bank’s repo rate by 0.25% to 5.25%. The minutes of the meeting will be published at 9.30 am on Wednesday 21 April.</w:t>
      </w:r>
    </w:p>
    <w:p>
      <w:pPr>
        <w:spacing w:after="0" w:line="463" w:lineRule="auto"/>
        <w:sectPr>
          <w:pgSz w:w="11900" w:h="16840"/>
          <w:pgMar w:header="566" w:footer="597" w:top="760" w:bottom="780" w:left="640" w:right="640"/>
        </w:sectPr>
      </w:pPr>
    </w:p>
    <w:p>
      <w:pPr>
        <w:pStyle w:val="BodyText"/>
        <w:rPr>
          <w:sz w:val="20"/>
        </w:rPr>
      </w:pPr>
    </w:p>
    <w:p>
      <w:pPr>
        <w:spacing w:line="357" w:lineRule="auto" w:before="218"/>
        <w:ind w:left="185" w:right="3641" w:firstLine="0"/>
        <w:jc w:val="left"/>
        <w:rPr>
          <w:b/>
          <w:sz w:val="28"/>
        </w:rPr>
      </w:pPr>
      <w:bookmarkStart w:name="May press notice" w:id="94"/>
      <w:bookmarkEnd w:id="94"/>
      <w:r>
        <w:rPr/>
      </w:r>
      <w:bookmarkStart w:name="_bookmark41" w:id="95"/>
      <w:bookmarkEnd w:id="95"/>
      <w:r>
        <w:rPr/>
      </w:r>
      <w:r>
        <w:rPr>
          <w:b/>
          <w:color w:val="009483"/>
          <w:sz w:val="28"/>
        </w:rPr>
        <w:t>Text of Bank of England press notice of 6 May 1999 Bank of England maintains interest rates at 5.25%</w:t>
      </w:r>
    </w:p>
    <w:p>
      <w:pPr>
        <w:pStyle w:val="BodyText"/>
        <w:rPr>
          <w:b/>
          <w:sz w:val="14"/>
        </w:rPr>
      </w:pPr>
    </w:p>
    <w:p>
      <w:pPr>
        <w:pStyle w:val="BodyText"/>
        <w:spacing w:before="93"/>
        <w:ind w:left="190"/>
      </w:pPr>
      <w:r>
        <w:rPr>
          <w:color w:val="231F20"/>
        </w:rPr>
        <w:t>The Bank of England’s Monetary Policy Committee today voted to maintain the Bank’s repo rate at 5.25%.</w:t>
      </w:r>
    </w:p>
    <w:p>
      <w:pPr>
        <w:pStyle w:val="BodyText"/>
        <w:spacing w:before="2"/>
        <w:rPr>
          <w:sz w:val="17"/>
        </w:rPr>
      </w:pPr>
    </w:p>
    <w:p>
      <w:pPr>
        <w:pStyle w:val="BodyText"/>
        <w:spacing w:line="232" w:lineRule="auto"/>
        <w:ind w:left="190" w:right="137"/>
      </w:pPr>
      <w:r>
        <w:rPr>
          <w:color w:val="231F20"/>
        </w:rPr>
        <w:t>The Committee considered how policy should be set in the light of its latest inflation projection. Since the February </w:t>
      </w:r>
      <w:r>
        <w:rPr>
          <w:i/>
          <w:color w:val="231F20"/>
        </w:rPr>
        <w:t>Inflation Report, </w:t>
      </w:r>
      <w:r>
        <w:rPr>
          <w:color w:val="231F20"/>
        </w:rPr>
        <w:t>there have been encouraging signs of recovering growth, and over the forecast period inflation is expected to be broadly in line with the 2</w:t>
      </w:r>
      <w:r>
        <w:rPr>
          <w:color w:val="231F20"/>
          <w:position w:val="6"/>
          <w:sz w:val="9"/>
        </w:rPr>
        <w:t>1</w:t>
      </w:r>
      <w:r>
        <w:rPr>
          <w:color w:val="231F20"/>
        </w:rPr>
        <w:t>/</w:t>
      </w:r>
      <w:r>
        <w:rPr>
          <w:color w:val="231F20"/>
          <w:sz w:val="9"/>
        </w:rPr>
        <w:t>2</w:t>
      </w:r>
      <w:r>
        <w:rPr>
          <w:color w:val="231F20"/>
        </w:rPr>
        <w:t>% </w:t>
      </w:r>
      <w:r>
        <w:rPr>
          <w:color w:val="231F20"/>
          <w:spacing w:val="-3"/>
        </w:rPr>
        <w:t>target. </w:t>
      </w:r>
      <w:r>
        <w:rPr>
          <w:color w:val="231F20"/>
        </w:rPr>
        <w:t>The projection takes account of the rise since February in sterling’s effective exchange rate, and assumes a decline from its present high level, at least in line with interest rate differentials. If sterling were not to weaken as assumed, it is likely that inflation would undershoot the inflation target over the coming two years. In those circumstances, depending on other developments in the economy, there might, therefore, need to be further easing of interest rates in order to keep inflation on track to meet the 2</w:t>
      </w:r>
      <w:r>
        <w:rPr>
          <w:color w:val="231F20"/>
          <w:position w:val="6"/>
          <w:sz w:val="9"/>
        </w:rPr>
        <w:t>1</w:t>
      </w:r>
      <w:r>
        <w:rPr>
          <w:color w:val="231F20"/>
        </w:rPr>
        <w:t>/</w:t>
      </w:r>
      <w:r>
        <w:rPr>
          <w:color w:val="231F20"/>
          <w:sz w:val="9"/>
        </w:rPr>
        <w:t>2</w:t>
      </w:r>
      <w:r>
        <w:rPr>
          <w:color w:val="231F20"/>
        </w:rPr>
        <w:t>%</w:t>
      </w:r>
      <w:r>
        <w:rPr>
          <w:color w:val="231F20"/>
          <w:spacing w:val="-1"/>
        </w:rPr>
        <w:t> </w:t>
      </w:r>
      <w:r>
        <w:rPr>
          <w:color w:val="231F20"/>
        </w:rPr>
        <w:t>target.</w:t>
      </w:r>
    </w:p>
    <w:p>
      <w:pPr>
        <w:pStyle w:val="BodyText"/>
        <w:spacing w:before="6"/>
        <w:rPr>
          <w:sz w:val="16"/>
        </w:rPr>
      </w:pPr>
    </w:p>
    <w:p>
      <w:pPr>
        <w:pStyle w:val="BodyText"/>
        <w:spacing w:line="463" w:lineRule="auto" w:before="1"/>
        <w:ind w:left="190" w:right="2531"/>
      </w:pPr>
      <w:r>
        <w:rPr>
          <w:color w:val="231F20"/>
        </w:rPr>
        <w:t>The latest projections and analysis will appear in the </w:t>
      </w:r>
      <w:r>
        <w:rPr>
          <w:i/>
          <w:color w:val="231F20"/>
        </w:rPr>
        <w:t>Inflation Report </w:t>
      </w:r>
      <w:r>
        <w:rPr>
          <w:color w:val="231F20"/>
        </w:rPr>
        <w:t>to be published on Wednesday 12 May. The minutes of the meeting will be published at 9.30 am on Wednesday 19 May.</w:t>
      </w:r>
    </w:p>
    <w:p>
      <w:pPr>
        <w:spacing w:after="0" w:line="463" w:lineRule="auto"/>
        <w:sectPr>
          <w:pgSz w:w="11900" w:h="16840"/>
          <w:pgMar w:header="566" w:footer="597" w:top="760" w:bottom="780" w:left="640" w:right="640"/>
        </w:sectPr>
      </w:pPr>
    </w:p>
    <w:p>
      <w:pPr>
        <w:spacing w:before="61"/>
        <w:ind w:left="569" w:right="0" w:firstLine="0"/>
        <w:jc w:val="left"/>
        <w:rPr>
          <w:b/>
          <w:sz w:val="28"/>
        </w:rPr>
      </w:pPr>
      <w:bookmarkStart w:name="Glossary and other information" w:id="96"/>
      <w:bookmarkEnd w:id="96"/>
      <w:r>
        <w:rPr/>
      </w:r>
      <w:bookmarkStart w:name="_bookmark42" w:id="97"/>
      <w:bookmarkEnd w:id="97"/>
      <w:r>
        <w:rPr/>
      </w:r>
      <w:r>
        <w:rPr>
          <w:b/>
          <w:color w:val="009483"/>
          <w:sz w:val="28"/>
        </w:rPr>
        <w:t>Glossary and other information</w:t>
      </w:r>
    </w:p>
    <w:p>
      <w:pPr>
        <w:pStyle w:val="BodyText"/>
        <w:spacing w:before="8"/>
        <w:rPr>
          <w:b/>
          <w:sz w:val="25"/>
        </w:rPr>
      </w:pPr>
    </w:p>
    <w:p>
      <w:pPr>
        <w:spacing w:before="0"/>
        <w:ind w:left="569" w:right="0" w:firstLine="0"/>
        <w:jc w:val="left"/>
        <w:rPr>
          <w:b/>
          <w:sz w:val="24"/>
        </w:rPr>
      </w:pPr>
      <w:r>
        <w:rPr>
          <w:b/>
          <w:color w:val="0093C1"/>
          <w:sz w:val="24"/>
        </w:rPr>
        <w:t>Glossary of selected data</w:t>
      </w:r>
    </w:p>
    <w:p>
      <w:pPr>
        <w:spacing w:before="122"/>
        <w:ind w:left="569" w:right="0" w:firstLine="0"/>
        <w:jc w:val="left"/>
        <w:rPr>
          <w:sz w:val="20"/>
        </w:rPr>
      </w:pPr>
      <w:r>
        <w:rPr>
          <w:b/>
          <w:color w:val="231F20"/>
          <w:sz w:val="20"/>
        </w:rPr>
        <w:t>AEI:  </w:t>
      </w:r>
      <w:r>
        <w:rPr>
          <w:color w:val="231F20"/>
          <w:sz w:val="20"/>
        </w:rPr>
        <w:t>Average Earnings</w:t>
      </w:r>
      <w:r>
        <w:rPr>
          <w:color w:val="231F20"/>
          <w:spacing w:val="-1"/>
          <w:sz w:val="20"/>
        </w:rPr>
        <w:t> </w:t>
      </w:r>
      <w:r>
        <w:rPr>
          <w:color w:val="231F20"/>
          <w:sz w:val="20"/>
        </w:rPr>
        <w:t>Index.</w:t>
      </w:r>
    </w:p>
    <w:p>
      <w:pPr>
        <w:pStyle w:val="Heading5"/>
      </w:pPr>
      <w:r>
        <w:rPr>
          <w:b/>
          <w:color w:val="231F20"/>
        </w:rPr>
        <w:t>DGI: </w:t>
      </w:r>
      <w:r>
        <w:rPr>
          <w:color w:val="231F20"/>
        </w:rPr>
        <w:t>domestically generated inflation.</w:t>
      </w:r>
    </w:p>
    <w:p>
      <w:pPr>
        <w:pStyle w:val="Heading5"/>
        <w:spacing w:line="249" w:lineRule="auto"/>
        <w:ind w:left="789" w:right="221" w:hanging="220"/>
      </w:pPr>
      <w:r>
        <w:rPr>
          <w:b/>
          <w:color w:val="231F20"/>
        </w:rPr>
        <w:t>Divisia money</w:t>
      </w:r>
      <w:r>
        <w:rPr>
          <w:color w:val="231F20"/>
        </w:rPr>
        <w:t>: a measure of the money stock in which each component is weighted according to an estimate of its likely use for transactions.</w:t>
      </w:r>
    </w:p>
    <w:p>
      <w:pPr>
        <w:pStyle w:val="Heading5"/>
        <w:spacing w:before="1"/>
      </w:pPr>
      <w:r>
        <w:rPr>
          <w:b/>
          <w:color w:val="231F20"/>
        </w:rPr>
        <w:t>ERI: </w:t>
      </w:r>
      <w:r>
        <w:rPr>
          <w:color w:val="231F20"/>
        </w:rPr>
        <w:t>Exchange rate index.</w:t>
      </w:r>
    </w:p>
    <w:p>
      <w:pPr>
        <w:pStyle w:val="Heading5"/>
      </w:pPr>
      <w:r>
        <w:rPr>
          <w:b/>
          <w:color w:val="231F20"/>
        </w:rPr>
        <w:t>HICP: </w:t>
      </w:r>
      <w:r>
        <w:rPr>
          <w:color w:val="231F20"/>
        </w:rPr>
        <w:t>Harmonised Index of Consumer Prices.</w:t>
      </w:r>
    </w:p>
    <w:p>
      <w:pPr>
        <w:pStyle w:val="Heading5"/>
      </w:pPr>
      <w:r>
        <w:rPr>
          <w:b/>
          <w:color w:val="231F20"/>
        </w:rPr>
        <w:t>M0</w:t>
      </w:r>
      <w:r>
        <w:rPr>
          <w:color w:val="231F20"/>
        </w:rPr>
        <w:t>: notes and coin in circulation outside the Bank of England and bankers’ operational deposits at the Bank.</w:t>
      </w:r>
    </w:p>
    <w:p>
      <w:pPr>
        <w:pStyle w:val="Heading5"/>
        <w:spacing w:line="249" w:lineRule="auto"/>
        <w:ind w:left="789" w:right="224" w:hanging="220"/>
      </w:pPr>
      <w:r>
        <w:rPr>
          <w:b/>
          <w:color w:val="231F20"/>
        </w:rPr>
        <w:t>M4</w:t>
      </w:r>
      <w:r>
        <w:rPr>
          <w:color w:val="231F20"/>
        </w:rPr>
        <w:t>: UK non-bank, non building society private sector’s holdings of notes and coin, together with all sterling deposits (including certificates of deposit) held at UK banks and building societies by the non-bank, non building society private sector.</w:t>
      </w:r>
    </w:p>
    <w:p>
      <w:pPr>
        <w:pStyle w:val="Heading5"/>
        <w:spacing w:before="3"/>
      </w:pPr>
      <w:r>
        <w:rPr>
          <w:b/>
          <w:color w:val="231F20"/>
        </w:rPr>
        <w:t>PPI: </w:t>
      </w:r>
      <w:r>
        <w:rPr>
          <w:color w:val="231F20"/>
        </w:rPr>
        <w:t>Producer Prices Index.</w:t>
      </w:r>
    </w:p>
    <w:p>
      <w:pPr>
        <w:pStyle w:val="Heading5"/>
      </w:pPr>
      <w:r>
        <w:rPr>
          <w:b/>
          <w:color w:val="231F20"/>
        </w:rPr>
        <w:t>PPIY: </w:t>
      </w:r>
      <w:r>
        <w:rPr>
          <w:color w:val="231F20"/>
        </w:rPr>
        <w:t>Producer Prices Index excluding excise duties.</w:t>
      </w:r>
    </w:p>
    <w:p>
      <w:pPr>
        <w:pStyle w:val="Heading5"/>
        <w:spacing w:line="249" w:lineRule="auto"/>
        <w:ind w:left="789" w:right="484" w:hanging="220"/>
      </w:pPr>
      <w:r>
        <w:rPr>
          <w:b/>
          <w:color w:val="231F20"/>
        </w:rPr>
        <w:t>Reward Index: </w:t>
      </w:r>
      <w:r>
        <w:rPr>
          <w:color w:val="231F20"/>
        </w:rPr>
        <w:t>a three-month moving average measure of growth in total pay in the United Kingdom, produced by The Reward Group.</w:t>
      </w:r>
    </w:p>
    <w:p>
      <w:pPr>
        <w:spacing w:before="2"/>
        <w:ind w:left="569" w:right="0" w:firstLine="0"/>
        <w:jc w:val="left"/>
        <w:rPr>
          <w:sz w:val="20"/>
        </w:rPr>
      </w:pPr>
      <w:r>
        <w:rPr>
          <w:b/>
          <w:color w:val="231F20"/>
          <w:sz w:val="20"/>
        </w:rPr>
        <w:t>RPI inflation</w:t>
      </w:r>
      <w:r>
        <w:rPr>
          <w:color w:val="231F20"/>
          <w:sz w:val="20"/>
        </w:rPr>
        <w:t>: inflation measured by the retail price index.</w:t>
      </w:r>
    </w:p>
    <w:p>
      <w:pPr>
        <w:pStyle w:val="Heading5"/>
      </w:pPr>
      <w:r>
        <w:rPr>
          <w:b/>
          <w:color w:val="231F20"/>
        </w:rPr>
        <w:t>RPIX inflation</w:t>
      </w:r>
      <w:r>
        <w:rPr>
          <w:color w:val="231F20"/>
        </w:rPr>
        <w:t>: inflation measured by the RPI excluding mortgage interest payments.</w:t>
      </w:r>
    </w:p>
    <w:p>
      <w:pPr>
        <w:pStyle w:val="Heading5"/>
        <w:spacing w:line="249" w:lineRule="auto"/>
        <w:ind w:left="789" w:hanging="220"/>
      </w:pPr>
      <w:r>
        <w:rPr>
          <w:b/>
          <w:color w:val="231F20"/>
        </w:rPr>
        <w:t>RPIY inflation</w:t>
      </w:r>
      <w:r>
        <w:rPr>
          <w:color w:val="231F20"/>
        </w:rPr>
        <w:t>: inflation measured by the RPI excluding mortgage interest payments and the following indirect taxes: council tax, VAT, duties, car purchase tax and vehicle excise duty, insurance tax and airport tax.</w:t>
      </w:r>
    </w:p>
    <w:p>
      <w:pPr>
        <w:spacing w:before="141"/>
        <w:ind w:left="569" w:right="0" w:firstLine="0"/>
        <w:jc w:val="left"/>
        <w:rPr>
          <w:sz w:val="20"/>
        </w:rPr>
      </w:pPr>
      <w:r>
        <w:rPr>
          <w:b/>
          <w:color w:val="231F20"/>
          <w:sz w:val="20"/>
        </w:rPr>
        <w:t>Three-month annualised</w:t>
      </w:r>
      <w:r>
        <w:rPr>
          <w:color w:val="231F20"/>
          <w:sz w:val="20"/>
        </w:rPr>
        <w:t>: the percentage change in a series over three months, expressed as an annual rate.</w:t>
      </w:r>
    </w:p>
    <w:p>
      <w:pPr>
        <w:pStyle w:val="BodyText"/>
        <w:spacing w:before="6"/>
      </w:pPr>
    </w:p>
    <w:p>
      <w:pPr>
        <w:spacing w:before="0"/>
        <w:ind w:left="569" w:right="0" w:firstLine="0"/>
        <w:jc w:val="left"/>
        <w:rPr>
          <w:b/>
          <w:sz w:val="24"/>
        </w:rPr>
      </w:pPr>
      <w:r>
        <w:rPr>
          <w:b/>
          <w:color w:val="0093C1"/>
          <w:sz w:val="24"/>
        </w:rPr>
        <w:t>Abbreviations</w:t>
      </w:r>
    </w:p>
    <w:p>
      <w:pPr>
        <w:pStyle w:val="Heading5"/>
        <w:spacing w:line="249" w:lineRule="auto" w:before="141"/>
        <w:ind w:right="6543"/>
      </w:pPr>
      <w:r>
        <w:rPr>
          <w:b/>
          <w:color w:val="231F20"/>
        </w:rPr>
        <w:t>BCC: </w:t>
      </w:r>
      <w:r>
        <w:rPr>
          <w:color w:val="231F20"/>
        </w:rPr>
        <w:t>British Chambers of Commerce. </w:t>
      </w:r>
      <w:r>
        <w:rPr>
          <w:b/>
          <w:color w:val="231F20"/>
        </w:rPr>
        <w:t>BIS: </w:t>
      </w:r>
      <w:r>
        <w:rPr>
          <w:color w:val="231F20"/>
        </w:rPr>
        <w:t>Bank for International Settlements. </w:t>
      </w:r>
      <w:r>
        <w:rPr>
          <w:b/>
          <w:color w:val="231F20"/>
        </w:rPr>
        <w:t>BRC: </w:t>
      </w:r>
      <w:r>
        <w:rPr>
          <w:color w:val="231F20"/>
        </w:rPr>
        <w:t>British Retail Consortium.</w:t>
      </w:r>
    </w:p>
    <w:p>
      <w:pPr>
        <w:pStyle w:val="Heading5"/>
        <w:spacing w:before="3"/>
      </w:pPr>
      <w:r>
        <w:rPr>
          <w:b/>
          <w:color w:val="231F20"/>
        </w:rPr>
        <w:t>CBI: </w:t>
      </w:r>
      <w:r>
        <w:rPr>
          <w:color w:val="231F20"/>
        </w:rPr>
        <w:t>Confederation of British Industry.</w:t>
      </w:r>
    </w:p>
    <w:p>
      <w:pPr>
        <w:pStyle w:val="Heading5"/>
      </w:pPr>
      <w:r>
        <w:rPr>
          <w:b/>
          <w:color w:val="231F20"/>
        </w:rPr>
        <w:t>C</w:t>
      </w:r>
      <w:r>
        <w:rPr>
          <w:b/>
          <w:color w:val="231F20"/>
          <w:sz w:val="16"/>
        </w:rPr>
        <w:t>IPS</w:t>
      </w:r>
      <w:r>
        <w:rPr>
          <w:b/>
          <w:color w:val="231F20"/>
        </w:rPr>
        <w:t>: </w:t>
      </w:r>
      <w:r>
        <w:rPr>
          <w:color w:val="231F20"/>
        </w:rPr>
        <w:t>Chartered Institute of Purchasing and Supply.</w:t>
      </w:r>
    </w:p>
    <w:p>
      <w:pPr>
        <w:pStyle w:val="Heading5"/>
      </w:pPr>
      <w:r>
        <w:rPr>
          <w:b/>
          <w:color w:val="231F20"/>
        </w:rPr>
        <w:t>EIU: </w:t>
      </w:r>
      <w:r>
        <w:rPr>
          <w:color w:val="231F20"/>
        </w:rPr>
        <w:t>Economist Intelligence Unit.</w:t>
      </w:r>
    </w:p>
    <w:p>
      <w:pPr>
        <w:pStyle w:val="Heading5"/>
      </w:pPr>
      <w:r>
        <w:rPr>
          <w:b/>
          <w:color w:val="231F20"/>
        </w:rPr>
        <w:t>F</w:t>
      </w:r>
      <w:r>
        <w:rPr>
          <w:b/>
          <w:color w:val="231F20"/>
          <w:sz w:val="16"/>
        </w:rPr>
        <w:t>RES</w:t>
      </w:r>
      <w:r>
        <w:rPr>
          <w:b/>
          <w:color w:val="231F20"/>
        </w:rPr>
        <w:t>: </w:t>
      </w:r>
      <w:r>
        <w:rPr>
          <w:color w:val="231F20"/>
        </w:rPr>
        <w:t>Federation of Recruitment and Employment Services.</w:t>
      </w:r>
    </w:p>
    <w:p>
      <w:pPr>
        <w:pStyle w:val="Heading5"/>
      </w:pPr>
      <w:r>
        <w:rPr>
          <w:b/>
          <w:color w:val="231F20"/>
        </w:rPr>
        <w:t>F</w:t>
      </w:r>
      <w:r>
        <w:rPr>
          <w:b/>
          <w:color w:val="231F20"/>
          <w:sz w:val="16"/>
        </w:rPr>
        <w:t>T-SE: </w:t>
      </w:r>
      <w:r>
        <w:rPr>
          <w:color w:val="231F20"/>
        </w:rPr>
        <w:t>Financial Times Stock Exchange.</w:t>
      </w:r>
    </w:p>
    <w:p>
      <w:pPr>
        <w:pStyle w:val="Heading5"/>
        <w:spacing w:line="249" w:lineRule="auto"/>
        <w:ind w:right="5977"/>
        <w:jc w:val="both"/>
      </w:pPr>
      <w:r>
        <w:rPr>
          <w:b/>
          <w:color w:val="231F20"/>
        </w:rPr>
        <w:t>GfK: </w:t>
      </w:r>
      <w:r>
        <w:rPr>
          <w:color w:val="231F20"/>
        </w:rPr>
        <w:t>Gesellschaft für Konsum, Great Britain Ltd. </w:t>
      </w:r>
      <w:r>
        <w:rPr>
          <w:b/>
          <w:color w:val="231F20"/>
        </w:rPr>
        <w:t>I</w:t>
      </w:r>
      <w:r>
        <w:rPr>
          <w:b/>
          <w:color w:val="231F20"/>
          <w:sz w:val="16"/>
        </w:rPr>
        <w:t>CPF</w:t>
      </w:r>
      <w:r>
        <w:rPr>
          <w:b/>
          <w:color w:val="231F20"/>
        </w:rPr>
        <w:t>s: </w:t>
      </w:r>
      <w:r>
        <w:rPr>
          <w:color w:val="231F20"/>
        </w:rPr>
        <w:t>Insurance corporations and pension funds. </w:t>
      </w:r>
      <w:r>
        <w:rPr>
          <w:b/>
          <w:color w:val="231F20"/>
        </w:rPr>
        <w:t>I</w:t>
      </w:r>
      <w:r>
        <w:rPr>
          <w:b/>
          <w:color w:val="231F20"/>
          <w:sz w:val="16"/>
        </w:rPr>
        <w:t>DBR</w:t>
      </w:r>
      <w:r>
        <w:rPr>
          <w:b/>
          <w:color w:val="231F20"/>
        </w:rPr>
        <w:t>: </w:t>
      </w:r>
      <w:r>
        <w:rPr>
          <w:color w:val="231F20"/>
        </w:rPr>
        <w:t>Inter-Departmental Business Register.</w:t>
      </w:r>
    </w:p>
    <w:p>
      <w:pPr>
        <w:pStyle w:val="Heading5"/>
        <w:spacing w:before="2"/>
      </w:pPr>
      <w:r>
        <w:rPr>
          <w:b/>
          <w:color w:val="231F20"/>
        </w:rPr>
        <w:t>IMF: </w:t>
      </w:r>
      <w:r>
        <w:rPr>
          <w:color w:val="231F20"/>
        </w:rPr>
        <w:t>International Monetary Fund.</w:t>
      </w:r>
    </w:p>
    <w:p>
      <w:pPr>
        <w:pStyle w:val="Heading5"/>
      </w:pPr>
      <w:r>
        <w:rPr>
          <w:b/>
          <w:color w:val="231F20"/>
        </w:rPr>
        <w:t>LFS: </w:t>
      </w:r>
      <w:r>
        <w:rPr>
          <w:color w:val="231F20"/>
        </w:rPr>
        <w:t>Labour Force Survey.</w:t>
      </w:r>
    </w:p>
    <w:p>
      <w:pPr>
        <w:pStyle w:val="Heading5"/>
      </w:pPr>
      <w:r>
        <w:rPr>
          <w:b/>
          <w:color w:val="231F20"/>
        </w:rPr>
        <w:t>M</w:t>
      </w:r>
      <w:r>
        <w:rPr>
          <w:b/>
          <w:color w:val="231F20"/>
          <w:sz w:val="16"/>
        </w:rPr>
        <w:t>ORI</w:t>
      </w:r>
      <w:r>
        <w:rPr>
          <w:b/>
          <w:color w:val="231F20"/>
        </w:rPr>
        <w:t>: </w:t>
      </w:r>
      <w:r>
        <w:rPr>
          <w:color w:val="231F20"/>
        </w:rPr>
        <w:t>Market Opinion Research International.</w:t>
      </w:r>
    </w:p>
    <w:p>
      <w:pPr>
        <w:pStyle w:val="Heading5"/>
      </w:pPr>
      <w:r>
        <w:rPr>
          <w:b/>
          <w:color w:val="231F20"/>
        </w:rPr>
        <w:t>MFR: </w:t>
      </w:r>
      <w:r>
        <w:rPr>
          <w:color w:val="231F20"/>
        </w:rPr>
        <w:t>Minimum funding requirement.</w:t>
      </w:r>
    </w:p>
    <w:p>
      <w:pPr>
        <w:pStyle w:val="Heading5"/>
      </w:pPr>
      <w:r>
        <w:rPr>
          <w:b/>
          <w:color w:val="231F20"/>
        </w:rPr>
        <w:t>MPC: </w:t>
      </w:r>
      <w:r>
        <w:rPr>
          <w:color w:val="231F20"/>
        </w:rPr>
        <w:t>Monetary Policy Committee.</w:t>
      </w:r>
    </w:p>
    <w:p>
      <w:pPr>
        <w:pStyle w:val="Heading5"/>
      </w:pPr>
      <w:r>
        <w:rPr>
          <w:b/>
          <w:color w:val="231F20"/>
        </w:rPr>
        <w:t>O</w:t>
      </w:r>
      <w:r>
        <w:rPr>
          <w:b/>
          <w:color w:val="231F20"/>
          <w:sz w:val="16"/>
        </w:rPr>
        <w:t>ECD</w:t>
      </w:r>
      <w:r>
        <w:rPr>
          <w:b/>
          <w:color w:val="231F20"/>
        </w:rPr>
        <w:t>: </w:t>
      </w:r>
      <w:r>
        <w:rPr>
          <w:color w:val="231F20"/>
        </w:rPr>
        <w:t>Organisation for Economic Co-operation and Development.</w:t>
      </w:r>
    </w:p>
    <w:p>
      <w:pPr>
        <w:pStyle w:val="Heading5"/>
        <w:spacing w:before="11"/>
      </w:pPr>
      <w:r>
        <w:rPr>
          <w:b/>
          <w:color w:val="231F20"/>
        </w:rPr>
        <w:t>OFCs: </w:t>
      </w:r>
      <w:r>
        <w:rPr>
          <w:color w:val="231F20"/>
        </w:rPr>
        <w:t>Other financial corporations.</w:t>
      </w:r>
    </w:p>
    <w:p>
      <w:pPr>
        <w:pStyle w:val="Heading5"/>
      </w:pPr>
      <w:r>
        <w:rPr>
          <w:b/>
          <w:color w:val="231F20"/>
        </w:rPr>
        <w:t>O</w:t>
      </w:r>
      <w:r>
        <w:rPr>
          <w:b/>
          <w:color w:val="231F20"/>
          <w:sz w:val="16"/>
        </w:rPr>
        <w:t>FIFA</w:t>
      </w:r>
      <w:r>
        <w:rPr>
          <w:b/>
          <w:color w:val="231F20"/>
        </w:rPr>
        <w:t>s: </w:t>
      </w:r>
      <w:r>
        <w:rPr>
          <w:color w:val="231F20"/>
        </w:rPr>
        <w:t>Other financial intermediaries and financial auxiliaries.</w:t>
      </w:r>
    </w:p>
    <w:p>
      <w:pPr>
        <w:pStyle w:val="Heading5"/>
      </w:pPr>
      <w:r>
        <w:rPr>
          <w:b/>
          <w:color w:val="231F20"/>
        </w:rPr>
        <w:t>ONS: </w:t>
      </w:r>
      <w:r>
        <w:rPr>
          <w:color w:val="231F20"/>
        </w:rPr>
        <w:t>Office for National Statistics.</w:t>
      </w:r>
    </w:p>
    <w:p>
      <w:pPr>
        <w:pStyle w:val="Heading5"/>
      </w:pPr>
      <w:r>
        <w:rPr>
          <w:b/>
          <w:color w:val="231F20"/>
        </w:rPr>
        <w:t>P</w:t>
      </w:r>
      <w:r>
        <w:rPr>
          <w:b/>
          <w:color w:val="231F20"/>
          <w:sz w:val="16"/>
        </w:rPr>
        <w:t>NFC</w:t>
      </w:r>
      <w:r>
        <w:rPr>
          <w:b/>
          <w:color w:val="231F20"/>
        </w:rPr>
        <w:t>s: </w:t>
      </w:r>
      <w:r>
        <w:rPr>
          <w:color w:val="231F20"/>
        </w:rPr>
        <w:t>Private non-financial corporations.</w:t>
      </w:r>
    </w:p>
    <w:p>
      <w:pPr>
        <w:pStyle w:val="Heading5"/>
      </w:pPr>
      <w:r>
        <w:rPr>
          <w:b/>
          <w:color w:val="231F20"/>
        </w:rPr>
        <w:t>R</w:t>
      </w:r>
      <w:r>
        <w:rPr>
          <w:b/>
          <w:color w:val="231F20"/>
          <w:sz w:val="16"/>
        </w:rPr>
        <w:t>ICS</w:t>
      </w:r>
      <w:r>
        <w:rPr>
          <w:b/>
          <w:color w:val="231F20"/>
        </w:rPr>
        <w:t>: </w:t>
      </w:r>
      <w:r>
        <w:rPr>
          <w:color w:val="231F20"/>
        </w:rPr>
        <w:t>Royal Institute of Chartered Surveyors.</w:t>
      </w:r>
    </w:p>
    <w:p>
      <w:pPr>
        <w:spacing w:before="152"/>
        <w:ind w:left="569" w:right="0" w:firstLine="0"/>
        <w:jc w:val="left"/>
        <w:rPr>
          <w:b/>
          <w:sz w:val="24"/>
        </w:rPr>
      </w:pPr>
      <w:r>
        <w:rPr>
          <w:b/>
          <w:color w:val="0093C1"/>
          <w:sz w:val="24"/>
        </w:rPr>
        <w:t>Symbols and conventions</w:t>
      </w:r>
    </w:p>
    <w:p>
      <w:pPr>
        <w:pStyle w:val="Heading5"/>
        <w:spacing w:before="82"/>
      </w:pPr>
      <w:r>
        <w:rPr>
          <w:color w:val="231F20"/>
        </w:rPr>
        <w:t>Except where otherwise stated, the source of the data used in charts and tables is the Office for National Statistics (ONS).</w:t>
      </w:r>
    </w:p>
    <w:p>
      <w:pPr>
        <w:pStyle w:val="Heading5"/>
      </w:pPr>
      <w:r>
        <w:rPr>
          <w:color w:val="231F20"/>
        </w:rPr>
        <w:t>n.a. = not available.</w:t>
      </w:r>
    </w:p>
    <w:p>
      <w:pPr>
        <w:pStyle w:val="Heading5"/>
      </w:pPr>
      <w:r>
        <w:rPr>
          <w:color w:val="231F20"/>
        </w:rPr>
        <w:t>Because of rounding, the sum of the separate items may sometimes differ from the total shown.</w:t>
      </w:r>
    </w:p>
    <w:p>
      <w:pPr>
        <w:pStyle w:val="Heading5"/>
        <w:spacing w:line="249" w:lineRule="auto"/>
        <w:ind w:right="2039"/>
      </w:pPr>
      <w:r>
        <w:rPr>
          <w:color w:val="231F20"/>
        </w:rPr>
        <w:t>On the horizontal axes of graphs, larger ticks denote the first observation within the relevant period, eg data for the first quarter of the year.</w:t>
      </w:r>
    </w:p>
    <w:p>
      <w:pPr>
        <w:spacing w:before="64"/>
        <w:ind w:left="569" w:right="0" w:firstLine="0"/>
        <w:jc w:val="left"/>
        <w:rPr>
          <w:b/>
          <w:sz w:val="24"/>
        </w:rPr>
      </w:pPr>
      <w:r>
        <w:rPr>
          <w:b/>
          <w:color w:val="0093C1"/>
          <w:sz w:val="24"/>
        </w:rPr>
        <w:t>Other information</w:t>
      </w:r>
    </w:p>
    <w:p>
      <w:pPr>
        <w:pStyle w:val="Heading5"/>
        <w:spacing w:before="101"/>
      </w:pPr>
      <w:hyperlink r:id="rId151">
        <w:r>
          <w:rPr>
            <w:color w:val="231F20"/>
          </w:rPr>
          <w:t>email: mapublications@bankofengland.co.uk</w:t>
        </w:r>
      </w:hyperlink>
    </w:p>
    <w:p>
      <w:pPr>
        <w:pStyle w:val="Heading5"/>
      </w:pPr>
      <w:r>
        <w:rPr>
          <w:color w:val="231F20"/>
        </w:rPr>
        <w:t>This </w:t>
      </w:r>
      <w:r>
        <w:rPr>
          <w:i/>
          <w:color w:val="231F20"/>
        </w:rPr>
        <w:t>Report </w:t>
      </w:r>
      <w:hyperlink r:id="rId152">
        <w:r>
          <w:rPr>
            <w:color w:val="231F20"/>
          </w:rPr>
          <w:t>is available at: http://www.bankofengland.co.uk</w:t>
        </w:r>
      </w:hyperlink>
    </w:p>
    <w:sectPr>
      <w:headerReference w:type="default" r:id="rId149"/>
      <w:footerReference w:type="default" r:id="rId150"/>
      <w:pgSz w:w="11900" w:h="16840"/>
      <w:pgMar w:header="0" w:footer="0" w:top="80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5.330017pt;margin-top:801.141113pt;width:12.7pt;height:10.9pt;mso-position-horizontal-relative:page;mso-position-vertical-relative:page;z-index:-21405696" type="#_x0000_t202" filled="false" stroked="false">
          <v:textbox inset="0,0,0,0">
            <w:txbxContent>
              <w:p>
                <w:pPr>
                  <w:spacing w:before="13"/>
                  <w:ind w:left="60" w:right="0" w:firstLine="0"/>
                  <w:jc w:val="left"/>
                  <w:rPr>
                    <w:sz w:val="16"/>
                  </w:rPr>
                </w:pPr>
                <w:r>
                  <w:rPr/>
                  <w:fldChar w:fldCharType="begin"/>
                </w:r>
                <w:r>
                  <w:rPr>
                    <w:color w:val="231F20"/>
                    <w:sz w:val="16"/>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39699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0pt;height:10.9pt;mso-position-horizontal-relative:page;mso-position-vertical-relative:page;z-index:-213964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39443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939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8828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877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38572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38521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38265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999573pt;margin-top:800.141113pt;width:14pt;height:10.9pt;mso-position-horizontal-relative:page;mso-position-vertical-relative:page;z-index:-2138214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2.25pt;height:10.9pt;mso-position-horizontal-relative:page;mso-position-vertical-relative:page;z-index:-21405184" type="#_x0000_t202" filled="false" stroked="false">
          <v:textbox inset="0,0,0,0">
            <w:txbxContent>
              <w:p>
                <w:pPr>
                  <w:spacing w:before="13"/>
                  <w:ind w:left="60" w:right="0" w:firstLine="0"/>
                  <w:jc w:val="left"/>
                  <w:rPr>
                    <w:sz w:val="16"/>
                  </w:rPr>
                </w:pPr>
                <w:r>
                  <w:rPr/>
                  <w:fldChar w:fldCharType="begin"/>
                </w:r>
                <w:r>
                  <w:rPr>
                    <w:color w:val="231F20"/>
                    <w:sz w:val="16"/>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38112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38060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23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7856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7804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25</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75pt;height:10.9pt;mso-position-horizontal-relative:page;mso-position-vertical-relative:page;z-index:-21374464" type="#_x0000_t202" filled="false" stroked="false">
          <v:textbox inset="0,0,0,0">
            <w:txbxContent>
              <w:p>
                <w:pPr>
                  <w:spacing w:before="13"/>
                  <w:ind w:left="74" w:right="0" w:firstLine="0"/>
                  <w:jc w:val="left"/>
                  <w:rPr>
                    <w:sz w:val="16"/>
                  </w:rPr>
                </w:pPr>
                <w:r>
                  <w:rPr/>
                  <w:fldChar w:fldCharType="begin"/>
                </w:r>
                <w:r>
                  <w:rPr>
                    <w:sz w:val="16"/>
                  </w:rPr>
                  <w:instrText> PAGE </w:instrText>
                </w:r>
                <w:r>
                  <w:rPr/>
                  <w:fldChar w:fldCharType="separate"/>
                </w:r>
                <w:r>
                  <w:rPr/>
                  <w:t>26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739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7190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29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7139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37088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3703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34</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2.25pt;height:10.9pt;mso-position-horizontal-relative:page;mso-position-vertical-relative:page;z-index:-21403648" type="#_x0000_t202" filled="false" stroked="false">
          <v:textbox inset="0,0,0,0">
            <w:txbxContent>
              <w:p>
                <w:pPr>
                  <w:spacing w:before="13"/>
                  <w:ind w:left="60" w:right="0" w:firstLine="0"/>
                  <w:jc w:val="left"/>
                  <w:rPr>
                    <w:sz w:val="16"/>
                  </w:rPr>
                </w:pPr>
                <w:r>
                  <w:rPr/>
                  <w:fldChar w:fldCharType="begin"/>
                </w:r>
                <w:r>
                  <w:rPr>
                    <w:color w:val="231F20"/>
                    <w:sz w:val="16"/>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pt;margin-top:800.141113pt;width:14pt;height:10.9pt;mso-position-horizontal-relative:page;mso-position-vertical-relative:page;z-index:-2136832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36780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36</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6729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6678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41</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642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63712"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44</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61664"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361152"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9104" from="279pt,767.5pt" to="556.37pt,767.5pt" stroked="true" strokeweight=".125pt" strokecolor="#000000">
          <v:stroke dashstyle="solid"/>
          <w10:wrap type="none"/>
        </v:line>
      </w:pict>
    </w:r>
    <w:r>
      <w:rPr/>
      <w:pict>
        <v:shape style="position:absolute;margin-left:280pt;margin-top:769.461121pt;width:142pt;height:10.9pt;mso-position-horizontal-relative:page;mso-position-vertical-relative:page;z-index:-21358592" type="#_x0000_t202" filled="false" stroked="false">
          <v:textbox inset="0,0,0,0">
            <w:txbxContent>
              <w:p>
                <w:pPr>
                  <w:spacing w:before="13"/>
                  <w:ind w:left="20" w:right="0" w:firstLine="0"/>
                  <w:jc w:val="left"/>
                  <w:rPr>
                    <w:sz w:val="16"/>
                  </w:rPr>
                </w:pPr>
                <w:hyperlink w:history="true" w:anchor="_bookmark1">
                  <w:r>
                    <w:rPr>
                      <w:sz w:val="16"/>
                    </w:rPr>
                    <w:t>(1) Also shown as Chart 1 in the Overview.</w:t>
                  </w:r>
                </w:hyperlink>
              </w:p>
            </w:txbxContent>
          </v:textbox>
          <w10:wrap type="none"/>
        </v:shape>
      </w:pict>
    </w:r>
    <w:r>
      <w:rPr/>
      <w:pict>
        <v:shape style="position:absolute;margin-left:38pt;margin-top:801.141113pt;width:14pt;height:10.9pt;mso-position-horizontal-relative:page;mso-position-vertical-relative:page;z-index:-21358080"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57568" type="#_x0000_t202" filled="false" stroked="false">
          <v:textbox inset="0,0,0,0">
            <w:txbxContent>
              <w:p>
                <w:pPr>
                  <w:spacing w:before="13"/>
                  <w:ind w:left="60" w:right="0" w:firstLine="0"/>
                  <w:jc w:val="left"/>
                  <w:rPr>
                    <w:sz w:val="16"/>
                  </w:rPr>
                </w:pPr>
                <w:r>
                  <w:rPr/>
                  <w:fldChar w:fldCharType="begin"/>
                </w:r>
                <w:r>
                  <w:rPr>
                    <w:sz w:val="16"/>
                  </w:rPr>
                  <w:instrText> PAGE </w:instrText>
                </w:r>
                <w:r>
                  <w:rPr/>
                  <w:fldChar w:fldCharType="separate"/>
                </w:r>
                <w:r>
                  <w:rPr/>
                  <w:t>49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pt;margin-top:801.141113pt;width:10pt;height:10.9pt;mso-position-horizontal-relative:page;mso-position-vertical-relative:page;z-index:-21355520" type="#_x0000_t202" filled="false" stroked="false">
          <v:textbox inset="0,0,0,0">
            <w:txbxContent>
              <w:p>
                <w:pPr>
                  <w:spacing w:before="13"/>
                  <w:ind w:left="20" w:right="0" w:firstLine="0"/>
                  <w:jc w:val="left"/>
                  <w:rPr>
                    <w:sz w:val="16"/>
                  </w:rPr>
                </w:pPr>
                <w:r>
                  <w:rPr>
                    <w:sz w:val="16"/>
                  </w:rPr>
                  <w:t>52</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80029pt;margin-top:800.141113pt;width:14pt;height:10.9pt;mso-position-horizontal-relative:page;mso-position-vertical-relative:page;z-index:-21355008" type="#_x0000_t202" filled="false" stroked="false">
          <v:textbox inset="0,0,0,0">
            <w:txbxContent>
              <w:p>
                <w:pPr>
                  <w:spacing w:before="13"/>
                  <w:ind w:left="60" w:right="0" w:firstLine="0"/>
                  <w:jc w:val="left"/>
                  <w:rPr>
                    <w:sz w:val="16"/>
                  </w:rPr>
                </w:pPr>
                <w:r>
                  <w:rPr>
                    <w:sz w:val="16"/>
                  </w:rPr>
                  <w:t>53</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pt;margin-top:801.141113pt;width:14pt;height:10.9pt;mso-position-horizontal-relative:page;mso-position-vertical-relative:page;z-index:-21352960"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57</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79999pt;margin-top:801.141113pt;width:14pt;height:10.9pt;mso-position-horizontal-relative:page;mso-position-vertical-relative:page;z-index:-21352448"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58</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7pt;margin-top:800.141113pt;width:10pt;height:10.9pt;mso-position-horizontal-relative:page;mso-position-vertical-relative:page;z-index:-2140313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4pt;height:10.9pt;mso-position-horizontal-relative:page;mso-position-vertical-relative:page;z-index:-2140262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80029pt;margin-top:800.141113pt;width:10pt;height:10.9pt;mso-position-horizontal-relative:page;mso-position-vertical-relative:page;z-index:-21400576"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801.141113pt;width:10pt;height:10.9pt;mso-position-horizontal-relative:page;mso-position-vertical-relative:page;z-index:-21400064" type="#_x0000_t202" filled="false" stroked="false">
          <v:textbox inset="0,0,0,0">
            <w:txbxContent>
              <w:p>
                <w:pPr>
                  <w:spacing w:before="13"/>
                  <w:ind w:left="60" w:right="0" w:firstLine="0"/>
                  <w:jc w:val="left"/>
                  <w:rPr>
                    <w:sz w:val="16"/>
                  </w:rPr>
                </w:pPr>
                <w:r>
                  <w:rPr/>
                  <w:fldChar w:fldCharType="begin"/>
                </w:r>
                <w:r>
                  <w:rPr>
                    <w:color w:val="231F20"/>
                    <w:sz w:val="16"/>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40467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39750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5968" from="38.25pt,39pt" to="555.25pt,39pt" stroked="true" strokeweight=".125pt" strokecolor="#231f20">
          <v:stroke dashstyle="solid"/>
          <w10:wrap type="none"/>
        </v:line>
      </w:pict>
    </w:r>
    <w:r>
      <w:rPr/>
      <w:pict>
        <v:shape style="position:absolute;margin-left:459.75pt;margin-top:29.341093pt;width:95.55pt;height:10.9pt;mso-position-horizontal-relative:page;mso-position-vertical-relative:page;z-index:-21395456"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394944"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3408" from="38.25pt,39pt" to="555.25pt,39pt" stroked="true" strokeweight=".125pt" strokecolor="#231f20">
          <v:stroke dashstyle="solid"/>
          <w10:wrap type="none"/>
        </v:line>
      </w:pict>
    </w:r>
    <w:r>
      <w:rPr/>
      <w:pict>
        <v:group style="position:absolute;margin-left:42.162998pt;margin-top:110.481003pt;width:3.6pt;height:3.5pt;mso-position-horizontal-relative:page;mso-position-vertical-relative:page;z-index:-21392896" coordorigin="843,2210" coordsize="72,70">
          <v:rect style="position:absolute;left:848;top:2214;width:62;height:60" filled="true" fillcolor="#f7a08b" stroked="false">
            <v:fill type="solid"/>
          </v:rect>
          <v:rect style="position:absolute;left:848;top:2214;width:62;height:60" filled="false" stroked="true" strokeweight=".5pt" strokecolor="#231f20">
            <v:stroke dashstyle="solid"/>
          </v:rect>
          <w10:wrap type="none"/>
        </v:group>
      </w:pict>
    </w:r>
    <w:r>
      <w:rPr/>
      <w:pict>
        <v:group style="position:absolute;margin-left:108.075996pt;margin-top:110.517998pt;width:3.55pt;height:3.5pt;mso-position-horizontal-relative:page;mso-position-vertical-relative:page;z-index:-21392384" coordorigin="2162,2210" coordsize="71,70">
          <v:shape style="position:absolute;left:2166;top:2215;width:61;height:60" coordorigin="2167,2215" coordsize="61,60" path="m2197,2215l2185,2218,2175,2224,2169,2233,2167,2245,2169,2256,2175,2266,2185,2272,2197,2274,2209,2272,2219,2266,2225,2256,2227,2245,2225,2233,2219,2224,2209,2218,2197,2215xe" filled="true" fillcolor="#ed1b2d" stroked="false">
            <v:path arrowok="t"/>
            <v:fill type="solid"/>
          </v:shape>
          <v:shape style="position:absolute;left:2166;top:2215;width:61;height:60" coordorigin="2167,2215" coordsize="61,60" path="m2197,2274l2209,2272,2219,2266,2225,2256,2227,2245,2225,2233,2219,2224,2209,2218,2197,2215,2185,2218,2175,2224,2169,2233,2167,2245,2169,2256,2175,2266,2185,2272,2197,2274xe" filled="false" stroked="true" strokeweight=".5pt" strokecolor="#231f20">
            <v:path arrowok="t"/>
            <v:stroke dashstyle="solid"/>
          </v:shape>
          <w10:wrap type="none"/>
        </v:group>
      </w:pict>
    </w:r>
    <w:r>
      <w:rPr/>
      <w:pict>
        <v:line style="position:absolute;mso-position-horizontal-relative:page;mso-position-vertical-relative:page;z-index:-21391872" from="42.09pt,121.288002pt" to="44.05pt,121.288002pt" stroked="true" strokeweight=".5pt" strokecolor="#231f20">
          <v:stroke dashstyle="solid"/>
          <w10:wrap type="none"/>
        </v:line>
      </w:pict>
    </w:r>
    <w:r>
      <w:rPr/>
      <w:pict>
        <v:line style="position:absolute;mso-position-horizontal-relative:page;mso-position-vertical-relative:page;z-index:-21391360" from="198.889999pt,121.288002pt" to="200.849999pt,121.288002pt" stroked="true" strokeweight=".5pt" strokecolor="#231f20">
          <v:stroke dashstyle="solid"/>
          <w10:wrap type="none"/>
        </v:line>
      </w:pict>
    </w:r>
    <w:r>
      <w:rPr/>
      <w:pict>
        <v:line style="position:absolute;mso-position-horizontal-relative:page;mso-position-vertical-relative:page;z-index:-21390848" from="42.09pt,134.587997pt" to="44.05pt,134.587997pt" stroked="true" strokeweight=".5pt" strokecolor="#231f20">
          <v:stroke dashstyle="solid"/>
          <w10:wrap type="none"/>
        </v:line>
      </w:pict>
    </w:r>
    <w:r>
      <w:rPr/>
      <w:pict>
        <v:line style="position:absolute;mso-position-horizontal-relative:page;mso-position-vertical-relative:page;z-index:-21390336" from="198.889999pt,134.587997pt" to="200.849999pt,134.587997pt" stroked="true" strokeweight=".5pt" strokecolor="#231f20">
          <v:stroke dashstyle="solid"/>
          <w10:wrap type="none"/>
        </v:line>
      </w:pict>
    </w:r>
    <w:r>
      <w:rPr/>
      <w:pict>
        <v:line style="position:absolute;mso-position-horizontal-relative:page;mso-position-vertical-relative:page;z-index:-21389824" from="42.09pt,146.938004pt" to="44.05pt,146.938004pt" stroked="true" strokeweight=".5pt" strokecolor="#231f20">
          <v:stroke dashstyle="solid"/>
          <w10:wrap type="none"/>
        </v:line>
      </w:pict>
    </w:r>
    <w:r>
      <w:rPr/>
      <w:pict>
        <v:line style="position:absolute;mso-position-horizontal-relative:page;mso-position-vertical-relative:page;z-index:-21389312" from="198.889999pt,146.938004pt" to="200.849999pt,146.938004pt" stroked="true" strokeweight=".5pt" strokecolor="#231f20">
          <v:stroke dashstyle="solid"/>
          <w10:wrap type="none"/>
        </v:line>
      </w:pict>
    </w:r>
    <w:r>
      <w:rPr/>
      <w:pict>
        <v:shape style="position:absolute;margin-left:459.75pt;margin-top:29.341093pt;width:95.55pt;height:10.9pt;mso-position-horizontal-relative:page;mso-position-vertical-relative:page;z-index:-21388800"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7264" from="39pt,39pt" to="556pt,39pt" stroked="true" strokeweight=".125pt" strokecolor="#231f20">
          <v:stroke dashstyle="solid"/>
          <w10:wrap type="none"/>
        </v:line>
      </w:pict>
    </w:r>
    <w:r>
      <w:rPr/>
      <w:pict>
        <v:shape style="position:absolute;margin-left:490.450012pt;margin-top:29.461094pt;width:65.6pt;height:10.9pt;mso-position-horizontal-relative:page;mso-position-vertical-relative:page;z-index:-21386752"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38624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84704" from="44.279999pt,129.339005pt" to="48.487999pt,129.339005pt" stroked="true" strokeweight=".5pt" strokecolor="#231f20">
          <v:stroke dashstyle="solid"/>
          <w10:wrap type="none"/>
        </v:line>
      </w:pict>
    </w:r>
    <w:r>
      <w:rPr/>
      <w:pict>
        <v:line style="position:absolute;mso-position-horizontal-relative:page;mso-position-vertical-relative:page;z-index:-21384192" from="203.925995pt,129.343994pt" to="208.133995pt,129.343994pt" stroked="true" strokeweight=".5pt" strokecolor="#231f20">
          <v:stroke dashstyle="solid"/>
          <w10:wrap type="none"/>
        </v:line>
      </w:pict>
    </w:r>
    <w:r>
      <w:rPr/>
      <w:pict>
        <v:shape style="position:absolute;margin-left:37.25pt;margin-top:29.461094pt;width:519pt;height:10.9pt;mso-position-horizontal-relative:page;mso-position-vertical-relative:page;z-index:-2138368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450012pt;margin-top:29.461094pt;width:65.6pt;height:10.9pt;mso-position-horizontal-relative:page;mso-position-vertical-relative:page;z-index:-21383168" type="#_x0000_t202" filled="false" stroked="false">
          <v:textbox inset="0,0,0,0">
            <w:txbxContent>
              <w:p>
                <w:pPr>
                  <w:spacing w:before="13"/>
                  <w:ind w:left="20" w:right="0" w:firstLine="0"/>
                  <w:jc w:val="left"/>
                  <w:rPr>
                    <w:i/>
                    <w:sz w:val="16"/>
                  </w:rPr>
                </w:pPr>
                <w:r>
                  <w:rPr>
                    <w:i/>
                    <w:color w:val="231F20"/>
                    <w:sz w:val="16"/>
                  </w:rPr>
                  <w:t>Demand and output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38163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pt;margin-top:29.341093pt;width:92.25pt;height:10.9pt;mso-position-horizontal-relative:page;mso-position-vertical-relative:page;z-index:-21380096" type="#_x0000_t202" filled="false" stroked="false">
          <v:textbox inset="0,0,0,0">
            <w:txbxContent>
              <w:p>
                <w:pPr>
                  <w:spacing w:before="13"/>
                  <w:ind w:left="20" w:right="0" w:firstLine="0"/>
                  <w:jc w:val="left"/>
                  <w:rPr>
                    <w:sz w:val="16"/>
                  </w:rPr>
                </w:pPr>
                <w:r>
                  <w:rPr>
                    <w:sz w:val="16"/>
                  </w:rPr>
                  <w:t>Inflation Report: May 1999</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9584" from="38.25pt,39pt" to="555.25pt,39pt" stroked="true" strokeweight=".125pt" strokecolor="#000000">
          <v:stroke dashstyle="solid"/>
          <w10:wrap type="none"/>
        </v:line>
      </w:pict>
    </w:r>
    <w:r>
      <w:rPr/>
      <w:pict>
        <v:shape style="position:absolute;margin-left:493.730011pt;margin-top:29.341093pt;width:61.6pt;height:10.9pt;mso-position-horizontal-relative:page;mso-position-vertical-relative:page;z-index:-21379072"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37753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May 1999</w:t>
                  <w:tab/>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7024" from="38.25pt,39pt" to="555.25pt,39pt" stroked="true" strokeweight=".125pt" strokecolor="#000000">
          <v:stroke dashstyle="solid"/>
          <w10:wrap type="none"/>
        </v:line>
      </w:pict>
    </w:r>
    <w:r>
      <w:rPr/>
      <w:pict>
        <v:line style="position:absolute;mso-position-horizontal-relative:page;mso-position-vertical-relative:page;z-index:-21376512" from="211.447006pt,120.535004pt" to="215.780006pt,120.535004pt" stroked="true" strokeweight=".5pt" strokecolor="#000000">
          <v:stroke dashstyle="solid"/>
          <w10:wrap type="none"/>
        </v:line>
      </w:pict>
    </w:r>
    <w:r>
      <w:rPr/>
      <w:pict>
        <v:line style="position:absolute;mso-position-horizontal-relative:page;mso-position-vertical-relative:page;z-index:-21376000" from="50.446999pt,130.4030pt" to="54.779999pt,130.4030pt" stroked="true" strokeweight=".5pt" strokecolor="#000000">
          <v:stroke dashstyle="solid"/>
          <w10:wrap type="none"/>
        </v:line>
      </w:pict>
    </w:r>
    <w:r>
      <w:rPr/>
      <w:pict>
        <v:line style="position:absolute;mso-position-horizontal-relative:page;mso-position-vertical-relative:page;z-index:-21375488" from="211.447006pt,130.464996pt" to="215.780006pt,130.464996pt" stroked="true" strokeweight=".5pt" strokecolor="#000000">
          <v:stroke dashstyle="solid"/>
          <w10:wrap type="none"/>
        </v:line>
      </w:pict>
    </w:r>
    <w:r>
      <w:rPr/>
      <w:pict>
        <v:shape style="position:absolute;margin-left:493.730011pt;margin-top:29.341093pt;width:61.6pt;height:10.9pt;mso-position-horizontal-relative:page;mso-position-vertical-relative:page;z-index:-21374976"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73440" from="38.25pt,39pt" to="555.25pt,39pt" stroked="true" strokeweight=".125pt" strokecolor="#000000">
          <v:stroke dashstyle="solid"/>
          <w10:wrap type="none"/>
        </v:line>
      </w:pict>
    </w:r>
    <w:r>
      <w:rPr/>
      <w:pict>
        <v:shape style="position:absolute;margin-left:493.730011pt;margin-top:29.341093pt;width:61.6pt;height:10.9pt;mso-position-horizontal-relative:page;mso-position-vertical-relative:page;z-index:-21372928" type="#_x0000_t202" filled="false" stroked="false">
          <v:textbox inset="0,0,0,0">
            <w:txbxContent>
              <w:p>
                <w:pPr>
                  <w:spacing w:before="13"/>
                  <w:ind w:left="20" w:right="0" w:firstLine="0"/>
                  <w:jc w:val="left"/>
                  <w:rPr>
                    <w:i/>
                    <w:sz w:val="16"/>
                  </w:rPr>
                </w:pPr>
                <w:r>
                  <w:rPr>
                    <w:i/>
                    <w:sz w:val="16"/>
                  </w:rPr>
                  <w:t>The labour market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37241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May 1999</w:t>
                  <w:tab/>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9.461094pt;width:519pt;height:10.9pt;mso-position-horizontal-relative:page;mso-position-vertical-relative:page;z-index:-2136985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May 1999</w:t>
                  <w:tab/>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9344" from="39pt,39pt" to="556pt,39pt" stroked="true" strokeweight=".125pt" strokecolor="#000000">
          <v:stroke dashstyle="solid"/>
          <w10:wrap type="none"/>
        </v:line>
      </w:pict>
    </w:r>
    <w:r>
      <w:rPr/>
      <w:pict>
        <v:shape style="position:absolute;margin-left:500.670013pt;margin-top:29.461094pt;width:55.35pt;height:10.9pt;mso-position-horizontal-relative:page;mso-position-vertical-relative:page;z-index:-21368832" type="#_x0000_t202" filled="false" stroked="false">
          <v:textbox inset="0,0,0,0">
            <w:txbxContent>
              <w:p>
                <w:pPr>
                  <w:spacing w:before="13"/>
                  <w:ind w:left="20" w:right="0" w:firstLine="0"/>
                  <w:jc w:val="left"/>
                  <w:rPr>
                    <w:i/>
                    <w:sz w:val="16"/>
                  </w:rPr>
                </w:pPr>
                <w:r>
                  <w:rPr>
                    <w:i/>
                    <w:sz w:val="16"/>
                  </w:rPr>
                  <w:t>Costs and prices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404160"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6272" from="38.25pt,39pt" to="555.25pt,39pt" stroked="true" strokeweight=".125pt" strokecolor="#231f20">
          <v:stroke dashstyle="solid"/>
          <w10:wrap type="none"/>
        </v:line>
      </w:pict>
    </w:r>
    <w:r>
      <w:rPr/>
      <w:pict>
        <v:shape style="position:absolute;margin-left:414.440002pt;margin-top:29.341093pt;width:140.85pt;height:10.9pt;mso-position-horizontal-relative:page;mso-position-vertical-relative:page;z-index:-21365760" type="#_x0000_t202" filled="false" stroked="false">
          <v:textbox inset="0,0,0,0">
            <w:txbxContent>
              <w:p>
                <w:pPr>
                  <w:spacing w:before="13"/>
                  <w:ind w:left="20" w:right="0" w:firstLine="0"/>
                  <w:jc w:val="left"/>
                  <w:rPr>
                    <w:sz w:val="16"/>
                  </w:rPr>
                </w:pPr>
                <w:r>
                  <w:rPr>
                    <w:i/>
                    <w:color w:val="231F20"/>
                    <w:sz w:val="16"/>
                  </w:rPr>
                  <w:t>Monetary policy since the February </w:t>
                </w:r>
                <w:r>
                  <w:rPr>
                    <w:color w:val="231F20"/>
                    <w:sz w:val="16"/>
                  </w:rPr>
                  <w:t>Report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5248" from="38.25pt,39pt" to="555.25pt,39pt" stroked="true" strokeweight=".125pt" strokecolor="#231f20">
          <v:stroke dashstyle="solid"/>
          <w10:wrap type="none"/>
        </v:line>
      </w:pict>
    </w:r>
    <w:r>
      <w:rPr/>
      <w:pict>
        <v:shape style="position:absolute;margin-left:414.440002pt;margin-top:29.341093pt;width:140.85pt;height:10.9pt;mso-position-horizontal-relative:page;mso-position-vertical-relative:page;z-index:-21364736" type="#_x0000_t202" filled="false" stroked="false">
          <v:textbox inset="0,0,0,0">
            <w:txbxContent>
              <w:p>
                <w:pPr>
                  <w:spacing w:before="13"/>
                  <w:ind w:left="20" w:right="0" w:firstLine="0"/>
                  <w:jc w:val="left"/>
                  <w:rPr>
                    <w:sz w:val="16"/>
                  </w:rPr>
                </w:pPr>
                <w:r>
                  <w:rPr>
                    <w:i/>
                    <w:color w:val="231F20"/>
                    <w:sz w:val="16"/>
                  </w:rPr>
                  <w:t>Monetary policy since the February </w:t>
                </w:r>
                <w:r>
                  <w:rPr>
                    <w:color w:val="231F20"/>
                    <w:sz w:val="16"/>
                  </w:rPr>
                  <w:t>Report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3200" from="38.25pt,39pt" to="555.25pt,39pt" stroked="true" strokeweight=".125pt" strokecolor="#000000">
          <v:stroke dashstyle="solid"/>
          <w10:wrap type="none"/>
        </v:line>
      </w:pict>
    </w:r>
    <w:r>
      <w:rPr/>
      <w:pict>
        <v:shape style="position:absolute;margin-left:481.279999pt;margin-top:29.461094pt;width:74pt;height:10.9pt;mso-position-horizontal-relative:page;mso-position-vertical-relative:page;z-index:-21362688"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36217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May 1999</w:t>
                  <w:tab/>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360640"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May 1999</w:t>
                  <w:tab/>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60128" from="38.25pt,39pt" to="555.25pt,39pt" stroked="true" strokeweight=".125pt" strokecolor="#000000">
          <v:stroke dashstyle="solid"/>
          <w10:wrap type="none"/>
        </v:line>
      </w:pict>
    </w:r>
    <w:r>
      <w:rPr/>
      <w:pict>
        <v:shape style="position:absolute;margin-left:481.279999pt;margin-top:29.461094pt;width:74pt;height:10.9pt;mso-position-horizontal-relative:page;mso-position-vertical-relative:page;z-index:-21359616"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461094pt;width:519pt;height:10.9pt;mso-position-horizontal-relative:page;mso-position-vertical-relative:page;z-index:-21357056" type="#_x0000_t202" filled="false" stroked="false">
          <v:textbox inset="0,0,0,0">
            <w:txbxContent>
              <w:p>
                <w:pPr>
                  <w:tabs>
                    <w:tab w:pos="10359" w:val="left" w:leader="none"/>
                  </w:tabs>
                  <w:spacing w:before="13"/>
                  <w:ind w:left="20" w:right="0" w:firstLine="0"/>
                  <w:jc w:val="left"/>
                  <w:rPr>
                    <w:sz w:val="16"/>
                  </w:rPr>
                </w:pPr>
                <w:r>
                  <w:rPr>
                    <w:spacing w:val="-20"/>
                    <w:sz w:val="16"/>
                    <w:u w:val="single"/>
                  </w:rPr>
                  <w:t> </w:t>
                </w:r>
                <w:r>
                  <w:rPr>
                    <w:sz w:val="16"/>
                    <w:u w:val="single"/>
                  </w:rPr>
                  <w:t>Inflation Report:  May 1999</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6544" from="38.25pt,39pt" to="555.25pt,39pt" stroked="true" strokeweight=".125pt" strokecolor="#000000">
          <v:stroke dashstyle="solid"/>
          <w10:wrap type="none"/>
        </v:line>
      </w:pict>
    </w:r>
    <w:r>
      <w:rPr/>
      <w:pict>
        <v:shape style="position:absolute;margin-left:481.279999pt;margin-top:29.461094pt;width:74pt;height:10.9pt;mso-position-horizontal-relative:page;mso-position-vertical-relative:page;z-index:-21356032" type="#_x0000_t202" filled="false" stroked="false">
          <v:textbox inset="0,0,0,0">
            <w:txbxContent>
              <w:p>
                <w:pPr>
                  <w:spacing w:before="13"/>
                  <w:ind w:left="20" w:right="0" w:firstLine="0"/>
                  <w:jc w:val="left"/>
                  <w:rPr>
                    <w:i/>
                    <w:sz w:val="16"/>
                  </w:rPr>
                </w:pPr>
                <w:r>
                  <w:rPr>
                    <w:i/>
                    <w:sz w:val="16"/>
                  </w:rPr>
                  <w:t>Prospects for inflation</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54496" from="39pt,38pt" to="556pt,38pt" stroked="true" strokeweight=".125pt" strokecolor="#231f20">
          <v:stroke dashstyle="solid"/>
          <w10:wrap type="none"/>
        </v:line>
      </w:pict>
    </w:r>
    <w:r>
      <w:rPr/>
      <w:pict>
        <v:shape style="position:absolute;margin-left:463.809998pt;margin-top:28.461094pt;width:92.2pt;height:10.9pt;mso-position-horizontal-relative:page;mso-position-vertical-relative:page;z-index:-21353984" type="#_x0000_t202" filled="false" stroked="false">
          <v:textbox inset="0,0,0,0">
            <w:txbxContent>
              <w:p>
                <w:pPr>
                  <w:spacing w:before="13"/>
                  <w:ind w:left="20" w:right="0" w:firstLine="0"/>
                  <w:jc w:val="left"/>
                  <w:rPr>
                    <w:i/>
                    <w:sz w:val="16"/>
                  </w:rPr>
                </w:pPr>
                <w:r>
                  <w:rPr>
                    <w:i/>
                    <w:color w:val="231F20"/>
                    <w:sz w:val="16"/>
                  </w:rPr>
                  <w:t>Monetary Policy Committee</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7.25pt;margin-top:28.461094pt;width:519pt;height:10.9pt;mso-position-horizontal-relative:page;mso-position-vertical-relative:page;z-index:-2135347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8pt;margin-top:29.341093pt;width:519pt;height:10.9pt;mso-position-horizontal-relative:page;mso-position-vertical-relative:page;z-index:-21402112" type="#_x0000_t202" filled="false" stroked="false">
          <v:textbox inset="0,0,0,0">
            <w:txbxContent>
              <w:p>
                <w:pPr>
                  <w:tabs>
                    <w:tab w:pos="10359" w:val="left" w:leader="none"/>
                  </w:tabs>
                  <w:spacing w:before="13"/>
                  <w:ind w:left="20" w:right="0" w:firstLine="0"/>
                  <w:jc w:val="left"/>
                  <w:rPr>
                    <w:sz w:val="16"/>
                  </w:rPr>
                </w:pPr>
                <w:r>
                  <w:rPr>
                    <w:color w:val="231F20"/>
                    <w:spacing w:val="-20"/>
                    <w:sz w:val="16"/>
                    <w:u w:val="single" w:color="231F20"/>
                  </w:rPr>
                  <w:t> </w:t>
                </w:r>
                <w:r>
                  <w:rPr>
                    <w:color w:val="231F20"/>
                    <w:sz w:val="16"/>
                    <w:u w:val="single" w:color="231F20"/>
                  </w:rPr>
                  <w:t>Inflation Report:  May 1999</w:t>
                  <w:tab/>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401600" from="38.25pt,39pt" to="555.25pt,39pt" stroked="true" strokeweight=".125pt" strokecolor="#231f20">
          <v:stroke dashstyle="solid"/>
          <w10:wrap type="none"/>
        </v:line>
      </w:pict>
    </w:r>
    <w:r>
      <w:rPr/>
      <w:pict>
        <v:shape style="position:absolute;margin-left:459.75pt;margin-top:29.341093pt;width:95.55pt;height:10.9pt;mso-position-horizontal-relative:page;mso-position-vertical-relative:page;z-index:-21401088"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399552" from="38.25pt,39pt" to="555.25pt,39pt" stroked="true" strokeweight=".125pt" strokecolor="#231f20">
          <v:stroke dashstyle="solid"/>
          <w10:wrap type="none"/>
        </v:line>
      </w:pict>
    </w:r>
    <w:r>
      <w:rPr/>
      <w:pict>
        <v:line style="position:absolute;mso-position-horizontal-relative:page;mso-position-vertical-relative:page;z-index:-21399040" from="42.152pt,127.000999pt" to="46.485pt,127.000999pt" stroked="true" strokeweight=".5pt" strokecolor="#231f20">
          <v:stroke dashstyle="solid"/>
          <w10:wrap type="none"/>
        </v:line>
      </w:pict>
    </w:r>
    <w:r>
      <w:rPr/>
      <w:pict>
        <v:line style="position:absolute;mso-position-horizontal-relative:page;mso-position-vertical-relative:page;z-index:-21398528" from="207.151993pt,127.099998pt" to="211.484993pt,127.099998pt" stroked="true" strokeweight=".5pt" strokecolor="#231f20">
          <v:stroke dashstyle="solid"/>
          <w10:wrap type="none"/>
        </v:line>
      </w:pict>
    </w:r>
    <w:r>
      <w:rPr/>
      <w:pict>
        <v:shape style="position:absolute;margin-left:459.75pt;margin-top:29.341093pt;width:95.55pt;height:10.9pt;mso-position-horizontal-relative:page;mso-position-vertical-relative:page;z-index:-21398016" type="#_x0000_t202" filled="false" stroked="false">
          <v:textbox inset="0,0,0,0">
            <w:txbxContent>
              <w:p>
                <w:pPr>
                  <w:spacing w:before="13"/>
                  <w:ind w:left="20" w:right="0" w:firstLine="0"/>
                  <w:jc w:val="left"/>
                  <w:rPr>
                    <w:i/>
                    <w:sz w:val="16"/>
                  </w:rPr>
                </w:pPr>
                <w:r>
                  <w:rPr>
                    <w:i/>
                    <w:color w:val="231F20"/>
                    <w:sz w:val="16"/>
                  </w:rPr>
                  <w:t>Money and financial markets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200" w:hanging="241"/>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5742" w:hanging="241"/>
      </w:pPr>
      <w:rPr>
        <w:rFonts w:hint="default"/>
        <w:lang w:val="en-US" w:eastAsia="en-US" w:bidi="ar-SA"/>
      </w:rPr>
    </w:lvl>
    <w:lvl w:ilvl="2">
      <w:start w:val="0"/>
      <w:numFmt w:val="bullet"/>
      <w:lvlText w:val="•"/>
      <w:lvlJc w:val="left"/>
      <w:pPr>
        <w:ind w:left="6284" w:hanging="241"/>
      </w:pPr>
      <w:rPr>
        <w:rFonts w:hint="default"/>
        <w:lang w:val="en-US" w:eastAsia="en-US" w:bidi="ar-SA"/>
      </w:rPr>
    </w:lvl>
    <w:lvl w:ilvl="3">
      <w:start w:val="0"/>
      <w:numFmt w:val="bullet"/>
      <w:lvlText w:val="•"/>
      <w:lvlJc w:val="left"/>
      <w:pPr>
        <w:ind w:left="6826" w:hanging="241"/>
      </w:pPr>
      <w:rPr>
        <w:rFonts w:hint="default"/>
        <w:lang w:val="en-US" w:eastAsia="en-US" w:bidi="ar-SA"/>
      </w:rPr>
    </w:lvl>
    <w:lvl w:ilvl="4">
      <w:start w:val="0"/>
      <w:numFmt w:val="bullet"/>
      <w:lvlText w:val="•"/>
      <w:lvlJc w:val="left"/>
      <w:pPr>
        <w:ind w:left="7368" w:hanging="241"/>
      </w:pPr>
      <w:rPr>
        <w:rFonts w:hint="default"/>
        <w:lang w:val="en-US" w:eastAsia="en-US" w:bidi="ar-SA"/>
      </w:rPr>
    </w:lvl>
    <w:lvl w:ilvl="5">
      <w:start w:val="0"/>
      <w:numFmt w:val="bullet"/>
      <w:lvlText w:val="•"/>
      <w:lvlJc w:val="left"/>
      <w:pPr>
        <w:ind w:left="7910" w:hanging="241"/>
      </w:pPr>
      <w:rPr>
        <w:rFonts w:hint="default"/>
        <w:lang w:val="en-US" w:eastAsia="en-US" w:bidi="ar-SA"/>
      </w:rPr>
    </w:lvl>
    <w:lvl w:ilvl="6">
      <w:start w:val="0"/>
      <w:numFmt w:val="bullet"/>
      <w:lvlText w:val="•"/>
      <w:lvlJc w:val="left"/>
      <w:pPr>
        <w:ind w:left="8452" w:hanging="241"/>
      </w:pPr>
      <w:rPr>
        <w:rFonts w:hint="default"/>
        <w:lang w:val="en-US" w:eastAsia="en-US" w:bidi="ar-SA"/>
      </w:rPr>
    </w:lvl>
    <w:lvl w:ilvl="7">
      <w:start w:val="0"/>
      <w:numFmt w:val="bullet"/>
      <w:lvlText w:val="•"/>
      <w:lvlJc w:val="left"/>
      <w:pPr>
        <w:ind w:left="8994" w:hanging="241"/>
      </w:pPr>
      <w:rPr>
        <w:rFonts w:hint="default"/>
        <w:lang w:val="en-US" w:eastAsia="en-US" w:bidi="ar-SA"/>
      </w:rPr>
    </w:lvl>
    <w:lvl w:ilvl="8">
      <w:start w:val="0"/>
      <w:numFmt w:val="bullet"/>
      <w:lvlText w:val="•"/>
      <w:lvlJc w:val="left"/>
      <w:pPr>
        <w:ind w:left="9536" w:hanging="241"/>
      </w:pPr>
      <w:rPr>
        <w:rFonts w:hint="default"/>
        <w:lang w:val="en-US" w:eastAsia="en-US" w:bidi="ar-SA"/>
      </w:rPr>
    </w:lvl>
  </w:abstractNum>
  <w:abstractNum w:abstractNumId="42">
    <w:multiLevelType w:val="hybridMultilevel"/>
    <w:lvl w:ilvl="0">
      <w:start w:val="1"/>
      <w:numFmt w:val="upperRoman"/>
      <w:lvlText w:val="%1"/>
      <w:lvlJc w:val="left"/>
      <w:pPr>
        <w:ind w:left="650" w:hanging="481"/>
        <w:jc w:val="left"/>
      </w:pPr>
      <w:rPr>
        <w:rFonts w:hint="default" w:ascii="Times New Roman" w:hAnsi="Times New Roman" w:eastAsia="Times New Roman" w:cs="Times New Roman"/>
        <w:b/>
        <w:bCs/>
        <w:color w:val="009483"/>
        <w:spacing w:val="-4"/>
        <w:w w:val="100"/>
        <w:sz w:val="22"/>
        <w:szCs w:val="22"/>
        <w:lang w:val="en-US" w:eastAsia="en-US" w:bidi="ar-SA"/>
      </w:rPr>
    </w:lvl>
    <w:lvl w:ilvl="1">
      <w:start w:val="0"/>
      <w:numFmt w:val="bullet"/>
      <w:lvlText w:val="•"/>
      <w:lvlJc w:val="left"/>
      <w:pPr>
        <w:ind w:left="1103" w:hanging="481"/>
      </w:pPr>
      <w:rPr>
        <w:rFonts w:hint="default"/>
        <w:lang w:val="en-US" w:eastAsia="en-US" w:bidi="ar-SA"/>
      </w:rPr>
    </w:lvl>
    <w:lvl w:ilvl="2">
      <w:start w:val="0"/>
      <w:numFmt w:val="bullet"/>
      <w:lvlText w:val="•"/>
      <w:lvlJc w:val="left"/>
      <w:pPr>
        <w:ind w:left="1546" w:hanging="481"/>
      </w:pPr>
      <w:rPr>
        <w:rFonts w:hint="default"/>
        <w:lang w:val="en-US" w:eastAsia="en-US" w:bidi="ar-SA"/>
      </w:rPr>
    </w:lvl>
    <w:lvl w:ilvl="3">
      <w:start w:val="0"/>
      <w:numFmt w:val="bullet"/>
      <w:lvlText w:val="•"/>
      <w:lvlJc w:val="left"/>
      <w:pPr>
        <w:ind w:left="1989" w:hanging="481"/>
      </w:pPr>
      <w:rPr>
        <w:rFonts w:hint="default"/>
        <w:lang w:val="en-US" w:eastAsia="en-US" w:bidi="ar-SA"/>
      </w:rPr>
    </w:lvl>
    <w:lvl w:ilvl="4">
      <w:start w:val="0"/>
      <w:numFmt w:val="bullet"/>
      <w:lvlText w:val="•"/>
      <w:lvlJc w:val="left"/>
      <w:pPr>
        <w:ind w:left="2432" w:hanging="481"/>
      </w:pPr>
      <w:rPr>
        <w:rFonts w:hint="default"/>
        <w:lang w:val="en-US" w:eastAsia="en-US" w:bidi="ar-SA"/>
      </w:rPr>
    </w:lvl>
    <w:lvl w:ilvl="5">
      <w:start w:val="0"/>
      <w:numFmt w:val="bullet"/>
      <w:lvlText w:val="•"/>
      <w:lvlJc w:val="left"/>
      <w:pPr>
        <w:ind w:left="2875" w:hanging="481"/>
      </w:pPr>
      <w:rPr>
        <w:rFonts w:hint="default"/>
        <w:lang w:val="en-US" w:eastAsia="en-US" w:bidi="ar-SA"/>
      </w:rPr>
    </w:lvl>
    <w:lvl w:ilvl="6">
      <w:start w:val="0"/>
      <w:numFmt w:val="bullet"/>
      <w:lvlText w:val="•"/>
      <w:lvlJc w:val="left"/>
      <w:pPr>
        <w:ind w:left="3318" w:hanging="481"/>
      </w:pPr>
      <w:rPr>
        <w:rFonts w:hint="default"/>
        <w:lang w:val="en-US" w:eastAsia="en-US" w:bidi="ar-SA"/>
      </w:rPr>
    </w:lvl>
    <w:lvl w:ilvl="7">
      <w:start w:val="0"/>
      <w:numFmt w:val="bullet"/>
      <w:lvlText w:val="•"/>
      <w:lvlJc w:val="left"/>
      <w:pPr>
        <w:ind w:left="3762" w:hanging="481"/>
      </w:pPr>
      <w:rPr>
        <w:rFonts w:hint="default"/>
        <w:lang w:val="en-US" w:eastAsia="en-US" w:bidi="ar-SA"/>
      </w:rPr>
    </w:lvl>
    <w:lvl w:ilvl="8">
      <w:start w:val="0"/>
      <w:numFmt w:val="bullet"/>
      <w:lvlText w:val="•"/>
      <w:lvlJc w:val="left"/>
      <w:pPr>
        <w:ind w:left="4205" w:hanging="481"/>
      </w:pPr>
      <w:rPr>
        <w:rFonts w:hint="default"/>
        <w:lang w:val="en-US" w:eastAsia="en-US" w:bidi="ar-SA"/>
      </w:rPr>
    </w:lvl>
  </w:abstractNum>
  <w:abstractNum w:abstractNumId="41">
    <w:multiLevelType w:val="hybridMultilevel"/>
    <w:lvl w:ilvl="0">
      <w:start w:val="1"/>
      <w:numFmt w:val="decimal"/>
      <w:lvlText w:val="%1"/>
      <w:lvlJc w:val="left"/>
      <w:pPr>
        <w:ind w:left="170" w:hanging="481"/>
        <w:jc w:val="left"/>
      </w:pPr>
      <w:rPr>
        <w:rFonts w:hint="default" w:ascii="Times New Roman" w:hAnsi="Times New Roman" w:eastAsia="Times New Roman" w:cs="Times New Roman"/>
        <w:color w:val="231F20"/>
        <w:spacing w:val="-9"/>
        <w:w w:val="100"/>
        <w:sz w:val="18"/>
        <w:szCs w:val="18"/>
        <w:lang w:val="en-US" w:eastAsia="en-US" w:bidi="ar-SA"/>
      </w:rPr>
    </w:lvl>
    <w:lvl w:ilvl="1">
      <w:start w:val="0"/>
      <w:numFmt w:val="bullet"/>
      <w:lvlText w:val="•"/>
      <w:lvlJc w:val="left"/>
      <w:pPr>
        <w:ind w:left="671" w:hanging="481"/>
      </w:pPr>
      <w:rPr>
        <w:rFonts w:hint="default"/>
        <w:lang w:val="en-US" w:eastAsia="en-US" w:bidi="ar-SA"/>
      </w:rPr>
    </w:lvl>
    <w:lvl w:ilvl="2">
      <w:start w:val="0"/>
      <w:numFmt w:val="bullet"/>
      <w:lvlText w:val="•"/>
      <w:lvlJc w:val="left"/>
      <w:pPr>
        <w:ind w:left="1162" w:hanging="481"/>
      </w:pPr>
      <w:rPr>
        <w:rFonts w:hint="default"/>
        <w:lang w:val="en-US" w:eastAsia="en-US" w:bidi="ar-SA"/>
      </w:rPr>
    </w:lvl>
    <w:lvl w:ilvl="3">
      <w:start w:val="0"/>
      <w:numFmt w:val="bullet"/>
      <w:lvlText w:val="•"/>
      <w:lvlJc w:val="left"/>
      <w:pPr>
        <w:ind w:left="1653" w:hanging="481"/>
      </w:pPr>
      <w:rPr>
        <w:rFonts w:hint="default"/>
        <w:lang w:val="en-US" w:eastAsia="en-US" w:bidi="ar-SA"/>
      </w:rPr>
    </w:lvl>
    <w:lvl w:ilvl="4">
      <w:start w:val="0"/>
      <w:numFmt w:val="bullet"/>
      <w:lvlText w:val="•"/>
      <w:lvlJc w:val="left"/>
      <w:pPr>
        <w:ind w:left="2144" w:hanging="481"/>
      </w:pPr>
      <w:rPr>
        <w:rFonts w:hint="default"/>
        <w:lang w:val="en-US" w:eastAsia="en-US" w:bidi="ar-SA"/>
      </w:rPr>
    </w:lvl>
    <w:lvl w:ilvl="5">
      <w:start w:val="0"/>
      <w:numFmt w:val="bullet"/>
      <w:lvlText w:val="•"/>
      <w:lvlJc w:val="left"/>
      <w:pPr>
        <w:ind w:left="2635" w:hanging="481"/>
      </w:pPr>
      <w:rPr>
        <w:rFonts w:hint="default"/>
        <w:lang w:val="en-US" w:eastAsia="en-US" w:bidi="ar-SA"/>
      </w:rPr>
    </w:lvl>
    <w:lvl w:ilvl="6">
      <w:start w:val="0"/>
      <w:numFmt w:val="bullet"/>
      <w:lvlText w:val="•"/>
      <w:lvlJc w:val="left"/>
      <w:pPr>
        <w:ind w:left="3126" w:hanging="481"/>
      </w:pPr>
      <w:rPr>
        <w:rFonts w:hint="default"/>
        <w:lang w:val="en-US" w:eastAsia="en-US" w:bidi="ar-SA"/>
      </w:rPr>
    </w:lvl>
    <w:lvl w:ilvl="7">
      <w:start w:val="0"/>
      <w:numFmt w:val="bullet"/>
      <w:lvlText w:val="•"/>
      <w:lvlJc w:val="left"/>
      <w:pPr>
        <w:ind w:left="3618" w:hanging="481"/>
      </w:pPr>
      <w:rPr>
        <w:rFonts w:hint="default"/>
        <w:lang w:val="en-US" w:eastAsia="en-US" w:bidi="ar-SA"/>
      </w:rPr>
    </w:lvl>
    <w:lvl w:ilvl="8">
      <w:start w:val="0"/>
      <w:numFmt w:val="bullet"/>
      <w:lvlText w:val="•"/>
      <w:lvlJc w:val="left"/>
      <w:pPr>
        <w:ind w:left="4109" w:hanging="481"/>
      </w:pPr>
      <w:rPr>
        <w:rFonts w:hint="default"/>
        <w:lang w:val="en-US" w:eastAsia="en-US" w:bidi="ar-SA"/>
      </w:rPr>
    </w:lvl>
  </w:abstractNum>
  <w:abstractNum w:abstractNumId="40">
    <w:multiLevelType w:val="hybridMultilevel"/>
    <w:lvl w:ilvl="0">
      <w:start w:val="19"/>
      <w:numFmt w:val="decimal"/>
      <w:lvlText w:val="%1"/>
      <w:lvlJc w:val="left"/>
      <w:pPr>
        <w:ind w:left="16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67" w:hanging="481"/>
      </w:pPr>
      <w:rPr>
        <w:rFonts w:hint="default"/>
        <w:lang w:val="en-US" w:eastAsia="en-US" w:bidi="ar-SA"/>
      </w:rPr>
    </w:lvl>
    <w:lvl w:ilvl="2">
      <w:start w:val="0"/>
      <w:numFmt w:val="bullet"/>
      <w:lvlText w:val="•"/>
      <w:lvlJc w:val="left"/>
      <w:pPr>
        <w:ind w:left="1174" w:hanging="481"/>
      </w:pPr>
      <w:rPr>
        <w:rFonts w:hint="default"/>
        <w:lang w:val="en-US" w:eastAsia="en-US" w:bidi="ar-SA"/>
      </w:rPr>
    </w:lvl>
    <w:lvl w:ilvl="3">
      <w:start w:val="0"/>
      <w:numFmt w:val="bullet"/>
      <w:lvlText w:val="•"/>
      <w:lvlJc w:val="left"/>
      <w:pPr>
        <w:ind w:left="1681" w:hanging="481"/>
      </w:pPr>
      <w:rPr>
        <w:rFonts w:hint="default"/>
        <w:lang w:val="en-US" w:eastAsia="en-US" w:bidi="ar-SA"/>
      </w:rPr>
    </w:lvl>
    <w:lvl w:ilvl="4">
      <w:start w:val="0"/>
      <w:numFmt w:val="bullet"/>
      <w:lvlText w:val="•"/>
      <w:lvlJc w:val="left"/>
      <w:pPr>
        <w:ind w:left="2188" w:hanging="481"/>
      </w:pPr>
      <w:rPr>
        <w:rFonts w:hint="default"/>
        <w:lang w:val="en-US" w:eastAsia="en-US" w:bidi="ar-SA"/>
      </w:rPr>
    </w:lvl>
    <w:lvl w:ilvl="5">
      <w:start w:val="0"/>
      <w:numFmt w:val="bullet"/>
      <w:lvlText w:val="•"/>
      <w:lvlJc w:val="left"/>
      <w:pPr>
        <w:ind w:left="2695" w:hanging="481"/>
      </w:pPr>
      <w:rPr>
        <w:rFonts w:hint="default"/>
        <w:lang w:val="en-US" w:eastAsia="en-US" w:bidi="ar-SA"/>
      </w:rPr>
    </w:lvl>
    <w:lvl w:ilvl="6">
      <w:start w:val="0"/>
      <w:numFmt w:val="bullet"/>
      <w:lvlText w:val="•"/>
      <w:lvlJc w:val="left"/>
      <w:pPr>
        <w:ind w:left="3202" w:hanging="481"/>
      </w:pPr>
      <w:rPr>
        <w:rFonts w:hint="default"/>
        <w:lang w:val="en-US" w:eastAsia="en-US" w:bidi="ar-SA"/>
      </w:rPr>
    </w:lvl>
    <w:lvl w:ilvl="7">
      <w:start w:val="0"/>
      <w:numFmt w:val="bullet"/>
      <w:lvlText w:val="•"/>
      <w:lvlJc w:val="left"/>
      <w:pPr>
        <w:ind w:left="3709" w:hanging="481"/>
      </w:pPr>
      <w:rPr>
        <w:rFonts w:hint="default"/>
        <w:lang w:val="en-US" w:eastAsia="en-US" w:bidi="ar-SA"/>
      </w:rPr>
    </w:lvl>
    <w:lvl w:ilvl="8">
      <w:start w:val="0"/>
      <w:numFmt w:val="bullet"/>
      <w:lvlText w:val="•"/>
      <w:lvlJc w:val="left"/>
      <w:pPr>
        <w:ind w:left="4216" w:hanging="481"/>
      </w:pPr>
      <w:rPr>
        <w:rFonts w:hint="default"/>
        <w:lang w:val="en-US" w:eastAsia="en-US" w:bidi="ar-SA"/>
      </w:rPr>
    </w:lvl>
  </w:abstractNum>
  <w:abstractNum w:abstractNumId="39">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53" w:hanging="481"/>
      </w:pPr>
      <w:rPr>
        <w:rFonts w:hint="default"/>
        <w:lang w:val="en-US" w:eastAsia="en-US" w:bidi="ar-SA"/>
      </w:rPr>
    </w:lvl>
    <w:lvl w:ilvl="2">
      <w:start w:val="0"/>
      <w:numFmt w:val="bullet"/>
      <w:lvlText w:val="•"/>
      <w:lvlJc w:val="left"/>
      <w:pPr>
        <w:ind w:left="1146" w:hanging="481"/>
      </w:pPr>
      <w:rPr>
        <w:rFonts w:hint="default"/>
        <w:lang w:val="en-US" w:eastAsia="en-US" w:bidi="ar-SA"/>
      </w:rPr>
    </w:lvl>
    <w:lvl w:ilvl="3">
      <w:start w:val="0"/>
      <w:numFmt w:val="bullet"/>
      <w:lvlText w:val="•"/>
      <w:lvlJc w:val="left"/>
      <w:pPr>
        <w:ind w:left="1640" w:hanging="481"/>
      </w:pPr>
      <w:rPr>
        <w:rFonts w:hint="default"/>
        <w:lang w:val="en-US" w:eastAsia="en-US" w:bidi="ar-SA"/>
      </w:rPr>
    </w:lvl>
    <w:lvl w:ilvl="4">
      <w:start w:val="0"/>
      <w:numFmt w:val="bullet"/>
      <w:lvlText w:val="•"/>
      <w:lvlJc w:val="left"/>
      <w:pPr>
        <w:ind w:left="2133" w:hanging="481"/>
      </w:pPr>
      <w:rPr>
        <w:rFonts w:hint="default"/>
        <w:lang w:val="en-US" w:eastAsia="en-US" w:bidi="ar-SA"/>
      </w:rPr>
    </w:lvl>
    <w:lvl w:ilvl="5">
      <w:start w:val="0"/>
      <w:numFmt w:val="bullet"/>
      <w:lvlText w:val="•"/>
      <w:lvlJc w:val="left"/>
      <w:pPr>
        <w:ind w:left="2626" w:hanging="481"/>
      </w:pPr>
      <w:rPr>
        <w:rFonts w:hint="default"/>
        <w:lang w:val="en-US" w:eastAsia="en-US" w:bidi="ar-SA"/>
      </w:rPr>
    </w:lvl>
    <w:lvl w:ilvl="6">
      <w:start w:val="0"/>
      <w:numFmt w:val="bullet"/>
      <w:lvlText w:val="•"/>
      <w:lvlJc w:val="left"/>
      <w:pPr>
        <w:ind w:left="3120" w:hanging="481"/>
      </w:pPr>
      <w:rPr>
        <w:rFonts w:hint="default"/>
        <w:lang w:val="en-US" w:eastAsia="en-US" w:bidi="ar-SA"/>
      </w:rPr>
    </w:lvl>
    <w:lvl w:ilvl="7">
      <w:start w:val="0"/>
      <w:numFmt w:val="bullet"/>
      <w:lvlText w:val="•"/>
      <w:lvlJc w:val="left"/>
      <w:pPr>
        <w:ind w:left="3613" w:hanging="481"/>
      </w:pPr>
      <w:rPr>
        <w:rFonts w:hint="default"/>
        <w:lang w:val="en-US" w:eastAsia="en-US" w:bidi="ar-SA"/>
      </w:rPr>
    </w:lvl>
    <w:lvl w:ilvl="8">
      <w:start w:val="0"/>
      <w:numFmt w:val="bullet"/>
      <w:lvlText w:val="•"/>
      <w:lvlJc w:val="left"/>
      <w:pPr>
        <w:ind w:left="4107" w:hanging="481"/>
      </w:pPr>
      <w:rPr>
        <w:rFonts w:hint="default"/>
        <w:lang w:val="en-US" w:eastAsia="en-US" w:bidi="ar-SA"/>
      </w:rPr>
    </w:lvl>
  </w:abstractNum>
  <w:abstractNum w:abstractNumId="38">
    <w:multiLevelType w:val="hybridMultilevel"/>
    <w:lvl w:ilvl="0">
      <w:start w:val="12"/>
      <w:numFmt w:val="decimal"/>
      <w:lvlText w:val="%1"/>
      <w:lvlJc w:val="left"/>
      <w:pPr>
        <w:ind w:left="640" w:hanging="481"/>
        <w:jc w:val="left"/>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1098" w:hanging="481"/>
      </w:pPr>
      <w:rPr>
        <w:rFonts w:hint="default"/>
        <w:lang w:val="en-US" w:eastAsia="en-US" w:bidi="ar-SA"/>
      </w:rPr>
    </w:lvl>
    <w:lvl w:ilvl="2">
      <w:start w:val="0"/>
      <w:numFmt w:val="bullet"/>
      <w:lvlText w:val="•"/>
      <w:lvlJc w:val="left"/>
      <w:pPr>
        <w:ind w:left="1557" w:hanging="481"/>
      </w:pPr>
      <w:rPr>
        <w:rFonts w:hint="default"/>
        <w:lang w:val="en-US" w:eastAsia="en-US" w:bidi="ar-SA"/>
      </w:rPr>
    </w:lvl>
    <w:lvl w:ilvl="3">
      <w:start w:val="0"/>
      <w:numFmt w:val="bullet"/>
      <w:lvlText w:val="•"/>
      <w:lvlJc w:val="left"/>
      <w:pPr>
        <w:ind w:left="2016" w:hanging="481"/>
      </w:pPr>
      <w:rPr>
        <w:rFonts w:hint="default"/>
        <w:lang w:val="en-US" w:eastAsia="en-US" w:bidi="ar-SA"/>
      </w:rPr>
    </w:lvl>
    <w:lvl w:ilvl="4">
      <w:start w:val="0"/>
      <w:numFmt w:val="bullet"/>
      <w:lvlText w:val="•"/>
      <w:lvlJc w:val="left"/>
      <w:pPr>
        <w:ind w:left="2474" w:hanging="481"/>
      </w:pPr>
      <w:rPr>
        <w:rFonts w:hint="default"/>
        <w:lang w:val="en-US" w:eastAsia="en-US" w:bidi="ar-SA"/>
      </w:rPr>
    </w:lvl>
    <w:lvl w:ilvl="5">
      <w:start w:val="0"/>
      <w:numFmt w:val="bullet"/>
      <w:lvlText w:val="•"/>
      <w:lvlJc w:val="left"/>
      <w:pPr>
        <w:ind w:left="2933" w:hanging="481"/>
      </w:pPr>
      <w:rPr>
        <w:rFonts w:hint="default"/>
        <w:lang w:val="en-US" w:eastAsia="en-US" w:bidi="ar-SA"/>
      </w:rPr>
    </w:lvl>
    <w:lvl w:ilvl="6">
      <w:start w:val="0"/>
      <w:numFmt w:val="bullet"/>
      <w:lvlText w:val="•"/>
      <w:lvlJc w:val="left"/>
      <w:pPr>
        <w:ind w:left="3392" w:hanging="481"/>
      </w:pPr>
      <w:rPr>
        <w:rFonts w:hint="default"/>
        <w:lang w:val="en-US" w:eastAsia="en-US" w:bidi="ar-SA"/>
      </w:rPr>
    </w:lvl>
    <w:lvl w:ilvl="7">
      <w:start w:val="0"/>
      <w:numFmt w:val="bullet"/>
      <w:lvlText w:val="•"/>
      <w:lvlJc w:val="left"/>
      <w:pPr>
        <w:ind w:left="3851" w:hanging="481"/>
      </w:pPr>
      <w:rPr>
        <w:rFonts w:hint="default"/>
        <w:lang w:val="en-US" w:eastAsia="en-US" w:bidi="ar-SA"/>
      </w:rPr>
    </w:lvl>
    <w:lvl w:ilvl="8">
      <w:start w:val="0"/>
      <w:numFmt w:val="bullet"/>
      <w:lvlText w:val="•"/>
      <w:lvlJc w:val="left"/>
      <w:pPr>
        <w:ind w:left="4309" w:hanging="481"/>
      </w:pPr>
      <w:rPr>
        <w:rFonts w:hint="default"/>
        <w:lang w:val="en-US" w:eastAsia="en-US" w:bidi="ar-SA"/>
      </w:rPr>
    </w:lvl>
  </w:abstractNum>
  <w:abstractNum w:abstractNumId="37">
    <w:multiLevelType w:val="hybridMultilevel"/>
    <w:lvl w:ilvl="0">
      <w:start w:val="1"/>
      <w:numFmt w:val="upperRoman"/>
      <w:lvlText w:val="%1"/>
      <w:lvlJc w:val="left"/>
      <w:pPr>
        <w:ind w:left="640"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084" w:hanging="481"/>
      </w:pPr>
      <w:rPr>
        <w:rFonts w:hint="default"/>
        <w:lang w:val="en-US" w:eastAsia="en-US" w:bidi="ar-SA"/>
      </w:rPr>
    </w:lvl>
    <w:lvl w:ilvl="2">
      <w:start w:val="0"/>
      <w:numFmt w:val="bullet"/>
      <w:lvlText w:val="•"/>
      <w:lvlJc w:val="left"/>
      <w:pPr>
        <w:ind w:left="1529" w:hanging="481"/>
      </w:pPr>
      <w:rPr>
        <w:rFonts w:hint="default"/>
        <w:lang w:val="en-US" w:eastAsia="en-US" w:bidi="ar-SA"/>
      </w:rPr>
    </w:lvl>
    <w:lvl w:ilvl="3">
      <w:start w:val="0"/>
      <w:numFmt w:val="bullet"/>
      <w:lvlText w:val="•"/>
      <w:lvlJc w:val="left"/>
      <w:pPr>
        <w:ind w:left="1974" w:hanging="481"/>
      </w:pPr>
      <w:rPr>
        <w:rFonts w:hint="default"/>
        <w:lang w:val="en-US" w:eastAsia="en-US" w:bidi="ar-SA"/>
      </w:rPr>
    </w:lvl>
    <w:lvl w:ilvl="4">
      <w:start w:val="0"/>
      <w:numFmt w:val="bullet"/>
      <w:lvlText w:val="•"/>
      <w:lvlJc w:val="left"/>
      <w:pPr>
        <w:ind w:left="2419" w:hanging="481"/>
      </w:pPr>
      <w:rPr>
        <w:rFonts w:hint="default"/>
        <w:lang w:val="en-US" w:eastAsia="en-US" w:bidi="ar-SA"/>
      </w:rPr>
    </w:lvl>
    <w:lvl w:ilvl="5">
      <w:start w:val="0"/>
      <w:numFmt w:val="bullet"/>
      <w:lvlText w:val="•"/>
      <w:lvlJc w:val="left"/>
      <w:pPr>
        <w:ind w:left="2864" w:hanging="481"/>
      </w:pPr>
      <w:rPr>
        <w:rFonts w:hint="default"/>
        <w:lang w:val="en-US" w:eastAsia="en-US" w:bidi="ar-SA"/>
      </w:rPr>
    </w:lvl>
    <w:lvl w:ilvl="6">
      <w:start w:val="0"/>
      <w:numFmt w:val="bullet"/>
      <w:lvlText w:val="•"/>
      <w:lvlJc w:val="left"/>
      <w:pPr>
        <w:ind w:left="3309" w:hanging="481"/>
      </w:pPr>
      <w:rPr>
        <w:rFonts w:hint="default"/>
        <w:lang w:val="en-US" w:eastAsia="en-US" w:bidi="ar-SA"/>
      </w:rPr>
    </w:lvl>
    <w:lvl w:ilvl="7">
      <w:start w:val="0"/>
      <w:numFmt w:val="bullet"/>
      <w:lvlText w:val="•"/>
      <w:lvlJc w:val="left"/>
      <w:pPr>
        <w:ind w:left="3753" w:hanging="481"/>
      </w:pPr>
      <w:rPr>
        <w:rFonts w:hint="default"/>
        <w:lang w:val="en-US" w:eastAsia="en-US" w:bidi="ar-SA"/>
      </w:rPr>
    </w:lvl>
    <w:lvl w:ilvl="8">
      <w:start w:val="0"/>
      <w:numFmt w:val="bullet"/>
      <w:lvlText w:val="•"/>
      <w:lvlJc w:val="left"/>
      <w:pPr>
        <w:ind w:left="4198" w:hanging="481"/>
      </w:pPr>
      <w:rPr>
        <w:rFonts w:hint="default"/>
        <w:lang w:val="en-US" w:eastAsia="en-US" w:bidi="ar-SA"/>
      </w:rPr>
    </w:lvl>
  </w:abstractNum>
  <w:abstractNum w:abstractNumId="36">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3"/>
        <w:w w:val="100"/>
        <w:sz w:val="18"/>
        <w:szCs w:val="18"/>
        <w:lang w:val="en-US" w:eastAsia="en-US" w:bidi="ar-SA"/>
      </w:rPr>
    </w:lvl>
    <w:lvl w:ilvl="1">
      <w:start w:val="0"/>
      <w:numFmt w:val="bullet"/>
      <w:lvlText w:val="•"/>
      <w:lvlJc w:val="left"/>
      <w:pPr>
        <w:ind w:left="652" w:hanging="481"/>
      </w:pPr>
      <w:rPr>
        <w:rFonts w:hint="default"/>
        <w:lang w:val="en-US" w:eastAsia="en-US" w:bidi="ar-SA"/>
      </w:rPr>
    </w:lvl>
    <w:lvl w:ilvl="2">
      <w:start w:val="0"/>
      <w:numFmt w:val="bullet"/>
      <w:lvlText w:val="•"/>
      <w:lvlJc w:val="left"/>
      <w:pPr>
        <w:ind w:left="1145" w:hanging="481"/>
      </w:pPr>
      <w:rPr>
        <w:rFonts w:hint="default"/>
        <w:lang w:val="en-US" w:eastAsia="en-US" w:bidi="ar-SA"/>
      </w:rPr>
    </w:lvl>
    <w:lvl w:ilvl="3">
      <w:start w:val="0"/>
      <w:numFmt w:val="bullet"/>
      <w:lvlText w:val="•"/>
      <w:lvlJc w:val="left"/>
      <w:pPr>
        <w:ind w:left="1638" w:hanging="481"/>
      </w:pPr>
      <w:rPr>
        <w:rFonts w:hint="default"/>
        <w:lang w:val="en-US" w:eastAsia="en-US" w:bidi="ar-SA"/>
      </w:rPr>
    </w:lvl>
    <w:lvl w:ilvl="4">
      <w:start w:val="0"/>
      <w:numFmt w:val="bullet"/>
      <w:lvlText w:val="•"/>
      <w:lvlJc w:val="left"/>
      <w:pPr>
        <w:ind w:left="2131" w:hanging="481"/>
      </w:pPr>
      <w:rPr>
        <w:rFonts w:hint="default"/>
        <w:lang w:val="en-US" w:eastAsia="en-US" w:bidi="ar-SA"/>
      </w:rPr>
    </w:lvl>
    <w:lvl w:ilvl="5">
      <w:start w:val="0"/>
      <w:numFmt w:val="bullet"/>
      <w:lvlText w:val="•"/>
      <w:lvlJc w:val="left"/>
      <w:pPr>
        <w:ind w:left="2624" w:hanging="481"/>
      </w:pPr>
      <w:rPr>
        <w:rFonts w:hint="default"/>
        <w:lang w:val="en-US" w:eastAsia="en-US" w:bidi="ar-SA"/>
      </w:rPr>
    </w:lvl>
    <w:lvl w:ilvl="6">
      <w:start w:val="0"/>
      <w:numFmt w:val="bullet"/>
      <w:lvlText w:val="•"/>
      <w:lvlJc w:val="left"/>
      <w:pPr>
        <w:ind w:left="3117" w:hanging="481"/>
      </w:pPr>
      <w:rPr>
        <w:rFonts w:hint="default"/>
        <w:lang w:val="en-US" w:eastAsia="en-US" w:bidi="ar-SA"/>
      </w:rPr>
    </w:lvl>
    <w:lvl w:ilvl="7">
      <w:start w:val="0"/>
      <w:numFmt w:val="bullet"/>
      <w:lvlText w:val="•"/>
      <w:lvlJc w:val="left"/>
      <w:pPr>
        <w:ind w:left="3609" w:hanging="481"/>
      </w:pPr>
      <w:rPr>
        <w:rFonts w:hint="default"/>
        <w:lang w:val="en-US" w:eastAsia="en-US" w:bidi="ar-SA"/>
      </w:rPr>
    </w:lvl>
    <w:lvl w:ilvl="8">
      <w:start w:val="0"/>
      <w:numFmt w:val="bullet"/>
      <w:lvlText w:val="•"/>
      <w:lvlJc w:val="left"/>
      <w:pPr>
        <w:ind w:left="4102" w:hanging="481"/>
      </w:pPr>
      <w:rPr>
        <w:rFonts w:hint="default"/>
        <w:lang w:val="en-US" w:eastAsia="en-US" w:bidi="ar-SA"/>
      </w:rPr>
    </w:lvl>
  </w:abstractNum>
  <w:abstractNum w:abstractNumId="35">
    <w:multiLevelType w:val="hybridMultilevel"/>
    <w:lvl w:ilvl="0">
      <w:start w:val="1"/>
      <w:numFmt w:val="decimal"/>
      <w:lvlText w:val="%1"/>
      <w:lvlJc w:val="left"/>
      <w:pPr>
        <w:ind w:left="174"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72" w:hanging="481"/>
      </w:pPr>
      <w:rPr>
        <w:rFonts w:hint="default"/>
        <w:lang w:val="en-US" w:eastAsia="en-US" w:bidi="ar-SA"/>
      </w:rPr>
    </w:lvl>
    <w:lvl w:ilvl="2">
      <w:start w:val="0"/>
      <w:numFmt w:val="bullet"/>
      <w:lvlText w:val="•"/>
      <w:lvlJc w:val="left"/>
      <w:pPr>
        <w:ind w:left="1164" w:hanging="481"/>
      </w:pPr>
      <w:rPr>
        <w:rFonts w:hint="default"/>
        <w:lang w:val="en-US" w:eastAsia="en-US" w:bidi="ar-SA"/>
      </w:rPr>
    </w:lvl>
    <w:lvl w:ilvl="3">
      <w:start w:val="0"/>
      <w:numFmt w:val="bullet"/>
      <w:lvlText w:val="•"/>
      <w:lvlJc w:val="left"/>
      <w:pPr>
        <w:ind w:left="1656" w:hanging="481"/>
      </w:pPr>
      <w:rPr>
        <w:rFonts w:hint="default"/>
        <w:lang w:val="en-US" w:eastAsia="en-US" w:bidi="ar-SA"/>
      </w:rPr>
    </w:lvl>
    <w:lvl w:ilvl="4">
      <w:start w:val="0"/>
      <w:numFmt w:val="bullet"/>
      <w:lvlText w:val="•"/>
      <w:lvlJc w:val="left"/>
      <w:pPr>
        <w:ind w:left="2149" w:hanging="481"/>
      </w:pPr>
      <w:rPr>
        <w:rFonts w:hint="default"/>
        <w:lang w:val="en-US" w:eastAsia="en-US" w:bidi="ar-SA"/>
      </w:rPr>
    </w:lvl>
    <w:lvl w:ilvl="5">
      <w:start w:val="0"/>
      <w:numFmt w:val="bullet"/>
      <w:lvlText w:val="•"/>
      <w:lvlJc w:val="left"/>
      <w:pPr>
        <w:ind w:left="2641" w:hanging="481"/>
      </w:pPr>
      <w:rPr>
        <w:rFonts w:hint="default"/>
        <w:lang w:val="en-US" w:eastAsia="en-US" w:bidi="ar-SA"/>
      </w:rPr>
    </w:lvl>
    <w:lvl w:ilvl="6">
      <w:start w:val="0"/>
      <w:numFmt w:val="bullet"/>
      <w:lvlText w:val="•"/>
      <w:lvlJc w:val="left"/>
      <w:pPr>
        <w:ind w:left="3133" w:hanging="481"/>
      </w:pPr>
      <w:rPr>
        <w:rFonts w:hint="default"/>
        <w:lang w:val="en-US" w:eastAsia="en-US" w:bidi="ar-SA"/>
      </w:rPr>
    </w:lvl>
    <w:lvl w:ilvl="7">
      <w:start w:val="0"/>
      <w:numFmt w:val="bullet"/>
      <w:lvlText w:val="•"/>
      <w:lvlJc w:val="left"/>
      <w:pPr>
        <w:ind w:left="3626" w:hanging="481"/>
      </w:pPr>
      <w:rPr>
        <w:rFonts w:hint="default"/>
        <w:lang w:val="en-US" w:eastAsia="en-US" w:bidi="ar-SA"/>
      </w:rPr>
    </w:lvl>
    <w:lvl w:ilvl="8">
      <w:start w:val="0"/>
      <w:numFmt w:val="bullet"/>
      <w:lvlText w:val="•"/>
      <w:lvlJc w:val="left"/>
      <w:pPr>
        <w:ind w:left="4118" w:hanging="481"/>
      </w:pPr>
      <w:rPr>
        <w:rFonts w:hint="default"/>
        <w:lang w:val="en-US" w:eastAsia="en-US" w:bidi="ar-SA"/>
      </w:rPr>
    </w:lvl>
  </w:abstractNum>
  <w:abstractNum w:abstractNumId="34">
    <w:multiLevelType w:val="hybridMultilevel"/>
    <w:lvl w:ilvl="0">
      <w:start w:val="42"/>
      <w:numFmt w:val="decimal"/>
      <w:lvlText w:val="%1"/>
      <w:lvlJc w:val="left"/>
      <w:pPr>
        <w:ind w:left="174"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85" w:hanging="481"/>
      </w:pPr>
      <w:rPr>
        <w:rFonts w:hint="default"/>
        <w:lang w:val="en-US" w:eastAsia="en-US" w:bidi="ar-SA"/>
      </w:rPr>
    </w:lvl>
    <w:lvl w:ilvl="2">
      <w:start w:val="0"/>
      <w:numFmt w:val="bullet"/>
      <w:lvlText w:val="•"/>
      <w:lvlJc w:val="left"/>
      <w:pPr>
        <w:ind w:left="1190" w:hanging="481"/>
      </w:pPr>
      <w:rPr>
        <w:rFonts w:hint="default"/>
        <w:lang w:val="en-US" w:eastAsia="en-US" w:bidi="ar-SA"/>
      </w:rPr>
    </w:lvl>
    <w:lvl w:ilvl="3">
      <w:start w:val="0"/>
      <w:numFmt w:val="bullet"/>
      <w:lvlText w:val="•"/>
      <w:lvlJc w:val="left"/>
      <w:pPr>
        <w:ind w:left="1695" w:hanging="481"/>
      </w:pPr>
      <w:rPr>
        <w:rFonts w:hint="default"/>
        <w:lang w:val="en-US" w:eastAsia="en-US" w:bidi="ar-SA"/>
      </w:rPr>
    </w:lvl>
    <w:lvl w:ilvl="4">
      <w:start w:val="0"/>
      <w:numFmt w:val="bullet"/>
      <w:lvlText w:val="•"/>
      <w:lvlJc w:val="left"/>
      <w:pPr>
        <w:ind w:left="2200" w:hanging="481"/>
      </w:pPr>
      <w:rPr>
        <w:rFonts w:hint="default"/>
        <w:lang w:val="en-US" w:eastAsia="en-US" w:bidi="ar-SA"/>
      </w:rPr>
    </w:lvl>
    <w:lvl w:ilvl="5">
      <w:start w:val="0"/>
      <w:numFmt w:val="bullet"/>
      <w:lvlText w:val="•"/>
      <w:lvlJc w:val="left"/>
      <w:pPr>
        <w:ind w:left="2705" w:hanging="481"/>
      </w:pPr>
      <w:rPr>
        <w:rFonts w:hint="default"/>
        <w:lang w:val="en-US" w:eastAsia="en-US" w:bidi="ar-SA"/>
      </w:rPr>
    </w:lvl>
    <w:lvl w:ilvl="6">
      <w:start w:val="0"/>
      <w:numFmt w:val="bullet"/>
      <w:lvlText w:val="•"/>
      <w:lvlJc w:val="left"/>
      <w:pPr>
        <w:ind w:left="3210" w:hanging="481"/>
      </w:pPr>
      <w:rPr>
        <w:rFonts w:hint="default"/>
        <w:lang w:val="en-US" w:eastAsia="en-US" w:bidi="ar-SA"/>
      </w:rPr>
    </w:lvl>
    <w:lvl w:ilvl="7">
      <w:start w:val="0"/>
      <w:numFmt w:val="bullet"/>
      <w:lvlText w:val="•"/>
      <w:lvlJc w:val="left"/>
      <w:pPr>
        <w:ind w:left="3715" w:hanging="481"/>
      </w:pPr>
      <w:rPr>
        <w:rFonts w:hint="default"/>
        <w:lang w:val="en-US" w:eastAsia="en-US" w:bidi="ar-SA"/>
      </w:rPr>
    </w:lvl>
    <w:lvl w:ilvl="8">
      <w:start w:val="0"/>
      <w:numFmt w:val="bullet"/>
      <w:lvlText w:val="•"/>
      <w:lvlJc w:val="left"/>
      <w:pPr>
        <w:ind w:left="4220" w:hanging="481"/>
      </w:pPr>
      <w:rPr>
        <w:rFonts w:hint="default"/>
        <w:lang w:val="en-US" w:eastAsia="en-US" w:bidi="ar-SA"/>
      </w:rPr>
    </w:lvl>
  </w:abstractNum>
  <w:abstractNum w:abstractNumId="33">
    <w:multiLevelType w:val="hybridMultilevel"/>
    <w:lvl w:ilvl="0">
      <w:start w:val="12"/>
      <w:numFmt w:val="decimal"/>
      <w:lvlText w:val="%1"/>
      <w:lvlJc w:val="left"/>
      <w:pPr>
        <w:ind w:left="170" w:hanging="481"/>
        <w:jc w:val="left"/>
      </w:pPr>
      <w:rPr>
        <w:rFonts w:hint="default" w:ascii="Times New Roman" w:hAnsi="Times New Roman" w:eastAsia="Times New Roman" w:cs="Times New Roman"/>
        <w:color w:val="231F20"/>
        <w:spacing w:val="-6"/>
        <w:w w:val="100"/>
        <w:sz w:val="18"/>
        <w:szCs w:val="18"/>
        <w:lang w:val="en-US" w:eastAsia="en-US" w:bidi="ar-SA"/>
      </w:rPr>
    </w:lvl>
    <w:lvl w:ilvl="1">
      <w:start w:val="0"/>
      <w:numFmt w:val="bullet"/>
      <w:lvlText w:val="•"/>
      <w:lvlJc w:val="left"/>
      <w:pPr>
        <w:ind w:left="684" w:hanging="481"/>
      </w:pPr>
      <w:rPr>
        <w:rFonts w:hint="default"/>
        <w:lang w:val="en-US" w:eastAsia="en-US" w:bidi="ar-SA"/>
      </w:rPr>
    </w:lvl>
    <w:lvl w:ilvl="2">
      <w:start w:val="0"/>
      <w:numFmt w:val="bullet"/>
      <w:lvlText w:val="•"/>
      <w:lvlJc w:val="left"/>
      <w:pPr>
        <w:ind w:left="1189" w:hanging="481"/>
      </w:pPr>
      <w:rPr>
        <w:rFonts w:hint="default"/>
        <w:lang w:val="en-US" w:eastAsia="en-US" w:bidi="ar-SA"/>
      </w:rPr>
    </w:lvl>
    <w:lvl w:ilvl="3">
      <w:start w:val="0"/>
      <w:numFmt w:val="bullet"/>
      <w:lvlText w:val="•"/>
      <w:lvlJc w:val="left"/>
      <w:pPr>
        <w:ind w:left="1694" w:hanging="481"/>
      </w:pPr>
      <w:rPr>
        <w:rFonts w:hint="default"/>
        <w:lang w:val="en-US" w:eastAsia="en-US" w:bidi="ar-SA"/>
      </w:rPr>
    </w:lvl>
    <w:lvl w:ilvl="4">
      <w:start w:val="0"/>
      <w:numFmt w:val="bullet"/>
      <w:lvlText w:val="•"/>
      <w:lvlJc w:val="left"/>
      <w:pPr>
        <w:ind w:left="2199" w:hanging="481"/>
      </w:pPr>
      <w:rPr>
        <w:rFonts w:hint="default"/>
        <w:lang w:val="en-US" w:eastAsia="en-US" w:bidi="ar-SA"/>
      </w:rPr>
    </w:lvl>
    <w:lvl w:ilvl="5">
      <w:start w:val="0"/>
      <w:numFmt w:val="bullet"/>
      <w:lvlText w:val="•"/>
      <w:lvlJc w:val="left"/>
      <w:pPr>
        <w:ind w:left="2703" w:hanging="481"/>
      </w:pPr>
      <w:rPr>
        <w:rFonts w:hint="default"/>
        <w:lang w:val="en-US" w:eastAsia="en-US" w:bidi="ar-SA"/>
      </w:rPr>
    </w:lvl>
    <w:lvl w:ilvl="6">
      <w:start w:val="0"/>
      <w:numFmt w:val="bullet"/>
      <w:lvlText w:val="•"/>
      <w:lvlJc w:val="left"/>
      <w:pPr>
        <w:ind w:left="3208" w:hanging="481"/>
      </w:pPr>
      <w:rPr>
        <w:rFonts w:hint="default"/>
        <w:lang w:val="en-US" w:eastAsia="en-US" w:bidi="ar-SA"/>
      </w:rPr>
    </w:lvl>
    <w:lvl w:ilvl="7">
      <w:start w:val="0"/>
      <w:numFmt w:val="bullet"/>
      <w:lvlText w:val="•"/>
      <w:lvlJc w:val="left"/>
      <w:pPr>
        <w:ind w:left="3713" w:hanging="481"/>
      </w:pPr>
      <w:rPr>
        <w:rFonts w:hint="default"/>
        <w:lang w:val="en-US" w:eastAsia="en-US" w:bidi="ar-SA"/>
      </w:rPr>
    </w:lvl>
    <w:lvl w:ilvl="8">
      <w:start w:val="0"/>
      <w:numFmt w:val="bullet"/>
      <w:lvlText w:val="•"/>
      <w:lvlJc w:val="left"/>
      <w:pPr>
        <w:ind w:left="4218" w:hanging="481"/>
      </w:pPr>
      <w:rPr>
        <w:rFonts w:hint="default"/>
        <w:lang w:val="en-US" w:eastAsia="en-US" w:bidi="ar-SA"/>
      </w:rPr>
    </w:lvl>
  </w:abstractNum>
  <w:abstractNum w:abstractNumId="32">
    <w:multiLevelType w:val="hybridMultilevel"/>
    <w:lvl w:ilvl="0">
      <w:start w:val="1"/>
      <w:numFmt w:val="upperRoman"/>
      <w:lvlText w:val="%1"/>
      <w:lvlJc w:val="left"/>
      <w:pPr>
        <w:ind w:left="650" w:hanging="481"/>
        <w:jc w:val="left"/>
      </w:pPr>
      <w:rPr>
        <w:rFonts w:hint="default" w:ascii="Times New Roman" w:hAnsi="Times New Roman" w:eastAsia="Times New Roman" w:cs="Times New Roman"/>
        <w:b/>
        <w:bCs/>
        <w:color w:val="009483"/>
        <w:w w:val="100"/>
        <w:sz w:val="22"/>
        <w:szCs w:val="22"/>
        <w:lang w:val="en-US" w:eastAsia="en-US" w:bidi="ar-SA"/>
      </w:rPr>
    </w:lvl>
    <w:lvl w:ilvl="1">
      <w:start w:val="0"/>
      <w:numFmt w:val="bullet"/>
      <w:lvlText w:val="•"/>
      <w:lvlJc w:val="left"/>
      <w:pPr>
        <w:ind w:left="1105" w:hanging="481"/>
      </w:pPr>
      <w:rPr>
        <w:rFonts w:hint="default"/>
        <w:lang w:val="en-US" w:eastAsia="en-US" w:bidi="ar-SA"/>
      </w:rPr>
    </w:lvl>
    <w:lvl w:ilvl="2">
      <w:start w:val="0"/>
      <w:numFmt w:val="bullet"/>
      <w:lvlText w:val="•"/>
      <w:lvlJc w:val="left"/>
      <w:pPr>
        <w:ind w:left="1551" w:hanging="481"/>
      </w:pPr>
      <w:rPr>
        <w:rFonts w:hint="default"/>
        <w:lang w:val="en-US" w:eastAsia="en-US" w:bidi="ar-SA"/>
      </w:rPr>
    </w:lvl>
    <w:lvl w:ilvl="3">
      <w:start w:val="0"/>
      <w:numFmt w:val="bullet"/>
      <w:lvlText w:val="•"/>
      <w:lvlJc w:val="left"/>
      <w:pPr>
        <w:ind w:left="1997" w:hanging="481"/>
      </w:pPr>
      <w:rPr>
        <w:rFonts w:hint="default"/>
        <w:lang w:val="en-US" w:eastAsia="en-US" w:bidi="ar-SA"/>
      </w:rPr>
    </w:lvl>
    <w:lvl w:ilvl="4">
      <w:start w:val="0"/>
      <w:numFmt w:val="bullet"/>
      <w:lvlText w:val="•"/>
      <w:lvlJc w:val="left"/>
      <w:pPr>
        <w:ind w:left="2443" w:hanging="481"/>
      </w:pPr>
      <w:rPr>
        <w:rFonts w:hint="default"/>
        <w:lang w:val="en-US" w:eastAsia="en-US" w:bidi="ar-SA"/>
      </w:rPr>
    </w:lvl>
    <w:lvl w:ilvl="5">
      <w:start w:val="0"/>
      <w:numFmt w:val="bullet"/>
      <w:lvlText w:val="•"/>
      <w:lvlJc w:val="left"/>
      <w:pPr>
        <w:ind w:left="2889" w:hanging="481"/>
      </w:pPr>
      <w:rPr>
        <w:rFonts w:hint="default"/>
        <w:lang w:val="en-US" w:eastAsia="en-US" w:bidi="ar-SA"/>
      </w:rPr>
    </w:lvl>
    <w:lvl w:ilvl="6">
      <w:start w:val="0"/>
      <w:numFmt w:val="bullet"/>
      <w:lvlText w:val="•"/>
      <w:lvlJc w:val="left"/>
      <w:pPr>
        <w:ind w:left="3335" w:hanging="481"/>
      </w:pPr>
      <w:rPr>
        <w:rFonts w:hint="default"/>
        <w:lang w:val="en-US" w:eastAsia="en-US" w:bidi="ar-SA"/>
      </w:rPr>
    </w:lvl>
    <w:lvl w:ilvl="7">
      <w:start w:val="0"/>
      <w:numFmt w:val="bullet"/>
      <w:lvlText w:val="•"/>
      <w:lvlJc w:val="left"/>
      <w:pPr>
        <w:ind w:left="3781" w:hanging="481"/>
      </w:pPr>
      <w:rPr>
        <w:rFonts w:hint="default"/>
        <w:lang w:val="en-US" w:eastAsia="en-US" w:bidi="ar-SA"/>
      </w:rPr>
    </w:lvl>
    <w:lvl w:ilvl="8">
      <w:start w:val="0"/>
      <w:numFmt w:val="bullet"/>
      <w:lvlText w:val="•"/>
      <w:lvlJc w:val="left"/>
      <w:pPr>
        <w:ind w:left="4227" w:hanging="481"/>
      </w:pPr>
      <w:rPr>
        <w:rFonts w:hint="default"/>
        <w:lang w:val="en-US" w:eastAsia="en-US" w:bidi="ar-SA"/>
      </w:rPr>
    </w:lvl>
  </w:abstractNum>
  <w:abstractNum w:abstractNumId="31">
    <w:multiLevelType w:val="hybridMultilevel"/>
    <w:lvl w:ilvl="0">
      <w:start w:val="1"/>
      <w:numFmt w:val="decimal"/>
      <w:lvlText w:val="%1"/>
      <w:lvlJc w:val="left"/>
      <w:pPr>
        <w:ind w:left="170" w:hanging="481"/>
        <w:jc w:val="left"/>
      </w:pPr>
      <w:rPr>
        <w:rFonts w:hint="default" w:ascii="Times New Roman" w:hAnsi="Times New Roman" w:eastAsia="Times New Roman" w:cs="Times New Roman"/>
        <w:color w:val="231F20"/>
        <w:spacing w:val="-5"/>
        <w:w w:val="100"/>
        <w:sz w:val="18"/>
        <w:szCs w:val="18"/>
        <w:lang w:val="en-US" w:eastAsia="en-US" w:bidi="ar-SA"/>
      </w:rPr>
    </w:lvl>
    <w:lvl w:ilvl="1">
      <w:start w:val="0"/>
      <w:numFmt w:val="bullet"/>
      <w:lvlText w:val="•"/>
      <w:lvlJc w:val="left"/>
      <w:pPr>
        <w:ind w:left="673" w:hanging="481"/>
      </w:pPr>
      <w:rPr>
        <w:rFonts w:hint="default"/>
        <w:lang w:val="en-US" w:eastAsia="en-US" w:bidi="ar-SA"/>
      </w:rPr>
    </w:lvl>
    <w:lvl w:ilvl="2">
      <w:start w:val="0"/>
      <w:numFmt w:val="bullet"/>
      <w:lvlText w:val="•"/>
      <w:lvlJc w:val="left"/>
      <w:pPr>
        <w:ind w:left="1167" w:hanging="481"/>
      </w:pPr>
      <w:rPr>
        <w:rFonts w:hint="default"/>
        <w:lang w:val="en-US" w:eastAsia="en-US" w:bidi="ar-SA"/>
      </w:rPr>
    </w:lvl>
    <w:lvl w:ilvl="3">
      <w:start w:val="0"/>
      <w:numFmt w:val="bullet"/>
      <w:lvlText w:val="•"/>
      <w:lvlJc w:val="left"/>
      <w:pPr>
        <w:ind w:left="1661" w:hanging="481"/>
      </w:pPr>
      <w:rPr>
        <w:rFonts w:hint="default"/>
        <w:lang w:val="en-US" w:eastAsia="en-US" w:bidi="ar-SA"/>
      </w:rPr>
    </w:lvl>
    <w:lvl w:ilvl="4">
      <w:start w:val="0"/>
      <w:numFmt w:val="bullet"/>
      <w:lvlText w:val="•"/>
      <w:lvlJc w:val="left"/>
      <w:pPr>
        <w:ind w:left="2155" w:hanging="481"/>
      </w:pPr>
      <w:rPr>
        <w:rFonts w:hint="default"/>
        <w:lang w:val="en-US" w:eastAsia="en-US" w:bidi="ar-SA"/>
      </w:rPr>
    </w:lvl>
    <w:lvl w:ilvl="5">
      <w:start w:val="0"/>
      <w:numFmt w:val="bullet"/>
      <w:lvlText w:val="•"/>
      <w:lvlJc w:val="left"/>
      <w:pPr>
        <w:ind w:left="2649" w:hanging="481"/>
      </w:pPr>
      <w:rPr>
        <w:rFonts w:hint="default"/>
        <w:lang w:val="en-US" w:eastAsia="en-US" w:bidi="ar-SA"/>
      </w:rPr>
    </w:lvl>
    <w:lvl w:ilvl="6">
      <w:start w:val="0"/>
      <w:numFmt w:val="bullet"/>
      <w:lvlText w:val="•"/>
      <w:lvlJc w:val="left"/>
      <w:pPr>
        <w:ind w:left="3143" w:hanging="481"/>
      </w:pPr>
      <w:rPr>
        <w:rFonts w:hint="default"/>
        <w:lang w:val="en-US" w:eastAsia="en-US" w:bidi="ar-SA"/>
      </w:rPr>
    </w:lvl>
    <w:lvl w:ilvl="7">
      <w:start w:val="0"/>
      <w:numFmt w:val="bullet"/>
      <w:lvlText w:val="•"/>
      <w:lvlJc w:val="left"/>
      <w:pPr>
        <w:ind w:left="3637" w:hanging="481"/>
      </w:pPr>
      <w:rPr>
        <w:rFonts w:hint="default"/>
        <w:lang w:val="en-US" w:eastAsia="en-US" w:bidi="ar-SA"/>
      </w:rPr>
    </w:lvl>
    <w:lvl w:ilvl="8">
      <w:start w:val="0"/>
      <w:numFmt w:val="bullet"/>
      <w:lvlText w:val="•"/>
      <w:lvlJc w:val="left"/>
      <w:pPr>
        <w:ind w:left="4131" w:hanging="481"/>
      </w:pPr>
      <w:rPr>
        <w:rFonts w:hint="default"/>
        <w:lang w:val="en-US" w:eastAsia="en-US" w:bidi="ar-SA"/>
      </w:rPr>
    </w:lvl>
  </w:abstractNum>
  <w:abstractNum w:abstractNumId="30">
    <w:multiLevelType w:val="hybridMultilevel"/>
    <w:lvl w:ilvl="0">
      <w:start w:val="1"/>
      <w:numFmt w:val="decimal"/>
      <w:lvlText w:val="%1"/>
      <w:lvlJc w:val="left"/>
      <w:pPr>
        <w:ind w:left="160" w:hanging="481"/>
        <w:jc w:val="left"/>
      </w:pPr>
      <w:rPr>
        <w:rFonts w:hint="default" w:ascii="Times New Roman" w:hAnsi="Times New Roman" w:eastAsia="Times New Roman" w:cs="Times New Roman"/>
        <w:color w:val="231F20"/>
        <w:spacing w:val="-2"/>
        <w:w w:val="100"/>
        <w:sz w:val="18"/>
        <w:szCs w:val="18"/>
        <w:lang w:val="en-US" w:eastAsia="en-US" w:bidi="ar-SA"/>
      </w:rPr>
    </w:lvl>
    <w:lvl w:ilvl="1">
      <w:start w:val="0"/>
      <w:numFmt w:val="bullet"/>
      <w:lvlText w:val="•"/>
      <w:lvlJc w:val="left"/>
      <w:pPr>
        <w:ind w:left="654" w:hanging="481"/>
      </w:pPr>
      <w:rPr>
        <w:rFonts w:hint="default"/>
        <w:lang w:val="en-US" w:eastAsia="en-US" w:bidi="ar-SA"/>
      </w:rPr>
    </w:lvl>
    <w:lvl w:ilvl="2">
      <w:start w:val="0"/>
      <w:numFmt w:val="bullet"/>
      <w:lvlText w:val="•"/>
      <w:lvlJc w:val="left"/>
      <w:pPr>
        <w:ind w:left="1149" w:hanging="481"/>
      </w:pPr>
      <w:rPr>
        <w:rFonts w:hint="default"/>
        <w:lang w:val="en-US" w:eastAsia="en-US" w:bidi="ar-SA"/>
      </w:rPr>
    </w:lvl>
    <w:lvl w:ilvl="3">
      <w:start w:val="0"/>
      <w:numFmt w:val="bullet"/>
      <w:lvlText w:val="•"/>
      <w:lvlJc w:val="left"/>
      <w:pPr>
        <w:ind w:left="1644" w:hanging="481"/>
      </w:pPr>
      <w:rPr>
        <w:rFonts w:hint="default"/>
        <w:lang w:val="en-US" w:eastAsia="en-US" w:bidi="ar-SA"/>
      </w:rPr>
    </w:lvl>
    <w:lvl w:ilvl="4">
      <w:start w:val="0"/>
      <w:numFmt w:val="bullet"/>
      <w:lvlText w:val="•"/>
      <w:lvlJc w:val="left"/>
      <w:pPr>
        <w:ind w:left="2139" w:hanging="481"/>
      </w:pPr>
      <w:rPr>
        <w:rFonts w:hint="default"/>
        <w:lang w:val="en-US" w:eastAsia="en-US" w:bidi="ar-SA"/>
      </w:rPr>
    </w:lvl>
    <w:lvl w:ilvl="5">
      <w:start w:val="0"/>
      <w:numFmt w:val="bullet"/>
      <w:lvlText w:val="•"/>
      <w:lvlJc w:val="left"/>
      <w:pPr>
        <w:ind w:left="2634" w:hanging="481"/>
      </w:pPr>
      <w:rPr>
        <w:rFonts w:hint="default"/>
        <w:lang w:val="en-US" w:eastAsia="en-US" w:bidi="ar-SA"/>
      </w:rPr>
    </w:lvl>
    <w:lvl w:ilvl="6">
      <w:start w:val="0"/>
      <w:numFmt w:val="bullet"/>
      <w:lvlText w:val="•"/>
      <w:lvlJc w:val="left"/>
      <w:pPr>
        <w:ind w:left="3129" w:hanging="481"/>
      </w:pPr>
      <w:rPr>
        <w:rFonts w:hint="default"/>
        <w:lang w:val="en-US" w:eastAsia="en-US" w:bidi="ar-SA"/>
      </w:rPr>
    </w:lvl>
    <w:lvl w:ilvl="7">
      <w:start w:val="0"/>
      <w:numFmt w:val="bullet"/>
      <w:lvlText w:val="•"/>
      <w:lvlJc w:val="left"/>
      <w:pPr>
        <w:ind w:left="3624" w:hanging="481"/>
      </w:pPr>
      <w:rPr>
        <w:rFonts w:hint="default"/>
        <w:lang w:val="en-US" w:eastAsia="en-US" w:bidi="ar-SA"/>
      </w:rPr>
    </w:lvl>
    <w:lvl w:ilvl="8">
      <w:start w:val="0"/>
      <w:numFmt w:val="bullet"/>
      <w:lvlText w:val="•"/>
      <w:lvlJc w:val="left"/>
      <w:pPr>
        <w:ind w:left="4119" w:hanging="481"/>
      </w:pPr>
      <w:rPr>
        <w:rFonts w:hint="default"/>
        <w:lang w:val="en-US" w:eastAsia="en-US" w:bidi="ar-SA"/>
      </w:rPr>
    </w:lvl>
  </w:abstractNum>
  <w:abstractNum w:abstractNumId="29">
    <w:multiLevelType w:val="hybridMultilevel"/>
    <w:lvl w:ilvl="0">
      <w:start w:val="1"/>
      <w:numFmt w:val="lowerLetter"/>
      <w:lvlText w:val="(%1)"/>
      <w:lvlJc w:val="left"/>
      <w:pPr>
        <w:ind w:left="421"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20" w:hanging="240"/>
      </w:pPr>
      <w:rPr>
        <w:rFonts w:hint="default"/>
        <w:lang w:val="en-US" w:eastAsia="en-US" w:bidi="ar-SA"/>
      </w:rPr>
    </w:lvl>
    <w:lvl w:ilvl="2">
      <w:start w:val="0"/>
      <w:numFmt w:val="bullet"/>
      <w:lvlText w:val="•"/>
      <w:lvlJc w:val="left"/>
      <w:pPr>
        <w:ind w:left="1220" w:hanging="240"/>
      </w:pPr>
      <w:rPr>
        <w:rFonts w:hint="default"/>
        <w:lang w:val="en-US" w:eastAsia="en-US" w:bidi="ar-SA"/>
      </w:rPr>
    </w:lvl>
    <w:lvl w:ilvl="3">
      <w:start w:val="0"/>
      <w:numFmt w:val="bullet"/>
      <w:lvlText w:val="•"/>
      <w:lvlJc w:val="left"/>
      <w:pPr>
        <w:ind w:left="1620" w:hanging="240"/>
      </w:pPr>
      <w:rPr>
        <w:rFonts w:hint="default"/>
        <w:lang w:val="en-US" w:eastAsia="en-US" w:bidi="ar-SA"/>
      </w:rPr>
    </w:lvl>
    <w:lvl w:ilvl="4">
      <w:start w:val="0"/>
      <w:numFmt w:val="bullet"/>
      <w:lvlText w:val="•"/>
      <w:lvlJc w:val="left"/>
      <w:pPr>
        <w:ind w:left="2020" w:hanging="240"/>
      </w:pPr>
      <w:rPr>
        <w:rFonts w:hint="default"/>
        <w:lang w:val="en-US" w:eastAsia="en-US" w:bidi="ar-SA"/>
      </w:rPr>
    </w:lvl>
    <w:lvl w:ilvl="5">
      <w:start w:val="0"/>
      <w:numFmt w:val="bullet"/>
      <w:lvlText w:val="•"/>
      <w:lvlJc w:val="left"/>
      <w:pPr>
        <w:ind w:left="2420" w:hanging="240"/>
      </w:pPr>
      <w:rPr>
        <w:rFonts w:hint="default"/>
        <w:lang w:val="en-US" w:eastAsia="en-US" w:bidi="ar-SA"/>
      </w:rPr>
    </w:lvl>
    <w:lvl w:ilvl="6">
      <w:start w:val="0"/>
      <w:numFmt w:val="bullet"/>
      <w:lvlText w:val="•"/>
      <w:lvlJc w:val="left"/>
      <w:pPr>
        <w:ind w:left="2820" w:hanging="240"/>
      </w:pPr>
      <w:rPr>
        <w:rFonts w:hint="default"/>
        <w:lang w:val="en-US" w:eastAsia="en-US" w:bidi="ar-SA"/>
      </w:rPr>
    </w:lvl>
    <w:lvl w:ilvl="7">
      <w:start w:val="0"/>
      <w:numFmt w:val="bullet"/>
      <w:lvlText w:val="•"/>
      <w:lvlJc w:val="left"/>
      <w:pPr>
        <w:ind w:left="3220" w:hanging="240"/>
      </w:pPr>
      <w:rPr>
        <w:rFonts w:hint="default"/>
        <w:lang w:val="en-US" w:eastAsia="en-US" w:bidi="ar-SA"/>
      </w:rPr>
    </w:lvl>
    <w:lvl w:ilvl="8">
      <w:start w:val="0"/>
      <w:numFmt w:val="bullet"/>
      <w:lvlText w:val="•"/>
      <w:lvlJc w:val="left"/>
      <w:pPr>
        <w:ind w:left="3620" w:hanging="240"/>
      </w:pPr>
      <w:rPr>
        <w:rFonts w:hint="default"/>
        <w:lang w:val="en-US" w:eastAsia="en-US" w:bidi="ar-SA"/>
      </w:rPr>
    </w:lvl>
  </w:abstractNum>
  <w:abstractNum w:abstractNumId="28">
    <w:multiLevelType w:val="hybridMultilevel"/>
    <w:lvl w:ilvl="0">
      <w:start w:val="1"/>
      <w:numFmt w:val="lowerLetter"/>
      <w:lvlText w:val="(%1)"/>
      <w:lvlJc w:val="left"/>
      <w:pPr>
        <w:ind w:left="460" w:hanging="241"/>
        <w:jc w:val="left"/>
      </w:pPr>
      <w:rPr>
        <w:rFonts w:hint="default" w:ascii="Times New Roman" w:hAnsi="Times New Roman" w:eastAsia="Times New Roman" w:cs="Times New Roman"/>
        <w:spacing w:val="-18"/>
        <w:w w:val="100"/>
        <w:sz w:val="16"/>
        <w:szCs w:val="16"/>
        <w:lang w:val="en-US" w:eastAsia="en-US" w:bidi="ar-SA"/>
      </w:rPr>
    </w:lvl>
    <w:lvl w:ilvl="1">
      <w:start w:val="0"/>
      <w:numFmt w:val="bullet"/>
      <w:lvlText w:val="•"/>
      <w:lvlJc w:val="left"/>
      <w:pPr>
        <w:ind w:left="1476" w:hanging="241"/>
      </w:pPr>
      <w:rPr>
        <w:rFonts w:hint="default"/>
        <w:lang w:val="en-US" w:eastAsia="en-US" w:bidi="ar-SA"/>
      </w:rPr>
    </w:lvl>
    <w:lvl w:ilvl="2">
      <w:start w:val="0"/>
      <w:numFmt w:val="bullet"/>
      <w:lvlText w:val="•"/>
      <w:lvlJc w:val="left"/>
      <w:pPr>
        <w:ind w:left="2492" w:hanging="241"/>
      </w:pPr>
      <w:rPr>
        <w:rFonts w:hint="default"/>
        <w:lang w:val="en-US" w:eastAsia="en-US" w:bidi="ar-SA"/>
      </w:rPr>
    </w:lvl>
    <w:lvl w:ilvl="3">
      <w:start w:val="0"/>
      <w:numFmt w:val="bullet"/>
      <w:lvlText w:val="•"/>
      <w:lvlJc w:val="left"/>
      <w:pPr>
        <w:ind w:left="3508" w:hanging="241"/>
      </w:pPr>
      <w:rPr>
        <w:rFonts w:hint="default"/>
        <w:lang w:val="en-US" w:eastAsia="en-US" w:bidi="ar-SA"/>
      </w:rPr>
    </w:lvl>
    <w:lvl w:ilvl="4">
      <w:start w:val="0"/>
      <w:numFmt w:val="bullet"/>
      <w:lvlText w:val="•"/>
      <w:lvlJc w:val="left"/>
      <w:pPr>
        <w:ind w:left="4524" w:hanging="241"/>
      </w:pPr>
      <w:rPr>
        <w:rFonts w:hint="default"/>
        <w:lang w:val="en-US" w:eastAsia="en-US" w:bidi="ar-SA"/>
      </w:rPr>
    </w:lvl>
    <w:lvl w:ilvl="5">
      <w:start w:val="0"/>
      <w:numFmt w:val="bullet"/>
      <w:lvlText w:val="•"/>
      <w:lvlJc w:val="left"/>
      <w:pPr>
        <w:ind w:left="5540" w:hanging="241"/>
      </w:pPr>
      <w:rPr>
        <w:rFonts w:hint="default"/>
        <w:lang w:val="en-US" w:eastAsia="en-US" w:bidi="ar-SA"/>
      </w:rPr>
    </w:lvl>
    <w:lvl w:ilvl="6">
      <w:start w:val="0"/>
      <w:numFmt w:val="bullet"/>
      <w:lvlText w:val="•"/>
      <w:lvlJc w:val="left"/>
      <w:pPr>
        <w:ind w:left="6556" w:hanging="241"/>
      </w:pPr>
      <w:rPr>
        <w:rFonts w:hint="default"/>
        <w:lang w:val="en-US" w:eastAsia="en-US" w:bidi="ar-SA"/>
      </w:rPr>
    </w:lvl>
    <w:lvl w:ilvl="7">
      <w:start w:val="0"/>
      <w:numFmt w:val="bullet"/>
      <w:lvlText w:val="•"/>
      <w:lvlJc w:val="left"/>
      <w:pPr>
        <w:ind w:left="7572" w:hanging="241"/>
      </w:pPr>
      <w:rPr>
        <w:rFonts w:hint="default"/>
        <w:lang w:val="en-US" w:eastAsia="en-US" w:bidi="ar-SA"/>
      </w:rPr>
    </w:lvl>
    <w:lvl w:ilvl="8">
      <w:start w:val="0"/>
      <w:numFmt w:val="bullet"/>
      <w:lvlText w:val="•"/>
      <w:lvlJc w:val="left"/>
      <w:pPr>
        <w:ind w:left="8588" w:hanging="241"/>
      </w:pPr>
      <w:rPr>
        <w:rFonts w:hint="default"/>
        <w:lang w:val="en-US" w:eastAsia="en-US" w:bidi="ar-SA"/>
      </w:rPr>
    </w:lvl>
  </w:abstractNum>
  <w:abstractNum w:abstractNumId="27">
    <w:multiLevelType w:val="hybridMultilevel"/>
    <w:lvl w:ilvl="0">
      <w:start w:val="6"/>
      <w:numFmt w:val="decimal"/>
      <w:lvlText w:val="%1"/>
      <w:lvlJc w:val="left"/>
      <w:pPr>
        <w:ind w:left="5681" w:hanging="722"/>
        <w:jc w:val="left"/>
      </w:pPr>
      <w:rPr>
        <w:rFonts w:hint="default"/>
        <w:lang w:val="en-US" w:eastAsia="en-US" w:bidi="ar-SA"/>
      </w:rPr>
    </w:lvl>
    <w:lvl w:ilvl="1">
      <w:start w:val="2"/>
      <w:numFmt w:val="decimal"/>
      <w:lvlText w:val="%1.%2"/>
      <w:lvlJc w:val="left"/>
      <w:pPr>
        <w:ind w:left="5681" w:hanging="722"/>
        <w:jc w:val="right"/>
      </w:pPr>
      <w:rPr>
        <w:rFonts w:hint="default" w:ascii="Times New Roman" w:hAnsi="Times New Roman" w:eastAsia="Times New Roman" w:cs="Times New Roman"/>
        <w:b/>
        <w:bCs/>
        <w:color w:val="009483"/>
        <w:spacing w:val="-6"/>
        <w:w w:val="100"/>
        <w:sz w:val="28"/>
        <w:szCs w:val="28"/>
        <w:u w:val="thick" w:color="0093C1"/>
        <w:lang w:val="en-US" w:eastAsia="en-US" w:bidi="ar-SA"/>
      </w:rPr>
    </w:lvl>
    <w:lvl w:ilvl="2">
      <w:start w:val="0"/>
      <w:numFmt w:val="bullet"/>
      <w:lvlText w:val="•"/>
      <w:lvlJc w:val="left"/>
      <w:pPr>
        <w:ind w:left="6668" w:hanging="722"/>
      </w:pPr>
      <w:rPr>
        <w:rFonts w:hint="default"/>
        <w:lang w:val="en-US" w:eastAsia="en-US" w:bidi="ar-SA"/>
      </w:rPr>
    </w:lvl>
    <w:lvl w:ilvl="3">
      <w:start w:val="0"/>
      <w:numFmt w:val="bullet"/>
      <w:lvlText w:val="•"/>
      <w:lvlJc w:val="left"/>
      <w:pPr>
        <w:ind w:left="7162" w:hanging="722"/>
      </w:pPr>
      <w:rPr>
        <w:rFonts w:hint="default"/>
        <w:lang w:val="en-US" w:eastAsia="en-US" w:bidi="ar-SA"/>
      </w:rPr>
    </w:lvl>
    <w:lvl w:ilvl="4">
      <w:start w:val="0"/>
      <w:numFmt w:val="bullet"/>
      <w:lvlText w:val="•"/>
      <w:lvlJc w:val="left"/>
      <w:pPr>
        <w:ind w:left="7656" w:hanging="722"/>
      </w:pPr>
      <w:rPr>
        <w:rFonts w:hint="default"/>
        <w:lang w:val="en-US" w:eastAsia="en-US" w:bidi="ar-SA"/>
      </w:rPr>
    </w:lvl>
    <w:lvl w:ilvl="5">
      <w:start w:val="0"/>
      <w:numFmt w:val="bullet"/>
      <w:lvlText w:val="•"/>
      <w:lvlJc w:val="left"/>
      <w:pPr>
        <w:ind w:left="8150" w:hanging="722"/>
      </w:pPr>
      <w:rPr>
        <w:rFonts w:hint="default"/>
        <w:lang w:val="en-US" w:eastAsia="en-US" w:bidi="ar-SA"/>
      </w:rPr>
    </w:lvl>
    <w:lvl w:ilvl="6">
      <w:start w:val="0"/>
      <w:numFmt w:val="bullet"/>
      <w:lvlText w:val="•"/>
      <w:lvlJc w:val="left"/>
      <w:pPr>
        <w:ind w:left="8644" w:hanging="722"/>
      </w:pPr>
      <w:rPr>
        <w:rFonts w:hint="default"/>
        <w:lang w:val="en-US" w:eastAsia="en-US" w:bidi="ar-SA"/>
      </w:rPr>
    </w:lvl>
    <w:lvl w:ilvl="7">
      <w:start w:val="0"/>
      <w:numFmt w:val="bullet"/>
      <w:lvlText w:val="•"/>
      <w:lvlJc w:val="left"/>
      <w:pPr>
        <w:ind w:left="9138" w:hanging="722"/>
      </w:pPr>
      <w:rPr>
        <w:rFonts w:hint="default"/>
        <w:lang w:val="en-US" w:eastAsia="en-US" w:bidi="ar-SA"/>
      </w:rPr>
    </w:lvl>
    <w:lvl w:ilvl="8">
      <w:start w:val="0"/>
      <w:numFmt w:val="bullet"/>
      <w:lvlText w:val="•"/>
      <w:lvlJc w:val="left"/>
      <w:pPr>
        <w:ind w:left="9632" w:hanging="722"/>
      </w:pPr>
      <w:rPr>
        <w:rFonts w:hint="default"/>
        <w:lang w:val="en-US" w:eastAsia="en-US" w:bidi="ar-SA"/>
      </w:rPr>
    </w:lvl>
  </w:abstractNum>
  <w:abstractNum w:abstractNumId="26">
    <w:multiLevelType w:val="hybridMultilevel"/>
    <w:lvl w:ilvl="0">
      <w:start w:val="1"/>
      <w:numFmt w:val="decimal"/>
      <w:lvlText w:val="(%1)"/>
      <w:lvlJc w:val="left"/>
      <w:pPr>
        <w:ind w:left="5210" w:hanging="241"/>
        <w:jc w:val="left"/>
      </w:pPr>
      <w:rPr>
        <w:rFonts w:hint="default" w:ascii="Times New Roman" w:hAnsi="Times New Roman" w:eastAsia="Times New Roman" w:cs="Times New Roman"/>
        <w:w w:val="100"/>
        <w:sz w:val="16"/>
        <w:szCs w:val="16"/>
        <w:lang w:val="en-US" w:eastAsia="en-US" w:bidi="ar-SA"/>
      </w:rPr>
    </w:lvl>
    <w:lvl w:ilvl="1">
      <w:start w:val="0"/>
      <w:numFmt w:val="bullet"/>
      <w:lvlText w:val="•"/>
      <w:lvlJc w:val="left"/>
      <w:pPr>
        <w:ind w:left="5760" w:hanging="241"/>
      </w:pPr>
      <w:rPr>
        <w:rFonts w:hint="default"/>
        <w:lang w:val="en-US" w:eastAsia="en-US" w:bidi="ar-SA"/>
      </w:rPr>
    </w:lvl>
    <w:lvl w:ilvl="2">
      <w:start w:val="0"/>
      <w:numFmt w:val="bullet"/>
      <w:lvlText w:val="•"/>
      <w:lvlJc w:val="left"/>
      <w:pPr>
        <w:ind w:left="6300" w:hanging="241"/>
      </w:pPr>
      <w:rPr>
        <w:rFonts w:hint="default"/>
        <w:lang w:val="en-US" w:eastAsia="en-US" w:bidi="ar-SA"/>
      </w:rPr>
    </w:lvl>
    <w:lvl w:ilvl="3">
      <w:start w:val="0"/>
      <w:numFmt w:val="bullet"/>
      <w:lvlText w:val="•"/>
      <w:lvlJc w:val="left"/>
      <w:pPr>
        <w:ind w:left="6840" w:hanging="241"/>
      </w:pPr>
      <w:rPr>
        <w:rFonts w:hint="default"/>
        <w:lang w:val="en-US" w:eastAsia="en-US" w:bidi="ar-SA"/>
      </w:rPr>
    </w:lvl>
    <w:lvl w:ilvl="4">
      <w:start w:val="0"/>
      <w:numFmt w:val="bullet"/>
      <w:lvlText w:val="•"/>
      <w:lvlJc w:val="left"/>
      <w:pPr>
        <w:ind w:left="7380" w:hanging="241"/>
      </w:pPr>
      <w:rPr>
        <w:rFonts w:hint="default"/>
        <w:lang w:val="en-US" w:eastAsia="en-US" w:bidi="ar-SA"/>
      </w:rPr>
    </w:lvl>
    <w:lvl w:ilvl="5">
      <w:start w:val="0"/>
      <w:numFmt w:val="bullet"/>
      <w:lvlText w:val="•"/>
      <w:lvlJc w:val="left"/>
      <w:pPr>
        <w:ind w:left="7920" w:hanging="241"/>
      </w:pPr>
      <w:rPr>
        <w:rFonts w:hint="default"/>
        <w:lang w:val="en-US" w:eastAsia="en-US" w:bidi="ar-SA"/>
      </w:rPr>
    </w:lvl>
    <w:lvl w:ilvl="6">
      <w:start w:val="0"/>
      <w:numFmt w:val="bullet"/>
      <w:lvlText w:val="•"/>
      <w:lvlJc w:val="left"/>
      <w:pPr>
        <w:ind w:left="8460" w:hanging="241"/>
      </w:pPr>
      <w:rPr>
        <w:rFonts w:hint="default"/>
        <w:lang w:val="en-US" w:eastAsia="en-US" w:bidi="ar-SA"/>
      </w:rPr>
    </w:lvl>
    <w:lvl w:ilvl="7">
      <w:start w:val="0"/>
      <w:numFmt w:val="bullet"/>
      <w:lvlText w:val="•"/>
      <w:lvlJc w:val="left"/>
      <w:pPr>
        <w:ind w:left="9000" w:hanging="241"/>
      </w:pPr>
      <w:rPr>
        <w:rFonts w:hint="default"/>
        <w:lang w:val="en-US" w:eastAsia="en-US" w:bidi="ar-SA"/>
      </w:rPr>
    </w:lvl>
    <w:lvl w:ilvl="8">
      <w:start w:val="0"/>
      <w:numFmt w:val="bullet"/>
      <w:lvlText w:val="•"/>
      <w:lvlJc w:val="left"/>
      <w:pPr>
        <w:ind w:left="9540" w:hanging="241"/>
      </w:pPr>
      <w:rPr>
        <w:rFonts w:hint="default"/>
        <w:lang w:val="en-US" w:eastAsia="en-US" w:bidi="ar-SA"/>
      </w:rPr>
    </w:lvl>
  </w:abstractNum>
  <w:abstractNum w:abstractNumId="25">
    <w:multiLevelType w:val="hybridMultilevel"/>
    <w:lvl w:ilvl="0">
      <w:start w:val="1"/>
      <w:numFmt w:val="lowerLetter"/>
      <w:lvlText w:val="(%1)"/>
      <w:lvlJc w:val="left"/>
      <w:pPr>
        <w:ind w:left="466"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21" w:hanging="240"/>
      </w:pPr>
      <w:rPr>
        <w:rFonts w:hint="default"/>
        <w:lang w:val="en-US" w:eastAsia="en-US" w:bidi="ar-SA"/>
      </w:rPr>
    </w:lvl>
    <w:lvl w:ilvl="2">
      <w:start w:val="0"/>
      <w:numFmt w:val="bullet"/>
      <w:lvlText w:val="•"/>
      <w:lvlJc w:val="left"/>
      <w:pPr>
        <w:ind w:left="1183" w:hanging="240"/>
      </w:pPr>
      <w:rPr>
        <w:rFonts w:hint="default"/>
        <w:lang w:val="en-US" w:eastAsia="en-US" w:bidi="ar-SA"/>
      </w:rPr>
    </w:lvl>
    <w:lvl w:ilvl="3">
      <w:start w:val="0"/>
      <w:numFmt w:val="bullet"/>
      <w:lvlText w:val="•"/>
      <w:lvlJc w:val="left"/>
      <w:pPr>
        <w:ind w:left="1545" w:hanging="240"/>
      </w:pPr>
      <w:rPr>
        <w:rFonts w:hint="default"/>
        <w:lang w:val="en-US" w:eastAsia="en-US" w:bidi="ar-SA"/>
      </w:rPr>
    </w:lvl>
    <w:lvl w:ilvl="4">
      <w:start w:val="0"/>
      <w:numFmt w:val="bullet"/>
      <w:lvlText w:val="•"/>
      <w:lvlJc w:val="left"/>
      <w:pPr>
        <w:ind w:left="1907" w:hanging="240"/>
      </w:pPr>
      <w:rPr>
        <w:rFonts w:hint="default"/>
        <w:lang w:val="en-US" w:eastAsia="en-US" w:bidi="ar-SA"/>
      </w:rPr>
    </w:lvl>
    <w:lvl w:ilvl="5">
      <w:start w:val="0"/>
      <w:numFmt w:val="bullet"/>
      <w:lvlText w:val="•"/>
      <w:lvlJc w:val="left"/>
      <w:pPr>
        <w:ind w:left="2269" w:hanging="240"/>
      </w:pPr>
      <w:rPr>
        <w:rFonts w:hint="default"/>
        <w:lang w:val="en-US" w:eastAsia="en-US" w:bidi="ar-SA"/>
      </w:rPr>
    </w:lvl>
    <w:lvl w:ilvl="6">
      <w:start w:val="0"/>
      <w:numFmt w:val="bullet"/>
      <w:lvlText w:val="•"/>
      <w:lvlJc w:val="left"/>
      <w:pPr>
        <w:ind w:left="2631" w:hanging="240"/>
      </w:pPr>
      <w:rPr>
        <w:rFonts w:hint="default"/>
        <w:lang w:val="en-US" w:eastAsia="en-US" w:bidi="ar-SA"/>
      </w:rPr>
    </w:lvl>
    <w:lvl w:ilvl="7">
      <w:start w:val="0"/>
      <w:numFmt w:val="bullet"/>
      <w:lvlText w:val="•"/>
      <w:lvlJc w:val="left"/>
      <w:pPr>
        <w:ind w:left="2993" w:hanging="240"/>
      </w:pPr>
      <w:rPr>
        <w:rFonts w:hint="default"/>
        <w:lang w:val="en-US" w:eastAsia="en-US" w:bidi="ar-SA"/>
      </w:rPr>
    </w:lvl>
    <w:lvl w:ilvl="8">
      <w:start w:val="0"/>
      <w:numFmt w:val="bullet"/>
      <w:lvlText w:val="•"/>
      <w:lvlJc w:val="left"/>
      <w:pPr>
        <w:ind w:left="3354" w:hanging="240"/>
      </w:pPr>
      <w:rPr>
        <w:rFonts w:hint="default"/>
        <w:lang w:val="en-US" w:eastAsia="en-US" w:bidi="ar-SA"/>
      </w:rPr>
    </w:lvl>
  </w:abstractNum>
  <w:abstractNum w:abstractNumId="24">
    <w:multiLevelType w:val="hybridMultilevel"/>
    <w:lvl w:ilvl="0">
      <w:start w:val="1"/>
      <w:numFmt w:val="lowerLetter"/>
      <w:lvlText w:val="(%1)"/>
      <w:lvlJc w:val="left"/>
      <w:pPr>
        <w:ind w:left="486"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23" w:hanging="240"/>
      </w:pPr>
      <w:rPr>
        <w:rFonts w:hint="default"/>
        <w:lang w:val="en-US" w:eastAsia="en-US" w:bidi="ar-SA"/>
      </w:rPr>
    </w:lvl>
    <w:lvl w:ilvl="2">
      <w:start w:val="0"/>
      <w:numFmt w:val="bullet"/>
      <w:lvlText w:val="•"/>
      <w:lvlJc w:val="left"/>
      <w:pPr>
        <w:ind w:left="1167" w:hanging="240"/>
      </w:pPr>
      <w:rPr>
        <w:rFonts w:hint="default"/>
        <w:lang w:val="en-US" w:eastAsia="en-US" w:bidi="ar-SA"/>
      </w:rPr>
    </w:lvl>
    <w:lvl w:ilvl="3">
      <w:start w:val="0"/>
      <w:numFmt w:val="bullet"/>
      <w:lvlText w:val="•"/>
      <w:lvlJc w:val="left"/>
      <w:pPr>
        <w:ind w:left="1510" w:hanging="240"/>
      </w:pPr>
      <w:rPr>
        <w:rFonts w:hint="default"/>
        <w:lang w:val="en-US" w:eastAsia="en-US" w:bidi="ar-SA"/>
      </w:rPr>
    </w:lvl>
    <w:lvl w:ilvl="4">
      <w:start w:val="0"/>
      <w:numFmt w:val="bullet"/>
      <w:lvlText w:val="•"/>
      <w:lvlJc w:val="left"/>
      <w:pPr>
        <w:ind w:left="1854" w:hanging="240"/>
      </w:pPr>
      <w:rPr>
        <w:rFonts w:hint="default"/>
        <w:lang w:val="en-US" w:eastAsia="en-US" w:bidi="ar-SA"/>
      </w:rPr>
    </w:lvl>
    <w:lvl w:ilvl="5">
      <w:start w:val="0"/>
      <w:numFmt w:val="bullet"/>
      <w:lvlText w:val="•"/>
      <w:lvlJc w:val="left"/>
      <w:pPr>
        <w:ind w:left="2197" w:hanging="240"/>
      </w:pPr>
      <w:rPr>
        <w:rFonts w:hint="default"/>
        <w:lang w:val="en-US" w:eastAsia="en-US" w:bidi="ar-SA"/>
      </w:rPr>
    </w:lvl>
    <w:lvl w:ilvl="6">
      <w:start w:val="0"/>
      <w:numFmt w:val="bullet"/>
      <w:lvlText w:val="•"/>
      <w:lvlJc w:val="left"/>
      <w:pPr>
        <w:ind w:left="2541" w:hanging="240"/>
      </w:pPr>
      <w:rPr>
        <w:rFonts w:hint="default"/>
        <w:lang w:val="en-US" w:eastAsia="en-US" w:bidi="ar-SA"/>
      </w:rPr>
    </w:lvl>
    <w:lvl w:ilvl="7">
      <w:start w:val="0"/>
      <w:numFmt w:val="bullet"/>
      <w:lvlText w:val="•"/>
      <w:lvlJc w:val="left"/>
      <w:pPr>
        <w:ind w:left="2884" w:hanging="240"/>
      </w:pPr>
      <w:rPr>
        <w:rFonts w:hint="default"/>
        <w:lang w:val="en-US" w:eastAsia="en-US" w:bidi="ar-SA"/>
      </w:rPr>
    </w:lvl>
    <w:lvl w:ilvl="8">
      <w:start w:val="0"/>
      <w:numFmt w:val="bullet"/>
      <w:lvlText w:val="•"/>
      <w:lvlJc w:val="left"/>
      <w:pPr>
        <w:ind w:left="3228" w:hanging="240"/>
      </w:pPr>
      <w:rPr>
        <w:rFonts w:hint="default"/>
        <w:lang w:val="en-US" w:eastAsia="en-US" w:bidi="ar-SA"/>
      </w:rPr>
    </w:lvl>
  </w:abstractNum>
  <w:abstractNum w:abstractNumId="23">
    <w:multiLevelType w:val="hybridMultilevel"/>
    <w:lvl w:ilvl="0">
      <w:start w:val="4"/>
      <w:numFmt w:val="decimal"/>
      <w:lvlText w:val="%1"/>
      <w:lvlJc w:val="left"/>
      <w:pPr>
        <w:ind w:left="1406" w:hanging="1159"/>
        <w:jc w:val="left"/>
      </w:pPr>
      <w:rPr>
        <w:rFonts w:hint="default"/>
        <w:lang w:val="en-US" w:eastAsia="en-US" w:bidi="ar-SA"/>
      </w:rPr>
    </w:lvl>
    <w:lvl w:ilvl="1">
      <w:start w:val="3"/>
      <w:numFmt w:val="decimal"/>
      <w:lvlText w:val="%1.%2"/>
      <w:lvlJc w:val="left"/>
      <w:pPr>
        <w:ind w:left="1406" w:hanging="1159"/>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2293" w:hanging="1159"/>
      </w:pPr>
      <w:rPr>
        <w:rFonts w:hint="default"/>
        <w:lang w:val="en-US" w:eastAsia="en-US" w:bidi="ar-SA"/>
      </w:rPr>
    </w:lvl>
    <w:lvl w:ilvl="3">
      <w:start w:val="0"/>
      <w:numFmt w:val="bullet"/>
      <w:lvlText w:val="•"/>
      <w:lvlJc w:val="left"/>
      <w:pPr>
        <w:ind w:left="2740" w:hanging="1159"/>
      </w:pPr>
      <w:rPr>
        <w:rFonts w:hint="default"/>
        <w:lang w:val="en-US" w:eastAsia="en-US" w:bidi="ar-SA"/>
      </w:rPr>
    </w:lvl>
    <w:lvl w:ilvl="4">
      <w:start w:val="0"/>
      <w:numFmt w:val="bullet"/>
      <w:lvlText w:val="•"/>
      <w:lvlJc w:val="left"/>
      <w:pPr>
        <w:ind w:left="3187" w:hanging="1159"/>
      </w:pPr>
      <w:rPr>
        <w:rFonts w:hint="default"/>
        <w:lang w:val="en-US" w:eastAsia="en-US" w:bidi="ar-SA"/>
      </w:rPr>
    </w:lvl>
    <w:lvl w:ilvl="5">
      <w:start w:val="0"/>
      <w:numFmt w:val="bullet"/>
      <w:lvlText w:val="•"/>
      <w:lvlJc w:val="left"/>
      <w:pPr>
        <w:ind w:left="3633" w:hanging="1159"/>
      </w:pPr>
      <w:rPr>
        <w:rFonts w:hint="default"/>
        <w:lang w:val="en-US" w:eastAsia="en-US" w:bidi="ar-SA"/>
      </w:rPr>
    </w:lvl>
    <w:lvl w:ilvl="6">
      <w:start w:val="0"/>
      <w:numFmt w:val="bullet"/>
      <w:lvlText w:val="•"/>
      <w:lvlJc w:val="left"/>
      <w:pPr>
        <w:ind w:left="4080" w:hanging="1159"/>
      </w:pPr>
      <w:rPr>
        <w:rFonts w:hint="default"/>
        <w:lang w:val="en-US" w:eastAsia="en-US" w:bidi="ar-SA"/>
      </w:rPr>
    </w:lvl>
    <w:lvl w:ilvl="7">
      <w:start w:val="0"/>
      <w:numFmt w:val="bullet"/>
      <w:lvlText w:val="•"/>
      <w:lvlJc w:val="left"/>
      <w:pPr>
        <w:ind w:left="4527" w:hanging="1159"/>
      </w:pPr>
      <w:rPr>
        <w:rFonts w:hint="default"/>
        <w:lang w:val="en-US" w:eastAsia="en-US" w:bidi="ar-SA"/>
      </w:rPr>
    </w:lvl>
    <w:lvl w:ilvl="8">
      <w:start w:val="0"/>
      <w:numFmt w:val="bullet"/>
      <w:lvlText w:val="•"/>
      <w:lvlJc w:val="left"/>
      <w:pPr>
        <w:ind w:left="4974" w:hanging="1159"/>
      </w:pPr>
      <w:rPr>
        <w:rFonts w:hint="default"/>
        <w:lang w:val="en-US" w:eastAsia="en-US" w:bidi="ar-SA"/>
      </w:rPr>
    </w:lvl>
  </w:abstractNum>
  <w:abstractNum w:abstractNumId="22">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33" w:hanging="240"/>
      </w:pPr>
      <w:rPr>
        <w:rFonts w:hint="default"/>
        <w:lang w:val="en-US" w:eastAsia="en-US" w:bidi="ar-SA"/>
      </w:rPr>
    </w:lvl>
    <w:lvl w:ilvl="2">
      <w:start w:val="0"/>
      <w:numFmt w:val="bullet"/>
      <w:lvlText w:val="•"/>
      <w:lvlJc w:val="left"/>
      <w:pPr>
        <w:ind w:left="1047" w:hanging="240"/>
      </w:pPr>
      <w:rPr>
        <w:rFonts w:hint="default"/>
        <w:lang w:val="en-US" w:eastAsia="en-US" w:bidi="ar-SA"/>
      </w:rPr>
    </w:lvl>
    <w:lvl w:ilvl="3">
      <w:start w:val="0"/>
      <w:numFmt w:val="bullet"/>
      <w:lvlText w:val="•"/>
      <w:lvlJc w:val="left"/>
      <w:pPr>
        <w:ind w:left="1361" w:hanging="240"/>
      </w:pPr>
      <w:rPr>
        <w:rFonts w:hint="default"/>
        <w:lang w:val="en-US" w:eastAsia="en-US" w:bidi="ar-SA"/>
      </w:rPr>
    </w:lvl>
    <w:lvl w:ilvl="4">
      <w:start w:val="0"/>
      <w:numFmt w:val="bullet"/>
      <w:lvlText w:val="•"/>
      <w:lvlJc w:val="left"/>
      <w:pPr>
        <w:ind w:left="1675" w:hanging="240"/>
      </w:pPr>
      <w:rPr>
        <w:rFonts w:hint="default"/>
        <w:lang w:val="en-US" w:eastAsia="en-US" w:bidi="ar-SA"/>
      </w:rPr>
    </w:lvl>
    <w:lvl w:ilvl="5">
      <w:start w:val="0"/>
      <w:numFmt w:val="bullet"/>
      <w:lvlText w:val="•"/>
      <w:lvlJc w:val="left"/>
      <w:pPr>
        <w:ind w:left="1989" w:hanging="240"/>
      </w:pPr>
      <w:rPr>
        <w:rFonts w:hint="default"/>
        <w:lang w:val="en-US" w:eastAsia="en-US" w:bidi="ar-SA"/>
      </w:rPr>
    </w:lvl>
    <w:lvl w:ilvl="6">
      <w:start w:val="0"/>
      <w:numFmt w:val="bullet"/>
      <w:lvlText w:val="•"/>
      <w:lvlJc w:val="left"/>
      <w:pPr>
        <w:ind w:left="2302" w:hanging="240"/>
      </w:pPr>
      <w:rPr>
        <w:rFonts w:hint="default"/>
        <w:lang w:val="en-US" w:eastAsia="en-US" w:bidi="ar-SA"/>
      </w:rPr>
    </w:lvl>
    <w:lvl w:ilvl="7">
      <w:start w:val="0"/>
      <w:numFmt w:val="bullet"/>
      <w:lvlText w:val="•"/>
      <w:lvlJc w:val="left"/>
      <w:pPr>
        <w:ind w:left="2616" w:hanging="240"/>
      </w:pPr>
      <w:rPr>
        <w:rFonts w:hint="default"/>
        <w:lang w:val="en-US" w:eastAsia="en-US" w:bidi="ar-SA"/>
      </w:rPr>
    </w:lvl>
    <w:lvl w:ilvl="8">
      <w:start w:val="0"/>
      <w:numFmt w:val="bullet"/>
      <w:lvlText w:val="•"/>
      <w:lvlJc w:val="left"/>
      <w:pPr>
        <w:ind w:left="2930" w:hanging="240"/>
      </w:pPr>
      <w:rPr>
        <w:rFonts w:hint="default"/>
        <w:lang w:val="en-US" w:eastAsia="en-US" w:bidi="ar-SA"/>
      </w:rPr>
    </w:lvl>
  </w:abstractNum>
  <w:abstractNum w:abstractNumId="20">
    <w:multiLevelType w:val="hybridMultilevel"/>
    <w:lvl w:ilvl="0">
      <w:start w:val="1"/>
      <w:numFmt w:val="lowerLetter"/>
      <w:lvlText w:val="(%1)"/>
      <w:lvlJc w:val="left"/>
      <w:pPr>
        <w:ind w:left="39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21" w:hanging="240"/>
      </w:pPr>
      <w:rPr>
        <w:rFonts w:hint="default"/>
        <w:lang w:val="en-US" w:eastAsia="en-US" w:bidi="ar-SA"/>
      </w:rPr>
    </w:lvl>
    <w:lvl w:ilvl="2">
      <w:start w:val="0"/>
      <w:numFmt w:val="bullet"/>
      <w:lvlText w:val="•"/>
      <w:lvlJc w:val="left"/>
      <w:pPr>
        <w:ind w:left="1043" w:hanging="240"/>
      </w:pPr>
      <w:rPr>
        <w:rFonts w:hint="default"/>
        <w:lang w:val="en-US" w:eastAsia="en-US" w:bidi="ar-SA"/>
      </w:rPr>
    </w:lvl>
    <w:lvl w:ilvl="3">
      <w:start w:val="0"/>
      <w:numFmt w:val="bullet"/>
      <w:lvlText w:val="•"/>
      <w:lvlJc w:val="left"/>
      <w:pPr>
        <w:ind w:left="1365" w:hanging="240"/>
      </w:pPr>
      <w:rPr>
        <w:rFonts w:hint="default"/>
        <w:lang w:val="en-US" w:eastAsia="en-US" w:bidi="ar-SA"/>
      </w:rPr>
    </w:lvl>
    <w:lvl w:ilvl="4">
      <w:start w:val="0"/>
      <w:numFmt w:val="bullet"/>
      <w:lvlText w:val="•"/>
      <w:lvlJc w:val="left"/>
      <w:pPr>
        <w:ind w:left="1687" w:hanging="240"/>
      </w:pPr>
      <w:rPr>
        <w:rFonts w:hint="default"/>
        <w:lang w:val="en-US" w:eastAsia="en-US" w:bidi="ar-SA"/>
      </w:rPr>
    </w:lvl>
    <w:lvl w:ilvl="5">
      <w:start w:val="0"/>
      <w:numFmt w:val="bullet"/>
      <w:lvlText w:val="•"/>
      <w:lvlJc w:val="left"/>
      <w:pPr>
        <w:ind w:left="2008" w:hanging="240"/>
      </w:pPr>
      <w:rPr>
        <w:rFonts w:hint="default"/>
        <w:lang w:val="en-US" w:eastAsia="en-US" w:bidi="ar-SA"/>
      </w:rPr>
    </w:lvl>
    <w:lvl w:ilvl="6">
      <w:start w:val="0"/>
      <w:numFmt w:val="bullet"/>
      <w:lvlText w:val="•"/>
      <w:lvlJc w:val="left"/>
      <w:pPr>
        <w:ind w:left="2330" w:hanging="240"/>
      </w:pPr>
      <w:rPr>
        <w:rFonts w:hint="default"/>
        <w:lang w:val="en-US" w:eastAsia="en-US" w:bidi="ar-SA"/>
      </w:rPr>
    </w:lvl>
    <w:lvl w:ilvl="7">
      <w:start w:val="0"/>
      <w:numFmt w:val="bullet"/>
      <w:lvlText w:val="•"/>
      <w:lvlJc w:val="left"/>
      <w:pPr>
        <w:ind w:left="2652" w:hanging="240"/>
      </w:pPr>
      <w:rPr>
        <w:rFonts w:hint="default"/>
        <w:lang w:val="en-US" w:eastAsia="en-US" w:bidi="ar-SA"/>
      </w:rPr>
    </w:lvl>
    <w:lvl w:ilvl="8">
      <w:start w:val="0"/>
      <w:numFmt w:val="bullet"/>
      <w:lvlText w:val="•"/>
      <w:lvlJc w:val="left"/>
      <w:pPr>
        <w:ind w:left="2974" w:hanging="240"/>
      </w:pPr>
      <w:rPr>
        <w:rFonts w:hint="default"/>
        <w:lang w:val="en-US" w:eastAsia="en-US" w:bidi="ar-SA"/>
      </w:rPr>
    </w:lvl>
  </w:abstractNum>
  <w:abstractNum w:abstractNumId="19">
    <w:multiLevelType w:val="hybridMultilevel"/>
    <w:lvl w:ilvl="0">
      <w:start w:val="4"/>
      <w:numFmt w:val="decimal"/>
      <w:lvlText w:val="%1"/>
      <w:lvlJc w:val="left"/>
      <w:pPr>
        <w:ind w:left="5792" w:hanging="833"/>
        <w:jc w:val="left"/>
      </w:pPr>
      <w:rPr>
        <w:rFonts w:hint="default"/>
        <w:lang w:val="en-US" w:eastAsia="en-US" w:bidi="ar-SA"/>
      </w:rPr>
    </w:lvl>
    <w:lvl w:ilvl="1">
      <w:start w:val="1"/>
      <w:numFmt w:val="decimal"/>
      <w:lvlText w:val="%1.%2"/>
      <w:lvlJc w:val="left"/>
      <w:pPr>
        <w:ind w:left="5792" w:hanging="833"/>
        <w:jc w:val="right"/>
      </w:pPr>
      <w:rPr>
        <w:rFonts w:hint="default" w:ascii="Times New Roman" w:hAnsi="Times New Roman" w:eastAsia="Times New Roman" w:cs="Times New Roman"/>
        <w:b/>
        <w:bCs/>
        <w:color w:val="009483"/>
        <w:spacing w:val="-11"/>
        <w:w w:val="100"/>
        <w:sz w:val="28"/>
        <w:szCs w:val="28"/>
        <w:u w:val="thick" w:color="0093C1"/>
        <w:lang w:val="en-US" w:eastAsia="en-US" w:bidi="ar-SA"/>
      </w:rPr>
    </w:lvl>
    <w:lvl w:ilvl="2">
      <w:start w:val="0"/>
      <w:numFmt w:val="bullet"/>
      <w:lvlText w:val="•"/>
      <w:lvlJc w:val="left"/>
      <w:pPr>
        <w:ind w:left="6764" w:hanging="833"/>
      </w:pPr>
      <w:rPr>
        <w:rFonts w:hint="default"/>
        <w:lang w:val="en-US" w:eastAsia="en-US" w:bidi="ar-SA"/>
      </w:rPr>
    </w:lvl>
    <w:lvl w:ilvl="3">
      <w:start w:val="0"/>
      <w:numFmt w:val="bullet"/>
      <w:lvlText w:val="•"/>
      <w:lvlJc w:val="left"/>
      <w:pPr>
        <w:ind w:left="7246" w:hanging="833"/>
      </w:pPr>
      <w:rPr>
        <w:rFonts w:hint="default"/>
        <w:lang w:val="en-US" w:eastAsia="en-US" w:bidi="ar-SA"/>
      </w:rPr>
    </w:lvl>
    <w:lvl w:ilvl="4">
      <w:start w:val="0"/>
      <w:numFmt w:val="bullet"/>
      <w:lvlText w:val="•"/>
      <w:lvlJc w:val="left"/>
      <w:pPr>
        <w:ind w:left="7728" w:hanging="833"/>
      </w:pPr>
      <w:rPr>
        <w:rFonts w:hint="default"/>
        <w:lang w:val="en-US" w:eastAsia="en-US" w:bidi="ar-SA"/>
      </w:rPr>
    </w:lvl>
    <w:lvl w:ilvl="5">
      <w:start w:val="0"/>
      <w:numFmt w:val="bullet"/>
      <w:lvlText w:val="•"/>
      <w:lvlJc w:val="left"/>
      <w:pPr>
        <w:ind w:left="8210" w:hanging="833"/>
      </w:pPr>
      <w:rPr>
        <w:rFonts w:hint="default"/>
        <w:lang w:val="en-US" w:eastAsia="en-US" w:bidi="ar-SA"/>
      </w:rPr>
    </w:lvl>
    <w:lvl w:ilvl="6">
      <w:start w:val="0"/>
      <w:numFmt w:val="bullet"/>
      <w:lvlText w:val="•"/>
      <w:lvlJc w:val="left"/>
      <w:pPr>
        <w:ind w:left="8692" w:hanging="833"/>
      </w:pPr>
      <w:rPr>
        <w:rFonts w:hint="default"/>
        <w:lang w:val="en-US" w:eastAsia="en-US" w:bidi="ar-SA"/>
      </w:rPr>
    </w:lvl>
    <w:lvl w:ilvl="7">
      <w:start w:val="0"/>
      <w:numFmt w:val="bullet"/>
      <w:lvlText w:val="•"/>
      <w:lvlJc w:val="left"/>
      <w:pPr>
        <w:ind w:left="9174" w:hanging="833"/>
      </w:pPr>
      <w:rPr>
        <w:rFonts w:hint="default"/>
        <w:lang w:val="en-US" w:eastAsia="en-US" w:bidi="ar-SA"/>
      </w:rPr>
    </w:lvl>
    <w:lvl w:ilvl="8">
      <w:start w:val="0"/>
      <w:numFmt w:val="bullet"/>
      <w:lvlText w:val="•"/>
      <w:lvlJc w:val="left"/>
      <w:pPr>
        <w:ind w:left="9656" w:hanging="833"/>
      </w:pPr>
      <w:rPr>
        <w:rFonts w:hint="default"/>
        <w:lang w:val="en-US" w:eastAsia="en-US" w:bidi="ar-SA"/>
      </w:rPr>
    </w:lvl>
  </w:abstractNum>
  <w:abstractNum w:abstractNumId="18">
    <w:multiLevelType w:val="hybridMultilevel"/>
    <w:lvl w:ilvl="0">
      <w:start w:val="1"/>
      <w:numFmt w:val="lowerLetter"/>
      <w:lvlText w:val="(%1)"/>
      <w:lvlJc w:val="left"/>
      <w:pPr>
        <w:ind w:left="400"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0" w:hanging="240"/>
      </w:pPr>
      <w:rPr>
        <w:rFonts w:hint="default"/>
        <w:lang w:val="en-US" w:eastAsia="en-US" w:bidi="ar-SA"/>
      </w:rPr>
    </w:lvl>
    <w:lvl w:ilvl="2">
      <w:start w:val="0"/>
      <w:numFmt w:val="bullet"/>
      <w:lvlText w:val="•"/>
      <w:lvlJc w:val="left"/>
      <w:pPr>
        <w:ind w:left="1181" w:hanging="240"/>
      </w:pPr>
      <w:rPr>
        <w:rFonts w:hint="default"/>
        <w:lang w:val="en-US" w:eastAsia="en-US" w:bidi="ar-SA"/>
      </w:rPr>
    </w:lvl>
    <w:lvl w:ilvl="3">
      <w:start w:val="0"/>
      <w:numFmt w:val="bullet"/>
      <w:lvlText w:val="•"/>
      <w:lvlJc w:val="left"/>
      <w:pPr>
        <w:ind w:left="1572" w:hanging="240"/>
      </w:pPr>
      <w:rPr>
        <w:rFonts w:hint="default"/>
        <w:lang w:val="en-US" w:eastAsia="en-US" w:bidi="ar-SA"/>
      </w:rPr>
    </w:lvl>
    <w:lvl w:ilvl="4">
      <w:start w:val="0"/>
      <w:numFmt w:val="bullet"/>
      <w:lvlText w:val="•"/>
      <w:lvlJc w:val="left"/>
      <w:pPr>
        <w:ind w:left="1963" w:hanging="240"/>
      </w:pPr>
      <w:rPr>
        <w:rFonts w:hint="default"/>
        <w:lang w:val="en-US" w:eastAsia="en-US" w:bidi="ar-SA"/>
      </w:rPr>
    </w:lvl>
    <w:lvl w:ilvl="5">
      <w:start w:val="0"/>
      <w:numFmt w:val="bullet"/>
      <w:lvlText w:val="•"/>
      <w:lvlJc w:val="left"/>
      <w:pPr>
        <w:ind w:left="2353" w:hanging="240"/>
      </w:pPr>
      <w:rPr>
        <w:rFonts w:hint="default"/>
        <w:lang w:val="en-US" w:eastAsia="en-US" w:bidi="ar-SA"/>
      </w:rPr>
    </w:lvl>
    <w:lvl w:ilvl="6">
      <w:start w:val="0"/>
      <w:numFmt w:val="bullet"/>
      <w:lvlText w:val="•"/>
      <w:lvlJc w:val="left"/>
      <w:pPr>
        <w:ind w:left="2744" w:hanging="240"/>
      </w:pPr>
      <w:rPr>
        <w:rFonts w:hint="default"/>
        <w:lang w:val="en-US" w:eastAsia="en-US" w:bidi="ar-SA"/>
      </w:rPr>
    </w:lvl>
    <w:lvl w:ilvl="7">
      <w:start w:val="0"/>
      <w:numFmt w:val="bullet"/>
      <w:lvlText w:val="•"/>
      <w:lvlJc w:val="left"/>
      <w:pPr>
        <w:ind w:left="3135" w:hanging="240"/>
      </w:pPr>
      <w:rPr>
        <w:rFonts w:hint="default"/>
        <w:lang w:val="en-US" w:eastAsia="en-US" w:bidi="ar-SA"/>
      </w:rPr>
    </w:lvl>
    <w:lvl w:ilvl="8">
      <w:start w:val="0"/>
      <w:numFmt w:val="bullet"/>
      <w:lvlText w:val="•"/>
      <w:lvlJc w:val="left"/>
      <w:pPr>
        <w:ind w:left="3526" w:hanging="240"/>
      </w:pPr>
      <w:rPr>
        <w:rFonts w:hint="default"/>
        <w:lang w:val="en-US" w:eastAsia="en-US" w:bidi="ar-SA"/>
      </w:rPr>
    </w:lvl>
  </w:abstractNum>
  <w:abstractNum w:abstractNumId="17">
    <w:multiLevelType w:val="hybridMultilevel"/>
    <w:lvl w:ilvl="0">
      <w:start w:val="1"/>
      <w:numFmt w:val="lowerLetter"/>
      <w:lvlText w:val="(%1)"/>
      <w:lvlJc w:val="left"/>
      <w:pPr>
        <w:ind w:left="405"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790" w:hanging="240"/>
      </w:pPr>
      <w:rPr>
        <w:rFonts w:hint="default"/>
        <w:lang w:val="en-US" w:eastAsia="en-US" w:bidi="ar-SA"/>
      </w:rPr>
    </w:lvl>
    <w:lvl w:ilvl="2">
      <w:start w:val="0"/>
      <w:numFmt w:val="bullet"/>
      <w:lvlText w:val="•"/>
      <w:lvlJc w:val="left"/>
      <w:pPr>
        <w:ind w:left="1181" w:hanging="240"/>
      </w:pPr>
      <w:rPr>
        <w:rFonts w:hint="default"/>
        <w:lang w:val="en-US" w:eastAsia="en-US" w:bidi="ar-SA"/>
      </w:rPr>
    </w:lvl>
    <w:lvl w:ilvl="3">
      <w:start w:val="0"/>
      <w:numFmt w:val="bullet"/>
      <w:lvlText w:val="•"/>
      <w:lvlJc w:val="left"/>
      <w:pPr>
        <w:ind w:left="1572" w:hanging="240"/>
      </w:pPr>
      <w:rPr>
        <w:rFonts w:hint="default"/>
        <w:lang w:val="en-US" w:eastAsia="en-US" w:bidi="ar-SA"/>
      </w:rPr>
    </w:lvl>
    <w:lvl w:ilvl="4">
      <w:start w:val="0"/>
      <w:numFmt w:val="bullet"/>
      <w:lvlText w:val="•"/>
      <w:lvlJc w:val="left"/>
      <w:pPr>
        <w:ind w:left="1963" w:hanging="240"/>
      </w:pPr>
      <w:rPr>
        <w:rFonts w:hint="default"/>
        <w:lang w:val="en-US" w:eastAsia="en-US" w:bidi="ar-SA"/>
      </w:rPr>
    </w:lvl>
    <w:lvl w:ilvl="5">
      <w:start w:val="0"/>
      <w:numFmt w:val="bullet"/>
      <w:lvlText w:val="•"/>
      <w:lvlJc w:val="left"/>
      <w:pPr>
        <w:ind w:left="2353" w:hanging="240"/>
      </w:pPr>
      <w:rPr>
        <w:rFonts w:hint="default"/>
        <w:lang w:val="en-US" w:eastAsia="en-US" w:bidi="ar-SA"/>
      </w:rPr>
    </w:lvl>
    <w:lvl w:ilvl="6">
      <w:start w:val="0"/>
      <w:numFmt w:val="bullet"/>
      <w:lvlText w:val="•"/>
      <w:lvlJc w:val="left"/>
      <w:pPr>
        <w:ind w:left="2744" w:hanging="240"/>
      </w:pPr>
      <w:rPr>
        <w:rFonts w:hint="default"/>
        <w:lang w:val="en-US" w:eastAsia="en-US" w:bidi="ar-SA"/>
      </w:rPr>
    </w:lvl>
    <w:lvl w:ilvl="7">
      <w:start w:val="0"/>
      <w:numFmt w:val="bullet"/>
      <w:lvlText w:val="•"/>
      <w:lvlJc w:val="left"/>
      <w:pPr>
        <w:ind w:left="3135" w:hanging="240"/>
      </w:pPr>
      <w:rPr>
        <w:rFonts w:hint="default"/>
        <w:lang w:val="en-US" w:eastAsia="en-US" w:bidi="ar-SA"/>
      </w:rPr>
    </w:lvl>
    <w:lvl w:ilvl="8">
      <w:start w:val="0"/>
      <w:numFmt w:val="bullet"/>
      <w:lvlText w:val="•"/>
      <w:lvlJc w:val="left"/>
      <w:pPr>
        <w:ind w:left="3526" w:hanging="240"/>
      </w:pPr>
      <w:rPr>
        <w:rFonts w:hint="default"/>
        <w:lang w:val="en-US" w:eastAsia="en-US" w:bidi="ar-SA"/>
      </w:rPr>
    </w:lvl>
  </w:abstractNum>
  <w:abstractNum w:abstractNumId="16">
    <w:multiLevelType w:val="hybridMultilevel"/>
    <w:lvl w:ilvl="0">
      <w:start w:val="3"/>
      <w:numFmt w:val="decimal"/>
      <w:lvlText w:val="%1"/>
      <w:lvlJc w:val="left"/>
      <w:pPr>
        <w:ind w:left="1534" w:hanging="1361"/>
        <w:jc w:val="left"/>
      </w:pPr>
      <w:rPr>
        <w:rFonts w:hint="default"/>
        <w:lang w:val="en-US" w:eastAsia="en-US" w:bidi="ar-SA"/>
      </w:rPr>
    </w:lvl>
    <w:lvl w:ilvl="1">
      <w:start w:val="2"/>
      <w:numFmt w:val="decimal"/>
      <w:lvlText w:val="%1.%2"/>
      <w:lvlJc w:val="left"/>
      <w:pPr>
        <w:ind w:left="1534" w:hanging="1361"/>
        <w:jc w:val="righ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2400" w:hanging="1361"/>
      </w:pPr>
      <w:rPr>
        <w:rFonts w:hint="default"/>
        <w:lang w:val="en-US" w:eastAsia="en-US" w:bidi="ar-SA"/>
      </w:rPr>
    </w:lvl>
    <w:lvl w:ilvl="3">
      <w:start w:val="0"/>
      <w:numFmt w:val="bullet"/>
      <w:lvlText w:val="•"/>
      <w:lvlJc w:val="left"/>
      <w:pPr>
        <w:ind w:left="2830" w:hanging="1361"/>
      </w:pPr>
      <w:rPr>
        <w:rFonts w:hint="default"/>
        <w:lang w:val="en-US" w:eastAsia="en-US" w:bidi="ar-SA"/>
      </w:rPr>
    </w:lvl>
    <w:lvl w:ilvl="4">
      <w:start w:val="0"/>
      <w:numFmt w:val="bullet"/>
      <w:lvlText w:val="•"/>
      <w:lvlJc w:val="left"/>
      <w:pPr>
        <w:ind w:left="3260" w:hanging="1361"/>
      </w:pPr>
      <w:rPr>
        <w:rFonts w:hint="default"/>
        <w:lang w:val="en-US" w:eastAsia="en-US" w:bidi="ar-SA"/>
      </w:rPr>
    </w:lvl>
    <w:lvl w:ilvl="5">
      <w:start w:val="0"/>
      <w:numFmt w:val="bullet"/>
      <w:lvlText w:val="•"/>
      <w:lvlJc w:val="left"/>
      <w:pPr>
        <w:ind w:left="3690" w:hanging="1361"/>
      </w:pPr>
      <w:rPr>
        <w:rFonts w:hint="default"/>
        <w:lang w:val="en-US" w:eastAsia="en-US" w:bidi="ar-SA"/>
      </w:rPr>
    </w:lvl>
    <w:lvl w:ilvl="6">
      <w:start w:val="0"/>
      <w:numFmt w:val="bullet"/>
      <w:lvlText w:val="•"/>
      <w:lvlJc w:val="left"/>
      <w:pPr>
        <w:ind w:left="4120" w:hanging="1361"/>
      </w:pPr>
      <w:rPr>
        <w:rFonts w:hint="default"/>
        <w:lang w:val="en-US" w:eastAsia="en-US" w:bidi="ar-SA"/>
      </w:rPr>
    </w:lvl>
    <w:lvl w:ilvl="7">
      <w:start w:val="0"/>
      <w:numFmt w:val="bullet"/>
      <w:lvlText w:val="•"/>
      <w:lvlJc w:val="left"/>
      <w:pPr>
        <w:ind w:left="4550" w:hanging="1361"/>
      </w:pPr>
      <w:rPr>
        <w:rFonts w:hint="default"/>
        <w:lang w:val="en-US" w:eastAsia="en-US" w:bidi="ar-SA"/>
      </w:rPr>
    </w:lvl>
    <w:lvl w:ilvl="8">
      <w:start w:val="0"/>
      <w:numFmt w:val="bullet"/>
      <w:lvlText w:val="•"/>
      <w:lvlJc w:val="left"/>
      <w:pPr>
        <w:ind w:left="4980" w:hanging="1361"/>
      </w:pPr>
      <w:rPr>
        <w:rFonts w:hint="default"/>
        <w:lang w:val="en-US" w:eastAsia="en-US" w:bidi="ar-SA"/>
      </w:rPr>
    </w:lvl>
  </w:abstractNum>
  <w:abstractNum w:abstractNumId="15">
    <w:multiLevelType w:val="hybridMultilevel"/>
    <w:lvl w:ilvl="0">
      <w:start w:val="1"/>
      <w:numFmt w:val="lowerLetter"/>
      <w:lvlText w:val="(%1)"/>
      <w:lvlJc w:val="left"/>
      <w:pPr>
        <w:ind w:left="404" w:hanging="240"/>
        <w:jc w:val="left"/>
      </w:pPr>
      <w:rPr>
        <w:rFonts w:hint="default" w:ascii="Times New Roman" w:hAnsi="Times New Roman" w:eastAsia="Times New Roman" w:cs="Times New Roman"/>
        <w:spacing w:val="-14"/>
        <w:w w:val="100"/>
        <w:sz w:val="12"/>
        <w:szCs w:val="12"/>
        <w:lang w:val="en-US" w:eastAsia="en-US" w:bidi="ar-SA"/>
      </w:rPr>
    </w:lvl>
    <w:lvl w:ilvl="1">
      <w:start w:val="1"/>
      <w:numFmt w:val="decimal"/>
      <w:lvlText w:val="(%2)"/>
      <w:lvlJc w:val="left"/>
      <w:pPr>
        <w:ind w:left="414" w:hanging="241"/>
        <w:jc w:val="left"/>
      </w:pPr>
      <w:rPr>
        <w:rFonts w:hint="default" w:ascii="Times New Roman" w:hAnsi="Times New Roman" w:eastAsia="Times New Roman" w:cs="Times New Roman"/>
        <w:w w:val="100"/>
        <w:sz w:val="16"/>
        <w:szCs w:val="16"/>
        <w:lang w:val="en-US" w:eastAsia="en-US" w:bidi="ar-SA"/>
      </w:rPr>
    </w:lvl>
    <w:lvl w:ilvl="2">
      <w:start w:val="0"/>
      <w:numFmt w:val="bullet"/>
      <w:lvlText w:val="•"/>
      <w:lvlJc w:val="left"/>
      <w:pPr>
        <w:ind w:left="305" w:hanging="241"/>
      </w:pPr>
      <w:rPr>
        <w:rFonts w:hint="default"/>
        <w:lang w:val="en-US" w:eastAsia="en-US" w:bidi="ar-SA"/>
      </w:rPr>
    </w:lvl>
    <w:lvl w:ilvl="3">
      <w:start w:val="0"/>
      <w:numFmt w:val="bullet"/>
      <w:lvlText w:val="•"/>
      <w:lvlJc w:val="left"/>
      <w:pPr>
        <w:ind w:left="191" w:hanging="241"/>
      </w:pPr>
      <w:rPr>
        <w:rFonts w:hint="default"/>
        <w:lang w:val="en-US" w:eastAsia="en-US" w:bidi="ar-SA"/>
      </w:rPr>
    </w:lvl>
    <w:lvl w:ilvl="4">
      <w:start w:val="0"/>
      <w:numFmt w:val="bullet"/>
      <w:lvlText w:val="•"/>
      <w:lvlJc w:val="left"/>
      <w:pPr>
        <w:ind w:left="76" w:hanging="241"/>
      </w:pPr>
      <w:rPr>
        <w:rFonts w:hint="default"/>
        <w:lang w:val="en-US" w:eastAsia="en-US" w:bidi="ar-SA"/>
      </w:rPr>
    </w:lvl>
    <w:lvl w:ilvl="5">
      <w:start w:val="0"/>
      <w:numFmt w:val="bullet"/>
      <w:lvlText w:val="•"/>
      <w:lvlJc w:val="left"/>
      <w:pPr>
        <w:ind w:left="-38" w:hanging="241"/>
      </w:pPr>
      <w:rPr>
        <w:rFonts w:hint="default"/>
        <w:lang w:val="en-US" w:eastAsia="en-US" w:bidi="ar-SA"/>
      </w:rPr>
    </w:lvl>
    <w:lvl w:ilvl="6">
      <w:start w:val="0"/>
      <w:numFmt w:val="bullet"/>
      <w:lvlText w:val="•"/>
      <w:lvlJc w:val="left"/>
      <w:pPr>
        <w:ind w:left="-153" w:hanging="241"/>
      </w:pPr>
      <w:rPr>
        <w:rFonts w:hint="default"/>
        <w:lang w:val="en-US" w:eastAsia="en-US" w:bidi="ar-SA"/>
      </w:rPr>
    </w:lvl>
    <w:lvl w:ilvl="7">
      <w:start w:val="0"/>
      <w:numFmt w:val="bullet"/>
      <w:lvlText w:val="•"/>
      <w:lvlJc w:val="left"/>
      <w:pPr>
        <w:ind w:left="-267" w:hanging="241"/>
      </w:pPr>
      <w:rPr>
        <w:rFonts w:hint="default"/>
        <w:lang w:val="en-US" w:eastAsia="en-US" w:bidi="ar-SA"/>
      </w:rPr>
    </w:lvl>
    <w:lvl w:ilvl="8">
      <w:start w:val="0"/>
      <w:numFmt w:val="bullet"/>
      <w:lvlText w:val="•"/>
      <w:lvlJc w:val="left"/>
      <w:pPr>
        <w:ind w:left="-382" w:hanging="241"/>
      </w:pPr>
      <w:rPr>
        <w:rFonts w:hint="default"/>
        <w:lang w:val="en-US" w:eastAsia="en-US" w:bidi="ar-SA"/>
      </w:rPr>
    </w:lvl>
  </w:abstractNum>
  <w:abstractNum w:abstractNumId="14">
    <w:multiLevelType w:val="hybridMultilevel"/>
    <w:lvl w:ilvl="0">
      <w:start w:val="1"/>
      <w:numFmt w:val="decimal"/>
      <w:lvlText w:val="(%1)"/>
      <w:lvlJc w:val="left"/>
      <w:pPr>
        <w:ind w:left="395" w:hanging="241"/>
        <w:jc w:val="left"/>
      </w:pPr>
      <w:rPr>
        <w:rFonts w:hint="default" w:ascii="Times New Roman" w:hAnsi="Times New Roman" w:eastAsia="Times New Roman" w:cs="Times New Roman"/>
        <w:w w:val="100"/>
        <w:sz w:val="16"/>
        <w:szCs w:val="16"/>
        <w:lang w:val="en-US" w:eastAsia="en-US" w:bidi="ar-SA"/>
      </w:rPr>
    </w:lvl>
    <w:lvl w:ilvl="1">
      <w:start w:val="1"/>
      <w:numFmt w:val="lowerLetter"/>
      <w:lvlText w:val="(%2)"/>
      <w:lvlJc w:val="left"/>
      <w:pPr>
        <w:ind w:left="404" w:hanging="240"/>
        <w:jc w:val="left"/>
      </w:pPr>
      <w:rPr>
        <w:rFonts w:hint="default" w:ascii="Times New Roman" w:hAnsi="Times New Roman" w:eastAsia="Times New Roman" w:cs="Times New Roman"/>
        <w:spacing w:val="-14"/>
        <w:w w:val="100"/>
        <w:sz w:val="12"/>
        <w:szCs w:val="12"/>
        <w:lang w:val="en-US" w:eastAsia="en-US" w:bidi="ar-SA"/>
      </w:rPr>
    </w:lvl>
    <w:lvl w:ilvl="2">
      <w:start w:val="0"/>
      <w:numFmt w:val="bullet"/>
      <w:lvlText w:val="•"/>
      <w:lvlJc w:val="left"/>
      <w:pPr>
        <w:ind w:left="219" w:hanging="240"/>
      </w:pPr>
      <w:rPr>
        <w:rFonts w:hint="default"/>
        <w:lang w:val="en-US" w:eastAsia="en-US" w:bidi="ar-SA"/>
      </w:rPr>
    </w:lvl>
    <w:lvl w:ilvl="3">
      <w:start w:val="0"/>
      <w:numFmt w:val="bullet"/>
      <w:lvlText w:val="•"/>
      <w:lvlJc w:val="left"/>
      <w:pPr>
        <w:ind w:left="128" w:hanging="240"/>
      </w:pPr>
      <w:rPr>
        <w:rFonts w:hint="default"/>
        <w:lang w:val="en-US" w:eastAsia="en-US" w:bidi="ar-SA"/>
      </w:rPr>
    </w:lvl>
    <w:lvl w:ilvl="4">
      <w:start w:val="0"/>
      <w:numFmt w:val="bullet"/>
      <w:lvlText w:val="•"/>
      <w:lvlJc w:val="left"/>
      <w:pPr>
        <w:ind w:left="38" w:hanging="240"/>
      </w:pPr>
      <w:rPr>
        <w:rFonts w:hint="default"/>
        <w:lang w:val="en-US" w:eastAsia="en-US" w:bidi="ar-SA"/>
      </w:rPr>
    </w:lvl>
    <w:lvl w:ilvl="5">
      <w:start w:val="0"/>
      <w:numFmt w:val="bullet"/>
      <w:lvlText w:val="•"/>
      <w:lvlJc w:val="left"/>
      <w:pPr>
        <w:ind w:left="-52" w:hanging="240"/>
      </w:pPr>
      <w:rPr>
        <w:rFonts w:hint="default"/>
        <w:lang w:val="en-US" w:eastAsia="en-US" w:bidi="ar-SA"/>
      </w:rPr>
    </w:lvl>
    <w:lvl w:ilvl="6">
      <w:start w:val="0"/>
      <w:numFmt w:val="bullet"/>
      <w:lvlText w:val="•"/>
      <w:lvlJc w:val="left"/>
      <w:pPr>
        <w:ind w:left="-143" w:hanging="240"/>
      </w:pPr>
      <w:rPr>
        <w:rFonts w:hint="default"/>
        <w:lang w:val="en-US" w:eastAsia="en-US" w:bidi="ar-SA"/>
      </w:rPr>
    </w:lvl>
    <w:lvl w:ilvl="7">
      <w:start w:val="0"/>
      <w:numFmt w:val="bullet"/>
      <w:lvlText w:val="•"/>
      <w:lvlJc w:val="left"/>
      <w:pPr>
        <w:ind w:left="-233" w:hanging="240"/>
      </w:pPr>
      <w:rPr>
        <w:rFonts w:hint="default"/>
        <w:lang w:val="en-US" w:eastAsia="en-US" w:bidi="ar-SA"/>
      </w:rPr>
    </w:lvl>
    <w:lvl w:ilvl="8">
      <w:start w:val="0"/>
      <w:numFmt w:val="bullet"/>
      <w:lvlText w:val="•"/>
      <w:lvlJc w:val="left"/>
      <w:pPr>
        <w:ind w:left="-323" w:hanging="240"/>
      </w:pPr>
      <w:rPr>
        <w:rFonts w:hint="default"/>
        <w:lang w:val="en-US" w:eastAsia="en-US" w:bidi="ar-SA"/>
      </w:rPr>
    </w:lvl>
  </w:abstractNum>
  <w:abstractNum w:abstractNumId="13">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spacing w:val="-14"/>
        <w:w w:val="100"/>
        <w:sz w:val="12"/>
        <w:szCs w:val="12"/>
        <w:lang w:val="en-US" w:eastAsia="en-US" w:bidi="ar-SA"/>
      </w:rPr>
    </w:lvl>
    <w:lvl w:ilvl="1">
      <w:start w:val="0"/>
      <w:numFmt w:val="bullet"/>
      <w:lvlText w:val=""/>
      <w:lvlJc w:val="left"/>
      <w:pPr>
        <w:ind w:left="800" w:hanging="360"/>
      </w:pPr>
      <w:rPr>
        <w:rFonts w:hint="default" w:ascii="Wingdings" w:hAnsi="Wingdings" w:eastAsia="Wingdings" w:cs="Wingdings"/>
        <w:color w:val="231F20"/>
        <w:sz w:val="16"/>
        <w:szCs w:val="16"/>
        <w:lang w:val="en-US" w:eastAsia="en-US" w:bidi="ar-SA"/>
      </w:rPr>
    </w:lvl>
    <w:lvl w:ilvl="2">
      <w:start w:val="0"/>
      <w:numFmt w:val="bullet"/>
      <w:lvlText w:val="•"/>
      <w:lvlJc w:val="left"/>
      <w:pPr>
        <w:ind w:left="1161" w:hanging="360"/>
      </w:pPr>
      <w:rPr>
        <w:rFonts w:hint="default"/>
        <w:lang w:val="en-US" w:eastAsia="en-US" w:bidi="ar-SA"/>
      </w:rPr>
    </w:lvl>
    <w:lvl w:ilvl="3">
      <w:start w:val="0"/>
      <w:numFmt w:val="bullet"/>
      <w:lvlText w:val="•"/>
      <w:lvlJc w:val="left"/>
      <w:pPr>
        <w:ind w:left="1523" w:hanging="360"/>
      </w:pPr>
      <w:rPr>
        <w:rFonts w:hint="default"/>
        <w:lang w:val="en-US" w:eastAsia="en-US" w:bidi="ar-SA"/>
      </w:rPr>
    </w:lvl>
    <w:lvl w:ilvl="4">
      <w:start w:val="0"/>
      <w:numFmt w:val="bullet"/>
      <w:lvlText w:val="•"/>
      <w:lvlJc w:val="left"/>
      <w:pPr>
        <w:ind w:left="1885" w:hanging="360"/>
      </w:pPr>
      <w:rPr>
        <w:rFonts w:hint="default"/>
        <w:lang w:val="en-US" w:eastAsia="en-US" w:bidi="ar-SA"/>
      </w:rPr>
    </w:lvl>
    <w:lvl w:ilvl="5">
      <w:start w:val="0"/>
      <w:numFmt w:val="bullet"/>
      <w:lvlText w:val="•"/>
      <w:lvlJc w:val="left"/>
      <w:pPr>
        <w:ind w:left="2247" w:hanging="360"/>
      </w:pPr>
      <w:rPr>
        <w:rFonts w:hint="default"/>
        <w:lang w:val="en-US" w:eastAsia="en-US" w:bidi="ar-SA"/>
      </w:rPr>
    </w:lvl>
    <w:lvl w:ilvl="6">
      <w:start w:val="0"/>
      <w:numFmt w:val="bullet"/>
      <w:lvlText w:val="•"/>
      <w:lvlJc w:val="left"/>
      <w:pPr>
        <w:ind w:left="2608" w:hanging="360"/>
      </w:pPr>
      <w:rPr>
        <w:rFonts w:hint="default"/>
        <w:lang w:val="en-US" w:eastAsia="en-US" w:bidi="ar-SA"/>
      </w:rPr>
    </w:lvl>
    <w:lvl w:ilvl="7">
      <w:start w:val="0"/>
      <w:numFmt w:val="bullet"/>
      <w:lvlText w:val="•"/>
      <w:lvlJc w:val="left"/>
      <w:pPr>
        <w:ind w:left="2970" w:hanging="360"/>
      </w:pPr>
      <w:rPr>
        <w:rFonts w:hint="default"/>
        <w:lang w:val="en-US" w:eastAsia="en-US" w:bidi="ar-SA"/>
      </w:rPr>
    </w:lvl>
    <w:lvl w:ilvl="8">
      <w:start w:val="0"/>
      <w:numFmt w:val="bullet"/>
      <w:lvlText w:val="•"/>
      <w:lvlJc w:val="left"/>
      <w:pPr>
        <w:ind w:left="3332" w:hanging="360"/>
      </w:pPr>
      <w:rPr>
        <w:rFonts w:hint="default"/>
        <w:lang w:val="en-US" w:eastAsia="en-US" w:bidi="ar-SA"/>
      </w:rPr>
    </w:lvl>
  </w:abstractNum>
  <w:abstractNum w:abstractNumId="12">
    <w:multiLevelType w:val="hybridMultilevel"/>
    <w:lvl w:ilvl="0">
      <w:start w:val="1"/>
      <w:numFmt w:val="lowerLetter"/>
      <w:lvlText w:val="(%1)"/>
      <w:lvlJc w:val="left"/>
      <w:pPr>
        <w:ind w:left="42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71" w:hanging="240"/>
      </w:pPr>
      <w:rPr>
        <w:rFonts w:hint="default"/>
        <w:lang w:val="en-US" w:eastAsia="en-US" w:bidi="ar-SA"/>
      </w:rPr>
    </w:lvl>
    <w:lvl w:ilvl="2">
      <w:start w:val="0"/>
      <w:numFmt w:val="bullet"/>
      <w:lvlText w:val="•"/>
      <w:lvlJc w:val="left"/>
      <w:pPr>
        <w:ind w:left="1122" w:hanging="240"/>
      </w:pPr>
      <w:rPr>
        <w:rFonts w:hint="default"/>
        <w:lang w:val="en-US" w:eastAsia="en-US" w:bidi="ar-SA"/>
      </w:rPr>
    </w:lvl>
    <w:lvl w:ilvl="3">
      <w:start w:val="0"/>
      <w:numFmt w:val="bullet"/>
      <w:lvlText w:val="•"/>
      <w:lvlJc w:val="left"/>
      <w:pPr>
        <w:ind w:left="1473" w:hanging="240"/>
      </w:pPr>
      <w:rPr>
        <w:rFonts w:hint="default"/>
        <w:lang w:val="en-US" w:eastAsia="en-US" w:bidi="ar-SA"/>
      </w:rPr>
    </w:lvl>
    <w:lvl w:ilvl="4">
      <w:start w:val="0"/>
      <w:numFmt w:val="bullet"/>
      <w:lvlText w:val="•"/>
      <w:lvlJc w:val="left"/>
      <w:pPr>
        <w:ind w:left="1825" w:hanging="240"/>
      </w:pPr>
      <w:rPr>
        <w:rFonts w:hint="default"/>
        <w:lang w:val="en-US" w:eastAsia="en-US" w:bidi="ar-SA"/>
      </w:rPr>
    </w:lvl>
    <w:lvl w:ilvl="5">
      <w:start w:val="0"/>
      <w:numFmt w:val="bullet"/>
      <w:lvlText w:val="•"/>
      <w:lvlJc w:val="left"/>
      <w:pPr>
        <w:ind w:left="2176" w:hanging="240"/>
      </w:pPr>
      <w:rPr>
        <w:rFonts w:hint="default"/>
        <w:lang w:val="en-US" w:eastAsia="en-US" w:bidi="ar-SA"/>
      </w:rPr>
    </w:lvl>
    <w:lvl w:ilvl="6">
      <w:start w:val="0"/>
      <w:numFmt w:val="bullet"/>
      <w:lvlText w:val="•"/>
      <w:lvlJc w:val="left"/>
      <w:pPr>
        <w:ind w:left="2527" w:hanging="240"/>
      </w:pPr>
      <w:rPr>
        <w:rFonts w:hint="default"/>
        <w:lang w:val="en-US" w:eastAsia="en-US" w:bidi="ar-SA"/>
      </w:rPr>
    </w:lvl>
    <w:lvl w:ilvl="7">
      <w:start w:val="0"/>
      <w:numFmt w:val="bullet"/>
      <w:lvlText w:val="•"/>
      <w:lvlJc w:val="left"/>
      <w:pPr>
        <w:ind w:left="2878" w:hanging="240"/>
      </w:pPr>
      <w:rPr>
        <w:rFonts w:hint="default"/>
        <w:lang w:val="en-US" w:eastAsia="en-US" w:bidi="ar-SA"/>
      </w:rPr>
    </w:lvl>
    <w:lvl w:ilvl="8">
      <w:start w:val="0"/>
      <w:numFmt w:val="bullet"/>
      <w:lvlText w:val="•"/>
      <w:lvlJc w:val="left"/>
      <w:pPr>
        <w:ind w:left="3229" w:hanging="240"/>
      </w:pPr>
      <w:rPr>
        <w:rFonts w:hint="default"/>
        <w:lang w:val="en-US" w:eastAsia="en-US" w:bidi="ar-SA"/>
      </w:rPr>
    </w:lvl>
  </w:abstractNum>
  <w:abstractNum w:abstractNumId="11">
    <w:multiLevelType w:val="hybridMultilevel"/>
    <w:lvl w:ilvl="0">
      <w:start w:val="1"/>
      <w:numFmt w:val="lowerLetter"/>
      <w:lvlText w:val="(%1)"/>
      <w:lvlJc w:val="left"/>
      <w:pPr>
        <w:ind w:left="424"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50" w:hanging="240"/>
      </w:pPr>
      <w:rPr>
        <w:rFonts w:hint="default"/>
        <w:lang w:val="en-US" w:eastAsia="en-US" w:bidi="ar-SA"/>
      </w:rPr>
    </w:lvl>
    <w:lvl w:ilvl="2">
      <w:start w:val="0"/>
      <w:numFmt w:val="bullet"/>
      <w:lvlText w:val="•"/>
      <w:lvlJc w:val="left"/>
      <w:pPr>
        <w:ind w:left="1080" w:hanging="240"/>
      </w:pPr>
      <w:rPr>
        <w:rFonts w:hint="default"/>
        <w:lang w:val="en-US" w:eastAsia="en-US" w:bidi="ar-SA"/>
      </w:rPr>
    </w:lvl>
    <w:lvl w:ilvl="3">
      <w:start w:val="0"/>
      <w:numFmt w:val="bullet"/>
      <w:lvlText w:val="•"/>
      <w:lvlJc w:val="left"/>
      <w:pPr>
        <w:ind w:left="1410" w:hanging="240"/>
      </w:pPr>
      <w:rPr>
        <w:rFonts w:hint="default"/>
        <w:lang w:val="en-US" w:eastAsia="en-US" w:bidi="ar-SA"/>
      </w:rPr>
    </w:lvl>
    <w:lvl w:ilvl="4">
      <w:start w:val="0"/>
      <w:numFmt w:val="bullet"/>
      <w:lvlText w:val="•"/>
      <w:lvlJc w:val="left"/>
      <w:pPr>
        <w:ind w:left="1740" w:hanging="240"/>
      </w:pPr>
      <w:rPr>
        <w:rFonts w:hint="default"/>
        <w:lang w:val="en-US" w:eastAsia="en-US" w:bidi="ar-SA"/>
      </w:rPr>
    </w:lvl>
    <w:lvl w:ilvl="5">
      <w:start w:val="0"/>
      <w:numFmt w:val="bullet"/>
      <w:lvlText w:val="•"/>
      <w:lvlJc w:val="left"/>
      <w:pPr>
        <w:ind w:left="2070" w:hanging="240"/>
      </w:pPr>
      <w:rPr>
        <w:rFonts w:hint="default"/>
        <w:lang w:val="en-US" w:eastAsia="en-US" w:bidi="ar-SA"/>
      </w:rPr>
    </w:lvl>
    <w:lvl w:ilvl="6">
      <w:start w:val="0"/>
      <w:numFmt w:val="bullet"/>
      <w:lvlText w:val="•"/>
      <w:lvlJc w:val="left"/>
      <w:pPr>
        <w:ind w:left="2400" w:hanging="240"/>
      </w:pPr>
      <w:rPr>
        <w:rFonts w:hint="default"/>
        <w:lang w:val="en-US" w:eastAsia="en-US" w:bidi="ar-SA"/>
      </w:rPr>
    </w:lvl>
    <w:lvl w:ilvl="7">
      <w:start w:val="0"/>
      <w:numFmt w:val="bullet"/>
      <w:lvlText w:val="•"/>
      <w:lvlJc w:val="left"/>
      <w:pPr>
        <w:ind w:left="2730" w:hanging="240"/>
      </w:pPr>
      <w:rPr>
        <w:rFonts w:hint="default"/>
        <w:lang w:val="en-US" w:eastAsia="en-US" w:bidi="ar-SA"/>
      </w:rPr>
    </w:lvl>
    <w:lvl w:ilvl="8">
      <w:start w:val="0"/>
      <w:numFmt w:val="bullet"/>
      <w:lvlText w:val="•"/>
      <w:lvlJc w:val="left"/>
      <w:pPr>
        <w:ind w:left="3060" w:hanging="240"/>
      </w:pPr>
      <w:rPr>
        <w:rFonts w:hint="default"/>
        <w:lang w:val="en-US" w:eastAsia="en-US" w:bidi="ar-SA"/>
      </w:rPr>
    </w:lvl>
  </w:abstractNum>
  <w:abstractNum w:abstractNumId="10">
    <w:multiLevelType w:val="hybridMultilevel"/>
    <w:lvl w:ilvl="0">
      <w:start w:val="2"/>
      <w:numFmt w:val="decimal"/>
      <w:lvlText w:val="%1"/>
      <w:lvlJc w:val="left"/>
      <w:pPr>
        <w:ind w:left="3307" w:hanging="3142"/>
        <w:jc w:val="left"/>
      </w:pPr>
      <w:rPr>
        <w:rFonts w:hint="default"/>
        <w:lang w:val="en-US" w:eastAsia="en-US" w:bidi="ar-SA"/>
      </w:rPr>
    </w:lvl>
    <w:lvl w:ilvl="1">
      <w:start w:val="2"/>
      <w:numFmt w:val="decimal"/>
      <w:lvlText w:val="%1.%2"/>
      <w:lvlJc w:val="left"/>
      <w:pPr>
        <w:ind w:left="3307" w:hanging="3142"/>
        <w:jc w:val="left"/>
      </w:pPr>
      <w:rPr>
        <w:rFonts w:hint="default" w:ascii="Times New Roman" w:hAnsi="Times New Roman" w:eastAsia="Times New Roman" w:cs="Times New Roman"/>
        <w:b/>
        <w:bCs/>
        <w:color w:val="009483"/>
        <w:w w:val="100"/>
        <w:sz w:val="28"/>
        <w:szCs w:val="28"/>
        <w:u w:val="thick" w:color="0093C1"/>
        <w:lang w:val="en-US" w:eastAsia="en-US" w:bidi="ar-SA"/>
      </w:rPr>
    </w:lvl>
    <w:lvl w:ilvl="2">
      <w:start w:val="0"/>
      <w:numFmt w:val="bullet"/>
      <w:lvlText w:val="•"/>
      <w:lvlJc w:val="left"/>
      <w:pPr>
        <w:ind w:left="3805" w:hanging="3142"/>
      </w:pPr>
      <w:rPr>
        <w:rFonts w:hint="default"/>
        <w:lang w:val="en-US" w:eastAsia="en-US" w:bidi="ar-SA"/>
      </w:rPr>
    </w:lvl>
    <w:lvl w:ilvl="3">
      <w:start w:val="0"/>
      <w:numFmt w:val="bullet"/>
      <w:lvlText w:val="•"/>
      <w:lvlJc w:val="left"/>
      <w:pPr>
        <w:ind w:left="4057" w:hanging="3142"/>
      </w:pPr>
      <w:rPr>
        <w:rFonts w:hint="default"/>
        <w:lang w:val="en-US" w:eastAsia="en-US" w:bidi="ar-SA"/>
      </w:rPr>
    </w:lvl>
    <w:lvl w:ilvl="4">
      <w:start w:val="0"/>
      <w:numFmt w:val="bullet"/>
      <w:lvlText w:val="•"/>
      <w:lvlJc w:val="left"/>
      <w:pPr>
        <w:ind w:left="4310" w:hanging="3142"/>
      </w:pPr>
      <w:rPr>
        <w:rFonts w:hint="default"/>
        <w:lang w:val="en-US" w:eastAsia="en-US" w:bidi="ar-SA"/>
      </w:rPr>
    </w:lvl>
    <w:lvl w:ilvl="5">
      <w:start w:val="0"/>
      <w:numFmt w:val="bullet"/>
      <w:lvlText w:val="•"/>
      <w:lvlJc w:val="left"/>
      <w:pPr>
        <w:ind w:left="4562" w:hanging="3142"/>
      </w:pPr>
      <w:rPr>
        <w:rFonts w:hint="default"/>
        <w:lang w:val="en-US" w:eastAsia="en-US" w:bidi="ar-SA"/>
      </w:rPr>
    </w:lvl>
    <w:lvl w:ilvl="6">
      <w:start w:val="0"/>
      <w:numFmt w:val="bullet"/>
      <w:lvlText w:val="•"/>
      <w:lvlJc w:val="left"/>
      <w:pPr>
        <w:ind w:left="4815" w:hanging="3142"/>
      </w:pPr>
      <w:rPr>
        <w:rFonts w:hint="default"/>
        <w:lang w:val="en-US" w:eastAsia="en-US" w:bidi="ar-SA"/>
      </w:rPr>
    </w:lvl>
    <w:lvl w:ilvl="7">
      <w:start w:val="0"/>
      <w:numFmt w:val="bullet"/>
      <w:lvlText w:val="•"/>
      <w:lvlJc w:val="left"/>
      <w:pPr>
        <w:ind w:left="5067" w:hanging="3142"/>
      </w:pPr>
      <w:rPr>
        <w:rFonts w:hint="default"/>
        <w:lang w:val="en-US" w:eastAsia="en-US" w:bidi="ar-SA"/>
      </w:rPr>
    </w:lvl>
    <w:lvl w:ilvl="8">
      <w:start w:val="0"/>
      <w:numFmt w:val="bullet"/>
      <w:lvlText w:val="•"/>
      <w:lvlJc w:val="left"/>
      <w:pPr>
        <w:ind w:left="5320" w:hanging="3142"/>
      </w:pPr>
      <w:rPr>
        <w:rFonts w:hint="default"/>
        <w:lang w:val="en-US" w:eastAsia="en-US" w:bidi="ar-SA"/>
      </w:rPr>
    </w:lvl>
  </w:abstractNum>
  <w:abstractNum w:abstractNumId="9">
    <w:multiLevelType w:val="hybridMultilevel"/>
    <w:lvl w:ilvl="0">
      <w:start w:val="1"/>
      <w:numFmt w:val="lowerLetter"/>
      <w:lvlText w:val="(%1)"/>
      <w:lvlJc w:val="left"/>
      <w:pPr>
        <w:ind w:left="43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4" w:hanging="240"/>
      </w:pPr>
      <w:rPr>
        <w:rFonts w:hint="default"/>
        <w:lang w:val="en-US" w:eastAsia="en-US" w:bidi="ar-SA"/>
      </w:rPr>
    </w:lvl>
    <w:lvl w:ilvl="2">
      <w:start w:val="0"/>
      <w:numFmt w:val="bullet"/>
      <w:lvlText w:val="•"/>
      <w:lvlJc w:val="left"/>
      <w:pPr>
        <w:ind w:left="1188" w:hanging="240"/>
      </w:pPr>
      <w:rPr>
        <w:rFonts w:hint="default"/>
        <w:lang w:val="en-US" w:eastAsia="en-US" w:bidi="ar-SA"/>
      </w:rPr>
    </w:lvl>
    <w:lvl w:ilvl="3">
      <w:start w:val="0"/>
      <w:numFmt w:val="bullet"/>
      <w:lvlText w:val="•"/>
      <w:lvlJc w:val="left"/>
      <w:pPr>
        <w:ind w:left="1562" w:hanging="240"/>
      </w:pPr>
      <w:rPr>
        <w:rFonts w:hint="default"/>
        <w:lang w:val="en-US" w:eastAsia="en-US" w:bidi="ar-SA"/>
      </w:rPr>
    </w:lvl>
    <w:lvl w:ilvl="4">
      <w:start w:val="0"/>
      <w:numFmt w:val="bullet"/>
      <w:lvlText w:val="•"/>
      <w:lvlJc w:val="left"/>
      <w:pPr>
        <w:ind w:left="1936" w:hanging="240"/>
      </w:pPr>
      <w:rPr>
        <w:rFonts w:hint="default"/>
        <w:lang w:val="en-US" w:eastAsia="en-US" w:bidi="ar-SA"/>
      </w:rPr>
    </w:lvl>
    <w:lvl w:ilvl="5">
      <w:start w:val="0"/>
      <w:numFmt w:val="bullet"/>
      <w:lvlText w:val="•"/>
      <w:lvlJc w:val="left"/>
      <w:pPr>
        <w:ind w:left="2310" w:hanging="240"/>
      </w:pPr>
      <w:rPr>
        <w:rFonts w:hint="default"/>
        <w:lang w:val="en-US" w:eastAsia="en-US" w:bidi="ar-SA"/>
      </w:rPr>
    </w:lvl>
    <w:lvl w:ilvl="6">
      <w:start w:val="0"/>
      <w:numFmt w:val="bullet"/>
      <w:lvlText w:val="•"/>
      <w:lvlJc w:val="left"/>
      <w:pPr>
        <w:ind w:left="2685" w:hanging="240"/>
      </w:pPr>
      <w:rPr>
        <w:rFonts w:hint="default"/>
        <w:lang w:val="en-US" w:eastAsia="en-US" w:bidi="ar-SA"/>
      </w:rPr>
    </w:lvl>
    <w:lvl w:ilvl="7">
      <w:start w:val="0"/>
      <w:numFmt w:val="bullet"/>
      <w:lvlText w:val="•"/>
      <w:lvlJc w:val="left"/>
      <w:pPr>
        <w:ind w:left="3059" w:hanging="240"/>
      </w:pPr>
      <w:rPr>
        <w:rFonts w:hint="default"/>
        <w:lang w:val="en-US" w:eastAsia="en-US" w:bidi="ar-SA"/>
      </w:rPr>
    </w:lvl>
    <w:lvl w:ilvl="8">
      <w:start w:val="0"/>
      <w:numFmt w:val="bullet"/>
      <w:lvlText w:val="•"/>
      <w:lvlJc w:val="left"/>
      <w:pPr>
        <w:ind w:left="3433" w:hanging="240"/>
      </w:pPr>
      <w:rPr>
        <w:rFonts w:hint="default"/>
        <w:lang w:val="en-US" w:eastAsia="en-US" w:bidi="ar-SA"/>
      </w:rPr>
    </w:lvl>
  </w:abstractNum>
  <w:abstractNum w:abstractNumId="8">
    <w:multiLevelType w:val="hybridMultilevel"/>
    <w:lvl w:ilvl="0">
      <w:start w:val="1"/>
      <w:numFmt w:val="lowerLetter"/>
      <w:lvlText w:val="(%1)"/>
      <w:lvlJc w:val="left"/>
      <w:pPr>
        <w:ind w:left="40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7" w:hanging="240"/>
      </w:pPr>
      <w:rPr>
        <w:rFonts w:hint="default"/>
        <w:lang w:val="en-US" w:eastAsia="en-US" w:bidi="ar-SA"/>
      </w:rPr>
    </w:lvl>
    <w:lvl w:ilvl="2">
      <w:start w:val="0"/>
      <w:numFmt w:val="bullet"/>
      <w:lvlText w:val="•"/>
      <w:lvlJc w:val="left"/>
      <w:pPr>
        <w:ind w:left="1215" w:hanging="240"/>
      </w:pPr>
      <w:rPr>
        <w:rFonts w:hint="default"/>
        <w:lang w:val="en-US" w:eastAsia="en-US" w:bidi="ar-SA"/>
      </w:rPr>
    </w:lvl>
    <w:lvl w:ilvl="3">
      <w:start w:val="0"/>
      <w:numFmt w:val="bullet"/>
      <w:lvlText w:val="•"/>
      <w:lvlJc w:val="left"/>
      <w:pPr>
        <w:ind w:left="1622" w:hanging="240"/>
      </w:pPr>
      <w:rPr>
        <w:rFonts w:hint="default"/>
        <w:lang w:val="en-US" w:eastAsia="en-US" w:bidi="ar-SA"/>
      </w:rPr>
    </w:lvl>
    <w:lvl w:ilvl="4">
      <w:start w:val="0"/>
      <w:numFmt w:val="bullet"/>
      <w:lvlText w:val="•"/>
      <w:lvlJc w:val="left"/>
      <w:pPr>
        <w:ind w:left="2030" w:hanging="240"/>
      </w:pPr>
      <w:rPr>
        <w:rFonts w:hint="default"/>
        <w:lang w:val="en-US" w:eastAsia="en-US" w:bidi="ar-SA"/>
      </w:rPr>
    </w:lvl>
    <w:lvl w:ilvl="5">
      <w:start w:val="0"/>
      <w:numFmt w:val="bullet"/>
      <w:lvlText w:val="•"/>
      <w:lvlJc w:val="left"/>
      <w:pPr>
        <w:ind w:left="2437" w:hanging="240"/>
      </w:pPr>
      <w:rPr>
        <w:rFonts w:hint="default"/>
        <w:lang w:val="en-US" w:eastAsia="en-US" w:bidi="ar-SA"/>
      </w:rPr>
    </w:lvl>
    <w:lvl w:ilvl="6">
      <w:start w:val="0"/>
      <w:numFmt w:val="bullet"/>
      <w:lvlText w:val="•"/>
      <w:lvlJc w:val="left"/>
      <w:pPr>
        <w:ind w:left="2845" w:hanging="240"/>
      </w:pPr>
      <w:rPr>
        <w:rFonts w:hint="default"/>
        <w:lang w:val="en-US" w:eastAsia="en-US" w:bidi="ar-SA"/>
      </w:rPr>
    </w:lvl>
    <w:lvl w:ilvl="7">
      <w:start w:val="0"/>
      <w:numFmt w:val="bullet"/>
      <w:lvlText w:val="•"/>
      <w:lvlJc w:val="left"/>
      <w:pPr>
        <w:ind w:left="3252" w:hanging="240"/>
      </w:pPr>
      <w:rPr>
        <w:rFonts w:hint="default"/>
        <w:lang w:val="en-US" w:eastAsia="en-US" w:bidi="ar-SA"/>
      </w:rPr>
    </w:lvl>
    <w:lvl w:ilvl="8">
      <w:start w:val="0"/>
      <w:numFmt w:val="bullet"/>
      <w:lvlText w:val="•"/>
      <w:lvlJc w:val="left"/>
      <w:pPr>
        <w:ind w:left="3660" w:hanging="240"/>
      </w:pPr>
      <w:rPr>
        <w:rFonts w:hint="default"/>
        <w:lang w:val="en-US" w:eastAsia="en-US" w:bidi="ar-SA"/>
      </w:rPr>
    </w:lvl>
  </w:abstractNum>
  <w:abstractNum w:abstractNumId="7">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739" w:hanging="240"/>
      </w:pPr>
      <w:rPr>
        <w:rFonts w:hint="default"/>
        <w:lang w:val="en-US" w:eastAsia="en-US" w:bidi="ar-SA"/>
      </w:rPr>
    </w:lvl>
    <w:lvl w:ilvl="2">
      <w:start w:val="0"/>
      <w:numFmt w:val="bullet"/>
      <w:lvlText w:val="•"/>
      <w:lvlJc w:val="left"/>
      <w:pPr>
        <w:ind w:left="1059" w:hanging="240"/>
      </w:pPr>
      <w:rPr>
        <w:rFonts w:hint="default"/>
        <w:lang w:val="en-US" w:eastAsia="en-US" w:bidi="ar-SA"/>
      </w:rPr>
    </w:lvl>
    <w:lvl w:ilvl="3">
      <w:start w:val="0"/>
      <w:numFmt w:val="bullet"/>
      <w:lvlText w:val="•"/>
      <w:lvlJc w:val="left"/>
      <w:pPr>
        <w:ind w:left="1379" w:hanging="240"/>
      </w:pPr>
      <w:rPr>
        <w:rFonts w:hint="default"/>
        <w:lang w:val="en-US" w:eastAsia="en-US" w:bidi="ar-SA"/>
      </w:rPr>
    </w:lvl>
    <w:lvl w:ilvl="4">
      <w:start w:val="0"/>
      <w:numFmt w:val="bullet"/>
      <w:lvlText w:val="•"/>
      <w:lvlJc w:val="left"/>
      <w:pPr>
        <w:ind w:left="1699" w:hanging="240"/>
      </w:pPr>
      <w:rPr>
        <w:rFonts w:hint="default"/>
        <w:lang w:val="en-US" w:eastAsia="en-US" w:bidi="ar-SA"/>
      </w:rPr>
    </w:lvl>
    <w:lvl w:ilvl="5">
      <w:start w:val="0"/>
      <w:numFmt w:val="bullet"/>
      <w:lvlText w:val="•"/>
      <w:lvlJc w:val="left"/>
      <w:pPr>
        <w:ind w:left="2019" w:hanging="240"/>
      </w:pPr>
      <w:rPr>
        <w:rFonts w:hint="default"/>
        <w:lang w:val="en-US" w:eastAsia="en-US" w:bidi="ar-SA"/>
      </w:rPr>
    </w:lvl>
    <w:lvl w:ilvl="6">
      <w:start w:val="0"/>
      <w:numFmt w:val="bullet"/>
      <w:lvlText w:val="•"/>
      <w:lvlJc w:val="left"/>
      <w:pPr>
        <w:ind w:left="2339" w:hanging="240"/>
      </w:pPr>
      <w:rPr>
        <w:rFonts w:hint="default"/>
        <w:lang w:val="en-US" w:eastAsia="en-US" w:bidi="ar-SA"/>
      </w:rPr>
    </w:lvl>
    <w:lvl w:ilvl="7">
      <w:start w:val="0"/>
      <w:numFmt w:val="bullet"/>
      <w:lvlText w:val="•"/>
      <w:lvlJc w:val="left"/>
      <w:pPr>
        <w:ind w:left="2659" w:hanging="240"/>
      </w:pPr>
      <w:rPr>
        <w:rFonts w:hint="default"/>
        <w:lang w:val="en-US" w:eastAsia="en-US" w:bidi="ar-SA"/>
      </w:rPr>
    </w:lvl>
    <w:lvl w:ilvl="8">
      <w:start w:val="0"/>
      <w:numFmt w:val="bullet"/>
      <w:lvlText w:val="•"/>
      <w:lvlJc w:val="left"/>
      <w:pPr>
        <w:ind w:left="2979" w:hanging="240"/>
      </w:pPr>
      <w:rPr>
        <w:rFonts w:hint="default"/>
        <w:lang w:val="en-US" w:eastAsia="en-US" w:bidi="ar-SA"/>
      </w:rPr>
    </w:lvl>
  </w:abstractNum>
  <w:abstractNum w:abstractNumId="6">
    <w:multiLevelType w:val="hybridMultilevel"/>
    <w:lvl w:ilvl="0">
      <w:start w:val="1"/>
      <w:numFmt w:val="lowerLetter"/>
      <w:lvlText w:val="(%1)"/>
      <w:lvlJc w:val="left"/>
      <w:pPr>
        <w:ind w:left="44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13" w:hanging="240"/>
      </w:pPr>
      <w:rPr>
        <w:rFonts w:hint="default"/>
        <w:lang w:val="en-US" w:eastAsia="en-US" w:bidi="ar-SA"/>
      </w:rPr>
    </w:lvl>
    <w:lvl w:ilvl="2">
      <w:start w:val="0"/>
      <w:numFmt w:val="bullet"/>
      <w:lvlText w:val="•"/>
      <w:lvlJc w:val="left"/>
      <w:pPr>
        <w:ind w:left="1187" w:hanging="240"/>
      </w:pPr>
      <w:rPr>
        <w:rFonts w:hint="default"/>
        <w:lang w:val="en-US" w:eastAsia="en-US" w:bidi="ar-SA"/>
      </w:rPr>
    </w:lvl>
    <w:lvl w:ilvl="3">
      <w:start w:val="0"/>
      <w:numFmt w:val="bullet"/>
      <w:lvlText w:val="•"/>
      <w:lvlJc w:val="left"/>
      <w:pPr>
        <w:ind w:left="1561" w:hanging="240"/>
      </w:pPr>
      <w:rPr>
        <w:rFonts w:hint="default"/>
        <w:lang w:val="en-US" w:eastAsia="en-US" w:bidi="ar-SA"/>
      </w:rPr>
    </w:lvl>
    <w:lvl w:ilvl="4">
      <w:start w:val="0"/>
      <w:numFmt w:val="bullet"/>
      <w:lvlText w:val="•"/>
      <w:lvlJc w:val="left"/>
      <w:pPr>
        <w:ind w:left="1935" w:hanging="240"/>
      </w:pPr>
      <w:rPr>
        <w:rFonts w:hint="default"/>
        <w:lang w:val="en-US" w:eastAsia="en-US" w:bidi="ar-SA"/>
      </w:rPr>
    </w:lvl>
    <w:lvl w:ilvl="5">
      <w:start w:val="0"/>
      <w:numFmt w:val="bullet"/>
      <w:lvlText w:val="•"/>
      <w:lvlJc w:val="left"/>
      <w:pPr>
        <w:ind w:left="2309" w:hanging="240"/>
      </w:pPr>
      <w:rPr>
        <w:rFonts w:hint="default"/>
        <w:lang w:val="en-US" w:eastAsia="en-US" w:bidi="ar-SA"/>
      </w:rPr>
    </w:lvl>
    <w:lvl w:ilvl="6">
      <w:start w:val="0"/>
      <w:numFmt w:val="bullet"/>
      <w:lvlText w:val="•"/>
      <w:lvlJc w:val="left"/>
      <w:pPr>
        <w:ind w:left="2683" w:hanging="240"/>
      </w:pPr>
      <w:rPr>
        <w:rFonts w:hint="default"/>
        <w:lang w:val="en-US" w:eastAsia="en-US" w:bidi="ar-SA"/>
      </w:rPr>
    </w:lvl>
    <w:lvl w:ilvl="7">
      <w:start w:val="0"/>
      <w:numFmt w:val="bullet"/>
      <w:lvlText w:val="•"/>
      <w:lvlJc w:val="left"/>
      <w:pPr>
        <w:ind w:left="3057" w:hanging="240"/>
      </w:pPr>
      <w:rPr>
        <w:rFonts w:hint="default"/>
        <w:lang w:val="en-US" w:eastAsia="en-US" w:bidi="ar-SA"/>
      </w:rPr>
    </w:lvl>
    <w:lvl w:ilvl="8">
      <w:start w:val="0"/>
      <w:numFmt w:val="bullet"/>
      <w:lvlText w:val="•"/>
      <w:lvlJc w:val="left"/>
      <w:pPr>
        <w:ind w:left="3431" w:hanging="240"/>
      </w:pPr>
      <w:rPr>
        <w:rFonts w:hint="default"/>
        <w:lang w:val="en-US" w:eastAsia="en-US" w:bidi="ar-SA"/>
      </w:rPr>
    </w:lvl>
  </w:abstractNum>
  <w:abstractNum w:abstractNumId="5">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2" w:hanging="240"/>
      </w:pPr>
      <w:rPr>
        <w:rFonts w:hint="default"/>
        <w:lang w:val="en-US" w:eastAsia="en-US" w:bidi="ar-SA"/>
      </w:rPr>
    </w:lvl>
    <w:lvl w:ilvl="2">
      <w:start w:val="0"/>
      <w:numFmt w:val="bullet"/>
      <w:lvlText w:val="•"/>
      <w:lvlJc w:val="left"/>
      <w:pPr>
        <w:ind w:left="1185" w:hanging="240"/>
      </w:pPr>
      <w:rPr>
        <w:rFonts w:hint="default"/>
        <w:lang w:val="en-US" w:eastAsia="en-US" w:bidi="ar-SA"/>
      </w:rPr>
    </w:lvl>
    <w:lvl w:ilvl="3">
      <w:start w:val="0"/>
      <w:numFmt w:val="bullet"/>
      <w:lvlText w:val="•"/>
      <w:lvlJc w:val="left"/>
      <w:pPr>
        <w:ind w:left="1567" w:hanging="240"/>
      </w:pPr>
      <w:rPr>
        <w:rFonts w:hint="default"/>
        <w:lang w:val="en-US" w:eastAsia="en-US" w:bidi="ar-SA"/>
      </w:rPr>
    </w:lvl>
    <w:lvl w:ilvl="4">
      <w:start w:val="0"/>
      <w:numFmt w:val="bullet"/>
      <w:lvlText w:val="•"/>
      <w:lvlJc w:val="left"/>
      <w:pPr>
        <w:ind w:left="1950" w:hanging="240"/>
      </w:pPr>
      <w:rPr>
        <w:rFonts w:hint="default"/>
        <w:lang w:val="en-US" w:eastAsia="en-US" w:bidi="ar-SA"/>
      </w:rPr>
    </w:lvl>
    <w:lvl w:ilvl="5">
      <w:start w:val="0"/>
      <w:numFmt w:val="bullet"/>
      <w:lvlText w:val="•"/>
      <w:lvlJc w:val="left"/>
      <w:pPr>
        <w:ind w:left="2332" w:hanging="240"/>
      </w:pPr>
      <w:rPr>
        <w:rFonts w:hint="default"/>
        <w:lang w:val="en-US" w:eastAsia="en-US" w:bidi="ar-SA"/>
      </w:rPr>
    </w:lvl>
    <w:lvl w:ilvl="6">
      <w:start w:val="0"/>
      <w:numFmt w:val="bullet"/>
      <w:lvlText w:val="•"/>
      <w:lvlJc w:val="left"/>
      <w:pPr>
        <w:ind w:left="2715" w:hanging="240"/>
      </w:pPr>
      <w:rPr>
        <w:rFonts w:hint="default"/>
        <w:lang w:val="en-US" w:eastAsia="en-US" w:bidi="ar-SA"/>
      </w:rPr>
    </w:lvl>
    <w:lvl w:ilvl="7">
      <w:start w:val="0"/>
      <w:numFmt w:val="bullet"/>
      <w:lvlText w:val="•"/>
      <w:lvlJc w:val="left"/>
      <w:pPr>
        <w:ind w:left="3097" w:hanging="240"/>
      </w:pPr>
      <w:rPr>
        <w:rFonts w:hint="default"/>
        <w:lang w:val="en-US" w:eastAsia="en-US" w:bidi="ar-SA"/>
      </w:rPr>
    </w:lvl>
    <w:lvl w:ilvl="8">
      <w:start w:val="0"/>
      <w:numFmt w:val="bullet"/>
      <w:lvlText w:val="•"/>
      <w:lvlJc w:val="left"/>
      <w:pPr>
        <w:ind w:left="3480" w:hanging="240"/>
      </w:pPr>
      <w:rPr>
        <w:rFonts w:hint="default"/>
        <w:lang w:val="en-US" w:eastAsia="en-US" w:bidi="ar-SA"/>
      </w:rPr>
    </w:lvl>
  </w:abstractNum>
  <w:abstractNum w:abstractNumId="4">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0"/>
      <w:numFmt w:val="bullet"/>
      <w:lvlText w:val="•"/>
      <w:lvlJc w:val="left"/>
      <w:pPr>
        <w:ind w:left="802" w:hanging="240"/>
      </w:pPr>
      <w:rPr>
        <w:rFonts w:hint="default"/>
        <w:lang w:val="en-US" w:eastAsia="en-US" w:bidi="ar-SA"/>
      </w:rPr>
    </w:lvl>
    <w:lvl w:ilvl="2">
      <w:start w:val="0"/>
      <w:numFmt w:val="bullet"/>
      <w:lvlText w:val="•"/>
      <w:lvlJc w:val="left"/>
      <w:pPr>
        <w:ind w:left="1185" w:hanging="240"/>
      </w:pPr>
      <w:rPr>
        <w:rFonts w:hint="default"/>
        <w:lang w:val="en-US" w:eastAsia="en-US" w:bidi="ar-SA"/>
      </w:rPr>
    </w:lvl>
    <w:lvl w:ilvl="3">
      <w:start w:val="0"/>
      <w:numFmt w:val="bullet"/>
      <w:lvlText w:val="•"/>
      <w:lvlJc w:val="left"/>
      <w:pPr>
        <w:ind w:left="1567" w:hanging="240"/>
      </w:pPr>
      <w:rPr>
        <w:rFonts w:hint="default"/>
        <w:lang w:val="en-US" w:eastAsia="en-US" w:bidi="ar-SA"/>
      </w:rPr>
    </w:lvl>
    <w:lvl w:ilvl="4">
      <w:start w:val="0"/>
      <w:numFmt w:val="bullet"/>
      <w:lvlText w:val="•"/>
      <w:lvlJc w:val="left"/>
      <w:pPr>
        <w:ind w:left="1950" w:hanging="240"/>
      </w:pPr>
      <w:rPr>
        <w:rFonts w:hint="default"/>
        <w:lang w:val="en-US" w:eastAsia="en-US" w:bidi="ar-SA"/>
      </w:rPr>
    </w:lvl>
    <w:lvl w:ilvl="5">
      <w:start w:val="0"/>
      <w:numFmt w:val="bullet"/>
      <w:lvlText w:val="•"/>
      <w:lvlJc w:val="left"/>
      <w:pPr>
        <w:ind w:left="2332" w:hanging="240"/>
      </w:pPr>
      <w:rPr>
        <w:rFonts w:hint="default"/>
        <w:lang w:val="en-US" w:eastAsia="en-US" w:bidi="ar-SA"/>
      </w:rPr>
    </w:lvl>
    <w:lvl w:ilvl="6">
      <w:start w:val="0"/>
      <w:numFmt w:val="bullet"/>
      <w:lvlText w:val="•"/>
      <w:lvlJc w:val="left"/>
      <w:pPr>
        <w:ind w:left="2715" w:hanging="240"/>
      </w:pPr>
      <w:rPr>
        <w:rFonts w:hint="default"/>
        <w:lang w:val="en-US" w:eastAsia="en-US" w:bidi="ar-SA"/>
      </w:rPr>
    </w:lvl>
    <w:lvl w:ilvl="7">
      <w:start w:val="0"/>
      <w:numFmt w:val="bullet"/>
      <w:lvlText w:val="•"/>
      <w:lvlJc w:val="left"/>
      <w:pPr>
        <w:ind w:left="3097" w:hanging="240"/>
      </w:pPr>
      <w:rPr>
        <w:rFonts w:hint="default"/>
        <w:lang w:val="en-US" w:eastAsia="en-US" w:bidi="ar-SA"/>
      </w:rPr>
    </w:lvl>
    <w:lvl w:ilvl="8">
      <w:start w:val="0"/>
      <w:numFmt w:val="bullet"/>
      <w:lvlText w:val="•"/>
      <w:lvlJc w:val="left"/>
      <w:pPr>
        <w:ind w:left="3480" w:hanging="240"/>
      </w:pPr>
      <w:rPr>
        <w:rFonts w:hint="default"/>
        <w:lang w:val="en-US" w:eastAsia="en-US" w:bidi="ar-SA"/>
      </w:rPr>
    </w:lvl>
  </w:abstractNum>
  <w:abstractNum w:abstractNumId="3">
    <w:multiLevelType w:val="hybridMultilevel"/>
    <w:lvl w:ilvl="0">
      <w:start w:val="1"/>
      <w:numFmt w:val="lowerLetter"/>
      <w:lvlText w:val="(%1)"/>
      <w:lvlJc w:val="left"/>
      <w:pPr>
        <w:ind w:left="418" w:hanging="240"/>
        <w:jc w:val="left"/>
      </w:pPr>
      <w:rPr>
        <w:rFonts w:hint="default" w:ascii="Times New Roman" w:hAnsi="Times New Roman" w:eastAsia="Times New Roman" w:cs="Times New Roman"/>
        <w:color w:val="231F20"/>
        <w:spacing w:val="-14"/>
        <w:w w:val="100"/>
        <w:sz w:val="12"/>
        <w:szCs w:val="12"/>
        <w:lang w:val="en-US" w:eastAsia="en-US" w:bidi="ar-SA"/>
      </w:rPr>
    </w:lvl>
    <w:lvl w:ilvl="1">
      <w:start w:val="1"/>
      <w:numFmt w:val="decimal"/>
      <w:lvlText w:val="(%2)"/>
      <w:lvlJc w:val="left"/>
      <w:pPr>
        <w:ind w:left="5220" w:hanging="241"/>
        <w:jc w:val="left"/>
      </w:pPr>
      <w:rPr>
        <w:rFonts w:hint="default" w:ascii="Times New Roman" w:hAnsi="Times New Roman" w:eastAsia="Times New Roman" w:cs="Times New Roman"/>
        <w:color w:val="231F20"/>
        <w:w w:val="100"/>
        <w:sz w:val="16"/>
        <w:szCs w:val="16"/>
        <w:lang w:val="en-US" w:eastAsia="en-US" w:bidi="ar-SA"/>
      </w:rPr>
    </w:lvl>
    <w:lvl w:ilvl="2">
      <w:start w:val="0"/>
      <w:numFmt w:val="bullet"/>
      <w:lvlText w:val="•"/>
      <w:lvlJc w:val="left"/>
      <w:pPr>
        <w:ind w:left="5059" w:hanging="241"/>
      </w:pPr>
      <w:rPr>
        <w:rFonts w:hint="default"/>
        <w:lang w:val="en-US" w:eastAsia="en-US" w:bidi="ar-SA"/>
      </w:rPr>
    </w:lvl>
    <w:lvl w:ilvl="3">
      <w:start w:val="0"/>
      <w:numFmt w:val="bullet"/>
      <w:lvlText w:val="•"/>
      <w:lvlJc w:val="left"/>
      <w:pPr>
        <w:ind w:left="4898" w:hanging="241"/>
      </w:pPr>
      <w:rPr>
        <w:rFonts w:hint="default"/>
        <w:lang w:val="en-US" w:eastAsia="en-US" w:bidi="ar-SA"/>
      </w:rPr>
    </w:lvl>
    <w:lvl w:ilvl="4">
      <w:start w:val="0"/>
      <w:numFmt w:val="bullet"/>
      <w:lvlText w:val="•"/>
      <w:lvlJc w:val="left"/>
      <w:pPr>
        <w:ind w:left="4737" w:hanging="241"/>
      </w:pPr>
      <w:rPr>
        <w:rFonts w:hint="default"/>
        <w:lang w:val="en-US" w:eastAsia="en-US" w:bidi="ar-SA"/>
      </w:rPr>
    </w:lvl>
    <w:lvl w:ilvl="5">
      <w:start w:val="0"/>
      <w:numFmt w:val="bullet"/>
      <w:lvlText w:val="•"/>
      <w:lvlJc w:val="left"/>
      <w:pPr>
        <w:ind w:left="4576" w:hanging="241"/>
      </w:pPr>
      <w:rPr>
        <w:rFonts w:hint="default"/>
        <w:lang w:val="en-US" w:eastAsia="en-US" w:bidi="ar-SA"/>
      </w:rPr>
    </w:lvl>
    <w:lvl w:ilvl="6">
      <w:start w:val="0"/>
      <w:numFmt w:val="bullet"/>
      <w:lvlText w:val="•"/>
      <w:lvlJc w:val="left"/>
      <w:pPr>
        <w:ind w:left="4415" w:hanging="241"/>
      </w:pPr>
      <w:rPr>
        <w:rFonts w:hint="default"/>
        <w:lang w:val="en-US" w:eastAsia="en-US" w:bidi="ar-SA"/>
      </w:rPr>
    </w:lvl>
    <w:lvl w:ilvl="7">
      <w:start w:val="0"/>
      <w:numFmt w:val="bullet"/>
      <w:lvlText w:val="•"/>
      <w:lvlJc w:val="left"/>
      <w:pPr>
        <w:ind w:left="4255" w:hanging="241"/>
      </w:pPr>
      <w:rPr>
        <w:rFonts w:hint="default"/>
        <w:lang w:val="en-US" w:eastAsia="en-US" w:bidi="ar-SA"/>
      </w:rPr>
    </w:lvl>
    <w:lvl w:ilvl="8">
      <w:start w:val="0"/>
      <w:numFmt w:val="bullet"/>
      <w:lvlText w:val="•"/>
      <w:lvlJc w:val="left"/>
      <w:pPr>
        <w:ind w:left="4094" w:hanging="241"/>
      </w:pPr>
      <w:rPr>
        <w:rFonts w:hint="default"/>
        <w:lang w:val="en-US" w:eastAsia="en-US" w:bidi="ar-SA"/>
      </w:rPr>
    </w:lvl>
  </w:abstractNum>
  <w:abstractNum w:abstractNumId="2">
    <w:multiLevelType w:val="hybridMultilevel"/>
    <w:lvl w:ilvl="0">
      <w:start w:val="1"/>
      <w:numFmt w:val="lowerLetter"/>
      <w:lvlText w:val="(%1)"/>
      <w:lvlJc w:val="left"/>
      <w:pPr>
        <w:ind w:left="367" w:hanging="194"/>
        <w:jc w:val="left"/>
      </w:pPr>
      <w:rPr>
        <w:rFonts w:hint="default" w:ascii="Times New Roman" w:hAnsi="Times New Roman" w:eastAsia="Times New Roman" w:cs="Times New Roman"/>
        <w:color w:val="231F20"/>
        <w:w w:val="100"/>
        <w:sz w:val="12"/>
        <w:szCs w:val="12"/>
        <w:lang w:val="en-US" w:eastAsia="en-US" w:bidi="ar-SA"/>
      </w:rPr>
    </w:lvl>
    <w:lvl w:ilvl="1">
      <w:start w:val="0"/>
      <w:numFmt w:val="bullet"/>
      <w:lvlText w:val="•"/>
      <w:lvlJc w:val="left"/>
      <w:pPr>
        <w:ind w:left="772" w:hanging="194"/>
      </w:pPr>
      <w:rPr>
        <w:rFonts w:hint="default"/>
        <w:lang w:val="en-US" w:eastAsia="en-US" w:bidi="ar-SA"/>
      </w:rPr>
    </w:lvl>
    <w:lvl w:ilvl="2">
      <w:start w:val="0"/>
      <w:numFmt w:val="bullet"/>
      <w:lvlText w:val="•"/>
      <w:lvlJc w:val="left"/>
      <w:pPr>
        <w:ind w:left="1184" w:hanging="194"/>
      </w:pPr>
      <w:rPr>
        <w:rFonts w:hint="default"/>
        <w:lang w:val="en-US" w:eastAsia="en-US" w:bidi="ar-SA"/>
      </w:rPr>
    </w:lvl>
    <w:lvl w:ilvl="3">
      <w:start w:val="0"/>
      <w:numFmt w:val="bullet"/>
      <w:lvlText w:val="•"/>
      <w:lvlJc w:val="left"/>
      <w:pPr>
        <w:ind w:left="1596" w:hanging="194"/>
      </w:pPr>
      <w:rPr>
        <w:rFonts w:hint="default"/>
        <w:lang w:val="en-US" w:eastAsia="en-US" w:bidi="ar-SA"/>
      </w:rPr>
    </w:lvl>
    <w:lvl w:ilvl="4">
      <w:start w:val="0"/>
      <w:numFmt w:val="bullet"/>
      <w:lvlText w:val="•"/>
      <w:lvlJc w:val="left"/>
      <w:pPr>
        <w:ind w:left="2008" w:hanging="194"/>
      </w:pPr>
      <w:rPr>
        <w:rFonts w:hint="default"/>
        <w:lang w:val="en-US" w:eastAsia="en-US" w:bidi="ar-SA"/>
      </w:rPr>
    </w:lvl>
    <w:lvl w:ilvl="5">
      <w:start w:val="0"/>
      <w:numFmt w:val="bullet"/>
      <w:lvlText w:val="•"/>
      <w:lvlJc w:val="left"/>
      <w:pPr>
        <w:ind w:left="2420" w:hanging="194"/>
      </w:pPr>
      <w:rPr>
        <w:rFonts w:hint="default"/>
        <w:lang w:val="en-US" w:eastAsia="en-US" w:bidi="ar-SA"/>
      </w:rPr>
    </w:lvl>
    <w:lvl w:ilvl="6">
      <w:start w:val="0"/>
      <w:numFmt w:val="bullet"/>
      <w:lvlText w:val="•"/>
      <w:lvlJc w:val="left"/>
      <w:pPr>
        <w:ind w:left="2833" w:hanging="194"/>
      </w:pPr>
      <w:rPr>
        <w:rFonts w:hint="default"/>
        <w:lang w:val="en-US" w:eastAsia="en-US" w:bidi="ar-SA"/>
      </w:rPr>
    </w:lvl>
    <w:lvl w:ilvl="7">
      <w:start w:val="0"/>
      <w:numFmt w:val="bullet"/>
      <w:lvlText w:val="•"/>
      <w:lvlJc w:val="left"/>
      <w:pPr>
        <w:ind w:left="3245" w:hanging="194"/>
      </w:pPr>
      <w:rPr>
        <w:rFonts w:hint="default"/>
        <w:lang w:val="en-US" w:eastAsia="en-US" w:bidi="ar-SA"/>
      </w:rPr>
    </w:lvl>
    <w:lvl w:ilvl="8">
      <w:start w:val="0"/>
      <w:numFmt w:val="bullet"/>
      <w:lvlText w:val="•"/>
      <w:lvlJc w:val="left"/>
      <w:pPr>
        <w:ind w:left="3657" w:hanging="194"/>
      </w:pPr>
      <w:rPr>
        <w:rFonts w:hint="default"/>
        <w:lang w:val="en-US" w:eastAsia="en-US" w:bidi="ar-SA"/>
      </w:rPr>
    </w:lvl>
  </w:abstractNum>
  <w:abstractNum w:abstractNumId="1">
    <w:multiLevelType w:val="hybridMultilevel"/>
    <w:lvl w:ilvl="0">
      <w:start w:val="4"/>
      <w:numFmt w:val="decimal"/>
      <w:lvlText w:val="%1"/>
      <w:lvlJc w:val="left"/>
      <w:pPr>
        <w:ind w:left="5369" w:hanging="380"/>
        <w:jc w:val="left"/>
      </w:pPr>
      <w:rPr>
        <w:rFonts w:hint="default" w:ascii="Times New Roman" w:hAnsi="Times New Roman" w:eastAsia="Times New Roman" w:cs="Times New Roman"/>
        <w:b/>
        <w:bCs/>
        <w:color w:val="0093C1"/>
        <w:w w:val="100"/>
        <w:sz w:val="24"/>
        <w:szCs w:val="24"/>
        <w:lang w:val="en-US" w:eastAsia="en-US" w:bidi="ar-SA"/>
      </w:rPr>
    </w:lvl>
    <w:lvl w:ilvl="1">
      <w:start w:val="1"/>
      <w:numFmt w:val="decimal"/>
      <w:lvlText w:val="%1.%2"/>
      <w:lvlJc w:val="left"/>
      <w:pPr>
        <w:ind w:left="5929" w:hanging="560"/>
        <w:jc w:val="left"/>
      </w:pPr>
      <w:rPr>
        <w:rFonts w:hint="default" w:ascii="Times New Roman" w:hAnsi="Times New Roman" w:eastAsia="Times New Roman" w:cs="Times New Roman"/>
        <w:b/>
        <w:bCs/>
        <w:w w:val="100"/>
        <w:sz w:val="24"/>
        <w:szCs w:val="24"/>
        <w:lang w:val="en-US" w:eastAsia="en-US" w:bidi="ar-SA"/>
      </w:rPr>
    </w:lvl>
    <w:lvl w:ilvl="2">
      <w:start w:val="0"/>
      <w:numFmt w:val="bullet"/>
      <w:lvlText w:val="•"/>
      <w:lvlJc w:val="left"/>
      <w:pPr>
        <w:ind w:left="6442" w:hanging="560"/>
      </w:pPr>
      <w:rPr>
        <w:rFonts w:hint="default"/>
        <w:lang w:val="en-US" w:eastAsia="en-US" w:bidi="ar-SA"/>
      </w:rPr>
    </w:lvl>
    <w:lvl w:ilvl="3">
      <w:start w:val="0"/>
      <w:numFmt w:val="bullet"/>
      <w:lvlText w:val="•"/>
      <w:lvlJc w:val="left"/>
      <w:pPr>
        <w:ind w:left="6964" w:hanging="560"/>
      </w:pPr>
      <w:rPr>
        <w:rFonts w:hint="default"/>
        <w:lang w:val="en-US" w:eastAsia="en-US" w:bidi="ar-SA"/>
      </w:rPr>
    </w:lvl>
    <w:lvl w:ilvl="4">
      <w:start w:val="0"/>
      <w:numFmt w:val="bullet"/>
      <w:lvlText w:val="•"/>
      <w:lvlJc w:val="left"/>
      <w:pPr>
        <w:ind w:left="7486" w:hanging="560"/>
      </w:pPr>
      <w:rPr>
        <w:rFonts w:hint="default"/>
        <w:lang w:val="en-US" w:eastAsia="en-US" w:bidi="ar-SA"/>
      </w:rPr>
    </w:lvl>
    <w:lvl w:ilvl="5">
      <w:start w:val="0"/>
      <w:numFmt w:val="bullet"/>
      <w:lvlText w:val="•"/>
      <w:lvlJc w:val="left"/>
      <w:pPr>
        <w:ind w:left="8008" w:hanging="560"/>
      </w:pPr>
      <w:rPr>
        <w:rFonts w:hint="default"/>
        <w:lang w:val="en-US" w:eastAsia="en-US" w:bidi="ar-SA"/>
      </w:rPr>
    </w:lvl>
    <w:lvl w:ilvl="6">
      <w:start w:val="0"/>
      <w:numFmt w:val="bullet"/>
      <w:lvlText w:val="•"/>
      <w:lvlJc w:val="left"/>
      <w:pPr>
        <w:ind w:left="8531" w:hanging="560"/>
      </w:pPr>
      <w:rPr>
        <w:rFonts w:hint="default"/>
        <w:lang w:val="en-US" w:eastAsia="en-US" w:bidi="ar-SA"/>
      </w:rPr>
    </w:lvl>
    <w:lvl w:ilvl="7">
      <w:start w:val="0"/>
      <w:numFmt w:val="bullet"/>
      <w:lvlText w:val="•"/>
      <w:lvlJc w:val="left"/>
      <w:pPr>
        <w:ind w:left="9053" w:hanging="560"/>
      </w:pPr>
      <w:rPr>
        <w:rFonts w:hint="default"/>
        <w:lang w:val="en-US" w:eastAsia="en-US" w:bidi="ar-SA"/>
      </w:rPr>
    </w:lvl>
    <w:lvl w:ilvl="8">
      <w:start w:val="0"/>
      <w:numFmt w:val="bullet"/>
      <w:lvlText w:val="•"/>
      <w:lvlJc w:val="left"/>
      <w:pPr>
        <w:ind w:left="9575" w:hanging="560"/>
      </w:pPr>
      <w:rPr>
        <w:rFonts w:hint="default"/>
        <w:lang w:val="en-US" w:eastAsia="en-US" w:bidi="ar-SA"/>
      </w:rPr>
    </w:lvl>
  </w:abstractNum>
  <w:abstractNum w:abstractNumId="0">
    <w:multiLevelType w:val="hybridMultilevel"/>
    <w:lvl w:ilvl="0">
      <w:start w:val="1"/>
      <w:numFmt w:val="decimal"/>
      <w:lvlText w:val="%1"/>
      <w:lvlJc w:val="left"/>
      <w:pPr>
        <w:ind w:left="5369" w:hanging="380"/>
        <w:jc w:val="left"/>
      </w:pPr>
      <w:rPr>
        <w:rFonts w:hint="default" w:ascii="Times New Roman" w:hAnsi="Times New Roman" w:eastAsia="Times New Roman" w:cs="Times New Roman"/>
        <w:b/>
        <w:bCs/>
        <w:color w:val="0093C1"/>
        <w:spacing w:val="-6"/>
        <w:w w:val="100"/>
        <w:sz w:val="24"/>
        <w:szCs w:val="24"/>
        <w:lang w:val="en-US" w:eastAsia="en-US" w:bidi="ar-SA"/>
      </w:rPr>
    </w:lvl>
    <w:lvl w:ilvl="1">
      <w:start w:val="1"/>
      <w:numFmt w:val="decimal"/>
      <w:lvlText w:val="%1.%2"/>
      <w:lvlJc w:val="left"/>
      <w:pPr>
        <w:ind w:left="5929" w:hanging="560"/>
        <w:jc w:val="left"/>
      </w:pPr>
      <w:rPr>
        <w:rFonts w:hint="default" w:ascii="Times New Roman" w:hAnsi="Times New Roman" w:eastAsia="Times New Roman" w:cs="Times New Roman"/>
        <w:b/>
        <w:bCs/>
        <w:color w:val="231F20"/>
        <w:spacing w:val="-5"/>
        <w:w w:val="100"/>
        <w:sz w:val="24"/>
        <w:szCs w:val="24"/>
        <w:lang w:val="en-US" w:eastAsia="en-US" w:bidi="ar-SA"/>
      </w:rPr>
    </w:lvl>
    <w:lvl w:ilvl="2">
      <w:start w:val="0"/>
      <w:numFmt w:val="bullet"/>
      <w:lvlText w:val="•"/>
      <w:lvlJc w:val="left"/>
      <w:pPr>
        <w:ind w:left="6442" w:hanging="560"/>
      </w:pPr>
      <w:rPr>
        <w:rFonts w:hint="default"/>
        <w:lang w:val="en-US" w:eastAsia="en-US" w:bidi="ar-SA"/>
      </w:rPr>
    </w:lvl>
    <w:lvl w:ilvl="3">
      <w:start w:val="0"/>
      <w:numFmt w:val="bullet"/>
      <w:lvlText w:val="•"/>
      <w:lvlJc w:val="left"/>
      <w:pPr>
        <w:ind w:left="6964" w:hanging="560"/>
      </w:pPr>
      <w:rPr>
        <w:rFonts w:hint="default"/>
        <w:lang w:val="en-US" w:eastAsia="en-US" w:bidi="ar-SA"/>
      </w:rPr>
    </w:lvl>
    <w:lvl w:ilvl="4">
      <w:start w:val="0"/>
      <w:numFmt w:val="bullet"/>
      <w:lvlText w:val="•"/>
      <w:lvlJc w:val="left"/>
      <w:pPr>
        <w:ind w:left="7486" w:hanging="560"/>
      </w:pPr>
      <w:rPr>
        <w:rFonts w:hint="default"/>
        <w:lang w:val="en-US" w:eastAsia="en-US" w:bidi="ar-SA"/>
      </w:rPr>
    </w:lvl>
    <w:lvl w:ilvl="5">
      <w:start w:val="0"/>
      <w:numFmt w:val="bullet"/>
      <w:lvlText w:val="•"/>
      <w:lvlJc w:val="left"/>
      <w:pPr>
        <w:ind w:left="8008" w:hanging="560"/>
      </w:pPr>
      <w:rPr>
        <w:rFonts w:hint="default"/>
        <w:lang w:val="en-US" w:eastAsia="en-US" w:bidi="ar-SA"/>
      </w:rPr>
    </w:lvl>
    <w:lvl w:ilvl="6">
      <w:start w:val="0"/>
      <w:numFmt w:val="bullet"/>
      <w:lvlText w:val="•"/>
      <w:lvlJc w:val="left"/>
      <w:pPr>
        <w:ind w:left="8531" w:hanging="560"/>
      </w:pPr>
      <w:rPr>
        <w:rFonts w:hint="default"/>
        <w:lang w:val="en-US" w:eastAsia="en-US" w:bidi="ar-SA"/>
      </w:rPr>
    </w:lvl>
    <w:lvl w:ilvl="7">
      <w:start w:val="0"/>
      <w:numFmt w:val="bullet"/>
      <w:lvlText w:val="•"/>
      <w:lvlJc w:val="left"/>
      <w:pPr>
        <w:ind w:left="9053" w:hanging="560"/>
      </w:pPr>
      <w:rPr>
        <w:rFonts w:hint="default"/>
        <w:lang w:val="en-US" w:eastAsia="en-US" w:bidi="ar-SA"/>
      </w:rPr>
    </w:lvl>
    <w:lvl w:ilvl="8">
      <w:start w:val="0"/>
      <w:numFmt w:val="bullet"/>
      <w:lvlText w:val="•"/>
      <w:lvlJc w:val="left"/>
      <w:pPr>
        <w:ind w:left="9575" w:hanging="560"/>
      </w:pPr>
      <w:rPr>
        <w:rFonts w:hint="default"/>
        <w:lang w:val="en-US" w:eastAsia="en-US" w:bidi="ar-SA"/>
      </w:rPr>
    </w:lvl>
  </w:abstractNum>
  <w:num w:numId="22">
    <w:abstractNumId w:val="21"/>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64"/>
      <w:ind w:left="5369" w:hanging="381"/>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44"/>
      <w:ind w:left="5929" w:hanging="56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44"/>
      <w:ind w:left="622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88"/>
      <w:ind w:left="49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
      <w:ind w:left="152"/>
      <w:outlineLvl w:val="2"/>
    </w:pPr>
    <w:rPr>
      <w:rFonts w:ascii="Times New Roman" w:hAnsi="Times New Roman" w:eastAsia="Times New Roman" w:cs="Times New Roman"/>
      <w:i/>
      <w:sz w:val="24"/>
      <w:szCs w:val="24"/>
      <w:lang w:val="en-US" w:eastAsia="en-US" w:bidi="ar-SA"/>
    </w:rPr>
  </w:style>
  <w:style w:styleId="Heading3" w:type="paragraph">
    <w:name w:val="Heading 3"/>
    <w:basedOn w:val="Normal"/>
    <w:uiPriority w:val="1"/>
    <w:qFormat/>
    <w:pPr>
      <w:ind w:left="160"/>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spacing w:before="10"/>
      <w:ind w:left="170"/>
      <w:outlineLvl w:val="4"/>
    </w:pPr>
    <w:rPr>
      <w:rFonts w:ascii="Times New Roman" w:hAnsi="Times New Roman" w:eastAsia="Times New Roman" w:cs="Times New Roman"/>
      <w:b/>
      <w:bCs/>
      <w:sz w:val="20"/>
      <w:szCs w:val="20"/>
      <w:lang w:val="en-US" w:eastAsia="en-US" w:bidi="ar-SA"/>
    </w:rPr>
  </w:style>
  <w:style w:styleId="Heading5" w:type="paragraph">
    <w:name w:val="Heading 5"/>
    <w:basedOn w:val="Normal"/>
    <w:uiPriority w:val="1"/>
    <w:qFormat/>
    <w:pPr>
      <w:spacing w:before="10"/>
      <w:ind w:left="569"/>
      <w:outlineLvl w:val="5"/>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9"/>
      <w:ind w:left="3780"/>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17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rep.htm" TargetMode="External"/><Relationship Id="rId6" Type="http://schemas.openxmlformats.org/officeDocument/2006/relationships/hyperlink" Target="http://www.bankofengland.co.uk/ir.ht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image" Target="media/image1.png"/><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footer" Target="footer11.xm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footer" Target="footer12.xml"/><Relationship Id="rId56" Type="http://schemas.openxmlformats.org/officeDocument/2006/relationships/footer" Target="footer13.xml"/><Relationship Id="rId57" Type="http://schemas.openxmlformats.org/officeDocument/2006/relationships/header" Target="header13.xml"/><Relationship Id="rId58" Type="http://schemas.openxmlformats.org/officeDocument/2006/relationships/footer" Target="footer14.xml"/><Relationship Id="rId59" Type="http://schemas.openxmlformats.org/officeDocument/2006/relationships/footer" Target="footer15.xml"/><Relationship Id="rId60" Type="http://schemas.openxmlformats.org/officeDocument/2006/relationships/header" Target="header14.xml"/><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header" Target="header15.xml"/><Relationship Id="rId64" Type="http://schemas.openxmlformats.org/officeDocument/2006/relationships/header" Target="header16.xml"/><Relationship Id="rId65" Type="http://schemas.openxmlformats.org/officeDocument/2006/relationships/footer" Target="footer16.xml"/><Relationship Id="rId66" Type="http://schemas.openxmlformats.org/officeDocument/2006/relationships/footer" Target="footer17.xml"/><Relationship Id="rId67" Type="http://schemas.openxmlformats.org/officeDocument/2006/relationships/image" Target="media/image28.png"/><Relationship Id="rId68" Type="http://schemas.openxmlformats.org/officeDocument/2006/relationships/header" Target="header17.xml"/><Relationship Id="rId69" Type="http://schemas.openxmlformats.org/officeDocument/2006/relationships/header" Target="header18.xml"/><Relationship Id="rId70" Type="http://schemas.openxmlformats.org/officeDocument/2006/relationships/footer" Target="footer18.xml"/><Relationship Id="rId71" Type="http://schemas.openxmlformats.org/officeDocument/2006/relationships/footer" Target="footer19.xml"/><Relationship Id="rId72" Type="http://schemas.openxmlformats.org/officeDocument/2006/relationships/header" Target="header19.xml"/><Relationship Id="rId73" Type="http://schemas.openxmlformats.org/officeDocument/2006/relationships/footer" Target="footer20.xml"/><Relationship Id="rId74" Type="http://schemas.openxmlformats.org/officeDocument/2006/relationships/footer" Target="footer21.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header" Target="header22.xml"/><Relationship Id="rId78" Type="http://schemas.openxmlformats.org/officeDocument/2006/relationships/footer" Target="footer22.xml"/><Relationship Id="rId79" Type="http://schemas.openxmlformats.org/officeDocument/2006/relationships/footer" Target="footer23.xml"/><Relationship Id="rId80" Type="http://schemas.openxmlformats.org/officeDocument/2006/relationships/header" Target="header23.xml"/><Relationship Id="rId81" Type="http://schemas.openxmlformats.org/officeDocument/2006/relationships/header" Target="header24.xml"/><Relationship Id="rId82" Type="http://schemas.openxmlformats.org/officeDocument/2006/relationships/footer" Target="footer24.xml"/><Relationship Id="rId83" Type="http://schemas.openxmlformats.org/officeDocument/2006/relationships/footer" Target="footer25.xml"/><Relationship Id="rId84" Type="http://schemas.openxmlformats.org/officeDocument/2006/relationships/image" Target="media/image29.png"/><Relationship Id="rId85" Type="http://schemas.openxmlformats.org/officeDocument/2006/relationships/image" Target="media/image30.png"/><Relationship Id="rId86" Type="http://schemas.openxmlformats.org/officeDocument/2006/relationships/header" Target="header25.xml"/><Relationship Id="rId87" Type="http://schemas.openxmlformats.org/officeDocument/2006/relationships/header" Target="header26.xml"/><Relationship Id="rId88" Type="http://schemas.openxmlformats.org/officeDocument/2006/relationships/footer" Target="footer26.xml"/><Relationship Id="rId89" Type="http://schemas.openxmlformats.org/officeDocument/2006/relationships/footer" Target="footer27.xml"/><Relationship Id="rId90" Type="http://schemas.openxmlformats.org/officeDocument/2006/relationships/image" Target="media/image31.png"/><Relationship Id="rId91" Type="http://schemas.openxmlformats.org/officeDocument/2006/relationships/image" Target="media/image32.png"/><Relationship Id="rId92" Type="http://schemas.openxmlformats.org/officeDocument/2006/relationships/image" Target="media/image33.png"/><Relationship Id="rId93" Type="http://schemas.openxmlformats.org/officeDocument/2006/relationships/image" Target="media/image34.png"/><Relationship Id="rId94" Type="http://schemas.openxmlformats.org/officeDocument/2006/relationships/image" Target="media/image35.png"/><Relationship Id="rId95" Type="http://schemas.openxmlformats.org/officeDocument/2006/relationships/image" Target="media/image36.png"/><Relationship Id="rId96" Type="http://schemas.openxmlformats.org/officeDocument/2006/relationships/image" Target="media/image37.png"/><Relationship Id="rId97" Type="http://schemas.openxmlformats.org/officeDocument/2006/relationships/image" Target="media/image38.png"/><Relationship Id="rId98" Type="http://schemas.openxmlformats.org/officeDocument/2006/relationships/image" Target="media/image39.png"/><Relationship Id="rId99" Type="http://schemas.openxmlformats.org/officeDocument/2006/relationships/image" Target="media/image40.png"/><Relationship Id="rId100" Type="http://schemas.openxmlformats.org/officeDocument/2006/relationships/header" Target="header27.xml"/><Relationship Id="rId101" Type="http://schemas.openxmlformats.org/officeDocument/2006/relationships/footer" Target="footer28.xml"/><Relationship Id="rId102" Type="http://schemas.openxmlformats.org/officeDocument/2006/relationships/footer" Target="footer29.xml"/><Relationship Id="rId103" Type="http://schemas.openxmlformats.org/officeDocument/2006/relationships/header" Target="header28.xml"/><Relationship Id="rId104" Type="http://schemas.openxmlformats.org/officeDocument/2006/relationships/header" Target="header29.xml"/><Relationship Id="rId105" Type="http://schemas.openxmlformats.org/officeDocument/2006/relationships/image" Target="media/image41.png"/><Relationship Id="rId106" Type="http://schemas.openxmlformats.org/officeDocument/2006/relationships/image" Target="media/image42.png"/><Relationship Id="rId107" Type="http://schemas.openxmlformats.org/officeDocument/2006/relationships/footer" Target="footer30.xml"/><Relationship Id="rId108" Type="http://schemas.openxmlformats.org/officeDocument/2006/relationships/footer" Target="footer31.xml"/><Relationship Id="rId109" Type="http://schemas.openxmlformats.org/officeDocument/2006/relationships/image" Target="media/image43.png"/><Relationship Id="rId110" Type="http://schemas.openxmlformats.org/officeDocument/2006/relationships/image" Target="media/image44.png"/><Relationship Id="rId111" Type="http://schemas.openxmlformats.org/officeDocument/2006/relationships/image" Target="media/image45.png"/><Relationship Id="rId112" Type="http://schemas.openxmlformats.org/officeDocument/2006/relationships/image" Target="media/image46.png"/><Relationship Id="rId113" Type="http://schemas.openxmlformats.org/officeDocument/2006/relationships/image" Target="media/image47.png"/><Relationship Id="rId114" Type="http://schemas.openxmlformats.org/officeDocument/2006/relationships/image" Target="media/image48.png"/><Relationship Id="rId115" Type="http://schemas.openxmlformats.org/officeDocument/2006/relationships/image" Target="media/image49.png"/><Relationship Id="rId116" Type="http://schemas.openxmlformats.org/officeDocument/2006/relationships/image" Target="media/image50.png"/><Relationship Id="rId117" Type="http://schemas.openxmlformats.org/officeDocument/2006/relationships/image" Target="media/image51.png"/><Relationship Id="rId118" Type="http://schemas.openxmlformats.org/officeDocument/2006/relationships/image" Target="media/image52.png"/><Relationship Id="rId119" Type="http://schemas.openxmlformats.org/officeDocument/2006/relationships/image" Target="media/image53.png"/><Relationship Id="rId120" Type="http://schemas.openxmlformats.org/officeDocument/2006/relationships/image" Target="media/image54.png"/><Relationship Id="rId121" Type="http://schemas.openxmlformats.org/officeDocument/2006/relationships/header" Target="header30.xml"/><Relationship Id="rId122" Type="http://schemas.openxmlformats.org/officeDocument/2006/relationships/footer" Target="footer32.xml"/><Relationship Id="rId123" Type="http://schemas.openxmlformats.org/officeDocument/2006/relationships/footer" Target="footer33.xml"/><Relationship Id="rId124" Type="http://schemas.openxmlformats.org/officeDocument/2006/relationships/header" Target="header31.xml"/><Relationship Id="rId125" Type="http://schemas.openxmlformats.org/officeDocument/2006/relationships/header" Target="header32.xml"/><Relationship Id="rId126" Type="http://schemas.openxmlformats.org/officeDocument/2006/relationships/header" Target="header33.xml"/><Relationship Id="rId127" Type="http://schemas.openxmlformats.org/officeDocument/2006/relationships/footer" Target="footer34.xml"/><Relationship Id="rId128" Type="http://schemas.openxmlformats.org/officeDocument/2006/relationships/footer" Target="footer35.xml"/><Relationship Id="rId129" Type="http://schemas.openxmlformats.org/officeDocument/2006/relationships/header" Target="header34.xml"/><Relationship Id="rId130" Type="http://schemas.openxmlformats.org/officeDocument/2006/relationships/header" Target="header35.xml"/><Relationship Id="rId131" Type="http://schemas.openxmlformats.org/officeDocument/2006/relationships/header" Target="header36.xml"/><Relationship Id="rId132" Type="http://schemas.openxmlformats.org/officeDocument/2006/relationships/footer" Target="footer36.xml"/><Relationship Id="rId133" Type="http://schemas.openxmlformats.org/officeDocument/2006/relationships/footer" Target="footer37.xml"/><Relationship Id="rId134" Type="http://schemas.openxmlformats.org/officeDocument/2006/relationships/header" Target="header37.xml"/><Relationship Id="rId135" Type="http://schemas.openxmlformats.org/officeDocument/2006/relationships/header" Target="header38.xml"/><Relationship Id="rId136" Type="http://schemas.openxmlformats.org/officeDocument/2006/relationships/footer" Target="footer38.xml"/><Relationship Id="rId137" Type="http://schemas.openxmlformats.org/officeDocument/2006/relationships/footer" Target="footer39.xml"/><Relationship Id="rId138" Type="http://schemas.openxmlformats.org/officeDocument/2006/relationships/header" Target="header39.xml"/><Relationship Id="rId139" Type="http://schemas.openxmlformats.org/officeDocument/2006/relationships/header" Target="header40.xml"/><Relationship Id="rId140" Type="http://schemas.openxmlformats.org/officeDocument/2006/relationships/footer" Target="footer40.xml"/><Relationship Id="rId141" Type="http://schemas.openxmlformats.org/officeDocument/2006/relationships/footer" Target="footer41.xml"/><Relationship Id="rId142" Type="http://schemas.openxmlformats.org/officeDocument/2006/relationships/header" Target="header41.xml"/><Relationship Id="rId143" Type="http://schemas.openxmlformats.org/officeDocument/2006/relationships/footer" Target="footer42.xml"/><Relationship Id="rId144" Type="http://schemas.openxmlformats.org/officeDocument/2006/relationships/image" Target="media/image55.png"/><Relationship Id="rId145" Type="http://schemas.openxmlformats.org/officeDocument/2006/relationships/header" Target="header42.xml"/><Relationship Id="rId146" Type="http://schemas.openxmlformats.org/officeDocument/2006/relationships/header" Target="header43.xml"/><Relationship Id="rId147" Type="http://schemas.openxmlformats.org/officeDocument/2006/relationships/footer" Target="footer43.xml"/><Relationship Id="rId148" Type="http://schemas.openxmlformats.org/officeDocument/2006/relationships/footer" Target="footer44.xml"/><Relationship Id="rId149" Type="http://schemas.openxmlformats.org/officeDocument/2006/relationships/header" Target="header44.xml"/><Relationship Id="rId150" Type="http://schemas.openxmlformats.org/officeDocument/2006/relationships/footer" Target="footer45.xml"/><Relationship Id="rId151" Type="http://schemas.openxmlformats.org/officeDocument/2006/relationships/hyperlink" Target="mailto:mapublications@bankofengland.co.uk" TargetMode="External"/><Relationship Id="rId152" Type="http://schemas.openxmlformats.org/officeDocument/2006/relationships/hyperlink" Target="http://www.bankofengland.co.uk/" TargetMode="External"/><Relationship Id="rId1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dc:subject>Inflation Report May 99</dc:subject>
  <dc:title>Inflation Report</dc:title>
  <dcterms:created xsi:type="dcterms:W3CDTF">2020-06-02T23:18:13Z</dcterms:created>
  <dcterms:modified xsi:type="dcterms:W3CDTF">2020-06-02T23:18:13Z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1999-05-11T00:00:00Z</vt:filetime>
  </property>
  <property fmtid="{D5CDD505-2E9C-101B-9397-08002B2CF9AE}" pid="3" name="Creator">
    <vt:lpwstr>QuarkXPressª: PSPrinter 8.3.1</vt:lpwstr>
  </property>
  <property fmtid="{D5CDD505-2E9C-101B-9397-08002B2CF9AE}" pid="4" name="LastSaved">
    <vt:filetime>2020-06-02T00:00:00Z</vt:filetime>
  </property>
</Properties>
</file>