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Default Extension="png" ContentType="image/png"/>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3.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6.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3.xml" ContentType="application/vnd.openxmlformats-officedocument.wordprocessingml.header+xml"/>
  <Override PartName="/word/footer5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009391"/>
        </w:rPr>
        <w:t>Inflation Report</w:t>
      </w:r>
    </w:p>
    <w:p>
      <w:pPr>
        <w:spacing w:before="711"/>
        <w:ind w:left="3780" w:right="0" w:firstLine="0"/>
        <w:jc w:val="left"/>
        <w:rPr>
          <w:b/>
          <w:sz w:val="40"/>
        </w:rPr>
      </w:pPr>
      <w:r>
        <w:rPr>
          <w:b/>
          <w:color w:val="009391"/>
          <w:sz w:val="40"/>
        </w:rPr>
        <w:t>May 2000</w:t>
      </w:r>
    </w:p>
    <w:p>
      <w:pPr>
        <w:pStyle w:val="BodyText"/>
        <w:rPr>
          <w:b/>
          <w:sz w:val="44"/>
        </w:rPr>
      </w:pPr>
    </w:p>
    <w:p>
      <w:pPr>
        <w:pStyle w:val="Heading6"/>
        <w:spacing w:line="242" w:lineRule="auto" w:before="303"/>
        <w:ind w:left="3779" w:right="1322"/>
      </w:pPr>
      <w:r>
        <w:rPr/>
        <w:t>The </w:t>
      </w:r>
      <w:r>
        <w:rPr>
          <w:i/>
        </w:rPr>
        <w:t>Inflation Report </w:t>
      </w:r>
      <w:r>
        <w:rPr/>
        <w:t>is produced quarterly by Bank staff under the guidance of the members of the Monetary Policy Committee. It serves two purposes. First,</w:t>
      </w:r>
    </w:p>
    <w:p>
      <w:pPr>
        <w:spacing w:before="4"/>
        <w:ind w:left="3779" w:right="0" w:firstLine="0"/>
        <w:jc w:val="left"/>
        <w:rPr>
          <w:sz w:val="24"/>
        </w:rPr>
      </w:pPr>
      <w:r>
        <w:rPr>
          <w:sz w:val="24"/>
        </w:rPr>
        <w:t>its preparation provides a comprehensive and</w:t>
      </w:r>
    </w:p>
    <w:p>
      <w:pPr>
        <w:spacing w:line="242" w:lineRule="auto" w:before="4"/>
        <w:ind w:left="3779" w:right="1322" w:firstLine="0"/>
        <w:jc w:val="left"/>
        <w:rPr>
          <w:sz w:val="24"/>
        </w:rPr>
      </w:pPr>
      <w:r>
        <w:rPr>
          <w:sz w:val="24"/>
        </w:rPr>
        <w:t>forward-looking framework for discussion among MPC members as an aid to our decision making. Second, its publication allows us to share our thinking and explain the reasons for our decisions to those whom they affect.</w:t>
      </w:r>
    </w:p>
    <w:p>
      <w:pPr>
        <w:spacing w:line="249" w:lineRule="auto" w:before="225"/>
        <w:ind w:left="3779" w:right="1555" w:firstLine="0"/>
        <w:jc w:val="left"/>
        <w:rPr>
          <w:sz w:val="24"/>
        </w:rPr>
      </w:pPr>
      <w:r>
        <w:rPr>
          <w:sz w:val="24"/>
        </w:rPr>
        <w:t>Although not every member will agree with every assumption on which our projections are based, the fan charts represent the MPC’s best collective judgment</w:t>
      </w:r>
    </w:p>
    <w:p>
      <w:pPr>
        <w:spacing w:line="249" w:lineRule="auto" w:before="3"/>
        <w:ind w:left="3779" w:right="190" w:firstLine="0"/>
        <w:jc w:val="left"/>
        <w:rPr>
          <w:sz w:val="24"/>
        </w:rPr>
      </w:pPr>
      <w:r>
        <w:rPr>
          <w:sz w:val="24"/>
        </w:rPr>
        <w:t>about the most likely path for inflation and output, and the uncertainties surrounding those central projections.</w:t>
      </w:r>
    </w:p>
    <w:p>
      <w:pPr>
        <w:pStyle w:val="BodyText"/>
        <w:rPr>
          <w:sz w:val="21"/>
        </w:rPr>
      </w:pPr>
    </w:p>
    <w:p>
      <w:pPr>
        <w:spacing w:line="249" w:lineRule="auto" w:before="1"/>
        <w:ind w:left="3779" w:right="1689" w:firstLine="0"/>
        <w:jc w:val="left"/>
        <w:rPr>
          <w:sz w:val="24"/>
        </w:rPr>
      </w:pPr>
      <w:r>
        <w:rPr>
          <w:sz w:val="24"/>
        </w:rPr>
        <w:t>This </w:t>
      </w:r>
      <w:r>
        <w:rPr>
          <w:i/>
          <w:sz w:val="24"/>
        </w:rPr>
        <w:t>Report </w:t>
      </w:r>
      <w:r>
        <w:rPr>
          <w:sz w:val="24"/>
        </w:rPr>
        <w:t>has been prepared and published by the Bank of England in accordance with section 18 of the Bank of England Act 1998.</w:t>
      </w:r>
    </w:p>
    <w:p>
      <w:pPr>
        <w:pStyle w:val="BodyText"/>
        <w:spacing w:before="3"/>
        <w:rPr>
          <w:sz w:val="25"/>
        </w:rPr>
      </w:pPr>
    </w:p>
    <w:p>
      <w:pPr>
        <w:spacing w:before="0"/>
        <w:ind w:left="3779" w:right="0" w:firstLine="0"/>
        <w:jc w:val="left"/>
        <w:rPr>
          <w:sz w:val="24"/>
        </w:rPr>
      </w:pPr>
      <w:r>
        <w:rPr>
          <w:b/>
          <w:sz w:val="24"/>
        </w:rPr>
        <w:t>The Monetary Policy Committee</w:t>
      </w:r>
      <w:r>
        <w:rPr>
          <w:sz w:val="24"/>
        </w:rPr>
        <w:t>:</w:t>
      </w:r>
    </w:p>
    <w:p>
      <w:pPr>
        <w:spacing w:before="12"/>
        <w:ind w:left="3780" w:right="0" w:firstLine="0"/>
        <w:jc w:val="left"/>
        <w:rPr>
          <w:sz w:val="24"/>
        </w:rPr>
      </w:pPr>
      <w:r>
        <w:rPr>
          <w:sz w:val="24"/>
        </w:rPr>
        <w:t>Eddie George, Governor</w:t>
      </w:r>
    </w:p>
    <w:p>
      <w:pPr>
        <w:spacing w:line="249" w:lineRule="auto" w:before="12"/>
        <w:ind w:left="3780" w:right="190" w:firstLine="0"/>
        <w:jc w:val="left"/>
        <w:rPr>
          <w:sz w:val="24"/>
        </w:rPr>
      </w:pPr>
      <w:r>
        <w:rPr>
          <w:sz w:val="24"/>
        </w:rPr>
        <w:t>Mervyn King, Deputy Governor responsible for monetary policy David Clementi, Deputy Governor responsible for financial stability Willem Buiter</w:t>
      </w:r>
    </w:p>
    <w:p>
      <w:pPr>
        <w:spacing w:line="249" w:lineRule="auto" w:before="3"/>
        <w:ind w:left="3780" w:right="5140" w:firstLine="0"/>
        <w:jc w:val="left"/>
        <w:rPr>
          <w:sz w:val="24"/>
        </w:rPr>
      </w:pPr>
      <w:r>
        <w:rPr>
          <w:sz w:val="24"/>
        </w:rPr>
        <w:t>Charles Goodhart DeAnne Julius Ian Plenderleith John Vickers Sushil Wadhwani</w:t>
      </w:r>
    </w:p>
    <w:p>
      <w:pPr>
        <w:pStyle w:val="BodyText"/>
        <w:rPr>
          <w:sz w:val="26"/>
        </w:rPr>
      </w:pPr>
    </w:p>
    <w:p>
      <w:pPr>
        <w:pStyle w:val="BodyText"/>
        <w:rPr>
          <w:sz w:val="26"/>
        </w:rPr>
      </w:pPr>
    </w:p>
    <w:p>
      <w:pPr>
        <w:pStyle w:val="BodyText"/>
        <w:rPr>
          <w:sz w:val="26"/>
        </w:rPr>
      </w:pPr>
    </w:p>
    <w:p>
      <w:pPr>
        <w:pStyle w:val="BodyText"/>
        <w:spacing w:before="10"/>
        <w:rPr>
          <w:sz w:val="25"/>
        </w:rPr>
      </w:pPr>
    </w:p>
    <w:p>
      <w:pPr>
        <w:spacing w:line="249" w:lineRule="auto" w:before="0"/>
        <w:ind w:left="3779" w:right="381" w:firstLine="0"/>
        <w:jc w:val="left"/>
        <w:rPr>
          <w:sz w:val="20"/>
        </w:rPr>
      </w:pPr>
      <w:r>
        <w:rPr>
          <w:sz w:val="20"/>
        </w:rPr>
        <w:t>The Overview of this </w:t>
      </w:r>
      <w:r>
        <w:rPr>
          <w:i/>
          <w:sz w:val="20"/>
        </w:rPr>
        <w:t>Inflation Report </w:t>
      </w:r>
      <w:r>
        <w:rPr>
          <w:sz w:val="20"/>
        </w:rPr>
        <w:t>is available on the Bank’s web site: </w:t>
      </w:r>
      <w:hyperlink r:id="rId5">
        <w:r>
          <w:rPr>
            <w:sz w:val="20"/>
          </w:rPr>
          <w:t>www.bankofengland.co.uk/inflationreport/infrep.htm</w:t>
        </w:r>
      </w:hyperlink>
      <w:r>
        <w:rPr>
          <w:sz w:val="20"/>
        </w:rPr>
        <w:t> The entire </w:t>
      </w:r>
      <w:r>
        <w:rPr>
          <w:i/>
          <w:sz w:val="20"/>
        </w:rPr>
        <w:t>Report </w:t>
      </w:r>
      <w:r>
        <w:rPr>
          <w:sz w:val="20"/>
        </w:rPr>
        <w:t>is available in PDF format on </w:t>
      </w:r>
      <w:hyperlink r:id="rId6">
        <w:r>
          <w:rPr>
            <w:sz w:val="20"/>
          </w:rPr>
          <w:t>www.bankofengland.co.uk/inflationreport/index.htm</w:t>
        </w:r>
      </w:hyperlink>
    </w:p>
    <w:p>
      <w:pPr>
        <w:pStyle w:val="BodyText"/>
        <w:rPr>
          <w:sz w:val="22"/>
        </w:rPr>
      </w:pPr>
    </w:p>
    <w:p>
      <w:pPr>
        <w:pStyle w:val="BodyText"/>
        <w:rPr>
          <w:sz w:val="22"/>
        </w:rPr>
      </w:pPr>
    </w:p>
    <w:p>
      <w:pPr>
        <w:spacing w:line="182" w:lineRule="exact" w:before="194"/>
        <w:ind w:left="3780" w:right="0" w:firstLine="0"/>
        <w:jc w:val="left"/>
        <w:rPr>
          <w:sz w:val="16"/>
        </w:rPr>
      </w:pPr>
      <w:r>
        <w:rPr>
          <w:sz w:val="16"/>
        </w:rPr>
        <w:t>Printed by Park Communications Ltd</w:t>
      </w:r>
    </w:p>
    <w:p>
      <w:pPr>
        <w:spacing w:line="235" w:lineRule="auto" w:before="1"/>
        <w:ind w:left="3780" w:right="5234" w:firstLine="0"/>
        <w:jc w:val="left"/>
        <w:rPr>
          <w:sz w:val="16"/>
        </w:rPr>
      </w:pPr>
      <w:r>
        <w:rPr>
          <w:sz w:val="16"/>
        </w:rPr>
        <w:t>© Bank of England 2000 ISBN 1 85730 167 6</w:t>
      </w:r>
    </w:p>
    <w:p>
      <w:pPr>
        <w:spacing w:line="180" w:lineRule="exact" w:before="0"/>
        <w:ind w:left="3780" w:right="0" w:firstLine="0"/>
        <w:jc w:val="left"/>
        <w:rPr>
          <w:sz w:val="16"/>
        </w:rPr>
      </w:pPr>
      <w:r>
        <w:rPr>
          <w:sz w:val="16"/>
        </w:rPr>
        <w:t>ISSN 1353–6737</w:t>
      </w:r>
    </w:p>
    <w:p>
      <w:pPr>
        <w:spacing w:after="0" w:line="180" w:lineRule="exact"/>
        <w:jc w:val="left"/>
        <w:rPr>
          <w:sz w:val="16"/>
        </w:rPr>
        <w:sectPr>
          <w:type w:val="continuous"/>
          <w:pgSz w:w="11900" w:h="16840"/>
          <w:pgMar w:top="1220" w:bottom="280" w:left="640" w:right="620"/>
        </w:sectPr>
      </w:pPr>
    </w:p>
    <w:p>
      <w:pPr>
        <w:pStyle w:val="BodyText"/>
        <w:spacing w:line="20" w:lineRule="exact"/>
        <w:ind w:left="13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spacing w:before="2"/>
        <w:rPr>
          <w:sz w:val="27"/>
        </w:rPr>
      </w:pPr>
    </w:p>
    <w:p>
      <w:pPr>
        <w:spacing w:before="83"/>
        <w:ind w:left="4970" w:right="0" w:firstLine="0"/>
        <w:jc w:val="left"/>
        <w:rPr>
          <w:b/>
          <w:sz w:val="40"/>
        </w:rPr>
      </w:pPr>
      <w:bookmarkStart w:name="_bookmark0" w:id="1"/>
      <w:bookmarkEnd w:id="1"/>
      <w:r>
        <w:rPr/>
      </w:r>
      <w:r>
        <w:rPr>
          <w:b/>
          <w:color w:val="009391"/>
          <w:sz w:val="40"/>
        </w:rPr>
        <w:t>Overview</w:t>
      </w:r>
    </w:p>
    <w:p>
      <w:pPr>
        <w:pStyle w:val="BodyText"/>
        <w:rPr>
          <w:b/>
          <w:sz w:val="44"/>
        </w:rPr>
      </w:pPr>
    </w:p>
    <w:p>
      <w:pPr>
        <w:pStyle w:val="Heading6"/>
        <w:spacing w:line="242" w:lineRule="auto" w:before="302"/>
        <w:ind w:left="4980" w:right="190"/>
      </w:pPr>
      <w:r>
        <w:rPr/>
        <w:t>In the first quarter of 2000, output in the UK economy was 2.9% higher than a year earlier, and inflation on the RPIX measure was 2.0% in March. Final domestic demand, led by household consumption, grew strongly last year. Net external demand, which had picked up in mid-1999 with the recovery in world trade, subsequently weakened. Manufacturing output has declined in recent months, but robust service sector growth continues. The labour market remains tight. Pay growth rose sharply around the turn of the year, probably in large part because of temporary factors. The exchange rate has continued to strengthen, particularly in relation to the euro.</w:t>
      </w:r>
    </w:p>
    <w:p>
      <w:pPr>
        <w:pStyle w:val="BodyText"/>
        <w:spacing w:before="6"/>
        <w:rPr>
          <w:sz w:val="27"/>
        </w:rPr>
      </w:pPr>
    </w:p>
    <w:p>
      <w:pPr>
        <w:spacing w:line="242" w:lineRule="auto" w:before="0"/>
        <w:ind w:left="4980" w:right="208" w:firstLine="0"/>
        <w:jc w:val="left"/>
        <w:rPr>
          <w:sz w:val="24"/>
        </w:rPr>
      </w:pPr>
      <w:r>
        <w:rPr>
          <w:sz w:val="24"/>
        </w:rPr>
        <w:t>World economic prospects have improved further. Momentum remains strong in the US economy. Activity in the euro area has continued to strengthen, and forward-looking indicators suggest a firm outlook for demand and output growth. The Japanese economy remains subdued, but emerging market economies in East Asia and elsewhere have strengthened their recoveries from the downturns that followed the financial disruptions of 1997–98. The oil price rose above $30 per barrel in early March before falling back as OPEC eased production restraints. Consumer price inflation has picked up in the United States and the euro area. The Federal Reserve and the ECB are among the central banks that have raised interest rates since February. Though the world economic outlook appears more positive than for some time, risks remain. These continue to relate primarily to the possibility of sudden adjustment—perhaps involving sharp movements of</w:t>
      </w:r>
    </w:p>
    <w:p>
      <w:pPr>
        <w:spacing w:line="242" w:lineRule="auto" w:before="23"/>
        <w:ind w:left="4980" w:right="0" w:firstLine="0"/>
        <w:jc w:val="left"/>
        <w:rPr>
          <w:sz w:val="24"/>
        </w:rPr>
      </w:pPr>
      <w:r>
        <w:rPr>
          <w:sz w:val="24"/>
        </w:rPr>
        <w:t>financial asset prices—to growing imbalances within and between major economies.</w:t>
      </w:r>
    </w:p>
    <w:p>
      <w:pPr>
        <w:pStyle w:val="BodyText"/>
        <w:spacing w:before="3"/>
        <w:rPr>
          <w:sz w:val="26"/>
        </w:rPr>
      </w:pPr>
    </w:p>
    <w:p>
      <w:pPr>
        <w:spacing w:line="242" w:lineRule="auto" w:before="1"/>
        <w:ind w:left="4980" w:right="181" w:firstLine="0"/>
        <w:jc w:val="left"/>
        <w:rPr>
          <w:sz w:val="24"/>
        </w:rPr>
      </w:pPr>
      <w:r>
        <w:rPr>
          <w:sz w:val="24"/>
        </w:rPr>
        <w:t>According to the preliminary estimate, output in the UK economy</w:t>
      </w:r>
      <w:r>
        <w:rPr>
          <w:spacing w:val="-8"/>
          <w:sz w:val="24"/>
        </w:rPr>
        <w:t> </w:t>
      </w:r>
      <w:r>
        <w:rPr>
          <w:sz w:val="24"/>
        </w:rPr>
        <w:t>grew</w:t>
      </w:r>
      <w:r>
        <w:rPr>
          <w:spacing w:val="-7"/>
          <w:sz w:val="24"/>
        </w:rPr>
        <w:t> </w:t>
      </w:r>
      <w:r>
        <w:rPr>
          <w:sz w:val="24"/>
        </w:rPr>
        <w:t>by</w:t>
      </w:r>
      <w:r>
        <w:rPr>
          <w:spacing w:val="-8"/>
          <w:sz w:val="24"/>
        </w:rPr>
        <w:t> </w:t>
      </w:r>
      <w:r>
        <w:rPr>
          <w:sz w:val="24"/>
        </w:rPr>
        <w:t>0.4%—less</w:t>
      </w:r>
      <w:r>
        <w:rPr>
          <w:spacing w:val="-7"/>
          <w:sz w:val="24"/>
        </w:rPr>
        <w:t> </w:t>
      </w:r>
      <w:r>
        <w:rPr>
          <w:sz w:val="24"/>
        </w:rPr>
        <w:t>than</w:t>
      </w:r>
      <w:r>
        <w:rPr>
          <w:spacing w:val="-8"/>
          <w:sz w:val="24"/>
        </w:rPr>
        <w:t> </w:t>
      </w:r>
      <w:r>
        <w:rPr>
          <w:sz w:val="24"/>
        </w:rPr>
        <w:t>expected—in</w:t>
      </w:r>
      <w:r>
        <w:rPr>
          <w:spacing w:val="-7"/>
          <w:sz w:val="24"/>
        </w:rPr>
        <w:t> </w:t>
      </w:r>
      <w:r>
        <w:rPr>
          <w:sz w:val="24"/>
        </w:rPr>
        <w:t>the</w:t>
      </w:r>
      <w:r>
        <w:rPr>
          <w:spacing w:val="-8"/>
          <w:sz w:val="24"/>
        </w:rPr>
        <w:t> </w:t>
      </w:r>
      <w:r>
        <w:rPr>
          <w:sz w:val="24"/>
        </w:rPr>
        <w:t>first </w:t>
      </w:r>
      <w:r>
        <w:rPr>
          <w:spacing w:val="-3"/>
          <w:sz w:val="24"/>
        </w:rPr>
        <w:t>quarter. </w:t>
      </w:r>
      <w:r>
        <w:rPr>
          <w:sz w:val="24"/>
        </w:rPr>
        <w:t>But output in the second half of last year is </w:t>
      </w:r>
      <w:r>
        <w:rPr>
          <w:spacing w:val="-3"/>
          <w:sz w:val="24"/>
        </w:rPr>
        <w:t>now </w:t>
      </w:r>
      <w:r>
        <w:rPr>
          <w:sz w:val="24"/>
        </w:rPr>
        <w:t>estimated to </w:t>
      </w:r>
      <w:r>
        <w:rPr>
          <w:spacing w:val="-3"/>
          <w:sz w:val="24"/>
        </w:rPr>
        <w:t>have </w:t>
      </w:r>
      <w:r>
        <w:rPr>
          <w:sz w:val="24"/>
        </w:rPr>
        <w:t>been somewhat higher than thought at the time of the February </w:t>
      </w:r>
      <w:r>
        <w:rPr>
          <w:i/>
          <w:sz w:val="24"/>
        </w:rPr>
        <w:t>Report</w:t>
      </w:r>
      <w:r>
        <w:rPr>
          <w:sz w:val="24"/>
        </w:rPr>
        <w:t>. There is renewed divergence between output trends in different sectors of the </w:t>
      </w:r>
      <w:r>
        <w:rPr>
          <w:spacing w:val="-3"/>
          <w:sz w:val="24"/>
        </w:rPr>
        <w:t>economy, </w:t>
      </w:r>
      <w:r>
        <w:rPr>
          <w:sz w:val="24"/>
        </w:rPr>
        <w:t>reflecting in part the strength of sterling against the euro. Manufacturing output has fallen in recent months, but robust overall growth has continued in the service </w:t>
      </w:r>
      <w:r>
        <w:rPr>
          <w:spacing w:val="-3"/>
          <w:sz w:val="24"/>
        </w:rPr>
        <w:t>sector. </w:t>
      </w:r>
      <w:r>
        <w:rPr>
          <w:sz w:val="24"/>
        </w:rPr>
        <w:t>Business survey indicators and reports from the </w:t>
      </w:r>
      <w:r>
        <w:rPr>
          <w:spacing w:val="-3"/>
          <w:sz w:val="24"/>
        </w:rPr>
        <w:t>Bank’s </w:t>
      </w:r>
      <w:r>
        <w:rPr>
          <w:sz w:val="24"/>
        </w:rPr>
        <w:t>regional Agents highlight the contrast between the pressures on industries</w:t>
      </w:r>
      <w:r>
        <w:rPr>
          <w:spacing w:val="-38"/>
          <w:sz w:val="24"/>
        </w:rPr>
        <w:t> </w:t>
      </w:r>
      <w:r>
        <w:rPr>
          <w:sz w:val="24"/>
        </w:rPr>
        <w:t>particularly</w:t>
      </w:r>
    </w:p>
    <w:p>
      <w:pPr>
        <w:spacing w:after="0" w:line="242" w:lineRule="auto"/>
        <w:jc w:val="left"/>
        <w:rPr>
          <w:sz w:val="24"/>
        </w:rPr>
        <w:sectPr>
          <w:footerReference w:type="default" r:id="rId7"/>
          <w:footerReference w:type="even" r:id="rId8"/>
          <w:pgSz w:w="11900" w:h="16840"/>
          <w:pgMar w:footer="597" w:header="0" w:top="760" w:bottom="780" w:left="640" w:right="620"/>
          <w:pgNumType w:start="1"/>
        </w:sectPr>
      </w:pPr>
    </w:p>
    <w:p>
      <w:pPr>
        <w:pStyle w:val="BodyText"/>
        <w:rPr>
          <w:sz w:val="20"/>
        </w:rPr>
      </w:pPr>
    </w:p>
    <w:p>
      <w:pPr>
        <w:spacing w:line="242" w:lineRule="auto" w:before="227"/>
        <w:ind w:left="4960" w:right="0" w:firstLine="0"/>
        <w:jc w:val="left"/>
        <w:rPr>
          <w:sz w:val="24"/>
        </w:rPr>
      </w:pPr>
      <w:r>
        <w:rPr>
          <w:sz w:val="24"/>
        </w:rPr>
        <w:t>exposed to international competition and the broadly positive outlook of those serving domestic markets.</w:t>
      </w:r>
    </w:p>
    <w:p>
      <w:pPr>
        <w:pStyle w:val="BodyText"/>
        <w:spacing w:before="3"/>
        <w:rPr>
          <w:sz w:val="26"/>
        </w:rPr>
      </w:pPr>
    </w:p>
    <w:p>
      <w:pPr>
        <w:spacing w:line="242" w:lineRule="auto" w:before="1"/>
        <w:ind w:left="4960" w:right="190" w:firstLine="0"/>
        <w:jc w:val="left"/>
        <w:rPr>
          <w:sz w:val="24"/>
        </w:rPr>
      </w:pPr>
      <w:r>
        <w:rPr>
          <w:sz w:val="24"/>
        </w:rPr>
        <w:t>Final domestic demand, which excludes inventory investment, accelerated towards the end of last year and was 4.4% higher in Q4 than a year earlier. Household expenditure has grown strongly, buoyed by rising real incomes, wealth and borrowing. These factors should continue to support consumption growth going forward, but consumer confidence measures have recently fallen back. Business investment picked up in 1999 Q4. The recent trend in inventory investment is hard to judge, in part because millennium-related factors may have affected patterns of stockholding around the year-end.</w:t>
      </w:r>
    </w:p>
    <w:p>
      <w:pPr>
        <w:pStyle w:val="BodyText"/>
        <w:spacing w:before="3"/>
        <w:rPr>
          <w:sz w:val="27"/>
        </w:rPr>
      </w:pPr>
    </w:p>
    <w:p>
      <w:pPr>
        <w:spacing w:line="242" w:lineRule="auto" w:before="0"/>
        <w:ind w:left="4960" w:right="174" w:firstLine="0"/>
        <w:jc w:val="left"/>
        <w:rPr>
          <w:sz w:val="24"/>
        </w:rPr>
      </w:pPr>
      <w:r>
        <w:rPr>
          <w:sz w:val="24"/>
        </w:rPr>
        <w:t>The Chancellor made his Budget statement on 21 March. The future profiles for government consumption and investment have been increased, but in the context of a substantially tighter fiscal position than expected at the time of the Treasury’s Pre-Budget Report in November. The overall macroeconomic impact of these fiscal developments in the near-term is unlikely to be large.</w:t>
      </w:r>
    </w:p>
    <w:p>
      <w:pPr>
        <w:pStyle w:val="BodyText"/>
        <w:spacing w:before="7"/>
        <w:rPr>
          <w:sz w:val="28"/>
        </w:rPr>
      </w:pPr>
    </w:p>
    <w:p>
      <w:pPr>
        <w:spacing w:line="242" w:lineRule="auto" w:before="0"/>
        <w:ind w:left="4960" w:right="208" w:firstLine="0"/>
        <w:jc w:val="left"/>
        <w:rPr>
          <w:sz w:val="24"/>
        </w:rPr>
      </w:pPr>
      <w:r>
        <w:rPr>
          <w:sz w:val="24"/>
        </w:rPr>
        <w:t>UK export growth has been volatile in recent quarters. Exports fell back in Q4 from their previous sharp rise, but exports to non-EU countries have picked up again in recent months. Import growth has been boosted by the strength of both sterling and domestic demand. Net trade—exports less imports—made a large negative contribution of minus 1.2 percentage points to GDP growth in the fourth quarter. Despite the continuing improvement in prospects for world trade growth, the outlook is for further deterioration of the UK trade balance if the exchange rate remains high.</w:t>
      </w:r>
    </w:p>
    <w:p>
      <w:pPr>
        <w:pStyle w:val="BodyText"/>
        <w:rPr>
          <w:sz w:val="29"/>
        </w:rPr>
      </w:pPr>
    </w:p>
    <w:p>
      <w:pPr>
        <w:spacing w:line="242" w:lineRule="auto" w:before="1"/>
        <w:ind w:left="4960" w:right="295" w:firstLine="0"/>
        <w:jc w:val="left"/>
        <w:rPr>
          <w:sz w:val="24"/>
        </w:rPr>
      </w:pPr>
      <w:r>
        <w:rPr>
          <w:sz w:val="24"/>
        </w:rPr>
        <w:t>Year-end distortions having passed, narrow money is growing robustly, at an annual rate of 8% or so. Broad money growth, whose movements have for some time been dominated by swings in the sterling deposits of non-bank financial companies, has recovered from very</w:t>
      </w:r>
    </w:p>
    <w:p>
      <w:pPr>
        <w:spacing w:line="242" w:lineRule="auto" w:before="6"/>
        <w:ind w:left="4960" w:right="174" w:firstLine="0"/>
        <w:jc w:val="left"/>
        <w:rPr>
          <w:sz w:val="24"/>
        </w:rPr>
      </w:pPr>
      <w:r>
        <w:rPr>
          <w:sz w:val="24"/>
        </w:rPr>
        <w:t>low levels to around 5%. Credit growth has strengthened further. Lending to households, which is mostly secured on housing wealth, was about 10% higher in Q1 than a year earlier, and loan approvals for house purchase have picked up again. External financing by the corporate sector has also been strong, especially from capital markets.</w:t>
      </w:r>
    </w:p>
    <w:p>
      <w:pPr>
        <w:pStyle w:val="BodyText"/>
        <w:spacing w:before="7"/>
        <w:rPr>
          <w:sz w:val="28"/>
        </w:rPr>
      </w:pPr>
    </w:p>
    <w:p>
      <w:pPr>
        <w:spacing w:line="242" w:lineRule="auto" w:before="0"/>
        <w:ind w:left="4960" w:right="190" w:firstLine="0"/>
        <w:jc w:val="left"/>
        <w:rPr>
          <w:sz w:val="24"/>
        </w:rPr>
      </w:pPr>
      <w:r>
        <w:rPr>
          <w:sz w:val="24"/>
        </w:rPr>
        <w:t>The Bank’s official short-term interest rate has remained at 6% since February. Near-term nominal interest rate expectations derived from financial markets have in</w:t>
      </w:r>
    </w:p>
    <w:p>
      <w:pPr>
        <w:spacing w:after="0" w:line="242" w:lineRule="auto"/>
        <w:jc w:val="left"/>
        <w:rPr>
          <w:sz w:val="24"/>
        </w:rPr>
        <w:sectPr>
          <w:headerReference w:type="default" r:id="rId9"/>
          <w:pgSz w:w="11900" w:h="16840"/>
          <w:pgMar w:header="566" w:footer="597" w:top="760" w:bottom="780" w:left="640" w:right="620"/>
        </w:sectPr>
      </w:pPr>
    </w:p>
    <w:p>
      <w:pPr>
        <w:spacing w:before="82"/>
        <w:ind w:left="0" w:right="178" w:firstLine="0"/>
        <w:jc w:val="right"/>
        <w:rPr>
          <w:i/>
          <w:sz w:val="16"/>
        </w:rPr>
      </w:pPr>
      <w:bookmarkStart w:name="_bookmark1" w:id="2"/>
      <w:bookmarkEnd w:id="2"/>
      <w:r>
        <w:rPr/>
      </w:r>
      <w:r>
        <w:rPr>
          <w:i/>
          <w:sz w:val="16"/>
        </w:rPr>
        <w:t>Overview</w:t>
      </w:r>
    </w:p>
    <w:p>
      <w:pPr>
        <w:pStyle w:val="BodyText"/>
        <w:spacing w:line="20" w:lineRule="exact"/>
        <w:ind w:left="13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i/>
          <w:sz w:val="20"/>
        </w:rPr>
      </w:pPr>
    </w:p>
    <w:p>
      <w:pPr>
        <w:pStyle w:val="Heading6"/>
        <w:spacing w:line="242" w:lineRule="auto" w:before="207"/>
        <w:ind w:left="4969" w:right="141"/>
      </w:pPr>
      <w:r>
        <w:rPr/>
        <w:t>recent months reversed some of their rises since the autumn. As measures of inflation expectations have on the whole remained steadily consistent with the 2</w:t>
      </w:r>
      <w:r>
        <w:rPr>
          <w:position w:val="8"/>
          <w:sz w:val="12"/>
        </w:rPr>
        <w:t>1</w:t>
      </w:r>
      <w:r>
        <w:rPr/>
        <w:t>/</w:t>
      </w:r>
      <w:r>
        <w:rPr>
          <w:sz w:val="12"/>
        </w:rPr>
        <w:t>2</w:t>
      </w:r>
      <w:r>
        <w:rPr/>
        <w:t>% inflation target, real interest rates have moved with nominal rates. Technology-related share indices have fallen sharply from the peaks that they reached in March, but broad equity price measures are not much lower than three months ago.</w:t>
      </w:r>
    </w:p>
    <w:p>
      <w:pPr>
        <w:pStyle w:val="BodyText"/>
        <w:spacing w:before="8"/>
        <w:rPr>
          <w:sz w:val="28"/>
        </w:rPr>
      </w:pPr>
    </w:p>
    <w:p>
      <w:pPr>
        <w:spacing w:line="242" w:lineRule="auto" w:before="1"/>
        <w:ind w:left="4969" w:right="231" w:firstLine="0"/>
        <w:jc w:val="left"/>
        <w:rPr>
          <w:sz w:val="24"/>
        </w:rPr>
      </w:pPr>
      <w:r>
        <w:rPr>
          <w:sz w:val="24"/>
        </w:rPr>
        <w:t>The labour market remains tight. Steady overall employment growth has continued, and the unemployment</w:t>
      </w:r>
      <w:r>
        <w:rPr>
          <w:spacing w:val="-8"/>
          <w:sz w:val="24"/>
        </w:rPr>
        <w:t> </w:t>
      </w:r>
      <w:r>
        <w:rPr>
          <w:sz w:val="24"/>
        </w:rPr>
        <w:t>rate</w:t>
      </w:r>
      <w:r>
        <w:rPr>
          <w:spacing w:val="-7"/>
          <w:sz w:val="24"/>
        </w:rPr>
        <w:t> </w:t>
      </w:r>
      <w:r>
        <w:rPr>
          <w:sz w:val="24"/>
        </w:rPr>
        <w:t>on</w:t>
      </w:r>
      <w:r>
        <w:rPr>
          <w:spacing w:val="-7"/>
          <w:sz w:val="24"/>
        </w:rPr>
        <w:t> </w:t>
      </w:r>
      <w:r>
        <w:rPr>
          <w:sz w:val="24"/>
        </w:rPr>
        <w:t>the</w:t>
      </w:r>
      <w:r>
        <w:rPr>
          <w:spacing w:val="-8"/>
          <w:sz w:val="24"/>
        </w:rPr>
        <w:t> </w:t>
      </w:r>
      <w:r>
        <w:rPr>
          <w:sz w:val="24"/>
        </w:rPr>
        <w:t>Labour</w:t>
      </w:r>
      <w:r>
        <w:rPr>
          <w:spacing w:val="-7"/>
          <w:sz w:val="24"/>
        </w:rPr>
        <w:t> </w:t>
      </w:r>
      <w:r>
        <w:rPr>
          <w:sz w:val="24"/>
        </w:rPr>
        <w:t>Force</w:t>
      </w:r>
      <w:r>
        <w:rPr>
          <w:spacing w:val="-7"/>
          <w:sz w:val="24"/>
        </w:rPr>
        <w:t> </w:t>
      </w:r>
      <w:r>
        <w:rPr>
          <w:sz w:val="24"/>
        </w:rPr>
        <w:t>Survey</w:t>
      </w:r>
      <w:r>
        <w:rPr>
          <w:spacing w:val="-8"/>
          <w:sz w:val="24"/>
        </w:rPr>
        <w:t> </w:t>
      </w:r>
      <w:r>
        <w:rPr>
          <w:sz w:val="24"/>
        </w:rPr>
        <w:t>measure has declined to 5.8%. Claimant count unemployment has also fallen further, to its lowest </w:t>
      </w:r>
      <w:r>
        <w:rPr>
          <w:spacing w:val="-3"/>
          <w:sz w:val="24"/>
        </w:rPr>
        <w:t>level </w:t>
      </w:r>
      <w:r>
        <w:rPr>
          <w:sz w:val="24"/>
        </w:rPr>
        <w:t>for 20</w:t>
      </w:r>
      <w:r>
        <w:rPr>
          <w:spacing w:val="-37"/>
          <w:sz w:val="24"/>
        </w:rPr>
        <w:t> </w:t>
      </w:r>
      <w:r>
        <w:rPr>
          <w:sz w:val="24"/>
        </w:rPr>
        <w:t>years.</w:t>
      </w:r>
    </w:p>
    <w:p>
      <w:pPr>
        <w:spacing w:line="242" w:lineRule="auto" w:before="6"/>
        <w:ind w:left="4969" w:right="190" w:firstLine="0"/>
        <w:jc w:val="left"/>
        <w:rPr>
          <w:sz w:val="24"/>
        </w:rPr>
      </w:pPr>
      <w:r>
        <w:rPr>
          <w:sz w:val="24"/>
        </w:rPr>
        <w:t>Survey indicators point to further employment growth overall, but employment intentions in manufacturing have weakened. Reports of labour shortages remain widespread.</w:t>
      </w:r>
    </w:p>
    <w:p>
      <w:pPr>
        <w:pStyle w:val="BodyText"/>
        <w:spacing w:before="5"/>
        <w:rPr>
          <w:sz w:val="20"/>
        </w:rPr>
      </w:pPr>
    </w:p>
    <w:p>
      <w:pPr>
        <w:spacing w:after="0"/>
        <w:rPr>
          <w:sz w:val="20"/>
        </w:rPr>
        <w:sectPr>
          <w:headerReference w:type="even" r:id="rId10"/>
          <w:pgSz w:w="11900" w:h="16840"/>
          <w:pgMar w:header="0" w:footer="597" w:top="50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
        <w:rPr>
          <w:sz w:val="31"/>
        </w:rPr>
      </w:pPr>
    </w:p>
    <w:p>
      <w:pPr>
        <w:spacing w:before="0"/>
        <w:ind w:left="190" w:right="0" w:firstLine="0"/>
        <w:jc w:val="left"/>
        <w:rPr>
          <w:b/>
          <w:sz w:val="20"/>
        </w:rPr>
      </w:pPr>
      <w:r>
        <w:rPr>
          <w:b/>
          <w:color w:val="0092C7"/>
          <w:sz w:val="20"/>
        </w:rPr>
        <w:t>Chart 1</w:t>
      </w:r>
    </w:p>
    <w:p>
      <w:pPr>
        <w:spacing w:line="249" w:lineRule="auto" w:before="10"/>
        <w:ind w:left="190" w:right="97" w:firstLine="0"/>
        <w:jc w:val="left"/>
        <w:rPr>
          <w:b/>
          <w:sz w:val="20"/>
        </w:rPr>
      </w:pPr>
      <w:r>
        <w:rPr>
          <w:b/>
          <w:color w:val="0092C7"/>
          <w:sz w:val="20"/>
        </w:rPr>
        <w:t>Current GDP projection based on constant nominal interest rates at 6%</w:t>
      </w:r>
    </w:p>
    <w:p>
      <w:pPr>
        <w:spacing w:before="197"/>
        <w:ind w:left="0" w:right="38" w:firstLine="0"/>
        <w:jc w:val="right"/>
        <w:rPr>
          <w:sz w:val="12"/>
        </w:rPr>
      </w:pPr>
      <w:r>
        <w:rPr/>
        <w:pict>
          <v:line style="position:absolute;mso-position-horizontal-relative:page;mso-position-vertical-relative:paragraph;z-index:15733248" from="42.154999pt,17.951563pt" to="45.907999pt,17.951563pt" stroked="true" strokeweight=".580pt" strokecolor="#000000">
            <v:stroke dashstyle="solid"/>
            <w10:wrap type="none"/>
          </v:line>
        </w:pict>
      </w:r>
      <w:r>
        <w:rPr/>
        <w:pict>
          <v:line style="position:absolute;mso-position-horizontal-relative:page;mso-position-vertical-relative:paragraph;z-index:-22876672" from="200.262003pt,17.951563pt" to="196.509003pt,17.951563pt" stroked="true" strokeweight=".580pt" strokecolor="#000000">
            <v:stroke dashstyle="solid"/>
            <w10:wrap type="none"/>
          </v:line>
        </w:pict>
      </w:r>
      <w:r>
        <w:rPr>
          <w:sz w:val="12"/>
        </w:rPr>
        <w:t>Percentage increase in output on a year earlier</w:t>
      </w:r>
      <w:r>
        <w:rPr>
          <w:spacing w:val="22"/>
          <w:sz w:val="12"/>
        </w:rPr>
        <w:t> </w:t>
      </w:r>
      <w:r>
        <w:rPr>
          <w:position w:val="-7"/>
          <w:sz w:val="12"/>
        </w:rPr>
        <w:t>6</w:t>
      </w:r>
    </w:p>
    <w:p>
      <w:pPr>
        <w:pStyle w:val="BodyText"/>
        <w:spacing w:before="7"/>
        <w:rPr>
          <w:sz w:val="23"/>
        </w:rPr>
      </w:pPr>
    </w:p>
    <w:p>
      <w:pPr>
        <w:spacing w:before="1"/>
        <w:ind w:left="0" w:right="38" w:firstLine="0"/>
        <w:jc w:val="right"/>
        <w:rPr>
          <w:sz w:val="12"/>
        </w:rPr>
      </w:pPr>
      <w:r>
        <w:rPr/>
        <w:pict>
          <v:line style="position:absolute;mso-position-horizontal-relative:page;mso-position-vertical-relative:paragraph;z-index:15732736" from="42.154999pt,4.198148pt" to="45.907999pt,4.198148pt" stroked="true" strokeweight=".580pt" strokecolor="#000000">
            <v:stroke dashstyle="solid"/>
            <w10:wrap type="none"/>
          </v:line>
        </w:pict>
      </w:r>
      <w:r>
        <w:rPr/>
        <w:pict>
          <v:line style="position:absolute;mso-position-horizontal-relative:page;mso-position-vertical-relative:paragraph;z-index:15734272" from="200.262003pt,4.198148pt" to="196.509003pt,4.198148pt" stroked="true" strokeweight=".580pt" strokecolor="#000000">
            <v:stroke dashstyle="solid"/>
            <w10:wrap type="none"/>
          </v:line>
        </w:pict>
      </w:r>
      <w:r>
        <w:rPr>
          <w:sz w:val="12"/>
        </w:rPr>
        <w:t>5</w:t>
      </w:r>
    </w:p>
    <w:p>
      <w:pPr>
        <w:pStyle w:val="BodyText"/>
        <w:rPr>
          <w:sz w:val="12"/>
        </w:rPr>
      </w:pPr>
    </w:p>
    <w:p>
      <w:pPr>
        <w:pStyle w:val="BodyText"/>
        <w:spacing w:before="8"/>
        <w:rPr>
          <w:sz w:val="11"/>
        </w:rPr>
      </w:pPr>
    </w:p>
    <w:p>
      <w:pPr>
        <w:spacing w:before="1"/>
        <w:ind w:left="0" w:right="38" w:firstLine="0"/>
        <w:jc w:val="right"/>
        <w:rPr>
          <w:sz w:val="12"/>
        </w:rPr>
      </w:pPr>
      <w:r>
        <w:rPr/>
        <w:pict>
          <v:group style="position:absolute;margin-left:48.542pt;margin-top:-2.087636pt;width:151.75pt;height:75.95pt;mso-position-horizontal-relative:page;mso-position-vertical-relative:paragraph;z-index:15729664" coordorigin="971,-42" coordsize="3035,1519">
            <v:shape style="position:absolute;left:2827;top:-42;width:1040;height:1519" coordorigin="2828,-42" coordsize="1040,1519" path="m3405,-42l3290,8,3174,164,3059,250,2943,308,2828,477,2943,752,3059,1131,3174,1341,3290,1411,3405,1431,3521,1439,3636,1452,3752,1460,3867,1476,3867,12,3752,-5,3405,-42xe" filled="true" fillcolor="#eaf0ec" stroked="false">
              <v:path arrowok="t"/>
              <v:fill type="solid"/>
            </v:shape>
            <v:shape style="position:absolute;left:2827;top:116;width:1040;height:1173" coordorigin="2828,116" coordsize="1040,1173" path="m3405,116l3290,161,3174,289,3059,342,2943,359,2828,478,2943,700,3059,1034,3174,1206,3290,1252,3405,1264,3521,1264,3752,1272,3867,1289,3867,149,3752,133,3636,128,3521,120,3405,116xe" filled="true" fillcolor="#d4e3dc" stroked="false">
              <v:path arrowok="t"/>
              <v:fill type="solid"/>
            </v:shape>
            <v:shape style="position:absolute;left:2827;top:217;width:1040;height:943" coordorigin="2828,218" coordsize="1040,943" path="m3521,218l3405,218,3290,255,3174,370,3059,403,2943,386,2828,477,2943,666,3059,958,3174,1110,3290,1135,3405,1143,3752,1143,3867,1160,3867,238,3752,222,3636,222,3521,218xe" filled="true" fillcolor="#bed7ca" stroked="false">
              <v:path arrowok="t"/>
              <v:fill type="solid"/>
            </v:shape>
            <v:shape style="position:absolute;left:2827;top:290;width:1040;height:766" coordorigin="2828,291" coordsize="1040,766" path="m3752,291l3636,295,3521,295,3405,299,3290,332,3174,435,3059,451,2943,410,2828,476,2943,637,3059,904,3174,1040,3290,1048,3405,1052,3752,1040,3867,1056,3867,307,3752,291xe" filled="true" fillcolor="#a7c9b8" stroked="false">
              <v:path arrowok="t"/>
              <v:fill type="solid"/>
            </v:shape>
            <v:shape style="position:absolute;left:2827;top:354;width:1040;height:622" coordorigin="2828,355" coordsize="1040,622" path="m3752,355l3636,359,3521,367,3405,371,3290,400,3174,495,3059,499,2943,433,2828,478,2943,614,3059,861,3174,976,3405,976,3521,968,3636,964,3752,955,3867,972,3867,371,3752,355xe" filled="true" fillcolor="#8ebdaa" stroked="false">
              <v:path arrowok="t"/>
              <v:fill type="solid"/>
            </v:shape>
            <v:shape style="position:absolute;left:2827;top:406;width:1040;height:511" coordorigin="2828,407" coordsize="1040,511" path="m3752,407l3405,432,3290,460,3174,543,3059,534,2943,452,2828,477,2943,592,3059,814,3174,917,3290,905,3405,901,3752,876,3867,892,3867,423,3752,407xe" filled="true" fillcolor="#76b19a" stroked="false">
              <v:path arrowok="t"/>
              <v:fill type="solid"/>
            </v:shape>
            <v:shape style="position:absolute;left:2827;top:458;width:1040;height:408" coordorigin="2828,458" coordsize="1040,408" path="m3752,458l3636,466,3405,491,3290,516,3174,590,3059,569,2943,471,2828,479,2943,573,3059,775,3174,866,3290,845,3405,837,3636,812,3752,804,3867,820,3867,475,3752,458xe" filled="true" fillcolor="#57a68a" stroked="false">
              <v:path arrowok="t"/>
              <v:fill type="solid"/>
            </v:shape>
            <v:shape style="position:absolute;left:2827;top:478;width:1040;height:338" coordorigin="2828,478" coordsize="1040,338" path="m2828,478l2943,556,3059,737,3174,816,3290,787,3521,762,3636,746,3752,733,3867,750,3867,523,3752,507,3636,519,3521,536,3405,548,3290,569,3174,635,3059,602,2943,486,2828,478xe" filled="true" fillcolor="#309a7b" stroked="false">
              <v:path arrowok="t"/>
              <v:fill type="solid"/>
            </v:shape>
            <v:shape style="position:absolute;left:2827;top:479;width:1040;height:293" coordorigin="2828,479" coordsize="1040,293" path="m2828,479l2943,537,3059,705,3174,771,3290,730,3405,718,3752,668,3867,685,3867,570,3752,553,3405,603,3290,623,3174,681,3059,636,2943,504,2828,479xe" filled="true" fillcolor="#008360" stroked="false">
              <v:path arrowok="t"/>
              <v:fill type="solid"/>
            </v:shape>
            <v:shape style="position:absolute;left:3930;top:83;width:76;height:1235" coordorigin="3930,84" coordsize="76,1235" path="m3930,1318l4005,1318m3930,907l4005,907m3930,495l4005,495m3930,84l4005,84e" filled="false" stroked="true" strokeweight=".580pt" strokecolor="#000000">
              <v:path arrowok="t"/>
              <v:stroke dashstyle="solid"/>
            </v:shape>
            <v:shape style="position:absolute;left:980;top:129;width:1271;height:988" coordorigin="981,129" coordsize="1271,988" path="m1096,726l981,787m1096,726l1212,656m1212,656l1327,541m1443,421l1327,541m1443,421l1558,281m1674,129l1558,281m1674,129l1789,314m1789,314l1905,594m2020,709l1905,594m2020,709l2135,931m2251,1117l2135,931e" filled="false" stroked="true" strokeweight="1pt" strokecolor="#008360">
              <v:path arrowok="t"/>
              <v:stroke dashstyle="solid"/>
            </v:shape>
            <v:line style="position:absolute" from="2241,1121" to="2376,1121" stroked="true" strokeweight="1.412pt" strokecolor="#008360">
              <v:stroke dashstyle="solid"/>
            </v:line>
            <v:shape style="position:absolute;left:2366;top:478;width:462;height:646" coordorigin="2366,479" coordsize="462,646" path="m2482,1055l2366,1125m2482,1055l2597,829m2713,516l2597,829m2713,516l2828,479e" filled="false" stroked="true" strokeweight="1pt" strokecolor="#008360">
              <v:path arrowok="t"/>
              <v:stroke dashstyle="solid"/>
            </v:shape>
            <v:shape style="position:absolute;left:2828;top:478;width:1040;height:243" coordorigin="2828,479" coordsize="1040,243" path="m2944,520l2828,479m3059,668l2944,520m3175,722l3059,668m3175,722l3290,672m3406,656l3290,672m3521,639l3406,656m3637,619l3521,639m3637,619l3752,602m3752,602l3868,619e" filled="false" stroked="true" strokeweight=".580pt" strokecolor="#008360">
              <v:path arrowok="t"/>
              <v:stroke dashstyle="solid"/>
            </v:shape>
            <w10:wrap type="none"/>
          </v:group>
        </w:pict>
      </w:r>
      <w:r>
        <w:rPr/>
        <w:pict>
          <v:line style="position:absolute;mso-position-horizontal-relative:page;mso-position-vertical-relative:paragraph;z-index:15732224" from="45.907999pt,4.198364pt" to="42.154999pt,4.198364pt" stroked="true" strokeweight=".580pt" strokecolor="#000000">
            <v:stroke dashstyle="solid"/>
            <w10:wrap type="none"/>
          </v:line>
        </w:pict>
      </w:r>
      <w:r>
        <w:rPr>
          <w:sz w:val="12"/>
        </w:rPr>
        <w:t>4</w:t>
      </w:r>
    </w:p>
    <w:p>
      <w:pPr>
        <w:pStyle w:val="BodyText"/>
        <w:rPr>
          <w:sz w:val="12"/>
        </w:rPr>
      </w:pPr>
    </w:p>
    <w:p>
      <w:pPr>
        <w:pStyle w:val="BodyText"/>
        <w:spacing w:before="8"/>
        <w:rPr>
          <w:sz w:val="11"/>
        </w:rPr>
      </w:pPr>
    </w:p>
    <w:p>
      <w:pPr>
        <w:spacing w:before="1"/>
        <w:ind w:left="0" w:right="38" w:firstLine="0"/>
        <w:jc w:val="right"/>
        <w:rPr>
          <w:sz w:val="12"/>
        </w:rPr>
      </w:pPr>
      <w:r>
        <w:rPr/>
        <w:pict>
          <v:line style="position:absolute;mso-position-horizontal-relative:page;mso-position-vertical-relative:paragraph;z-index:15731712" from="45.907999pt,4.198365pt" to="42.154999pt,4.198365pt" stroked="true" strokeweight=".580pt" strokecolor="#000000">
            <v:stroke dashstyle="solid"/>
            <w10:wrap type="none"/>
          </v:line>
        </w:pict>
      </w:r>
      <w:r>
        <w:rPr>
          <w:sz w:val="12"/>
        </w:rPr>
        <w:t>3</w:t>
      </w:r>
    </w:p>
    <w:p>
      <w:pPr>
        <w:pStyle w:val="BodyText"/>
        <w:rPr>
          <w:sz w:val="12"/>
        </w:rPr>
      </w:pPr>
    </w:p>
    <w:p>
      <w:pPr>
        <w:pStyle w:val="BodyText"/>
        <w:spacing w:before="8"/>
        <w:rPr>
          <w:sz w:val="11"/>
        </w:rPr>
      </w:pPr>
    </w:p>
    <w:p>
      <w:pPr>
        <w:spacing w:before="1"/>
        <w:ind w:left="0" w:right="38" w:firstLine="0"/>
        <w:jc w:val="right"/>
        <w:rPr>
          <w:sz w:val="12"/>
        </w:rPr>
      </w:pPr>
      <w:r>
        <w:rPr/>
        <w:pict>
          <v:line style="position:absolute;mso-position-horizontal-relative:page;mso-position-vertical-relative:paragraph;z-index:15731200" from="45.907999pt,4.197366pt" to="42.154999pt,4.197366pt" stroked="true" strokeweight=".580pt" strokecolor="#000000">
            <v:stroke dashstyle="solid"/>
            <w10:wrap type="none"/>
          </v:line>
        </w:pict>
      </w:r>
      <w:r>
        <w:rPr>
          <w:sz w:val="12"/>
        </w:rPr>
        <w:t>2</w:t>
      </w:r>
    </w:p>
    <w:p>
      <w:pPr>
        <w:pStyle w:val="BodyText"/>
        <w:rPr>
          <w:sz w:val="12"/>
        </w:rPr>
      </w:pPr>
    </w:p>
    <w:p>
      <w:pPr>
        <w:pStyle w:val="BodyText"/>
        <w:spacing w:before="8"/>
        <w:rPr>
          <w:sz w:val="11"/>
        </w:rPr>
      </w:pPr>
    </w:p>
    <w:p>
      <w:pPr>
        <w:spacing w:before="1"/>
        <w:ind w:left="0" w:right="38" w:firstLine="0"/>
        <w:jc w:val="right"/>
        <w:rPr>
          <w:sz w:val="12"/>
        </w:rPr>
      </w:pPr>
      <w:r>
        <w:rPr/>
        <w:pict>
          <v:line style="position:absolute;mso-position-horizontal-relative:page;mso-position-vertical-relative:paragraph;z-index:15730688" from="45.907999pt,4.197367pt" to="42.154999pt,4.197367pt" stroked="true" strokeweight=".580pt" strokecolor="#000000">
            <v:stroke dashstyle="solid"/>
            <w10:wrap type="none"/>
          </v:line>
        </w:pict>
      </w:r>
      <w:r>
        <w:rPr>
          <w:sz w:val="12"/>
        </w:rPr>
        <w:t>1</w:t>
      </w:r>
    </w:p>
    <w:p>
      <w:pPr>
        <w:spacing w:before="63"/>
        <w:ind w:left="0" w:right="95" w:firstLine="0"/>
        <w:jc w:val="right"/>
        <w:rPr>
          <w:sz w:val="16"/>
        </w:rPr>
      </w:pPr>
      <w:r>
        <w:rPr>
          <w:sz w:val="16"/>
        </w:rPr>
        <w:t>+</w:t>
      </w:r>
    </w:p>
    <w:p>
      <w:pPr>
        <w:tabs>
          <w:tab w:pos="3025" w:val="left" w:leader="none"/>
        </w:tabs>
        <w:spacing w:before="26"/>
        <w:ind w:left="0" w:right="38" w:firstLine="0"/>
        <w:jc w:val="right"/>
        <w:rPr>
          <w:sz w:val="12"/>
        </w:rPr>
      </w:pPr>
      <w:r>
        <w:rPr/>
        <w:pict>
          <v:line style="position:absolute;mso-position-horizontal-relative:page;mso-position-vertical-relative:paragraph;z-index:-22877696" from="200.262003pt,5.447567pt" to="196.509003pt,5.447567pt" stroked="true" strokeweight=".580pt" strokecolor="#000000">
            <v:stroke dashstyle="solid"/>
            <w10:wrap type="none"/>
          </v:line>
        </w:pict>
      </w:r>
      <w:r>
        <w:rPr>
          <w:sz w:val="12"/>
          <w:u w:val="single"/>
        </w:rPr>
        <w:t> </w:t>
        <w:tab/>
      </w:r>
      <w:r>
        <w:rPr>
          <w:sz w:val="12"/>
        </w:rPr>
        <w:t>     </w:t>
      </w:r>
      <w:r>
        <w:rPr>
          <w:spacing w:val="2"/>
          <w:sz w:val="12"/>
        </w:rPr>
        <w:t> </w:t>
      </w:r>
      <w:r>
        <w:rPr>
          <w:sz w:val="12"/>
        </w:rPr>
        <w:t>0</w:t>
      </w:r>
    </w:p>
    <w:p>
      <w:pPr>
        <w:spacing w:before="17"/>
        <w:ind w:left="0" w:right="85" w:firstLine="0"/>
        <w:jc w:val="right"/>
        <w:rPr>
          <w:sz w:val="16"/>
        </w:rPr>
      </w:pPr>
      <w:r>
        <w:rPr>
          <w:sz w:val="16"/>
        </w:rPr>
        <w:t>–</w:t>
      </w:r>
    </w:p>
    <w:p>
      <w:pPr>
        <w:spacing w:line="124" w:lineRule="exact" w:before="72"/>
        <w:ind w:left="0" w:right="38" w:firstLine="0"/>
        <w:jc w:val="right"/>
        <w:rPr>
          <w:sz w:val="12"/>
        </w:rPr>
      </w:pPr>
      <w:r>
        <w:rPr/>
        <w:pict>
          <v:group style="position:absolute;margin-left:42.154999pt;margin-top:3.247568pt;width:158.15pt;height:4.95pt;mso-position-horizontal-relative:page;mso-position-vertical-relative:paragraph;z-index:15730176" coordorigin="843,65" coordsize="3163,99">
            <v:shape style="position:absolute;left:843;top:64;width:3163;height:90" coordorigin="843,65" coordsize="3163,90" path="m981,65l981,154m843,155l918,155m1096,102l1096,154m1212,154l1212,102m1327,154l1327,102m1443,65l1443,154m1558,154l1558,102m1674,154l1674,102m1789,102l1789,154m1905,154l1905,65m2020,154l2020,102m2135,102l2135,154m2251,154l2251,102m2366,154l2366,65m2482,102l2482,154m2597,102l2597,154m2713,154l2713,102m2828,65l2828,154m2944,102l2944,154m3059,102l3059,154m3175,102l3175,154m3290,154l3290,65m3406,102l3406,154m3521,102l3521,154m3637,154l3637,102m3752,154l3752,65m3867,102l3867,154m4005,155l3930,155e" filled="false" stroked="true" strokeweight=".580pt" strokecolor="#000000">
              <v:path arrowok="t"/>
              <v:stroke dashstyle="solid"/>
            </v:shape>
            <v:line style="position:absolute" from="989,158" to="3884,158" stroked="true" strokeweight=".5pt" strokecolor="#000000">
              <v:stroke dashstyle="solid"/>
            </v:line>
            <w10:wrap type="none"/>
          </v:group>
        </w:pict>
      </w:r>
      <w:r>
        <w:rPr>
          <w:sz w:val="12"/>
        </w:rPr>
        <w:t>1</w:t>
      </w:r>
    </w:p>
    <w:p>
      <w:pPr>
        <w:pStyle w:val="Heading6"/>
        <w:spacing w:line="242" w:lineRule="auto" w:before="90"/>
        <w:ind w:left="190" w:right="205"/>
      </w:pPr>
      <w:r>
        <w:rPr/>
        <w:br w:type="column"/>
      </w:r>
      <w:r>
        <w:rPr/>
        <w:t>Pay growth has risen </w:t>
      </w:r>
      <w:r>
        <w:rPr>
          <w:spacing w:val="-3"/>
        </w:rPr>
        <w:t>sharply. </w:t>
      </w:r>
      <w:r>
        <w:rPr/>
        <w:t>The </w:t>
      </w:r>
      <w:r>
        <w:rPr>
          <w:spacing w:val="-4"/>
        </w:rPr>
        <w:t>Average </w:t>
      </w:r>
      <w:r>
        <w:rPr/>
        <w:t>Earnings Index in the three months to February was 6.0% higher than a year earlier—considerably stronger than expected at the time of the last </w:t>
      </w:r>
      <w:r>
        <w:rPr>
          <w:i/>
        </w:rPr>
        <w:t>Report</w:t>
      </w:r>
      <w:r>
        <w:rPr/>
        <w:t>. </w:t>
      </w:r>
      <w:r>
        <w:rPr>
          <w:spacing w:val="-6"/>
        </w:rPr>
        <w:t>Wage </w:t>
      </w:r>
      <w:r>
        <w:rPr/>
        <w:t>settlements </w:t>
      </w:r>
      <w:r>
        <w:rPr>
          <w:spacing w:val="-3"/>
        </w:rPr>
        <w:t>have </w:t>
      </w:r>
      <w:r>
        <w:rPr/>
        <w:t>not increased, so growth in other components of pay has risen </w:t>
      </w:r>
      <w:r>
        <w:rPr>
          <w:spacing w:val="-3"/>
        </w:rPr>
        <w:t>further. </w:t>
      </w:r>
      <w:r>
        <w:rPr/>
        <w:t>Part of the explanation may be temporary factors—for example related to Y2K—which </w:t>
      </w:r>
      <w:r>
        <w:rPr>
          <w:spacing w:val="-3"/>
        </w:rPr>
        <w:t>have </w:t>
      </w:r>
      <w:r>
        <w:rPr>
          <w:spacing w:val="-6"/>
        </w:rPr>
        <w:t>few, </w:t>
      </w:r>
      <w:r>
        <w:rPr/>
        <w:t>if </w:t>
      </w:r>
      <w:r>
        <w:rPr>
          <w:spacing w:val="-6"/>
        </w:rPr>
        <w:t>any, </w:t>
      </w:r>
      <w:r>
        <w:rPr/>
        <w:t>implications for prospective inflation. But part may be a reflection of labour market tightness. The consequences for inflation of nominal pay growth depend on productivity growth, which has recently picked</w:t>
      </w:r>
      <w:r>
        <w:rPr>
          <w:spacing w:val="-1"/>
        </w:rPr>
        <w:t> </w:t>
      </w:r>
      <w:r>
        <w:rPr/>
        <w:t>up.</w:t>
      </w:r>
    </w:p>
    <w:p>
      <w:pPr>
        <w:pStyle w:val="BodyText"/>
        <w:spacing w:before="2"/>
        <w:rPr>
          <w:sz w:val="29"/>
        </w:rPr>
      </w:pPr>
    </w:p>
    <w:p>
      <w:pPr>
        <w:spacing w:line="242" w:lineRule="auto" w:before="0"/>
        <w:ind w:left="190" w:right="261" w:firstLine="0"/>
        <w:jc w:val="left"/>
        <w:rPr>
          <w:sz w:val="24"/>
        </w:rPr>
      </w:pPr>
      <w:r>
        <w:rPr>
          <w:sz w:val="24"/>
        </w:rPr>
        <w:t>The majority of UK trade in goods is with countries in the euro area. The continued decline in the euro since the last </w:t>
      </w:r>
      <w:r>
        <w:rPr>
          <w:i/>
          <w:sz w:val="24"/>
        </w:rPr>
        <w:t>Report </w:t>
      </w:r>
      <w:r>
        <w:rPr>
          <w:sz w:val="24"/>
        </w:rPr>
        <w:t>has therefore been mirrored by a substantial further rise in sterling’s effective exchange rate index. In the 15 working days to 3 May, sterling’s ERI averaged 110.7, which is 1</w:t>
      </w:r>
      <w:r>
        <w:rPr>
          <w:position w:val="8"/>
          <w:sz w:val="12"/>
        </w:rPr>
        <w:t>1</w:t>
      </w:r>
      <w:r>
        <w:rPr>
          <w:sz w:val="24"/>
        </w:rPr>
        <w:t>/</w:t>
      </w:r>
      <w:r>
        <w:rPr>
          <w:sz w:val="12"/>
        </w:rPr>
        <w:t>2</w:t>
      </w:r>
      <w:r>
        <w:rPr>
          <w:sz w:val="24"/>
        </w:rPr>
        <w:t>% above the central path assumed in the February </w:t>
      </w:r>
      <w:r>
        <w:rPr>
          <w:i/>
          <w:sz w:val="24"/>
        </w:rPr>
        <w:t>Report</w:t>
      </w:r>
      <w:r>
        <w:rPr>
          <w:sz w:val="24"/>
        </w:rPr>
        <w:t>. This is the starting-point for the Committee’s projections described below, which assume, in the central case, that sterling’s ERI declines to 108.9 at the two-year forecast horizon. The central projection is a benchmark around which there is large uncertainty.</w:t>
      </w:r>
    </w:p>
    <w:p>
      <w:pPr>
        <w:spacing w:after="0" w:line="242" w:lineRule="auto"/>
        <w:jc w:val="left"/>
        <w:rPr>
          <w:sz w:val="24"/>
        </w:rPr>
        <w:sectPr>
          <w:type w:val="continuous"/>
          <w:pgSz w:w="11900" w:h="16840"/>
          <w:pgMar w:top="1220" w:bottom="280" w:left="640" w:right="620"/>
          <w:cols w:num="2" w:equalWidth="0">
            <w:col w:w="3513" w:space="1267"/>
            <w:col w:w="5860"/>
          </w:cols>
        </w:sectPr>
      </w:pPr>
    </w:p>
    <w:p>
      <w:pPr>
        <w:tabs>
          <w:tab w:pos="968" w:val="left" w:leader="none"/>
          <w:tab w:pos="1440" w:val="left" w:leader="none"/>
          <w:tab w:pos="1900" w:val="left" w:leader="none"/>
          <w:tab w:pos="2290" w:val="left" w:leader="none"/>
          <w:tab w:pos="2816" w:val="left" w:leader="none"/>
        </w:tabs>
        <w:spacing w:line="134" w:lineRule="exact" w:before="0"/>
        <w:ind w:left="448" w:right="0" w:firstLine="0"/>
        <w:jc w:val="left"/>
        <w:rPr>
          <w:sz w:val="12"/>
        </w:rPr>
      </w:pPr>
      <w:r>
        <w:rPr>
          <w:sz w:val="12"/>
        </w:rPr>
        <w:t>1996</w:t>
        <w:tab/>
        <w:t>97</w:t>
        <w:tab/>
        <w:t>98</w:t>
        <w:tab/>
        <w:t>99</w:t>
        <w:tab/>
        <w:t>2000</w:t>
        <w:tab/>
        <w:t>01</w:t>
      </w:r>
      <w:r>
        <w:rPr>
          <w:spacing w:val="5"/>
          <w:sz w:val="12"/>
        </w:rPr>
        <w:t> </w:t>
      </w:r>
      <w:r>
        <w:rPr>
          <w:sz w:val="12"/>
        </w:rPr>
        <w:t>02</w:t>
      </w:r>
    </w:p>
    <w:p>
      <w:pPr>
        <w:pStyle w:val="BodyText"/>
        <w:spacing w:before="8"/>
        <w:rPr>
          <w:sz w:val="16"/>
        </w:rPr>
      </w:pPr>
    </w:p>
    <w:p>
      <w:pPr>
        <w:spacing w:line="208" w:lineRule="auto" w:before="0"/>
        <w:ind w:left="180" w:right="19" w:firstLine="0"/>
        <w:jc w:val="left"/>
        <w:rPr>
          <w:sz w:val="12"/>
        </w:rPr>
      </w:pPr>
      <w:r>
        <w:rPr>
          <w:sz w:val="12"/>
        </w:rPr>
        <w:t>The fan chart depicting the probability distribution for output growth is rather like a contour map. At any given point during the forecast period, the depth of shading represents the height of the probability density function over a range of outcomes for output.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w:t>
      </w:r>
    </w:p>
    <w:p>
      <w:pPr>
        <w:pStyle w:val="BodyText"/>
        <w:spacing w:before="4"/>
        <w:rPr>
          <w:sz w:val="26"/>
        </w:rPr>
      </w:pPr>
      <w:r>
        <w:rPr/>
        <w:br w:type="column"/>
      </w:r>
      <w:r>
        <w:rPr>
          <w:sz w:val="26"/>
        </w:rPr>
      </w:r>
    </w:p>
    <w:p>
      <w:pPr>
        <w:pStyle w:val="Heading6"/>
        <w:spacing w:line="242" w:lineRule="auto"/>
        <w:ind w:left="180" w:right="138"/>
      </w:pPr>
      <w:r>
        <w:rPr/>
        <w:t>The MPC’s best collective judgment of the prospects for GDP growth—on the conditioning assumption that the official interest rate remains at 6%—is shown in Chart 1. In the central projection, annual growth eases from its present rate to around 2</w:t>
      </w:r>
      <w:r>
        <w:rPr>
          <w:position w:val="8"/>
          <w:sz w:val="12"/>
        </w:rPr>
        <w:t>1</w:t>
      </w:r>
      <w:r>
        <w:rPr/>
        <w:t>/</w:t>
      </w:r>
      <w:r>
        <w:rPr>
          <w:sz w:val="12"/>
        </w:rPr>
        <w:t>2</w:t>
      </w:r>
      <w:r>
        <w:rPr/>
        <w:t>%–2</w:t>
      </w:r>
      <w:r>
        <w:rPr>
          <w:position w:val="8"/>
          <w:sz w:val="12"/>
        </w:rPr>
        <w:t>3</w:t>
      </w:r>
      <w:r>
        <w:rPr/>
        <w:t>/</w:t>
      </w:r>
      <w:r>
        <w:rPr>
          <w:sz w:val="12"/>
        </w:rPr>
        <w:t>4</w:t>
      </w:r>
      <w:r>
        <w:rPr/>
        <w:t>%—at or above trend— for most of the two-year forecast period. The profile is</w:t>
      </w:r>
    </w:p>
    <w:p>
      <w:pPr>
        <w:spacing w:after="0" w:line="242" w:lineRule="auto"/>
        <w:sectPr>
          <w:type w:val="continuous"/>
          <w:pgSz w:w="11900" w:h="16840"/>
          <w:pgMar w:top="1220" w:bottom="280" w:left="640" w:right="620"/>
          <w:cols w:num="2" w:equalWidth="0">
            <w:col w:w="3529" w:space="1261"/>
            <w:col w:w="5850"/>
          </w:cols>
        </w:sectPr>
      </w:pPr>
    </w:p>
    <w:p>
      <w:pPr>
        <w:pStyle w:val="BodyText"/>
        <w:rPr>
          <w:sz w:val="20"/>
        </w:rPr>
      </w:pPr>
    </w:p>
    <w:p>
      <w:pPr>
        <w:spacing w:after="0"/>
        <w:rPr>
          <w:sz w:val="20"/>
        </w:rPr>
        <w:sectPr>
          <w:headerReference w:type="even" r:id="rId11"/>
          <w:footerReference w:type="even" r:id="rId12"/>
          <w:pgSz w:w="11900" w:h="16840"/>
          <w:pgMar w:header="566" w:footer="597" w:top="760" w:bottom="780" w:left="640" w:right="620"/>
          <w:pgNumType w:start="4"/>
        </w:sectPr>
      </w:pPr>
    </w:p>
    <w:p>
      <w:pPr>
        <w:pStyle w:val="BodyText"/>
        <w:spacing w:before="6"/>
        <w:rPr>
          <w:sz w:val="20"/>
        </w:rPr>
      </w:pPr>
    </w:p>
    <w:p>
      <w:pPr>
        <w:spacing w:before="0"/>
        <w:ind w:left="160" w:right="0" w:firstLine="0"/>
        <w:jc w:val="left"/>
        <w:rPr>
          <w:b/>
          <w:sz w:val="20"/>
        </w:rPr>
      </w:pPr>
      <w:bookmarkStart w:name="_bookmark2" w:id="3"/>
      <w:bookmarkEnd w:id="3"/>
      <w:r>
        <w:rPr/>
      </w:r>
      <w:r>
        <w:rPr>
          <w:b/>
          <w:color w:val="0092C7"/>
          <w:sz w:val="20"/>
        </w:rPr>
        <w:t>Chart 2</w:t>
      </w:r>
    </w:p>
    <w:p>
      <w:pPr>
        <w:spacing w:line="249" w:lineRule="auto" w:before="10"/>
        <w:ind w:left="160" w:right="150" w:firstLine="0"/>
        <w:jc w:val="left"/>
        <w:rPr>
          <w:b/>
          <w:sz w:val="20"/>
        </w:rPr>
      </w:pPr>
      <w:r>
        <w:rPr>
          <w:b/>
          <w:color w:val="0092C7"/>
          <w:sz w:val="20"/>
        </w:rPr>
        <w:t>Current RPIX inflation projection based on constant nominal interest rates at 6%</w:t>
      </w:r>
    </w:p>
    <w:p>
      <w:pPr>
        <w:pStyle w:val="BodyText"/>
        <w:spacing w:before="6"/>
        <w:rPr>
          <w:b/>
          <w:sz w:val="20"/>
        </w:rPr>
      </w:pPr>
    </w:p>
    <w:p>
      <w:pPr>
        <w:spacing w:line="115" w:lineRule="exact" w:before="0"/>
        <w:ind w:left="0" w:right="401" w:firstLine="0"/>
        <w:jc w:val="right"/>
        <w:rPr>
          <w:sz w:val="12"/>
        </w:rPr>
      </w:pPr>
      <w:r>
        <w:rPr>
          <w:sz w:val="12"/>
        </w:rPr>
        <w:t>Percentage increase in prices on a year earlier</w:t>
      </w:r>
    </w:p>
    <w:p>
      <w:pPr>
        <w:spacing w:line="115" w:lineRule="exact" w:before="0"/>
        <w:ind w:left="0" w:right="316" w:firstLine="0"/>
        <w:jc w:val="right"/>
        <w:rPr>
          <w:sz w:val="12"/>
        </w:rPr>
      </w:pPr>
      <w:r>
        <w:rPr/>
        <w:pict>
          <v:line style="position:absolute;mso-position-horizontal-relative:page;mso-position-vertical-relative:paragraph;z-index:15738368" from="43.596001pt,3.007565pt" to="47.379001pt,3.007565pt" stroked="true" strokeweight=".5pt" strokecolor="#000000">
            <v:stroke dashstyle="solid"/>
            <w10:wrap type="none"/>
          </v:line>
        </w:pict>
      </w:r>
      <w:r>
        <w:rPr/>
        <w:pict>
          <v:line style="position:absolute;mso-position-horizontal-relative:page;mso-position-vertical-relative:paragraph;z-index:15739904" from="201.854999pt,3.007565pt" to="198.070999pt,3.007565pt" stroked="true" strokeweight=".5pt" strokecolor="#000000">
            <v:stroke dashstyle="solid"/>
            <w10:wrap type="none"/>
          </v:line>
        </w:pict>
      </w:r>
      <w:r>
        <w:rPr>
          <w:sz w:val="12"/>
        </w:rPr>
        <w:t>5</w:t>
      </w:r>
    </w:p>
    <w:p>
      <w:pPr>
        <w:pStyle w:val="BodyText"/>
        <w:rPr>
          <w:sz w:val="12"/>
        </w:rPr>
      </w:pPr>
    </w:p>
    <w:p>
      <w:pPr>
        <w:pStyle w:val="BodyText"/>
        <w:rPr>
          <w:sz w:val="12"/>
        </w:rPr>
      </w:pPr>
    </w:p>
    <w:p>
      <w:pPr>
        <w:pStyle w:val="BodyText"/>
        <w:spacing w:before="1"/>
        <w:rPr>
          <w:sz w:val="14"/>
        </w:rPr>
      </w:pPr>
    </w:p>
    <w:p>
      <w:pPr>
        <w:spacing w:before="0"/>
        <w:ind w:left="0" w:right="316" w:firstLine="0"/>
        <w:jc w:val="right"/>
        <w:rPr>
          <w:sz w:val="12"/>
        </w:rPr>
      </w:pPr>
      <w:r>
        <w:rPr/>
        <w:pict>
          <v:group style="position:absolute;margin-left:43.320999pt;margin-top:9.680592pt;width:158.550pt;height:75.2pt;mso-position-horizontal-relative:page;mso-position-vertical-relative:paragraph;z-index:15735296" coordorigin="866,194" coordsize="3171,1504">
            <v:shape style="position:absolute;left:2856;top:193;width:1048;height:1504" coordorigin="2856,194" coordsize="1048,1504" path="m3904,194l3787,240,3671,297,3555,349,3438,412,3322,620,3205,793,3089,1000,2973,1138,2856,1167,2973,1455,3089,1524,3205,1524,3322,1564,3438,1461,3555,1484,3787,1657,3904,1697,3904,194xe" filled="true" fillcolor="#fdeee8" stroked="false">
              <v:path arrowok="t"/>
              <v:fill type="solid"/>
            </v:shape>
            <v:shape style="position:absolute;left:2856;top:356;width:1048;height:1170" coordorigin="2856,356" coordsize="1048,1170" path="m3904,356l3555,477,3438,535,3322,730,3205,874,3089,1059,2973,1180,2856,1168,2973,1422,3089,1468,3205,1450,3322,1468,3438,1353,3555,1364,3671,1433,3787,1497,3904,1525,3904,356xe" filled="true" fillcolor="#fcdfd1" stroked="false">
              <v:path arrowok="t"/>
              <v:fill type="solid"/>
            </v:shape>
            <v:shape style="position:absolute;left:2856;top:456;width:1048;height:974" coordorigin="2856,456" coordsize="1048,974" path="m3904,456l3555,560,3438,612,3322,802,3205,929,3089,1096,2973,1200,2856,1165,2973,1395,3089,1430,3205,1395,3322,1395,3438,1274,3555,1280,3787,1384,3904,1407,3904,456xe" filled="true" fillcolor="#facfb9" stroked="false">
              <v:path arrowok="t"/>
              <v:fill type="solid"/>
            </v:shape>
            <v:shape style="position:absolute;left:2856;top:544;width:1048;height:859" coordorigin="2856,544" coordsize="1048,859" path="m3904,544l3555,630,3438,677,3322,861,3205,976,3089,1132,2973,1218,2856,1166,2973,1379,3089,1402,3205,1356,3322,1345,3438,1218,3555,1218,3787,1299,3904,1316,3904,544xe" filled="true" fillcolor="#f8bda3" stroked="false">
              <v:path arrowok="t"/>
              <v:fill type="solid"/>
            </v:shape>
            <v:shape style="position:absolute;left:2856;top:620;width:1048;height:755" coordorigin="2856,621" coordsize="1048,755" path="m3904,621l3787,650,3671,673,3555,690,3438,736,3322,915,3205,1018,3089,1162,2973,1237,2856,1168,2973,1370,3089,1375,3205,1318,3322,1301,3438,1168,3555,1162,3671,1197,3787,1226,3904,1237,3904,621xe" filled="true" fillcolor="#f6ab8e" stroked="false">
              <v:path arrowok="t"/>
              <v:fill type="solid"/>
            </v:shape>
            <v:shape style="position:absolute;left:2856;top:683;width:1048;height:669" coordorigin="2856,684" coordsize="1048,669" path="m3904,684l3671,730,3555,747,3438,787,3322,960,3205,1052,3089,1185,2973,1254,2856,1168,2973,1352,3089,1352,3205,1289,3322,1260,3438,1121,3555,1110,3671,1139,3787,1162,3904,1168,3904,684xe" filled="true" fillcolor="#f19779" stroked="false">
              <v:path arrowok="t"/>
              <v:fill type="solid"/>
            </v:shape>
            <v:shape style="position:absolute;left:2856;top:738;width:1048;height:600" coordorigin="2856,738" coordsize="1048,600" path="m3904,738l3787,761,3671,779,3555,790,3438,830,3322,997,3205,1084,3089,1205,2973,1262,2856,1165,2973,1337,3089,1332,3205,1257,3322,1222,3438,1078,3555,1061,3787,1095,3904,1095,3904,738xe" filled="true" fillcolor="#ed8267" stroked="false">
              <v:path arrowok="t"/>
              <v:fill type="solid"/>
            </v:shape>
            <v:shape style="position:absolute;left:2871;top:798;width:1033;height:530" coordorigin="2871,799" coordsize="1033,530" path="m3904,799l3803,822,3686,833,3570,839,3454,879,3337,1041,3221,1115,3104,1231,2988,1283,2871,1167,2988,1329,3104,1317,3221,1236,3337,1190,3454,1046,3570,1023,3686,1035,3803,1041,3904,1035,3904,799xe" filled="true" fillcolor="#e96952" stroked="false">
              <v:path arrowok="t"/>
              <v:fill type="solid"/>
            </v:shape>
            <v:shape style="position:absolute;left:2856;top:855;width:1048;height:461" coordorigin="2856,856" coordsize="1048,461" path="m3904,856l3787,873,3671,885,3555,890,3438,925,3322,1086,3205,1149,3089,1253,2973,1293,2856,1167,2973,1317,3089,1293,3205,1207,3322,1155,3438,1005,3555,977,3671,982,3787,982,3904,971,3904,856xe" filled="true" fillcolor="#de0035" stroked="false">
              <v:path arrowok="t"/>
              <v:fill type="solid"/>
            </v:shape>
            <v:shape style="position:absolute;left:3961;top:658;width:76;height:577" coordorigin="3961,659" coordsize="76,577" path="m4037,1235l3961,1235m3961,659l4037,659e" filled="false" stroked="true" strokeweight=".5pt" strokecolor="#000000">
              <v:path arrowok="t"/>
              <v:stroke dashstyle="solid"/>
            </v:shape>
            <v:shape style="position:absolute;left:991;top:532;width:1630;height:605" coordorigin="992,532" coordsize="1630,605" path="m992,757l1108,780m1108,780l1225,734m1341,532l1225,734m1341,532l1457,740m1574,912l1457,740m1690,751l1574,912m1690,751l1807,803m1807,803l1923,918m2039,665l1923,918m2039,665l2156,907m2156,907l2272,930m2389,930l2272,930m2389,930l2505,1062m2621,1137l2505,1062e" filled="false" stroked="true" strokeweight="1pt" strokecolor="#de0035">
              <v:path arrowok="t"/>
              <v:stroke dashstyle="solid"/>
            </v:shape>
            <v:line style="position:absolute" from="2611,1140" to="2748,1140" stroked="true" strokeweight="1.288pt" strokecolor="#de0035">
              <v:stroke dashstyle="solid"/>
            </v:line>
            <v:line style="position:absolute" from="2738,1143" to="2854,1166" stroked="true" strokeweight="1pt" strokecolor="#de0035">
              <v:stroke dashstyle="solid"/>
            </v:line>
            <v:shape style="position:absolute;left:2854;top:912;width:1048;height:392" coordorigin="2854,912" coordsize="1048,392" path="m2971,1304l2854,1166m3087,1275l2971,1304m3203,1177l3087,1275m3320,1120l3203,1177m3320,1120l3436,964m3553,930l3436,964m3669,930l3553,930m3669,930l3785,930m3785,930l3902,912e" filled="false" stroked="true" strokeweight=".580pt" strokecolor="#de0035">
              <v:path arrowok="t"/>
              <v:stroke dashstyle="solid"/>
            </v:shape>
            <v:line style="position:absolute" from="3961,950" to="4036,950" stroked="true" strokeweight=".580pt" strokecolor="#000000">
              <v:stroke dashstyle="solid"/>
            </v:line>
            <v:line style="position:absolute" from="990,950" to="3901,950" stroked="true" strokeweight=".5pt" strokecolor="#000000">
              <v:stroke dashstyle="solid"/>
            </v:line>
            <v:line style="position:absolute" from="866,950" to="942,950" stroked="true" strokeweight=".580pt" strokecolor="#000000">
              <v:stroke dashstyle="solid"/>
            </v:line>
            <w10:wrap type="none"/>
          </v:group>
        </w:pict>
      </w:r>
      <w:r>
        <w:rPr/>
        <w:pict>
          <v:line style="position:absolute;mso-position-horizontal-relative:page;mso-position-vertical-relative:paragraph;z-index:15737856" from="43.596001pt,4.147591pt" to="47.379001pt,4.147591pt" stroked="true" strokeweight=".5pt" strokecolor="#000000">
            <v:stroke dashstyle="solid"/>
            <w10:wrap type="none"/>
          </v:line>
        </w:pict>
      </w:r>
      <w:r>
        <w:rPr/>
        <w:pict>
          <v:line style="position:absolute;mso-position-horizontal-relative:page;mso-position-vertical-relative:paragraph;z-index:15739392" from="198.070999pt,4.147591pt" to="201.854999pt,4.147591pt" stroked="true" strokeweight=".5pt" strokecolor="#000000">
            <v:stroke dashstyle="solid"/>
            <w10:wrap type="none"/>
          </v:line>
        </w:pict>
      </w:r>
      <w:r>
        <w:rPr>
          <w:sz w:val="12"/>
        </w:rPr>
        <w:t>4</w:t>
      </w:r>
    </w:p>
    <w:p>
      <w:pPr>
        <w:pStyle w:val="BodyText"/>
        <w:rPr>
          <w:sz w:val="12"/>
        </w:rPr>
      </w:pPr>
    </w:p>
    <w:p>
      <w:pPr>
        <w:pStyle w:val="BodyText"/>
        <w:rPr>
          <w:sz w:val="12"/>
        </w:rPr>
      </w:pPr>
    </w:p>
    <w:p>
      <w:pPr>
        <w:pStyle w:val="BodyText"/>
        <w:spacing w:before="1"/>
        <w:rPr>
          <w:sz w:val="14"/>
        </w:rPr>
      </w:pPr>
    </w:p>
    <w:p>
      <w:pPr>
        <w:spacing w:before="0"/>
        <w:ind w:left="0" w:right="316" w:firstLine="0"/>
        <w:jc w:val="right"/>
        <w:rPr>
          <w:sz w:val="12"/>
        </w:rPr>
      </w:pPr>
      <w:r>
        <w:rPr/>
        <w:pict>
          <v:line style="position:absolute;mso-position-horizontal-relative:page;mso-position-vertical-relative:paragraph;z-index:15737344" from="43.596001pt,4.147153pt" to="47.379001pt,4.147153pt" stroked="true" strokeweight=".5pt" strokecolor="#000000">
            <v:stroke dashstyle="solid"/>
            <w10:wrap type="none"/>
          </v:line>
        </w:pict>
      </w:r>
      <w:r>
        <w:rPr>
          <w:sz w:val="12"/>
        </w:rPr>
        <w:t>3</w:t>
      </w:r>
    </w:p>
    <w:p>
      <w:pPr>
        <w:pStyle w:val="BodyText"/>
        <w:spacing w:before="3"/>
        <w:rPr>
          <w:sz w:val="14"/>
        </w:rPr>
      </w:pPr>
    </w:p>
    <w:p>
      <w:pPr>
        <w:spacing w:before="0"/>
        <w:ind w:left="0" w:right="229" w:firstLine="0"/>
        <w:jc w:val="right"/>
        <w:rPr>
          <w:sz w:val="12"/>
        </w:rPr>
      </w:pPr>
      <w:r>
        <w:rPr>
          <w:sz w:val="12"/>
        </w:rPr>
        <w:t>2.5</w:t>
      </w:r>
    </w:p>
    <w:p>
      <w:pPr>
        <w:pStyle w:val="BodyText"/>
        <w:spacing w:before="9"/>
        <w:rPr>
          <w:sz w:val="11"/>
        </w:rPr>
      </w:pPr>
    </w:p>
    <w:p>
      <w:pPr>
        <w:spacing w:before="0"/>
        <w:ind w:left="0" w:right="316" w:firstLine="0"/>
        <w:jc w:val="right"/>
        <w:rPr>
          <w:sz w:val="12"/>
        </w:rPr>
      </w:pPr>
      <w:r>
        <w:rPr/>
        <w:pict>
          <v:line style="position:absolute;mso-position-horizontal-relative:page;mso-position-vertical-relative:paragraph;z-index:15736832" from="47.379001pt,4.147334pt" to="43.596001pt,4.147334pt" stroked="true" strokeweight=".5pt" strokecolor="#000000">
            <v:stroke dashstyle="solid"/>
            <w10:wrap type="none"/>
          </v:line>
        </w:pict>
      </w:r>
      <w:r>
        <w:rPr>
          <w:sz w:val="12"/>
        </w:rPr>
        <w:t>2</w:t>
      </w:r>
    </w:p>
    <w:p>
      <w:pPr>
        <w:pStyle w:val="BodyText"/>
        <w:rPr>
          <w:sz w:val="12"/>
        </w:rPr>
      </w:pPr>
    </w:p>
    <w:p>
      <w:pPr>
        <w:pStyle w:val="BodyText"/>
        <w:rPr>
          <w:sz w:val="12"/>
        </w:rPr>
      </w:pPr>
    </w:p>
    <w:p>
      <w:pPr>
        <w:pStyle w:val="BodyText"/>
        <w:spacing w:before="1"/>
        <w:rPr>
          <w:sz w:val="14"/>
        </w:rPr>
      </w:pPr>
    </w:p>
    <w:p>
      <w:pPr>
        <w:spacing w:before="0"/>
        <w:ind w:left="0" w:right="316" w:firstLine="0"/>
        <w:jc w:val="right"/>
        <w:rPr>
          <w:sz w:val="12"/>
        </w:rPr>
      </w:pPr>
      <w:r>
        <w:rPr/>
        <w:pict>
          <v:line style="position:absolute;mso-position-horizontal-relative:page;mso-position-vertical-relative:paragraph;z-index:15736320" from="47.379001pt,4.147956pt" to="43.596001pt,4.147956pt" stroked="true" strokeweight=".5pt" strokecolor="#000000">
            <v:stroke dashstyle="solid"/>
            <w10:wrap type="none"/>
          </v:line>
        </w:pict>
      </w:r>
      <w:r>
        <w:rPr/>
        <w:pict>
          <v:line style="position:absolute;mso-position-horizontal-relative:page;mso-position-vertical-relative:paragraph;z-index:15738880" from="198.070999pt,4.147956pt" to="201.854999pt,4.147956pt" stroked="true" strokeweight=".5pt" strokecolor="#000000">
            <v:stroke dashstyle="solid"/>
            <w10:wrap type="none"/>
          </v:line>
        </w:pict>
      </w:r>
      <w:r>
        <w:rPr>
          <w:sz w:val="12"/>
        </w:rPr>
        <w:t>1</w:t>
      </w:r>
    </w:p>
    <w:p>
      <w:pPr>
        <w:pStyle w:val="BodyText"/>
        <w:rPr>
          <w:sz w:val="12"/>
        </w:rPr>
      </w:pPr>
    </w:p>
    <w:p>
      <w:pPr>
        <w:pStyle w:val="BodyText"/>
        <w:rPr>
          <w:sz w:val="12"/>
        </w:rPr>
      </w:pPr>
    </w:p>
    <w:p>
      <w:pPr>
        <w:pStyle w:val="BodyText"/>
        <w:spacing w:before="1"/>
        <w:rPr>
          <w:sz w:val="14"/>
        </w:rPr>
      </w:pPr>
    </w:p>
    <w:p>
      <w:pPr>
        <w:spacing w:line="123" w:lineRule="exact" w:before="0"/>
        <w:ind w:left="3428" w:right="0" w:firstLine="0"/>
        <w:jc w:val="left"/>
        <w:rPr>
          <w:sz w:val="12"/>
        </w:rPr>
      </w:pPr>
      <w:r>
        <w:rPr/>
        <w:pict>
          <v:shape style="position:absolute;margin-left:43.709pt;margin-top:-.452421pt;width:158.15pt;height:4.6pt;mso-position-horizontal-relative:page;mso-position-vertical-relative:paragraph;z-index:15735808" coordorigin="874,-9" coordsize="3163,92" path="m992,-9l992,83m874,80l950,80m1108,31l1108,83m1225,83l1225,31m1341,31l1341,83m1457,-9l1457,83m1574,31l1574,83m1690,83l1690,31m1807,83l1807,31m1923,-9l1923,83m2039,83l2039,31m2156,83l2156,31m2272,31l2272,83m2389,-9l2389,83m2505,31l2505,83m2621,31l2621,83m2738,83l2738,31m2854,-9l2854,83m2971,83l2971,31m3087,83l3087,31m3203,83l3203,31m3320,-9l3320,83m3436,31l3436,83m3553,83l3553,31m3669,31l3669,83m3785,83l3785,-9m3902,83l3902,31m4037,80l3961,80m990,81l3901,81e" filled="false" stroked="true" strokeweight=".5pt" strokecolor="#000000">
            <v:path arrowok="t"/>
            <v:stroke dashstyle="solid"/>
            <w10:wrap type="none"/>
          </v:shape>
        </w:pict>
      </w:r>
      <w:r>
        <w:rPr>
          <w:sz w:val="12"/>
        </w:rPr>
        <w:t>0</w:t>
      </w:r>
    </w:p>
    <w:p>
      <w:pPr>
        <w:tabs>
          <w:tab w:pos="996" w:val="left" w:leader="none"/>
          <w:tab w:pos="1463" w:val="left" w:leader="none"/>
          <w:tab w:pos="1941" w:val="left" w:leader="none"/>
          <w:tab w:pos="2338" w:val="left" w:leader="none"/>
          <w:tab w:pos="2855" w:val="left" w:leader="none"/>
          <w:tab w:pos="3178" w:val="left" w:leader="none"/>
        </w:tabs>
        <w:spacing w:line="123" w:lineRule="exact" w:before="0"/>
        <w:ind w:left="469" w:right="0" w:firstLine="0"/>
        <w:jc w:val="left"/>
        <w:rPr>
          <w:sz w:val="12"/>
        </w:rPr>
      </w:pPr>
      <w:r>
        <w:rPr>
          <w:sz w:val="12"/>
        </w:rPr>
        <w:t>1996</w:t>
        <w:tab/>
        <w:t>97</w:t>
        <w:tab/>
        <w:t>98</w:t>
        <w:tab/>
        <w:t>99</w:t>
        <w:tab/>
        <w:t>2000</w:t>
        <w:tab/>
        <w:t>01</w:t>
        <w:tab/>
        <w:t>02</w:t>
      </w:r>
    </w:p>
    <w:p>
      <w:pPr>
        <w:pStyle w:val="BodyText"/>
        <w:spacing w:before="3"/>
        <w:rPr>
          <w:sz w:val="16"/>
        </w:rPr>
      </w:pPr>
    </w:p>
    <w:p>
      <w:pPr>
        <w:spacing w:line="208" w:lineRule="auto" w:before="0"/>
        <w:ind w:left="158" w:right="38" w:firstLine="0"/>
        <w:jc w:val="left"/>
        <w:rPr>
          <w:sz w:val="12"/>
        </w:rPr>
      </w:pPr>
      <w:r>
        <w:rPr>
          <w:sz w:val="12"/>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w:t>
      </w:r>
      <w:r>
        <w:rPr>
          <w:spacing w:val="-2"/>
          <w:sz w:val="12"/>
        </w:rPr>
        <w:t> </w:t>
      </w:r>
      <w:r>
        <w:rPr>
          <w:sz w:val="12"/>
        </w:rPr>
        <w:t>outcomes.</w:t>
      </w:r>
    </w:p>
    <w:p>
      <w:pPr>
        <w:pStyle w:val="Heading6"/>
        <w:spacing w:line="242" w:lineRule="auto" w:before="227"/>
        <w:ind w:left="158" w:right="209"/>
      </w:pPr>
      <w:r>
        <w:rPr/>
        <w:br w:type="column"/>
      </w:r>
      <w:r>
        <w:rPr/>
        <w:t>slightly firmer than in the February </w:t>
      </w:r>
      <w:r>
        <w:rPr>
          <w:i/>
        </w:rPr>
        <w:t>Report</w:t>
      </w:r>
      <w:r>
        <w:rPr/>
        <w:t>, largely because of stronger domestic demand. The recent rise in sterling offsets the effect on external demand of the stronger outlook for world activity.</w:t>
      </w:r>
    </w:p>
    <w:p>
      <w:pPr>
        <w:pStyle w:val="BodyText"/>
        <w:spacing w:before="9"/>
        <w:rPr>
          <w:sz w:val="24"/>
        </w:rPr>
      </w:pPr>
    </w:p>
    <w:p>
      <w:pPr>
        <w:spacing w:line="242" w:lineRule="auto" w:before="0"/>
        <w:ind w:left="158" w:right="209" w:firstLine="0"/>
        <w:jc w:val="left"/>
        <w:rPr>
          <w:sz w:val="24"/>
        </w:rPr>
      </w:pPr>
      <w:r>
        <w:rPr>
          <w:sz w:val="24"/>
        </w:rPr>
        <w:t>The corresponding projection for RPIX inflation is shown in Chart 2. The most likely path is for inflation to remain below target for the next year before rising to around the 2</w:t>
      </w:r>
      <w:r>
        <w:rPr>
          <w:position w:val="8"/>
          <w:sz w:val="12"/>
        </w:rPr>
        <w:t>1</w:t>
      </w:r>
      <w:r>
        <w:rPr>
          <w:sz w:val="24"/>
        </w:rPr>
        <w:t>/</w:t>
      </w:r>
      <w:r>
        <w:rPr>
          <w:sz w:val="12"/>
        </w:rPr>
        <w:t>2</w:t>
      </w:r>
      <w:r>
        <w:rPr>
          <w:sz w:val="24"/>
        </w:rPr>
        <w:t>% target. This is similar to the February profile, in part because the recent rise in the exchange rate broadly offsets the stronger-than-expected pay growth.</w:t>
      </w:r>
    </w:p>
    <w:p>
      <w:pPr>
        <w:pStyle w:val="BodyText"/>
        <w:spacing w:before="1"/>
        <w:rPr>
          <w:sz w:val="25"/>
        </w:rPr>
      </w:pPr>
    </w:p>
    <w:p>
      <w:pPr>
        <w:spacing w:line="242" w:lineRule="auto" w:before="1"/>
        <w:ind w:left="158" w:right="186" w:firstLine="0"/>
        <w:jc w:val="left"/>
        <w:rPr>
          <w:sz w:val="24"/>
        </w:rPr>
      </w:pPr>
      <w:r>
        <w:rPr>
          <w:sz w:val="24"/>
        </w:rPr>
        <w:t>All Committee members agree that inflation and growth prospects are surrounded by large uncertainties, and not </w:t>
      </w:r>
      <w:r>
        <w:rPr>
          <w:spacing w:val="-3"/>
          <w:sz w:val="24"/>
        </w:rPr>
        <w:t>every </w:t>
      </w:r>
      <w:r>
        <w:rPr>
          <w:sz w:val="24"/>
        </w:rPr>
        <w:t>member shares the central assumptions upon which the projections shown in Charts 1 and 2 are based. Relative to those projections, some members would </w:t>
      </w:r>
      <w:r>
        <w:rPr>
          <w:spacing w:val="-3"/>
          <w:sz w:val="24"/>
        </w:rPr>
        <w:t>prefer, </w:t>
      </w:r>
      <w:r>
        <w:rPr>
          <w:sz w:val="24"/>
        </w:rPr>
        <w:t>as a central case, to assume a steeper decline in the exchange rate and less structural compression of profit margins. Others would prefer to assume a constant nominal exchange rate and more downward pressure on prices on account of greater competition and higher productivity growth. Alternative combinations of assumptions could raise or lower the inflation profile by up to </w:t>
      </w:r>
      <w:r>
        <w:rPr>
          <w:position w:val="8"/>
          <w:sz w:val="12"/>
        </w:rPr>
        <w:t>1</w:t>
      </w:r>
      <w:r>
        <w:rPr>
          <w:sz w:val="24"/>
        </w:rPr>
        <w:t>/</w:t>
      </w:r>
      <w:r>
        <w:rPr>
          <w:sz w:val="12"/>
        </w:rPr>
        <w:t>2</w:t>
      </w:r>
      <w:r>
        <w:rPr>
          <w:sz w:val="24"/>
        </w:rPr>
        <w:t>% at the two-year forecast</w:t>
      </w:r>
      <w:r>
        <w:rPr>
          <w:spacing w:val="-13"/>
          <w:sz w:val="24"/>
        </w:rPr>
        <w:t> </w:t>
      </w:r>
      <w:r>
        <w:rPr>
          <w:sz w:val="24"/>
        </w:rPr>
        <w:t>horizon.</w:t>
      </w:r>
    </w:p>
    <w:p>
      <w:pPr>
        <w:pStyle w:val="BodyText"/>
        <w:spacing w:before="8"/>
        <w:rPr>
          <w:sz w:val="25"/>
        </w:rPr>
      </w:pPr>
    </w:p>
    <w:p>
      <w:pPr>
        <w:spacing w:line="242" w:lineRule="auto" w:before="0"/>
        <w:ind w:left="158" w:right="205" w:firstLine="0"/>
        <w:jc w:val="left"/>
        <w:rPr>
          <w:sz w:val="24"/>
        </w:rPr>
      </w:pPr>
      <w:r>
        <w:rPr>
          <w:sz w:val="24"/>
        </w:rPr>
        <w:t>The paramount objective of UK monetary policy is to meet the 2</w:t>
      </w:r>
      <w:r>
        <w:rPr>
          <w:position w:val="8"/>
          <w:sz w:val="12"/>
        </w:rPr>
        <w:t>1</w:t>
      </w:r>
      <w:r>
        <w:rPr>
          <w:sz w:val="24"/>
        </w:rPr>
        <w:t>/</w:t>
      </w:r>
      <w:r>
        <w:rPr>
          <w:sz w:val="12"/>
        </w:rPr>
        <w:t>2</w:t>
      </w:r>
      <w:r>
        <w:rPr>
          <w:sz w:val="24"/>
        </w:rPr>
        <w:t>% inflation target. The further rise in the exchange rate—if sustained—will exert additional downward pressure on inflation in the near-term. But final domestic demand growth will probably need to slow</w:t>
      </w:r>
      <w:r>
        <w:rPr>
          <w:spacing w:val="-7"/>
          <w:sz w:val="24"/>
        </w:rPr>
        <w:t> </w:t>
      </w:r>
      <w:r>
        <w:rPr>
          <w:sz w:val="24"/>
        </w:rPr>
        <w:t>if</w:t>
      </w:r>
      <w:r>
        <w:rPr>
          <w:spacing w:val="-7"/>
          <w:sz w:val="24"/>
        </w:rPr>
        <w:t> </w:t>
      </w:r>
      <w:r>
        <w:rPr>
          <w:sz w:val="24"/>
        </w:rPr>
        <w:t>cost</w:t>
      </w:r>
      <w:r>
        <w:rPr>
          <w:spacing w:val="-7"/>
          <w:sz w:val="24"/>
        </w:rPr>
        <w:t> </w:t>
      </w:r>
      <w:r>
        <w:rPr>
          <w:sz w:val="24"/>
        </w:rPr>
        <w:t>pressures—especially</w:t>
      </w:r>
      <w:r>
        <w:rPr>
          <w:spacing w:val="-7"/>
          <w:sz w:val="24"/>
        </w:rPr>
        <w:t> </w:t>
      </w:r>
      <w:r>
        <w:rPr>
          <w:sz w:val="24"/>
        </w:rPr>
        <w:t>in</w:t>
      </w:r>
      <w:r>
        <w:rPr>
          <w:spacing w:val="-7"/>
          <w:sz w:val="24"/>
        </w:rPr>
        <w:t> </w:t>
      </w:r>
      <w:r>
        <w:rPr>
          <w:sz w:val="24"/>
        </w:rPr>
        <w:t>the</w:t>
      </w:r>
      <w:r>
        <w:rPr>
          <w:spacing w:val="-7"/>
          <w:sz w:val="24"/>
        </w:rPr>
        <w:t> </w:t>
      </w:r>
      <w:r>
        <w:rPr>
          <w:sz w:val="24"/>
        </w:rPr>
        <w:t>labour</w:t>
      </w:r>
      <w:r>
        <w:rPr>
          <w:spacing w:val="-7"/>
          <w:sz w:val="24"/>
        </w:rPr>
        <w:t> </w:t>
      </w:r>
      <w:r>
        <w:rPr>
          <w:sz w:val="24"/>
        </w:rPr>
        <w:t>market— are not to increase </w:t>
      </w:r>
      <w:r>
        <w:rPr>
          <w:spacing w:val="-3"/>
          <w:sz w:val="24"/>
        </w:rPr>
        <w:t>further. </w:t>
      </w:r>
      <w:r>
        <w:rPr>
          <w:sz w:val="24"/>
        </w:rPr>
        <w:t>The Monetary Policy Committee will continue to set interest rates in response to changing economic conditions so as to keep prospective inflation on track to meet the</w:t>
      </w:r>
      <w:r>
        <w:rPr>
          <w:spacing w:val="-22"/>
          <w:sz w:val="24"/>
        </w:rPr>
        <w:t> </w:t>
      </w:r>
      <w:r>
        <w:rPr>
          <w:sz w:val="24"/>
        </w:rPr>
        <w:t>target.</w:t>
      </w:r>
    </w:p>
    <w:p>
      <w:pPr>
        <w:spacing w:after="0" w:line="242" w:lineRule="auto"/>
        <w:jc w:val="left"/>
        <w:rPr>
          <w:sz w:val="24"/>
        </w:rPr>
        <w:sectPr>
          <w:type w:val="continuous"/>
          <w:pgSz w:w="11900" w:h="16840"/>
          <w:pgMar w:top="1220" w:bottom="280" w:left="640" w:right="620"/>
          <w:cols w:num="2" w:equalWidth="0">
            <w:col w:w="3808" w:space="979"/>
            <w:col w:w="5853"/>
          </w:cols>
        </w:sectPr>
      </w:pPr>
    </w:p>
    <w:p>
      <w:pPr>
        <w:spacing w:before="76"/>
        <w:ind w:left="1975" w:right="1564" w:firstLine="0"/>
        <w:jc w:val="center"/>
        <w:rPr>
          <w:b/>
          <w:sz w:val="28"/>
        </w:rPr>
      </w:pPr>
      <w:r>
        <w:rPr>
          <w:b/>
          <w:color w:val="009391"/>
          <w:sz w:val="28"/>
        </w:rPr>
        <w:t>Contents</w:t>
      </w:r>
    </w:p>
    <w:sdt>
      <w:sdtPr>
        <w:docPartObj>
          <w:docPartGallery w:val="Table of Contents"/>
          <w:docPartUnique/>
        </w:docPartObj>
      </w:sdtPr>
      <w:sdtEndPr/>
      <w:sdtContent>
        <w:p>
          <w:pPr>
            <w:pStyle w:val="TOC1"/>
            <w:numPr>
              <w:ilvl w:val="0"/>
              <w:numId w:val="1"/>
            </w:numPr>
            <w:tabs>
              <w:tab w:pos="5369" w:val="left" w:leader="none"/>
              <w:tab w:pos="5370" w:val="left" w:leader="none"/>
              <w:tab w:pos="10269" w:val="right" w:leader="none"/>
            </w:tabs>
            <w:spacing w:line="240" w:lineRule="auto" w:before="595" w:after="0"/>
            <w:ind w:left="5369" w:right="0" w:hanging="381"/>
            <w:jc w:val="left"/>
            <w:rPr>
              <w:b w:val="0"/>
            </w:rPr>
          </w:pPr>
          <w:hyperlink w:history="true" w:anchor="_bookmark3">
            <w:r>
              <w:rPr>
                <w:color w:val="0092C7"/>
              </w:rPr>
              <w:t>Money and</w:t>
            </w:r>
            <w:r>
              <w:rPr>
                <w:color w:val="0092C7"/>
                <w:spacing w:val="-4"/>
              </w:rPr>
              <w:t> </w:t>
            </w:r>
            <w:r>
              <w:rPr>
                <w:color w:val="0092C7"/>
              </w:rPr>
              <w:t>financial</w:t>
            </w:r>
            <w:r>
              <w:rPr>
                <w:color w:val="0092C7"/>
                <w:spacing w:val="-2"/>
              </w:rPr>
              <w:t> </w:t>
            </w:r>
            <w:r>
              <w:rPr>
                <w:color w:val="0092C7"/>
              </w:rPr>
              <w:t>markets</w:t>
            </w:r>
          </w:hyperlink>
          <w:r>
            <w:rPr>
              <w:color w:val="0092C7"/>
            </w:rPr>
            <w:tab/>
          </w:r>
          <w:r>
            <w:rPr>
              <w:b w:val="0"/>
            </w:rPr>
            <w:t>3</w:t>
          </w:r>
        </w:p>
        <w:p>
          <w:pPr>
            <w:pStyle w:val="TOC2"/>
            <w:numPr>
              <w:ilvl w:val="1"/>
              <w:numId w:val="1"/>
            </w:numPr>
            <w:tabs>
              <w:tab w:pos="5929" w:val="left" w:leader="none"/>
              <w:tab w:pos="5930" w:val="left" w:leader="none"/>
              <w:tab w:pos="10269" w:val="right" w:leader="none"/>
            </w:tabs>
            <w:spacing w:line="240" w:lineRule="auto" w:before="44" w:after="0"/>
            <w:ind w:left="5929" w:right="0" w:hanging="561"/>
            <w:jc w:val="left"/>
            <w:rPr>
              <w:b w:val="0"/>
            </w:rPr>
          </w:pPr>
          <w:hyperlink w:history="true" w:anchor="_bookmark3">
            <w:r>
              <w:rPr/>
              <w:t>Money</w:t>
            </w:r>
            <w:r>
              <w:rPr>
                <w:spacing w:val="-2"/>
              </w:rPr>
              <w:t> </w:t>
            </w:r>
            <w:r>
              <w:rPr/>
              <w:t>and</w:t>
            </w:r>
            <w:r>
              <w:rPr>
                <w:spacing w:val="-1"/>
              </w:rPr>
              <w:t> </w:t>
            </w:r>
            <w:r>
              <w:rPr/>
              <w:t>credit</w:t>
            </w:r>
          </w:hyperlink>
          <w:r>
            <w:rPr/>
            <w:tab/>
          </w:r>
          <w:r>
            <w:rPr>
              <w:b w:val="0"/>
            </w:rPr>
            <w:t>3</w:t>
          </w:r>
        </w:p>
        <w:p>
          <w:pPr>
            <w:pStyle w:val="TOC6"/>
            <w:tabs>
              <w:tab w:pos="10269" w:val="right" w:leader="none"/>
            </w:tabs>
          </w:pPr>
          <w:hyperlink w:history="true" w:anchor="_bookmark3">
            <w:r>
              <w:rPr/>
              <w:t>Narrow</w:t>
            </w:r>
            <w:r>
              <w:rPr>
                <w:spacing w:val="-2"/>
              </w:rPr>
              <w:t> </w:t>
            </w:r>
            <w:r>
              <w:rPr/>
              <w:t>money</w:t>
            </w:r>
          </w:hyperlink>
          <w:r>
            <w:rPr/>
            <w:tab/>
            <w:t>3</w:t>
          </w:r>
        </w:p>
        <w:p>
          <w:pPr>
            <w:pStyle w:val="TOC6"/>
            <w:tabs>
              <w:tab w:pos="10269" w:val="right" w:leader="none"/>
            </w:tabs>
            <w:spacing w:before="45"/>
          </w:pPr>
          <w:hyperlink w:history="true" w:anchor="_bookmark5">
            <w:r>
              <w:rPr/>
              <w:t>Broad money</w:t>
            </w:r>
            <w:r>
              <w:rPr>
                <w:spacing w:val="-4"/>
              </w:rPr>
              <w:t> </w:t>
            </w:r>
            <w:r>
              <w:rPr/>
              <w:t>and</w:t>
            </w:r>
            <w:r>
              <w:rPr>
                <w:spacing w:val="-1"/>
              </w:rPr>
              <w:t> </w:t>
            </w:r>
            <w:r>
              <w:rPr/>
              <w:t>credit</w:t>
            </w:r>
          </w:hyperlink>
          <w:r>
            <w:rPr/>
            <w:tab/>
            <w:t>4</w:t>
          </w:r>
        </w:p>
        <w:p>
          <w:pPr>
            <w:pStyle w:val="TOC6"/>
            <w:tabs>
              <w:tab w:pos="10269" w:val="right" w:leader="none"/>
            </w:tabs>
          </w:pPr>
          <w:hyperlink w:history="true" w:anchor="_bookmark8">
            <w:r>
              <w:rPr/>
              <w:t>Household sector</w:t>
            </w:r>
          </w:hyperlink>
          <w:r>
            <w:rPr/>
            <w:tab/>
            <w:t>6</w:t>
          </w:r>
        </w:p>
        <w:p>
          <w:pPr>
            <w:pStyle w:val="TOC6"/>
            <w:tabs>
              <w:tab w:pos="10269" w:val="right" w:leader="none"/>
            </w:tabs>
          </w:pPr>
          <w:hyperlink w:history="true" w:anchor="_bookmark9">
            <w:r>
              <w:rPr>
                <w:spacing w:val="-3"/>
              </w:rPr>
              <w:t>Private </w:t>
            </w:r>
            <w:r>
              <w:rPr/>
              <w:t>non-financial</w:t>
            </w:r>
            <w:r>
              <w:rPr>
                <w:spacing w:val="-3"/>
              </w:rPr>
              <w:t> </w:t>
            </w:r>
            <w:r>
              <w:rPr/>
              <w:t>corporations</w:t>
            </w:r>
          </w:hyperlink>
          <w:r>
            <w:rPr/>
            <w:tab/>
            <w:t>7</w:t>
          </w:r>
        </w:p>
        <w:p>
          <w:pPr>
            <w:pStyle w:val="TOC6"/>
            <w:tabs>
              <w:tab w:pos="10269" w:val="right" w:leader="none"/>
            </w:tabs>
          </w:pPr>
          <w:hyperlink w:history="true" w:anchor="_bookmark10">
            <w:r>
              <w:rPr/>
              <w:t>Other</w:t>
            </w:r>
            <w:r>
              <w:rPr>
                <w:spacing w:val="-3"/>
              </w:rPr>
              <w:t> </w:t>
            </w:r>
            <w:r>
              <w:rPr/>
              <w:t>financial</w:t>
            </w:r>
            <w:r>
              <w:rPr>
                <w:spacing w:val="-2"/>
              </w:rPr>
              <w:t> </w:t>
            </w:r>
            <w:r>
              <w:rPr/>
              <w:t>corporations</w:t>
            </w:r>
          </w:hyperlink>
          <w:r>
            <w:rPr/>
            <w:tab/>
            <w:t>8</w:t>
          </w:r>
        </w:p>
        <w:p>
          <w:pPr>
            <w:pStyle w:val="TOC2"/>
            <w:numPr>
              <w:ilvl w:val="1"/>
              <w:numId w:val="1"/>
            </w:numPr>
            <w:tabs>
              <w:tab w:pos="5929" w:val="left" w:leader="none"/>
              <w:tab w:pos="5930" w:val="left" w:leader="none"/>
              <w:tab w:pos="10269" w:val="right" w:leader="none"/>
            </w:tabs>
            <w:spacing w:line="240" w:lineRule="auto" w:before="44" w:after="0"/>
            <w:ind w:left="5929" w:right="0" w:hanging="561"/>
            <w:jc w:val="left"/>
            <w:rPr>
              <w:b w:val="0"/>
            </w:rPr>
          </w:pPr>
          <w:hyperlink w:history="true" w:anchor="_bookmark10">
            <w:r>
              <w:rPr/>
              <w:t>Interest rates and</w:t>
            </w:r>
            <w:r>
              <w:rPr>
                <w:spacing w:val="-7"/>
              </w:rPr>
              <w:t> </w:t>
            </w:r>
            <w:r>
              <w:rPr/>
              <w:t>asset</w:t>
            </w:r>
            <w:r>
              <w:rPr>
                <w:spacing w:val="-2"/>
              </w:rPr>
              <w:t> </w:t>
            </w:r>
            <w:r>
              <w:rPr/>
              <w:t>prices</w:t>
            </w:r>
          </w:hyperlink>
          <w:r>
            <w:rPr/>
            <w:tab/>
          </w:r>
          <w:r>
            <w:rPr>
              <w:b w:val="0"/>
            </w:rPr>
            <w:t>8</w:t>
          </w:r>
        </w:p>
        <w:p>
          <w:pPr>
            <w:pStyle w:val="TOC6"/>
            <w:tabs>
              <w:tab w:pos="10269" w:val="right" w:leader="none"/>
            </w:tabs>
          </w:pPr>
          <w:hyperlink w:history="true" w:anchor="_bookmark10">
            <w:r>
              <w:rPr/>
              <w:t>Short-term</w:t>
            </w:r>
            <w:r>
              <w:rPr>
                <w:spacing w:val="-2"/>
              </w:rPr>
              <w:t> </w:t>
            </w:r>
            <w:r>
              <w:rPr/>
              <w:t>interest</w:t>
            </w:r>
            <w:r>
              <w:rPr>
                <w:spacing w:val="-2"/>
              </w:rPr>
              <w:t> </w:t>
            </w:r>
            <w:r>
              <w:rPr/>
              <w:t>rates</w:t>
            </w:r>
          </w:hyperlink>
          <w:r>
            <w:rPr/>
            <w:tab/>
            <w:t>8</w:t>
          </w:r>
        </w:p>
        <w:p>
          <w:pPr>
            <w:pStyle w:val="TOC6"/>
            <w:tabs>
              <w:tab w:pos="10269" w:val="right" w:leader="none"/>
            </w:tabs>
          </w:pPr>
          <w:hyperlink w:history="true" w:anchor="_bookmark11">
            <w:r>
              <w:rPr/>
              <w:t>Long-term</w:t>
            </w:r>
            <w:r>
              <w:rPr>
                <w:spacing w:val="-2"/>
              </w:rPr>
              <w:t> </w:t>
            </w:r>
            <w:r>
              <w:rPr/>
              <w:t>interest</w:t>
            </w:r>
            <w:r>
              <w:rPr>
                <w:spacing w:val="-2"/>
              </w:rPr>
              <w:t> </w:t>
            </w:r>
            <w:r>
              <w:rPr/>
              <w:t>rates</w:t>
            </w:r>
          </w:hyperlink>
          <w:r>
            <w:rPr/>
            <w:tab/>
            <w:t>9</w:t>
          </w:r>
        </w:p>
        <w:p>
          <w:pPr>
            <w:pStyle w:val="TOC6"/>
            <w:tabs>
              <w:tab w:pos="10269" w:val="right" w:leader="none"/>
            </w:tabs>
          </w:pPr>
          <w:hyperlink w:history="true" w:anchor="_bookmark14">
            <w:r>
              <w:rPr/>
              <w:t>Retail</w:t>
            </w:r>
            <w:r>
              <w:rPr>
                <w:spacing w:val="-2"/>
              </w:rPr>
              <w:t> </w:t>
            </w:r>
            <w:r>
              <w:rPr/>
              <w:t>rates</w:t>
            </w:r>
          </w:hyperlink>
          <w:r>
            <w:rPr/>
            <w:tab/>
            <w:t>11</w:t>
          </w:r>
        </w:p>
        <w:p>
          <w:pPr>
            <w:pStyle w:val="TOC6"/>
            <w:tabs>
              <w:tab w:pos="10269" w:val="right" w:leader="none"/>
            </w:tabs>
          </w:pPr>
          <w:hyperlink w:history="true" w:anchor="_bookmark14">
            <w:r>
              <w:rPr/>
              <w:t>Equity</w:t>
            </w:r>
            <w:r>
              <w:rPr>
                <w:spacing w:val="-2"/>
              </w:rPr>
              <w:t> </w:t>
            </w:r>
            <w:r>
              <w:rPr/>
              <w:t>prices</w:t>
            </w:r>
          </w:hyperlink>
          <w:r>
            <w:rPr/>
            <w:tab/>
            <w:t>11</w:t>
          </w:r>
        </w:p>
        <w:p>
          <w:pPr>
            <w:pStyle w:val="TOC6"/>
            <w:tabs>
              <w:tab w:pos="10269" w:val="right" w:leader="none"/>
            </w:tabs>
          </w:pPr>
          <w:hyperlink w:history="true" w:anchor="_bookmark14">
            <w:r>
              <w:rPr/>
              <w:t>Property</w:t>
            </w:r>
            <w:r>
              <w:rPr>
                <w:spacing w:val="-2"/>
              </w:rPr>
              <w:t> </w:t>
            </w:r>
            <w:r>
              <w:rPr/>
              <w:t>prices</w:t>
            </w:r>
          </w:hyperlink>
          <w:r>
            <w:rPr/>
            <w:tab/>
            <w:t>11</w:t>
          </w:r>
        </w:p>
        <w:p>
          <w:pPr>
            <w:pStyle w:val="TOC6"/>
            <w:tabs>
              <w:tab w:pos="10269" w:val="right" w:leader="none"/>
            </w:tabs>
          </w:pPr>
          <w:hyperlink w:history="true" w:anchor="_bookmark15">
            <w:r>
              <w:rPr/>
              <w:t>Exchange</w:t>
            </w:r>
            <w:r>
              <w:rPr>
                <w:spacing w:val="-2"/>
              </w:rPr>
              <w:t> </w:t>
            </w:r>
            <w:r>
              <w:rPr/>
              <w:t>rates</w:t>
            </w:r>
          </w:hyperlink>
          <w:r>
            <w:rPr/>
            <w:tab/>
            <w:t>12</w:t>
          </w:r>
        </w:p>
        <w:p>
          <w:pPr>
            <w:pStyle w:val="TOC2"/>
            <w:numPr>
              <w:ilvl w:val="1"/>
              <w:numId w:val="1"/>
            </w:numPr>
            <w:tabs>
              <w:tab w:pos="5929" w:val="left" w:leader="none"/>
              <w:tab w:pos="5930" w:val="left" w:leader="none"/>
              <w:tab w:pos="10269" w:val="right" w:leader="none"/>
            </w:tabs>
            <w:spacing w:line="240" w:lineRule="auto" w:before="44" w:after="0"/>
            <w:ind w:left="5929" w:right="0" w:hanging="561"/>
            <w:jc w:val="left"/>
            <w:rPr>
              <w:b w:val="0"/>
            </w:rPr>
          </w:pPr>
          <w:hyperlink w:history="true" w:anchor="_bookmark16">
            <w:r>
              <w:rPr/>
              <w:t>Summary</w:t>
            </w:r>
          </w:hyperlink>
          <w:r>
            <w:rPr/>
            <w:tab/>
          </w:r>
          <w:r>
            <w:rPr>
              <w:b w:val="0"/>
            </w:rPr>
            <w:t>13</w:t>
          </w:r>
        </w:p>
        <w:p>
          <w:pPr>
            <w:pStyle w:val="TOC3"/>
            <w:tabs>
              <w:tab w:pos="6229" w:val="left" w:leader="none"/>
            </w:tabs>
            <w:rPr>
              <w:i/>
            </w:rPr>
          </w:pPr>
          <w:r>
            <w:rPr>
              <w:i/>
            </w:rPr>
            <w:t>Boxes:</w:t>
            <w:tab/>
          </w:r>
          <w:hyperlink w:history="true" w:anchor="_bookmark6">
            <w:r>
              <w:rPr>
                <w:i/>
              </w:rPr>
              <w:t>International </w:t>
            </w:r>
            <w:r>
              <w:rPr>
                <w:i/>
                <w:spacing w:val="-3"/>
              </w:rPr>
              <w:t>trends </w:t>
            </w:r>
            <w:r>
              <w:rPr>
                <w:i/>
              </w:rPr>
              <w:t>in</w:t>
            </w:r>
            <w:r>
              <w:rPr>
                <w:i/>
                <w:spacing w:val="-1"/>
              </w:rPr>
              <w:t> </w:t>
            </w:r>
            <w:r>
              <w:rPr>
                <w:i/>
                <w:spacing w:val="-3"/>
              </w:rPr>
              <w:t>narrow</w:t>
            </w:r>
          </w:hyperlink>
        </w:p>
        <w:p>
          <w:pPr>
            <w:pStyle w:val="TOC8"/>
            <w:tabs>
              <w:tab w:pos="10269" w:val="right" w:leader="none"/>
            </w:tabs>
            <w:spacing w:before="24"/>
            <w:rPr>
              <w:i w:val="0"/>
            </w:rPr>
          </w:pPr>
          <w:hyperlink w:history="true" w:anchor="_bookmark6">
            <w:r>
              <w:rPr>
                <w:i/>
              </w:rPr>
              <w:t>money</w:t>
            </w:r>
            <w:r>
              <w:rPr>
                <w:i/>
                <w:spacing w:val="-2"/>
              </w:rPr>
              <w:t> </w:t>
            </w:r>
            <w:r>
              <w:rPr>
                <w:i/>
              </w:rPr>
              <w:t>velocity</w:t>
            </w:r>
          </w:hyperlink>
          <w:r>
            <w:rPr>
              <w:i/>
            </w:rPr>
            <w:tab/>
          </w:r>
          <w:r>
            <w:rPr>
              <w:i w:val="0"/>
            </w:rPr>
            <w:t>5</w:t>
          </w:r>
        </w:p>
        <w:p>
          <w:pPr>
            <w:pStyle w:val="TOC7"/>
            <w:spacing w:line="261" w:lineRule="auto"/>
          </w:pPr>
          <w:hyperlink w:history="true" w:anchor="_bookmark12">
            <w:r>
              <w:rPr>
                <w:i/>
              </w:rPr>
              <w:t>Implications for monetary policy </w:t>
            </w:r>
            <w:r>
              <w:rPr/>
              <w:t>of the third generation mobile</w:t>
            </w:r>
          </w:hyperlink>
        </w:p>
        <w:p>
          <w:pPr>
            <w:pStyle w:val="TOC8"/>
            <w:tabs>
              <w:tab w:pos="10269" w:val="right" w:leader="none"/>
            </w:tabs>
            <w:spacing w:line="274" w:lineRule="exact"/>
            <w:rPr>
              <w:i w:val="0"/>
            </w:rPr>
          </w:pPr>
          <w:hyperlink w:history="true" w:anchor="_bookmark12">
            <w:r>
              <w:rPr>
                <w:i/>
              </w:rPr>
              <w:t>spectrum licence auctions</w:t>
            </w:r>
          </w:hyperlink>
          <w:r>
            <w:rPr>
              <w:i/>
            </w:rPr>
            <w:tab/>
          </w:r>
          <w:r>
            <w:rPr>
              <w:i w:val="0"/>
            </w:rPr>
            <w:t>10</w:t>
          </w:r>
        </w:p>
        <w:p>
          <w:pPr>
            <w:pStyle w:val="TOC1"/>
            <w:numPr>
              <w:ilvl w:val="0"/>
              <w:numId w:val="1"/>
            </w:numPr>
            <w:tabs>
              <w:tab w:pos="5369" w:val="left" w:leader="none"/>
              <w:tab w:pos="5370" w:val="left" w:leader="none"/>
              <w:tab w:pos="10269" w:val="right" w:leader="none"/>
            </w:tabs>
            <w:spacing w:line="240" w:lineRule="auto" w:before="364" w:after="0"/>
            <w:ind w:left="5369" w:right="0" w:hanging="381"/>
            <w:jc w:val="left"/>
            <w:rPr>
              <w:b w:val="0"/>
            </w:rPr>
          </w:pPr>
          <w:hyperlink w:history="true" w:anchor="_bookmark17">
            <w:r>
              <w:rPr>
                <w:color w:val="0092C7"/>
              </w:rPr>
              <w:t>Demand</w:t>
            </w:r>
            <w:r>
              <w:rPr>
                <w:color w:val="0092C7"/>
                <w:spacing w:val="-2"/>
              </w:rPr>
              <w:t> </w:t>
            </w:r>
            <w:r>
              <w:rPr>
                <w:color w:val="0092C7"/>
              </w:rPr>
              <w:t>and</w:t>
            </w:r>
            <w:r>
              <w:rPr>
                <w:color w:val="0092C7"/>
                <w:spacing w:val="-1"/>
              </w:rPr>
              <w:t> </w:t>
            </w:r>
            <w:r>
              <w:rPr>
                <w:color w:val="0092C7"/>
              </w:rPr>
              <w:t>output</w:t>
            </w:r>
          </w:hyperlink>
          <w:r>
            <w:rPr>
              <w:color w:val="0092C7"/>
            </w:rPr>
            <w:tab/>
          </w:r>
          <w:r>
            <w:rPr>
              <w:b w:val="0"/>
            </w:rPr>
            <w:t>14</w:t>
          </w:r>
        </w:p>
        <w:p>
          <w:pPr>
            <w:pStyle w:val="TOC2"/>
            <w:numPr>
              <w:ilvl w:val="1"/>
              <w:numId w:val="1"/>
            </w:numPr>
            <w:tabs>
              <w:tab w:pos="5929" w:val="left" w:leader="none"/>
              <w:tab w:pos="5930" w:val="left" w:leader="none"/>
              <w:tab w:pos="10269" w:val="right" w:leader="none"/>
            </w:tabs>
            <w:spacing w:line="240" w:lineRule="auto" w:before="44" w:after="0"/>
            <w:ind w:left="5929" w:right="0" w:hanging="561"/>
            <w:jc w:val="left"/>
            <w:rPr>
              <w:b w:val="0"/>
            </w:rPr>
          </w:pPr>
          <w:hyperlink w:history="true" w:anchor="_bookmark17">
            <w:r>
              <w:rPr/>
              <w:t>External</w:t>
            </w:r>
            <w:r>
              <w:rPr>
                <w:spacing w:val="-2"/>
              </w:rPr>
              <w:t> </w:t>
            </w:r>
            <w:r>
              <w:rPr/>
              <w:t>demand</w:t>
            </w:r>
          </w:hyperlink>
          <w:r>
            <w:rPr/>
            <w:tab/>
          </w:r>
          <w:r>
            <w:rPr>
              <w:b w:val="0"/>
            </w:rPr>
            <w:t>14</w:t>
          </w:r>
        </w:p>
        <w:p>
          <w:pPr>
            <w:pStyle w:val="TOC2"/>
            <w:numPr>
              <w:ilvl w:val="1"/>
              <w:numId w:val="1"/>
            </w:numPr>
            <w:tabs>
              <w:tab w:pos="5929" w:val="left" w:leader="none"/>
              <w:tab w:pos="5930" w:val="left" w:leader="none"/>
              <w:tab w:pos="10269" w:val="right" w:leader="none"/>
            </w:tabs>
            <w:spacing w:line="240" w:lineRule="auto" w:before="44" w:after="0"/>
            <w:ind w:left="5929" w:right="0" w:hanging="561"/>
            <w:jc w:val="left"/>
            <w:rPr>
              <w:b w:val="0"/>
            </w:rPr>
          </w:pPr>
          <w:hyperlink w:history="true" w:anchor="_bookmark19">
            <w:r>
              <w:rPr/>
              <w:t>Domestic</w:t>
            </w:r>
            <w:r>
              <w:rPr>
                <w:spacing w:val="-2"/>
              </w:rPr>
              <w:t> </w:t>
            </w:r>
            <w:r>
              <w:rPr/>
              <w:t>demand</w:t>
            </w:r>
          </w:hyperlink>
          <w:r>
            <w:rPr/>
            <w:tab/>
          </w:r>
          <w:r>
            <w:rPr>
              <w:b w:val="0"/>
            </w:rPr>
            <w:t>16</w:t>
          </w:r>
        </w:p>
        <w:p>
          <w:pPr>
            <w:pStyle w:val="TOC6"/>
            <w:tabs>
              <w:tab w:pos="10269" w:val="right" w:leader="none"/>
            </w:tabs>
          </w:pPr>
          <w:hyperlink w:history="true" w:anchor="_bookmark19">
            <w:r>
              <w:rPr/>
              <w:t>Consumption</w:t>
            </w:r>
          </w:hyperlink>
          <w:r>
            <w:rPr/>
            <w:tab/>
            <w:t>16</w:t>
          </w:r>
        </w:p>
        <w:p>
          <w:pPr>
            <w:pStyle w:val="TOC6"/>
            <w:tabs>
              <w:tab w:pos="10269" w:val="right" w:leader="none"/>
            </w:tabs>
          </w:pPr>
          <w:hyperlink w:history="true" w:anchor="_bookmark20">
            <w:r>
              <w:rPr>
                <w:spacing w:val="-3"/>
              </w:rPr>
              <w:t>Investment</w:t>
            </w:r>
            <w:r>
              <w:rPr>
                <w:spacing w:val="-1"/>
              </w:rPr>
              <w:t> </w:t>
            </w:r>
            <w:r>
              <w:rPr/>
              <w:t>demand</w:t>
            </w:r>
          </w:hyperlink>
          <w:r>
            <w:rPr/>
            <w:tab/>
            <w:t>19</w:t>
          </w:r>
        </w:p>
        <w:p>
          <w:pPr>
            <w:pStyle w:val="TOC6"/>
            <w:tabs>
              <w:tab w:pos="10269" w:val="right" w:leader="none"/>
            </w:tabs>
          </w:pPr>
          <w:hyperlink w:history="true" w:anchor="_bookmark21">
            <w:r>
              <w:rPr>
                <w:spacing w:val="-3"/>
              </w:rPr>
              <w:t>Inventories</w:t>
            </w:r>
          </w:hyperlink>
          <w:r>
            <w:rPr>
              <w:spacing w:val="-3"/>
            </w:rPr>
            <w:tab/>
          </w:r>
          <w:r>
            <w:rPr/>
            <w:t>20</w:t>
          </w:r>
        </w:p>
        <w:p>
          <w:pPr>
            <w:pStyle w:val="TOC6"/>
            <w:tabs>
              <w:tab w:pos="10269" w:val="right" w:leader="none"/>
            </w:tabs>
          </w:pPr>
          <w:hyperlink w:history="true" w:anchor="_bookmark23">
            <w:r>
              <w:rPr/>
              <w:t>Public sector demand</w:t>
            </w:r>
          </w:hyperlink>
          <w:r>
            <w:rPr/>
            <w:tab/>
            <w:t>21</w:t>
          </w:r>
        </w:p>
        <w:p>
          <w:pPr>
            <w:pStyle w:val="TOC4"/>
            <w:numPr>
              <w:ilvl w:val="1"/>
              <w:numId w:val="1"/>
            </w:numPr>
            <w:tabs>
              <w:tab w:pos="5929" w:val="left" w:leader="none"/>
              <w:tab w:pos="5930" w:val="left" w:leader="none"/>
              <w:tab w:pos="10269" w:val="right" w:leader="none"/>
            </w:tabs>
            <w:spacing w:line="240" w:lineRule="auto" w:before="24" w:after="0"/>
            <w:ind w:left="5929" w:right="0" w:hanging="561"/>
            <w:jc w:val="left"/>
            <w:rPr>
              <w:b w:val="0"/>
              <w:i w:val="0"/>
              <w:sz w:val="24"/>
            </w:rPr>
          </w:pPr>
          <w:hyperlink w:history="true" w:anchor="_bookmark24">
            <w:r>
              <w:rPr>
                <w:i w:val="0"/>
                <w:sz w:val="24"/>
              </w:rPr>
              <w:t>Output</w:t>
            </w:r>
          </w:hyperlink>
          <w:r>
            <w:rPr>
              <w:i w:val="0"/>
              <w:sz w:val="24"/>
            </w:rPr>
            <w:tab/>
          </w:r>
          <w:r>
            <w:rPr>
              <w:b w:val="0"/>
              <w:i w:val="0"/>
              <w:sz w:val="24"/>
            </w:rPr>
            <w:t>22</w:t>
          </w:r>
        </w:p>
        <w:p>
          <w:pPr>
            <w:pStyle w:val="TOC2"/>
            <w:numPr>
              <w:ilvl w:val="1"/>
              <w:numId w:val="1"/>
            </w:numPr>
            <w:tabs>
              <w:tab w:pos="5929" w:val="left" w:leader="none"/>
              <w:tab w:pos="5930" w:val="left" w:leader="none"/>
              <w:tab w:pos="10269" w:val="right" w:leader="none"/>
            </w:tabs>
            <w:spacing w:line="240" w:lineRule="auto" w:before="24" w:after="0"/>
            <w:ind w:left="5929" w:right="0" w:hanging="561"/>
            <w:jc w:val="left"/>
            <w:rPr>
              <w:b w:val="0"/>
            </w:rPr>
          </w:pPr>
          <w:hyperlink w:history="true" w:anchor="_bookmark25">
            <w:r>
              <w:rPr/>
              <w:t>Summary</w:t>
            </w:r>
          </w:hyperlink>
          <w:r>
            <w:rPr/>
            <w:tab/>
          </w:r>
          <w:r>
            <w:rPr>
              <w:b w:val="0"/>
            </w:rPr>
            <w:t>24</w:t>
          </w:r>
        </w:p>
        <w:p>
          <w:pPr>
            <w:pStyle w:val="TOC1"/>
            <w:numPr>
              <w:ilvl w:val="0"/>
              <w:numId w:val="1"/>
            </w:numPr>
            <w:tabs>
              <w:tab w:pos="5369" w:val="left" w:leader="none"/>
              <w:tab w:pos="5370" w:val="left" w:leader="none"/>
              <w:tab w:pos="10269" w:val="right" w:leader="none"/>
            </w:tabs>
            <w:spacing w:line="240" w:lineRule="auto" w:before="324" w:after="0"/>
            <w:ind w:left="5369" w:right="0" w:hanging="381"/>
            <w:jc w:val="left"/>
            <w:rPr>
              <w:b w:val="0"/>
            </w:rPr>
          </w:pPr>
          <w:hyperlink w:history="true" w:anchor="_bookmark26">
            <w:r>
              <w:rPr>
                <w:color w:val="0092C7"/>
              </w:rPr>
              <w:t>The</w:t>
            </w:r>
            <w:r>
              <w:rPr>
                <w:color w:val="0092C7"/>
                <w:spacing w:val="-2"/>
              </w:rPr>
              <w:t> </w:t>
            </w:r>
            <w:r>
              <w:rPr>
                <w:color w:val="0092C7"/>
              </w:rPr>
              <w:t>labour</w:t>
            </w:r>
            <w:r>
              <w:rPr>
                <w:color w:val="0092C7"/>
                <w:spacing w:val="-1"/>
              </w:rPr>
              <w:t> </w:t>
            </w:r>
            <w:r>
              <w:rPr>
                <w:color w:val="0092C7"/>
              </w:rPr>
              <w:t>market</w:t>
            </w:r>
          </w:hyperlink>
          <w:r>
            <w:rPr>
              <w:color w:val="0092C7"/>
            </w:rPr>
            <w:tab/>
          </w:r>
          <w:r>
            <w:rPr>
              <w:b w:val="0"/>
            </w:rPr>
            <w:t>25</w:t>
          </w:r>
        </w:p>
        <w:p>
          <w:pPr>
            <w:pStyle w:val="TOC2"/>
            <w:numPr>
              <w:ilvl w:val="1"/>
              <w:numId w:val="1"/>
            </w:numPr>
            <w:tabs>
              <w:tab w:pos="5929" w:val="left" w:leader="none"/>
              <w:tab w:pos="5930" w:val="left" w:leader="none"/>
            </w:tabs>
            <w:spacing w:line="240" w:lineRule="auto" w:before="44" w:after="0"/>
            <w:ind w:left="5929" w:right="0" w:hanging="561"/>
            <w:jc w:val="left"/>
          </w:pPr>
          <w:hyperlink w:history="true" w:anchor="_bookmark26">
            <w:r>
              <w:rPr/>
              <w:t>Employment, labour market</w:t>
            </w:r>
            <w:r>
              <w:rPr>
                <w:spacing w:val="-9"/>
              </w:rPr>
              <w:t> </w:t>
            </w:r>
            <w:r>
              <w:rPr/>
              <w:t>tightness</w:t>
            </w:r>
          </w:hyperlink>
        </w:p>
        <w:p>
          <w:pPr>
            <w:pStyle w:val="TOC5"/>
            <w:tabs>
              <w:tab w:pos="10269" w:val="right" w:leader="none"/>
            </w:tabs>
            <w:rPr>
              <w:b w:val="0"/>
            </w:rPr>
          </w:pPr>
          <w:hyperlink w:history="true" w:anchor="_bookmark26">
            <w:r>
              <w:rPr/>
              <w:t>and</w:t>
            </w:r>
            <w:r>
              <w:rPr>
                <w:spacing w:val="-3"/>
              </w:rPr>
              <w:t> </w:t>
            </w:r>
            <w:r>
              <w:rPr/>
              <w:t>productivity</w:t>
            </w:r>
            <w:r>
              <w:rPr>
                <w:spacing w:val="-2"/>
              </w:rPr>
              <w:t> </w:t>
            </w:r>
            <w:r>
              <w:rPr/>
              <w:t>growth</w:t>
            </w:r>
          </w:hyperlink>
          <w:r>
            <w:rPr/>
            <w:tab/>
          </w:r>
          <w:r>
            <w:rPr>
              <w:b w:val="0"/>
            </w:rPr>
            <w:t>25</w:t>
          </w:r>
        </w:p>
        <w:p>
          <w:pPr>
            <w:pStyle w:val="TOC2"/>
            <w:numPr>
              <w:ilvl w:val="1"/>
              <w:numId w:val="1"/>
            </w:numPr>
            <w:tabs>
              <w:tab w:pos="5929" w:val="left" w:leader="none"/>
              <w:tab w:pos="5930" w:val="left" w:leader="none"/>
              <w:tab w:pos="10269" w:val="right" w:leader="none"/>
            </w:tabs>
            <w:spacing w:line="240" w:lineRule="auto" w:before="44" w:after="0"/>
            <w:ind w:left="5929" w:right="0" w:hanging="561"/>
            <w:jc w:val="left"/>
            <w:rPr>
              <w:b w:val="0"/>
            </w:rPr>
          </w:pPr>
          <w:hyperlink w:history="true" w:anchor="_bookmark27">
            <w:r>
              <w:rPr/>
              <w:t>Earnings</w:t>
            </w:r>
            <w:r>
              <w:rPr>
                <w:spacing w:val="-2"/>
              </w:rPr>
              <w:t> </w:t>
            </w:r>
            <w:r>
              <w:rPr/>
              <w:t>and</w:t>
            </w:r>
            <w:r>
              <w:rPr>
                <w:spacing w:val="-2"/>
              </w:rPr>
              <w:t> </w:t>
            </w:r>
            <w:r>
              <w:rPr/>
              <w:t>settlements</w:t>
            </w:r>
          </w:hyperlink>
          <w:r>
            <w:rPr/>
            <w:tab/>
          </w:r>
          <w:r>
            <w:rPr>
              <w:b w:val="0"/>
            </w:rPr>
            <w:t>28</w:t>
          </w:r>
        </w:p>
        <w:p>
          <w:pPr>
            <w:pStyle w:val="TOC2"/>
            <w:numPr>
              <w:ilvl w:val="1"/>
              <w:numId w:val="1"/>
            </w:numPr>
            <w:tabs>
              <w:tab w:pos="5929" w:val="left" w:leader="none"/>
              <w:tab w:pos="5930" w:val="left" w:leader="none"/>
              <w:tab w:pos="10269" w:val="right" w:leader="none"/>
            </w:tabs>
            <w:spacing w:line="240" w:lineRule="auto" w:before="44" w:after="0"/>
            <w:ind w:left="5929" w:right="0" w:hanging="561"/>
            <w:jc w:val="left"/>
            <w:rPr>
              <w:b w:val="0"/>
            </w:rPr>
          </w:pPr>
          <w:hyperlink w:history="true" w:anchor="_bookmark28">
            <w:r>
              <w:rPr/>
              <w:t>Summary</w:t>
            </w:r>
          </w:hyperlink>
          <w:r>
            <w:rPr/>
            <w:tab/>
          </w:r>
          <w:r>
            <w:rPr>
              <w:b w:val="0"/>
            </w:rPr>
            <w:t>32</w:t>
          </w:r>
        </w:p>
        <w:p>
          <w:pPr>
            <w:pStyle w:val="TOC1"/>
            <w:numPr>
              <w:ilvl w:val="0"/>
              <w:numId w:val="1"/>
            </w:numPr>
            <w:tabs>
              <w:tab w:pos="5369" w:val="left" w:leader="none"/>
              <w:tab w:pos="5370" w:val="left" w:leader="none"/>
              <w:tab w:pos="10269" w:val="right" w:leader="none"/>
            </w:tabs>
            <w:spacing w:line="240" w:lineRule="auto" w:before="364" w:after="0"/>
            <w:ind w:left="5369" w:right="0" w:hanging="381"/>
            <w:jc w:val="left"/>
            <w:rPr>
              <w:b w:val="0"/>
            </w:rPr>
          </w:pPr>
          <w:hyperlink w:history="true" w:anchor="_bookmark29">
            <w:r>
              <w:rPr>
                <w:color w:val="0092C7"/>
              </w:rPr>
              <w:t>Costs</w:t>
            </w:r>
            <w:r>
              <w:rPr>
                <w:color w:val="0092C7"/>
                <w:spacing w:val="-2"/>
              </w:rPr>
              <w:t> </w:t>
            </w:r>
            <w:r>
              <w:rPr>
                <w:color w:val="0092C7"/>
              </w:rPr>
              <w:t>and</w:t>
            </w:r>
            <w:r>
              <w:rPr>
                <w:color w:val="0092C7"/>
                <w:spacing w:val="-1"/>
              </w:rPr>
              <w:t> </w:t>
            </w:r>
            <w:r>
              <w:rPr>
                <w:color w:val="0092C7"/>
              </w:rPr>
              <w:t>prices</w:t>
            </w:r>
          </w:hyperlink>
          <w:r>
            <w:rPr>
              <w:color w:val="0092C7"/>
            </w:rPr>
            <w:tab/>
          </w:r>
          <w:r>
            <w:rPr>
              <w:b w:val="0"/>
            </w:rPr>
            <w:t>33</w:t>
          </w:r>
        </w:p>
        <w:p>
          <w:pPr>
            <w:pStyle w:val="TOC2"/>
            <w:numPr>
              <w:ilvl w:val="1"/>
              <w:numId w:val="1"/>
            </w:numPr>
            <w:tabs>
              <w:tab w:pos="5929" w:val="left" w:leader="none"/>
              <w:tab w:pos="5930" w:val="left" w:leader="none"/>
              <w:tab w:pos="10269" w:val="right" w:leader="none"/>
            </w:tabs>
            <w:spacing w:line="240" w:lineRule="auto" w:before="44" w:after="0"/>
            <w:ind w:left="5929" w:right="0" w:hanging="561"/>
            <w:jc w:val="left"/>
            <w:rPr>
              <w:b w:val="0"/>
            </w:rPr>
          </w:pPr>
          <w:hyperlink w:history="true" w:anchor="_bookmark29">
            <w:r>
              <w:rPr/>
              <w:t>Raw materials and</w:t>
            </w:r>
            <w:r>
              <w:rPr>
                <w:spacing w:val="-12"/>
              </w:rPr>
              <w:t> </w:t>
            </w:r>
            <w:r>
              <w:rPr/>
              <w:t>commodity</w:t>
            </w:r>
            <w:r>
              <w:rPr>
                <w:spacing w:val="-4"/>
              </w:rPr>
              <w:t> </w:t>
            </w:r>
            <w:r>
              <w:rPr/>
              <w:t>prices</w:t>
            </w:r>
          </w:hyperlink>
          <w:r>
            <w:rPr/>
            <w:tab/>
          </w:r>
          <w:r>
            <w:rPr>
              <w:b w:val="0"/>
            </w:rPr>
            <w:t>33</w:t>
          </w:r>
        </w:p>
        <w:p>
          <w:pPr>
            <w:pStyle w:val="TOC2"/>
            <w:numPr>
              <w:ilvl w:val="1"/>
              <w:numId w:val="1"/>
            </w:numPr>
            <w:tabs>
              <w:tab w:pos="5929" w:val="left" w:leader="none"/>
              <w:tab w:pos="5930" w:val="left" w:leader="none"/>
              <w:tab w:pos="10269" w:val="right" w:leader="none"/>
            </w:tabs>
            <w:spacing w:line="240" w:lineRule="auto" w:before="44" w:after="0"/>
            <w:ind w:left="5929" w:right="0" w:hanging="561"/>
            <w:jc w:val="left"/>
            <w:rPr>
              <w:b w:val="0"/>
            </w:rPr>
          </w:pPr>
          <w:hyperlink w:history="true" w:anchor="_bookmark30">
            <w:r>
              <w:rPr/>
              <w:t>Import prices and the</w:t>
            </w:r>
            <w:r>
              <w:rPr>
                <w:spacing w:val="-13"/>
              </w:rPr>
              <w:t> </w:t>
            </w:r>
            <w:r>
              <w:rPr/>
              <w:t>exchange</w:t>
            </w:r>
            <w:r>
              <w:rPr>
                <w:spacing w:val="-3"/>
              </w:rPr>
              <w:t> </w:t>
            </w:r>
            <w:r>
              <w:rPr/>
              <w:t>rate</w:t>
            </w:r>
          </w:hyperlink>
          <w:r>
            <w:rPr/>
            <w:tab/>
          </w:r>
          <w:r>
            <w:rPr>
              <w:b w:val="0"/>
            </w:rPr>
            <w:t>34</w:t>
          </w:r>
        </w:p>
        <w:p>
          <w:pPr>
            <w:pStyle w:val="TOC2"/>
            <w:numPr>
              <w:ilvl w:val="1"/>
              <w:numId w:val="1"/>
            </w:numPr>
            <w:tabs>
              <w:tab w:pos="5929" w:val="left" w:leader="none"/>
              <w:tab w:pos="5930" w:val="left" w:leader="none"/>
              <w:tab w:pos="10269" w:val="right" w:leader="none"/>
            </w:tabs>
            <w:spacing w:line="240" w:lineRule="auto" w:before="44" w:after="0"/>
            <w:ind w:left="5929" w:right="0" w:hanging="561"/>
            <w:jc w:val="left"/>
            <w:rPr>
              <w:b w:val="0"/>
            </w:rPr>
          </w:pPr>
          <w:hyperlink w:history="true" w:anchor="_bookmark31">
            <w:r>
              <w:rPr/>
              <w:t>Costs and prices</w:t>
            </w:r>
            <w:r>
              <w:rPr>
                <w:spacing w:val="-9"/>
              </w:rPr>
              <w:t> </w:t>
            </w:r>
            <w:r>
              <w:rPr/>
              <w:t>in</w:t>
            </w:r>
            <w:r>
              <w:rPr>
                <w:spacing w:val="-3"/>
              </w:rPr>
              <w:t> </w:t>
            </w:r>
            <w:r>
              <w:rPr/>
              <w:t>manufacturing</w:t>
            </w:r>
          </w:hyperlink>
          <w:r>
            <w:rPr/>
            <w:tab/>
          </w:r>
          <w:r>
            <w:rPr>
              <w:b w:val="0"/>
            </w:rPr>
            <w:t>35</w:t>
          </w:r>
        </w:p>
        <w:p>
          <w:pPr>
            <w:pStyle w:val="TOC2"/>
            <w:numPr>
              <w:ilvl w:val="1"/>
              <w:numId w:val="1"/>
            </w:numPr>
            <w:tabs>
              <w:tab w:pos="5929" w:val="left" w:leader="none"/>
              <w:tab w:pos="5930" w:val="left" w:leader="none"/>
              <w:tab w:pos="10269" w:val="right" w:leader="none"/>
            </w:tabs>
            <w:spacing w:line="240" w:lineRule="auto" w:before="44" w:after="0"/>
            <w:ind w:left="5929" w:right="0" w:hanging="561"/>
            <w:jc w:val="left"/>
            <w:rPr>
              <w:b w:val="0"/>
            </w:rPr>
          </w:pPr>
          <w:hyperlink w:history="true" w:anchor="_bookmark32">
            <w:r>
              <w:rPr/>
              <w:t>Costs and prices in the</w:t>
            </w:r>
            <w:r>
              <w:rPr>
                <w:spacing w:val="-17"/>
              </w:rPr>
              <w:t> </w:t>
            </w:r>
            <w:r>
              <w:rPr/>
              <w:t>service</w:t>
            </w:r>
            <w:r>
              <w:rPr>
                <w:spacing w:val="-3"/>
              </w:rPr>
              <w:t> </w:t>
            </w:r>
            <w:r>
              <w:rPr/>
              <w:t>sector</w:t>
            </w:r>
          </w:hyperlink>
          <w:r>
            <w:rPr/>
            <w:tab/>
          </w:r>
          <w:r>
            <w:rPr>
              <w:b w:val="0"/>
            </w:rPr>
            <w:t>36</w:t>
          </w:r>
        </w:p>
      </w:sdtContent>
    </w:sdt>
    <w:p>
      <w:pPr>
        <w:spacing w:after="0" w:line="240" w:lineRule="auto"/>
        <w:jc w:val="left"/>
        <w:sectPr>
          <w:headerReference w:type="even" r:id="rId13"/>
          <w:footerReference w:type="even" r:id="rId14"/>
          <w:pgSz w:w="11900" w:h="16840"/>
          <w:pgMar w:header="0" w:footer="0" w:top="1200" w:bottom="280" w:left="640" w:right="620"/>
        </w:sectPr>
      </w:pPr>
    </w:p>
    <w:tbl>
      <w:tblPr>
        <w:tblW w:w="0" w:type="auto"/>
        <w:jc w:val="left"/>
        <w:tblInd w:w="5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6"/>
        <w:gridCol w:w="3083"/>
        <w:gridCol w:w="1360"/>
      </w:tblGrid>
      <w:tr>
        <w:trPr>
          <w:trHeight w:val="292" w:hRule="atLeast"/>
        </w:trPr>
        <w:tc>
          <w:tcPr>
            <w:tcW w:w="556" w:type="dxa"/>
          </w:tcPr>
          <w:p>
            <w:pPr>
              <w:pStyle w:val="TableParagraph"/>
              <w:spacing w:line="266" w:lineRule="exact"/>
              <w:ind w:left="50"/>
              <w:rPr>
                <w:b/>
                <w:sz w:val="24"/>
              </w:rPr>
            </w:pPr>
            <w:r>
              <w:rPr>
                <w:b/>
                <w:sz w:val="24"/>
              </w:rPr>
              <w:t>4.5</w:t>
            </w:r>
          </w:p>
        </w:tc>
        <w:tc>
          <w:tcPr>
            <w:tcW w:w="3083" w:type="dxa"/>
          </w:tcPr>
          <w:p>
            <w:pPr>
              <w:pStyle w:val="TableParagraph"/>
              <w:spacing w:line="266" w:lineRule="exact"/>
              <w:ind w:left="53"/>
              <w:rPr>
                <w:b/>
                <w:sz w:val="24"/>
              </w:rPr>
            </w:pPr>
            <w:hyperlink w:history="true" w:anchor="_bookmark32">
              <w:r>
                <w:rPr>
                  <w:b/>
                  <w:sz w:val="24"/>
                </w:rPr>
                <w:t>Retail prices</w:t>
              </w:r>
            </w:hyperlink>
          </w:p>
        </w:tc>
        <w:tc>
          <w:tcPr>
            <w:tcW w:w="1360" w:type="dxa"/>
          </w:tcPr>
          <w:p>
            <w:pPr>
              <w:pStyle w:val="TableParagraph"/>
              <w:spacing w:line="266" w:lineRule="exact"/>
              <w:ind w:right="48"/>
              <w:jc w:val="right"/>
              <w:rPr>
                <w:sz w:val="24"/>
              </w:rPr>
            </w:pPr>
            <w:r>
              <w:rPr>
                <w:sz w:val="24"/>
              </w:rPr>
              <w:t>36</w:t>
            </w:r>
          </w:p>
        </w:tc>
      </w:tr>
      <w:tr>
        <w:trPr>
          <w:trHeight w:val="319" w:hRule="atLeast"/>
        </w:trPr>
        <w:tc>
          <w:tcPr>
            <w:tcW w:w="556" w:type="dxa"/>
          </w:tcPr>
          <w:p>
            <w:pPr>
              <w:pStyle w:val="TableParagraph"/>
              <w:spacing w:line="240" w:lineRule="auto" w:before="17"/>
              <w:ind w:left="50"/>
              <w:rPr>
                <w:b/>
                <w:sz w:val="24"/>
              </w:rPr>
            </w:pPr>
            <w:r>
              <w:rPr>
                <w:b/>
                <w:sz w:val="24"/>
              </w:rPr>
              <w:t>4.6</w:t>
            </w:r>
          </w:p>
        </w:tc>
        <w:tc>
          <w:tcPr>
            <w:tcW w:w="3083" w:type="dxa"/>
          </w:tcPr>
          <w:p>
            <w:pPr>
              <w:pStyle w:val="TableParagraph"/>
              <w:spacing w:line="240" w:lineRule="auto" w:before="17"/>
              <w:ind w:left="53"/>
              <w:rPr>
                <w:b/>
                <w:sz w:val="24"/>
              </w:rPr>
            </w:pPr>
            <w:hyperlink w:history="true" w:anchor="_bookmark35">
              <w:r>
                <w:rPr>
                  <w:b/>
                  <w:sz w:val="24"/>
                </w:rPr>
                <w:t>Other price indices</w:t>
              </w:r>
            </w:hyperlink>
          </w:p>
        </w:tc>
        <w:tc>
          <w:tcPr>
            <w:tcW w:w="1360" w:type="dxa"/>
          </w:tcPr>
          <w:p>
            <w:pPr>
              <w:pStyle w:val="TableParagraph"/>
              <w:spacing w:line="240" w:lineRule="auto" w:before="17"/>
              <w:ind w:right="48"/>
              <w:jc w:val="right"/>
              <w:rPr>
                <w:sz w:val="24"/>
              </w:rPr>
            </w:pPr>
            <w:r>
              <w:rPr>
                <w:sz w:val="24"/>
              </w:rPr>
              <w:t>40</w:t>
            </w:r>
          </w:p>
        </w:tc>
      </w:tr>
      <w:tr>
        <w:trPr>
          <w:trHeight w:val="319" w:hRule="atLeast"/>
        </w:trPr>
        <w:tc>
          <w:tcPr>
            <w:tcW w:w="556" w:type="dxa"/>
          </w:tcPr>
          <w:p>
            <w:pPr>
              <w:pStyle w:val="TableParagraph"/>
              <w:spacing w:line="240" w:lineRule="auto" w:before="17"/>
              <w:ind w:left="50"/>
              <w:rPr>
                <w:b/>
                <w:sz w:val="24"/>
              </w:rPr>
            </w:pPr>
            <w:r>
              <w:rPr>
                <w:b/>
                <w:sz w:val="24"/>
              </w:rPr>
              <w:t>4.7</w:t>
            </w:r>
          </w:p>
        </w:tc>
        <w:tc>
          <w:tcPr>
            <w:tcW w:w="3083" w:type="dxa"/>
          </w:tcPr>
          <w:p>
            <w:pPr>
              <w:pStyle w:val="TableParagraph"/>
              <w:spacing w:line="240" w:lineRule="auto" w:before="17"/>
              <w:ind w:left="53"/>
              <w:rPr>
                <w:b/>
                <w:sz w:val="24"/>
              </w:rPr>
            </w:pPr>
            <w:hyperlink w:history="true" w:anchor="_bookmark36">
              <w:r>
                <w:rPr>
                  <w:b/>
                  <w:sz w:val="24"/>
                </w:rPr>
                <w:t>Summary</w:t>
              </w:r>
            </w:hyperlink>
          </w:p>
        </w:tc>
        <w:tc>
          <w:tcPr>
            <w:tcW w:w="1360" w:type="dxa"/>
          </w:tcPr>
          <w:p>
            <w:pPr>
              <w:pStyle w:val="TableParagraph"/>
              <w:spacing w:line="240" w:lineRule="auto" w:before="17"/>
              <w:ind w:right="48"/>
              <w:jc w:val="right"/>
              <w:rPr>
                <w:sz w:val="24"/>
              </w:rPr>
            </w:pPr>
            <w:r>
              <w:rPr>
                <w:sz w:val="24"/>
              </w:rPr>
              <w:t>42</w:t>
            </w:r>
          </w:p>
        </w:tc>
      </w:tr>
      <w:tr>
        <w:trPr>
          <w:trHeight w:val="292" w:hRule="atLeast"/>
        </w:trPr>
        <w:tc>
          <w:tcPr>
            <w:tcW w:w="556" w:type="dxa"/>
          </w:tcPr>
          <w:p>
            <w:pPr>
              <w:pStyle w:val="TableParagraph"/>
              <w:spacing w:line="256" w:lineRule="exact" w:before="17"/>
              <w:ind w:left="50"/>
              <w:rPr>
                <w:i/>
                <w:sz w:val="24"/>
              </w:rPr>
            </w:pPr>
            <w:r>
              <w:rPr>
                <w:i/>
                <w:sz w:val="24"/>
              </w:rPr>
              <w:t>Box:</w:t>
            </w:r>
          </w:p>
        </w:tc>
        <w:tc>
          <w:tcPr>
            <w:tcW w:w="3083" w:type="dxa"/>
          </w:tcPr>
          <w:p>
            <w:pPr>
              <w:pStyle w:val="TableParagraph"/>
              <w:spacing w:line="256" w:lineRule="exact" w:before="17"/>
              <w:ind w:left="54"/>
              <w:rPr>
                <w:i/>
                <w:sz w:val="24"/>
              </w:rPr>
            </w:pPr>
            <w:hyperlink w:history="true" w:anchor="_bookmark33">
              <w:r>
                <w:rPr>
                  <w:i/>
                  <w:sz w:val="24"/>
                </w:rPr>
                <w:t>Utility prices</w:t>
              </w:r>
            </w:hyperlink>
          </w:p>
        </w:tc>
        <w:tc>
          <w:tcPr>
            <w:tcW w:w="1360" w:type="dxa"/>
          </w:tcPr>
          <w:p>
            <w:pPr>
              <w:pStyle w:val="TableParagraph"/>
              <w:spacing w:line="256" w:lineRule="exact" w:before="17"/>
              <w:ind w:right="48"/>
              <w:jc w:val="right"/>
              <w:rPr>
                <w:sz w:val="24"/>
              </w:rPr>
            </w:pPr>
            <w:r>
              <w:rPr>
                <w:sz w:val="24"/>
              </w:rPr>
              <w:t>38</w:t>
            </w:r>
          </w:p>
        </w:tc>
      </w:tr>
    </w:tbl>
    <w:p>
      <w:pPr>
        <w:pStyle w:val="BodyText"/>
        <w:spacing w:before="11"/>
        <w:rPr>
          <w:sz w:val="31"/>
        </w:rPr>
      </w:pPr>
    </w:p>
    <w:p>
      <w:pPr>
        <w:pStyle w:val="ListParagraph"/>
        <w:numPr>
          <w:ilvl w:val="0"/>
          <w:numId w:val="1"/>
        </w:numPr>
        <w:tabs>
          <w:tab w:pos="5359" w:val="left" w:leader="none"/>
          <w:tab w:pos="5360" w:val="left" w:leader="none"/>
          <w:tab w:pos="10019" w:val="left" w:leader="none"/>
        </w:tabs>
        <w:spacing w:line="240" w:lineRule="auto" w:before="0" w:after="0"/>
        <w:ind w:left="5360" w:right="0" w:hanging="380"/>
        <w:jc w:val="left"/>
        <w:rPr>
          <w:sz w:val="24"/>
        </w:rPr>
      </w:pPr>
      <w:hyperlink w:history="true" w:anchor="_bookmark37">
        <w:r>
          <w:rPr>
            <w:b/>
            <w:color w:val="0092C7"/>
            <w:sz w:val="24"/>
          </w:rPr>
          <w:t>Monetary policy since the</w:t>
        </w:r>
        <w:r>
          <w:rPr>
            <w:b/>
            <w:color w:val="0092C7"/>
            <w:spacing w:val="-20"/>
            <w:sz w:val="24"/>
          </w:rPr>
          <w:t> </w:t>
        </w:r>
        <w:r>
          <w:rPr>
            <w:b/>
            <w:color w:val="0092C7"/>
            <w:sz w:val="24"/>
          </w:rPr>
          <w:t>February</w:t>
        </w:r>
        <w:r>
          <w:rPr>
            <w:b/>
            <w:color w:val="0092C7"/>
            <w:spacing w:val="-5"/>
            <w:sz w:val="24"/>
          </w:rPr>
          <w:t> </w:t>
        </w:r>
        <w:r>
          <w:rPr>
            <w:b/>
            <w:i/>
            <w:color w:val="0092C7"/>
            <w:sz w:val="24"/>
          </w:rPr>
          <w:t>Report</w:t>
        </w:r>
      </w:hyperlink>
      <w:r>
        <w:rPr>
          <w:b/>
          <w:i/>
          <w:color w:val="0092C7"/>
          <w:sz w:val="24"/>
        </w:rPr>
        <w:tab/>
      </w:r>
      <w:r>
        <w:rPr>
          <w:sz w:val="24"/>
        </w:rPr>
        <w:t>43</w:t>
      </w:r>
    </w:p>
    <w:p>
      <w:pPr>
        <w:pStyle w:val="Heading5"/>
        <w:numPr>
          <w:ilvl w:val="0"/>
          <w:numId w:val="1"/>
        </w:numPr>
        <w:tabs>
          <w:tab w:pos="5359" w:val="left" w:leader="none"/>
          <w:tab w:pos="5360" w:val="left" w:leader="none"/>
          <w:tab w:pos="10019" w:val="left" w:leader="none"/>
        </w:tabs>
        <w:spacing w:line="240" w:lineRule="auto" w:before="364" w:after="0"/>
        <w:ind w:left="5360" w:right="0" w:hanging="380"/>
        <w:jc w:val="left"/>
        <w:rPr>
          <w:b w:val="0"/>
        </w:rPr>
      </w:pPr>
      <w:hyperlink w:history="true" w:anchor="_bookmark38">
        <w:r>
          <w:rPr>
            <w:color w:val="0092C7"/>
          </w:rPr>
          <w:t>Prospects</w:t>
        </w:r>
        <w:r>
          <w:rPr>
            <w:color w:val="0092C7"/>
            <w:spacing w:val="-6"/>
          </w:rPr>
          <w:t> </w:t>
        </w:r>
        <w:r>
          <w:rPr>
            <w:color w:val="0092C7"/>
            <w:spacing w:val="-3"/>
          </w:rPr>
          <w:t>for</w:t>
        </w:r>
        <w:r>
          <w:rPr>
            <w:color w:val="0092C7"/>
            <w:spacing w:val="-5"/>
          </w:rPr>
          <w:t> </w:t>
        </w:r>
        <w:r>
          <w:rPr>
            <w:color w:val="0092C7"/>
          </w:rPr>
          <w:t>inflation</w:t>
        </w:r>
      </w:hyperlink>
      <w:r>
        <w:rPr>
          <w:color w:val="0092C7"/>
        </w:rPr>
        <w:tab/>
      </w:r>
      <w:r>
        <w:rPr>
          <w:b w:val="0"/>
        </w:rPr>
        <w:t>50</w:t>
      </w:r>
    </w:p>
    <w:p>
      <w:pPr>
        <w:pStyle w:val="Heading5"/>
        <w:numPr>
          <w:ilvl w:val="1"/>
          <w:numId w:val="1"/>
        </w:numPr>
        <w:tabs>
          <w:tab w:pos="5919" w:val="left" w:leader="none"/>
          <w:tab w:pos="5920" w:val="left" w:leader="none"/>
          <w:tab w:pos="10019" w:val="left" w:leader="none"/>
        </w:tabs>
        <w:spacing w:line="240" w:lineRule="auto" w:before="44" w:after="0"/>
        <w:ind w:left="5919" w:right="0" w:hanging="560"/>
        <w:jc w:val="left"/>
        <w:rPr>
          <w:b w:val="0"/>
        </w:rPr>
      </w:pPr>
      <w:hyperlink w:history="true" w:anchor="_bookmark38">
        <w:r>
          <w:rPr/>
          <w:t>The inflation</w:t>
        </w:r>
        <w:r>
          <w:rPr>
            <w:spacing w:val="-15"/>
          </w:rPr>
          <w:t> </w:t>
        </w:r>
        <w:r>
          <w:rPr/>
          <w:t>projection</w:t>
        </w:r>
        <w:r>
          <w:rPr>
            <w:spacing w:val="-8"/>
          </w:rPr>
          <w:t> </w:t>
        </w:r>
        <w:r>
          <w:rPr/>
          <w:t>assumptions</w:t>
        </w:r>
      </w:hyperlink>
      <w:r>
        <w:rPr/>
        <w:tab/>
      </w:r>
      <w:r>
        <w:rPr>
          <w:b w:val="0"/>
        </w:rPr>
        <w:t>50</w:t>
      </w:r>
    </w:p>
    <w:p>
      <w:pPr>
        <w:pStyle w:val="Heading5"/>
        <w:numPr>
          <w:ilvl w:val="1"/>
          <w:numId w:val="1"/>
        </w:numPr>
        <w:tabs>
          <w:tab w:pos="5919" w:val="left" w:leader="none"/>
          <w:tab w:pos="5920" w:val="left" w:leader="none"/>
          <w:tab w:pos="10019" w:val="left" w:leader="none"/>
        </w:tabs>
        <w:spacing w:line="240" w:lineRule="auto" w:before="44" w:after="0"/>
        <w:ind w:left="5919" w:right="0" w:hanging="560"/>
        <w:jc w:val="left"/>
        <w:rPr>
          <w:b w:val="0"/>
        </w:rPr>
      </w:pPr>
      <w:hyperlink w:history="true" w:anchor="_bookmark41">
        <w:r>
          <w:rPr/>
          <w:t>The output and</w:t>
        </w:r>
        <w:r>
          <w:rPr>
            <w:spacing w:val="-19"/>
          </w:rPr>
          <w:t> </w:t>
        </w:r>
        <w:r>
          <w:rPr/>
          <w:t>inflation</w:t>
        </w:r>
        <w:r>
          <w:rPr>
            <w:spacing w:val="-6"/>
          </w:rPr>
          <w:t> </w:t>
        </w:r>
        <w:r>
          <w:rPr/>
          <w:t>projections</w:t>
        </w:r>
      </w:hyperlink>
      <w:r>
        <w:rPr/>
        <w:tab/>
      </w:r>
      <w:r>
        <w:rPr>
          <w:b w:val="0"/>
        </w:rPr>
        <w:t>53</w:t>
      </w:r>
    </w:p>
    <w:p>
      <w:pPr>
        <w:pStyle w:val="Heading5"/>
        <w:numPr>
          <w:ilvl w:val="1"/>
          <w:numId w:val="1"/>
        </w:numPr>
        <w:tabs>
          <w:tab w:pos="5919" w:val="left" w:leader="none"/>
          <w:tab w:pos="5920" w:val="left" w:leader="none"/>
          <w:tab w:pos="10019" w:val="left" w:leader="none"/>
        </w:tabs>
        <w:spacing w:line="240" w:lineRule="auto" w:before="44" w:after="0"/>
        <w:ind w:left="5919" w:right="0" w:hanging="560"/>
        <w:jc w:val="left"/>
        <w:rPr>
          <w:b w:val="0"/>
        </w:rPr>
      </w:pPr>
      <w:hyperlink w:history="true" w:anchor="_bookmark44">
        <w:r>
          <w:rPr/>
          <w:t>Other</w:t>
        </w:r>
        <w:r>
          <w:rPr>
            <w:spacing w:val="-8"/>
          </w:rPr>
          <w:t> </w:t>
        </w:r>
        <w:r>
          <w:rPr/>
          <w:t>forecasts</w:t>
        </w:r>
      </w:hyperlink>
      <w:r>
        <w:rPr/>
        <w:tab/>
      </w:r>
      <w:r>
        <w:rPr>
          <w:b w:val="0"/>
        </w:rPr>
        <w:t>64</w:t>
      </w:r>
    </w:p>
    <w:p>
      <w:pPr>
        <w:pStyle w:val="Heading5"/>
        <w:tabs>
          <w:tab w:pos="10019" w:val="left" w:leader="none"/>
        </w:tabs>
        <w:spacing w:before="344"/>
        <w:ind w:left="4980"/>
        <w:rPr>
          <w:b w:val="0"/>
        </w:rPr>
      </w:pPr>
      <w:hyperlink w:history="true" w:anchor="_bookmark45">
        <w:r>
          <w:rPr>
            <w:color w:val="0092C7"/>
          </w:rPr>
          <w:t>Agents’ summary of</w:t>
        </w:r>
        <w:r>
          <w:rPr>
            <w:color w:val="0092C7"/>
            <w:spacing w:val="-20"/>
          </w:rPr>
          <w:t> </w:t>
        </w:r>
        <w:r>
          <w:rPr>
            <w:color w:val="0092C7"/>
          </w:rPr>
          <w:t>business</w:t>
        </w:r>
        <w:r>
          <w:rPr>
            <w:color w:val="0092C7"/>
            <w:spacing w:val="-6"/>
          </w:rPr>
          <w:t> </w:t>
        </w:r>
        <w:r>
          <w:rPr>
            <w:color w:val="0092C7"/>
          </w:rPr>
          <w:t>conditions</w:t>
        </w:r>
      </w:hyperlink>
      <w:r>
        <w:rPr>
          <w:color w:val="0092C7"/>
        </w:rPr>
        <w:tab/>
      </w:r>
      <w:r>
        <w:rPr>
          <w:b w:val="0"/>
        </w:rPr>
        <w:t>67</w:t>
      </w:r>
    </w:p>
    <w:p>
      <w:pPr>
        <w:pStyle w:val="Heading5"/>
        <w:tabs>
          <w:tab w:pos="10019" w:val="left" w:leader="none"/>
        </w:tabs>
        <w:spacing w:line="278" w:lineRule="auto" w:before="364"/>
        <w:ind w:left="5960" w:right="379" w:hanging="980"/>
        <w:rPr>
          <w:b w:val="0"/>
        </w:rPr>
      </w:pPr>
      <w:hyperlink w:history="true" w:anchor="_bookmark46">
        <w:r>
          <w:rPr>
            <w:color w:val="0092C7"/>
          </w:rPr>
          <w:t>Annex:  Minutes of the Monetary Policy Committee</w:t>
        </w:r>
      </w:hyperlink>
      <w:r>
        <w:rPr>
          <w:color w:val="0092C7"/>
        </w:rPr>
        <w:tab/>
      </w:r>
      <w:r>
        <w:rPr>
          <w:b w:val="0"/>
          <w:spacing w:val="-9"/>
        </w:rPr>
        <w:t>71</w:t>
      </w:r>
    </w:p>
    <w:p>
      <w:pPr>
        <w:pStyle w:val="Heading5"/>
        <w:tabs>
          <w:tab w:pos="10019" w:val="left" w:leader="none"/>
        </w:tabs>
        <w:spacing w:line="276" w:lineRule="exact"/>
        <w:ind w:left="5920"/>
        <w:rPr>
          <w:b w:val="0"/>
        </w:rPr>
      </w:pPr>
      <w:hyperlink w:history="true" w:anchor="_bookmark47">
        <w:r>
          <w:rPr/>
          <w:t>February</w:t>
        </w:r>
        <w:r>
          <w:rPr>
            <w:spacing w:val="-7"/>
          </w:rPr>
          <w:t> </w:t>
        </w:r>
        <w:r>
          <w:rPr/>
          <w:t>meeting</w:t>
        </w:r>
      </w:hyperlink>
      <w:r>
        <w:rPr/>
        <w:tab/>
      </w:r>
      <w:r>
        <w:rPr>
          <w:b w:val="0"/>
        </w:rPr>
        <w:t>73</w:t>
      </w:r>
    </w:p>
    <w:p>
      <w:pPr>
        <w:pStyle w:val="Heading5"/>
        <w:tabs>
          <w:tab w:pos="10019" w:val="left" w:leader="none"/>
        </w:tabs>
        <w:spacing w:before="44"/>
        <w:ind w:left="5920"/>
        <w:rPr>
          <w:b w:val="0"/>
        </w:rPr>
      </w:pPr>
      <w:hyperlink w:history="true" w:anchor="_bookmark49">
        <w:r>
          <w:rPr/>
          <w:t>March</w:t>
        </w:r>
        <w:r>
          <w:rPr>
            <w:spacing w:val="-6"/>
          </w:rPr>
          <w:t> </w:t>
        </w:r>
        <w:r>
          <w:rPr/>
          <w:t>meeting</w:t>
        </w:r>
      </w:hyperlink>
      <w:r>
        <w:rPr/>
        <w:tab/>
      </w:r>
      <w:r>
        <w:rPr>
          <w:b w:val="0"/>
        </w:rPr>
        <w:t>82</w:t>
      </w:r>
    </w:p>
    <w:p>
      <w:pPr>
        <w:pStyle w:val="Heading5"/>
        <w:tabs>
          <w:tab w:pos="10019" w:val="left" w:leader="none"/>
        </w:tabs>
        <w:spacing w:before="44"/>
        <w:ind w:left="5920"/>
        <w:rPr>
          <w:b w:val="0"/>
        </w:rPr>
      </w:pPr>
      <w:hyperlink w:history="true" w:anchor="_bookmark51">
        <w:r>
          <w:rPr/>
          <w:t>March</w:t>
        </w:r>
        <w:r>
          <w:rPr>
            <w:spacing w:val="-7"/>
          </w:rPr>
          <w:t> </w:t>
        </w:r>
        <w:r>
          <w:rPr/>
          <w:t>Press</w:t>
        </w:r>
        <w:r>
          <w:rPr>
            <w:spacing w:val="-6"/>
          </w:rPr>
          <w:t> </w:t>
        </w:r>
        <w:r>
          <w:rPr/>
          <w:t>Notice</w:t>
        </w:r>
      </w:hyperlink>
      <w:r>
        <w:rPr/>
        <w:tab/>
      </w:r>
      <w:r>
        <w:rPr>
          <w:b w:val="0"/>
        </w:rPr>
        <w:t>89</w:t>
      </w:r>
    </w:p>
    <w:p>
      <w:pPr>
        <w:pStyle w:val="Heading5"/>
        <w:tabs>
          <w:tab w:pos="10019" w:val="left" w:leader="none"/>
        </w:tabs>
        <w:spacing w:before="44"/>
        <w:ind w:left="5920"/>
        <w:rPr>
          <w:b w:val="0"/>
        </w:rPr>
      </w:pPr>
      <w:hyperlink w:history="true" w:anchor="_bookmark52">
        <w:r>
          <w:rPr/>
          <w:t>April</w:t>
        </w:r>
        <w:r>
          <w:rPr>
            <w:spacing w:val="-7"/>
          </w:rPr>
          <w:t> </w:t>
        </w:r>
        <w:r>
          <w:rPr/>
          <w:t>meeting</w:t>
        </w:r>
      </w:hyperlink>
      <w:r>
        <w:rPr/>
        <w:tab/>
      </w:r>
      <w:r>
        <w:rPr>
          <w:b w:val="0"/>
        </w:rPr>
        <w:t>90</w:t>
      </w:r>
    </w:p>
    <w:p>
      <w:pPr>
        <w:pStyle w:val="Heading5"/>
        <w:tabs>
          <w:tab w:pos="10019" w:val="left" w:leader="none"/>
        </w:tabs>
        <w:spacing w:before="44"/>
        <w:ind w:left="5920"/>
        <w:rPr>
          <w:b w:val="0"/>
        </w:rPr>
      </w:pPr>
      <w:hyperlink w:history="true" w:anchor="_bookmark54">
        <w:r>
          <w:rPr/>
          <w:t>April</w:t>
        </w:r>
        <w:r>
          <w:rPr>
            <w:spacing w:val="-7"/>
          </w:rPr>
          <w:t> </w:t>
        </w:r>
        <w:r>
          <w:rPr/>
          <w:t>Press</w:t>
        </w:r>
        <w:r>
          <w:rPr>
            <w:spacing w:val="-6"/>
          </w:rPr>
          <w:t> </w:t>
        </w:r>
        <w:r>
          <w:rPr/>
          <w:t>Notice</w:t>
        </w:r>
      </w:hyperlink>
      <w:r>
        <w:rPr/>
        <w:tab/>
      </w:r>
      <w:r>
        <w:rPr>
          <w:b w:val="0"/>
        </w:rPr>
        <w:t>97</w:t>
      </w:r>
    </w:p>
    <w:p>
      <w:pPr>
        <w:pStyle w:val="Heading5"/>
        <w:tabs>
          <w:tab w:pos="10019" w:val="left" w:leader="none"/>
        </w:tabs>
        <w:spacing w:before="44"/>
        <w:ind w:left="5920"/>
        <w:rPr>
          <w:b w:val="0"/>
        </w:rPr>
      </w:pPr>
      <w:hyperlink w:history="true" w:anchor="_bookmark54">
        <w:r>
          <w:rPr/>
          <w:t>May</w:t>
        </w:r>
        <w:r>
          <w:rPr>
            <w:spacing w:val="-2"/>
          </w:rPr>
          <w:t> </w:t>
        </w:r>
        <w:r>
          <w:rPr/>
          <w:t>Press</w:t>
        </w:r>
        <w:r>
          <w:rPr>
            <w:spacing w:val="-1"/>
          </w:rPr>
          <w:t> </w:t>
        </w:r>
        <w:r>
          <w:rPr/>
          <w:t>Notice</w:t>
        </w:r>
      </w:hyperlink>
      <w:r>
        <w:rPr/>
        <w:tab/>
      </w:r>
      <w:r>
        <w:rPr>
          <w:b w:val="0"/>
        </w:rPr>
        <w:t>97</w:t>
      </w:r>
    </w:p>
    <w:p>
      <w:pPr>
        <w:pStyle w:val="Heading5"/>
        <w:tabs>
          <w:tab w:pos="10019" w:val="left" w:leader="none"/>
        </w:tabs>
        <w:spacing w:before="364"/>
        <w:ind w:left="4980"/>
        <w:rPr>
          <w:b w:val="0"/>
        </w:rPr>
      </w:pPr>
      <w:hyperlink w:history="true" w:anchor="_bookmark56">
        <w:r>
          <w:rPr>
            <w:color w:val="0092C7"/>
          </w:rPr>
          <w:t>Glossary and</w:t>
        </w:r>
        <w:r>
          <w:rPr>
            <w:color w:val="0092C7"/>
            <w:spacing w:val="-13"/>
          </w:rPr>
          <w:t> </w:t>
        </w:r>
        <w:r>
          <w:rPr>
            <w:color w:val="0092C7"/>
          </w:rPr>
          <w:t>other</w:t>
        </w:r>
        <w:r>
          <w:rPr>
            <w:color w:val="0092C7"/>
            <w:spacing w:val="-7"/>
          </w:rPr>
          <w:t> </w:t>
        </w:r>
        <w:r>
          <w:rPr>
            <w:color w:val="0092C7"/>
          </w:rPr>
          <w:t>information</w:t>
        </w:r>
      </w:hyperlink>
      <w:r>
        <w:rPr>
          <w:color w:val="0092C7"/>
        </w:rPr>
        <w:tab/>
      </w:r>
      <w:r>
        <w:rPr>
          <w:b w:val="0"/>
        </w:rPr>
        <w:t>98</w:t>
      </w:r>
    </w:p>
    <w:p>
      <w:pPr>
        <w:pStyle w:val="BodyText"/>
        <w:rPr>
          <w:sz w:val="26"/>
        </w:rPr>
      </w:pPr>
    </w:p>
    <w:p>
      <w:pPr>
        <w:pStyle w:val="BodyText"/>
        <w:rPr>
          <w:sz w:val="26"/>
        </w:rPr>
      </w:pPr>
    </w:p>
    <w:p>
      <w:pPr>
        <w:pStyle w:val="Heading3"/>
        <w:spacing w:before="169"/>
        <w:ind w:left="4980"/>
      </w:pPr>
      <w:r>
        <w:rPr>
          <w:color w:val="009391"/>
        </w:rPr>
        <w:t>Link to Quarterly Bulletin</w:t>
      </w:r>
    </w:p>
    <w:p>
      <w:pPr>
        <w:pStyle w:val="BodyText"/>
        <w:spacing w:before="10"/>
        <w:rPr>
          <w:b/>
          <w:sz w:val="30"/>
        </w:rPr>
      </w:pPr>
    </w:p>
    <w:p>
      <w:pPr>
        <w:pStyle w:val="Heading5"/>
        <w:spacing w:before="1"/>
        <w:ind w:left="4980"/>
      </w:pPr>
      <w:r>
        <w:rPr>
          <w:color w:val="0092C7"/>
        </w:rPr>
        <w:t>Section 1</w:t>
      </w:r>
    </w:p>
    <w:p>
      <w:pPr>
        <w:pStyle w:val="BodyText"/>
        <w:spacing w:before="7"/>
        <w:rPr>
          <w:b/>
          <w:sz w:val="31"/>
        </w:rPr>
      </w:pPr>
    </w:p>
    <w:p>
      <w:pPr>
        <w:pStyle w:val="Heading6"/>
        <w:spacing w:line="278" w:lineRule="auto"/>
        <w:ind w:left="4980" w:right="931"/>
      </w:pPr>
      <w:r>
        <w:rPr/>
        <w:t>Money, lending and spending: a study of the UK non-financial corporate sector and households Quarterly Bulletin, May 2000, pages 159–67.</w:t>
      </w:r>
    </w:p>
    <w:p>
      <w:pPr>
        <w:pStyle w:val="BodyText"/>
        <w:spacing w:before="9"/>
        <w:rPr>
          <w:sz w:val="27"/>
        </w:rPr>
      </w:pPr>
    </w:p>
    <w:p>
      <w:pPr>
        <w:spacing w:before="0"/>
        <w:ind w:left="4980" w:right="0" w:firstLine="0"/>
        <w:jc w:val="left"/>
        <w:rPr>
          <w:sz w:val="24"/>
        </w:rPr>
      </w:pPr>
      <w:r>
        <w:rPr>
          <w:sz w:val="24"/>
        </w:rPr>
        <w:t>Market and operations</w:t>
      </w:r>
    </w:p>
    <w:p>
      <w:pPr>
        <w:spacing w:before="44"/>
        <w:ind w:left="4980" w:right="0" w:firstLine="0"/>
        <w:jc w:val="left"/>
        <w:rPr>
          <w:sz w:val="24"/>
        </w:rPr>
      </w:pPr>
      <w:r>
        <w:rPr>
          <w:sz w:val="24"/>
        </w:rPr>
        <w:t>Quarterly Bulletin, May 2000, pages 117–34.</w:t>
      </w:r>
    </w:p>
    <w:p>
      <w:pPr>
        <w:pStyle w:val="BodyText"/>
        <w:spacing w:before="8"/>
        <w:rPr>
          <w:sz w:val="31"/>
        </w:rPr>
      </w:pPr>
    </w:p>
    <w:p>
      <w:pPr>
        <w:spacing w:line="278" w:lineRule="auto" w:before="0"/>
        <w:ind w:left="4980" w:right="859" w:firstLine="0"/>
        <w:jc w:val="left"/>
        <w:rPr>
          <w:sz w:val="24"/>
        </w:rPr>
      </w:pPr>
      <w:r>
        <w:rPr>
          <w:sz w:val="24"/>
        </w:rPr>
        <w:t>An </w:t>
      </w:r>
      <w:r>
        <w:rPr>
          <w:spacing w:val="-3"/>
          <w:sz w:val="24"/>
        </w:rPr>
        <w:t>effective </w:t>
      </w:r>
      <w:r>
        <w:rPr>
          <w:sz w:val="24"/>
        </w:rPr>
        <w:t>exchange rate index for the euro area Quarterly Bulletin, May 1999, pages 190–94.</w:t>
      </w:r>
    </w:p>
    <w:p>
      <w:pPr>
        <w:pStyle w:val="BodyText"/>
        <w:spacing w:before="9"/>
        <w:rPr>
          <w:sz w:val="27"/>
        </w:rPr>
      </w:pPr>
    </w:p>
    <w:p>
      <w:pPr>
        <w:spacing w:before="0"/>
        <w:ind w:left="4980" w:right="0" w:firstLine="0"/>
        <w:jc w:val="left"/>
        <w:rPr>
          <w:b/>
          <w:sz w:val="24"/>
        </w:rPr>
      </w:pPr>
      <w:r>
        <w:rPr>
          <w:b/>
          <w:color w:val="0092C7"/>
          <w:sz w:val="24"/>
        </w:rPr>
        <w:t>Section 2</w:t>
      </w:r>
    </w:p>
    <w:p>
      <w:pPr>
        <w:pStyle w:val="BodyText"/>
        <w:spacing w:before="8"/>
        <w:rPr>
          <w:b/>
          <w:sz w:val="31"/>
        </w:rPr>
      </w:pPr>
    </w:p>
    <w:p>
      <w:pPr>
        <w:spacing w:before="0"/>
        <w:ind w:left="4980" w:right="0" w:firstLine="0"/>
        <w:jc w:val="left"/>
        <w:rPr>
          <w:sz w:val="24"/>
        </w:rPr>
      </w:pPr>
      <w:r>
        <w:rPr>
          <w:sz w:val="24"/>
        </w:rPr>
        <w:t>The international environment</w:t>
      </w:r>
    </w:p>
    <w:p>
      <w:pPr>
        <w:spacing w:before="44"/>
        <w:ind w:left="4980" w:right="0" w:firstLine="0"/>
        <w:jc w:val="left"/>
        <w:rPr>
          <w:sz w:val="24"/>
        </w:rPr>
      </w:pPr>
      <w:r>
        <w:rPr>
          <w:sz w:val="24"/>
        </w:rPr>
        <w:t>Quarterly Bulletin, May 2000, pages 135–49.</w:t>
      </w:r>
    </w:p>
    <w:p>
      <w:pPr>
        <w:spacing w:after="0"/>
        <w:jc w:val="left"/>
        <w:rPr>
          <w:sz w:val="24"/>
        </w:rPr>
        <w:sectPr>
          <w:headerReference w:type="default" r:id="rId15"/>
          <w:footerReference w:type="default" r:id="rId16"/>
          <w:pgSz w:w="11900" w:h="16840"/>
          <w:pgMar w:header="0" w:footer="0" w:top="740" w:bottom="280" w:left="640" w:right="620"/>
        </w:sectPr>
      </w:pPr>
    </w:p>
    <w:p>
      <w:pPr>
        <w:pStyle w:val="BodyText"/>
        <w:spacing w:line="20" w:lineRule="exact"/>
        <w:ind w:left="13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40.090pt;margin-top:12.000977pt;width:516pt;height:48pt;mso-position-horizontal-relative:page;mso-position-vertical-relative:paragraph;z-index:-15716352;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Money and financial markets" w:id="4"/>
                  <w:bookmarkEnd w:id="4"/>
                  <w:r>
                    <w:rPr/>
                  </w:r>
                  <w:bookmarkStart w:name="Money and credit" w:id="5"/>
                  <w:bookmarkEnd w:id="5"/>
                  <w:r>
                    <w:rPr/>
                  </w:r>
                  <w:bookmarkStart w:name="Narrow money" w:id="6"/>
                  <w:bookmarkEnd w:id="6"/>
                  <w:r>
                    <w:rPr/>
                  </w:r>
                  <w:bookmarkStart w:name="_bookmark3" w:id="7"/>
                  <w:bookmarkEnd w:id="7"/>
                  <w:r>
                    <w:rPr/>
                  </w:r>
                  <w:bookmarkStart w:name="_bookmark4" w:id="8"/>
                  <w:bookmarkEnd w:id="8"/>
                  <w:r>
                    <w:rPr/>
                  </w:r>
                  <w:r>
                    <w:rPr>
                      <w:b/>
                      <w:color w:val="009391"/>
                      <w:sz w:val="48"/>
                    </w:rPr>
                    <w:t>Money and</w:t>
                  </w:r>
                  <w:r>
                    <w:rPr>
                      <w:b/>
                      <w:color w:val="009391"/>
                      <w:spacing w:val="-3"/>
                      <w:sz w:val="48"/>
                    </w:rPr>
                    <w:t> financial</w:t>
                  </w:r>
                  <w:r>
                    <w:rPr>
                      <w:b/>
                      <w:color w:val="009391"/>
                      <w:spacing w:val="-1"/>
                      <w:sz w:val="48"/>
                    </w:rPr>
                    <w:t> </w:t>
                  </w:r>
                  <w:r>
                    <w:rPr>
                      <w:b/>
                      <w:color w:val="009391"/>
                      <w:sz w:val="48"/>
                    </w:rPr>
                    <w:t>markets</w:t>
                    <w:tab/>
                  </w:r>
                  <w:r>
                    <w:rPr>
                      <w:b/>
                      <w:color w:val="009391"/>
                      <w:sz w:val="72"/>
                    </w:rPr>
                    <w:t>1</w:t>
                  </w:r>
                </w:p>
              </w:txbxContent>
            </v:textbox>
            <v:fill type="solid"/>
            <w10:wrap type="topAndBottom"/>
          </v:shape>
        </w:pict>
      </w:r>
    </w:p>
    <w:p>
      <w:pPr>
        <w:pStyle w:val="BodyText"/>
        <w:rPr>
          <w:sz w:val="20"/>
        </w:rPr>
      </w:pPr>
    </w:p>
    <w:p>
      <w:pPr>
        <w:pStyle w:val="BodyText"/>
        <w:rPr>
          <w:sz w:val="20"/>
        </w:rPr>
      </w:pPr>
    </w:p>
    <w:p>
      <w:pPr>
        <w:spacing w:line="242" w:lineRule="auto" w:before="218"/>
        <w:ind w:left="4980" w:right="227" w:firstLine="0"/>
        <w:jc w:val="left"/>
        <w:rPr>
          <w:sz w:val="24"/>
        </w:rPr>
      </w:pPr>
      <w:r>
        <w:rPr>
          <w:sz w:val="24"/>
        </w:rPr>
        <w:t>Annual narrow money growth has been stable in recent months, following large swings over the year-end, but remains well above nominal spending growth. Broad money growth picked up in 2000 Q1, owing to a sharp rise in deposits held by non-bank financial corporations. By contrast, annual household M4 growth was steady and private non-financial corporations’ M4 deposits grew more slowly. Lending remains buoyant, with growth at its highest annual rate since 1991.</w:t>
      </w:r>
    </w:p>
    <w:p>
      <w:pPr>
        <w:pStyle w:val="BodyText"/>
        <w:spacing w:before="9"/>
        <w:rPr>
          <w:sz w:val="15"/>
        </w:rPr>
      </w:pPr>
    </w:p>
    <w:p>
      <w:pPr>
        <w:spacing w:after="0"/>
        <w:rPr>
          <w:sz w:val="15"/>
        </w:rPr>
        <w:sectPr>
          <w:headerReference w:type="default" r:id="rId17"/>
          <w:footerReference w:type="default" r:id="rId18"/>
          <w:footerReference w:type="even" r:id="rId19"/>
          <w:pgSz w:w="11900" w:h="16840"/>
          <w:pgMar w:header="0" w:footer="617" w:top="780" w:bottom="800" w:left="640" w:right="620"/>
          <w:pgNumType w:start="3"/>
        </w:sectPr>
      </w:pPr>
    </w:p>
    <w:p>
      <w:pPr>
        <w:pStyle w:val="BodyText"/>
        <w:spacing w:before="3"/>
        <w:rPr>
          <w:sz w:val="31"/>
        </w:rPr>
      </w:pPr>
    </w:p>
    <w:p>
      <w:pPr>
        <w:spacing w:before="0"/>
        <w:ind w:left="154" w:right="0" w:firstLine="0"/>
        <w:jc w:val="left"/>
        <w:rPr>
          <w:b/>
          <w:sz w:val="20"/>
        </w:rPr>
      </w:pPr>
      <w:r>
        <w:rPr>
          <w:b/>
          <w:color w:val="0092C7"/>
          <w:sz w:val="20"/>
        </w:rPr>
        <w:t>Chart 1.1</w:t>
      </w:r>
    </w:p>
    <w:p>
      <w:pPr>
        <w:spacing w:line="249" w:lineRule="auto" w:before="10"/>
        <w:ind w:left="154" w:right="142" w:firstLine="0"/>
        <w:jc w:val="left"/>
        <w:rPr>
          <w:b/>
          <w:sz w:val="20"/>
        </w:rPr>
      </w:pPr>
      <w:r>
        <w:rPr>
          <w:b/>
          <w:color w:val="0092C7"/>
          <w:sz w:val="20"/>
        </w:rPr>
        <w:t>Growth of notes and coin and nominal consumer spending</w:t>
      </w:r>
    </w:p>
    <w:p>
      <w:pPr>
        <w:spacing w:line="124" w:lineRule="exact" w:before="83"/>
        <w:ind w:left="1630" w:right="0" w:firstLine="0"/>
        <w:jc w:val="left"/>
        <w:rPr>
          <w:sz w:val="12"/>
        </w:rPr>
      </w:pPr>
      <w:r>
        <w:rPr>
          <w:sz w:val="12"/>
        </w:rPr>
        <w:t>Percentage changes on a year earlier</w:t>
      </w:r>
    </w:p>
    <w:p>
      <w:pPr>
        <w:spacing w:line="124" w:lineRule="exact" w:before="0"/>
        <w:ind w:left="3434" w:right="0" w:firstLine="0"/>
        <w:jc w:val="left"/>
        <w:rPr>
          <w:sz w:val="12"/>
        </w:rPr>
      </w:pPr>
      <w:r>
        <w:rPr/>
        <w:pict>
          <v:group style="position:absolute;margin-left:40.720001pt;margin-top:2.506737pt;width:159.950pt;height:134.25pt;mso-position-horizontal-relative:page;mso-position-vertical-relative:paragraph;z-index:15746560" coordorigin="814,50" coordsize="3199,2685">
            <v:shape style="position:absolute;left:980;top:1711;width:178;height:545" coordorigin="980,1712" coordsize="178,545" path="m980,1712l1013,1817m1013,1817l1055,2044m1055,2044l1085,2209m1085,2209l1128,2059m1128,2059l1158,2257e" filled="false" stroked="true" strokeweight="1pt" strokecolor="#c0a2c7">
              <v:path arrowok="t"/>
              <v:stroke dashstyle="solid"/>
            </v:shape>
            <v:line style="position:absolute" from="1148,2258" to="1210,2258" stroked="true" strokeweight="1.125pt" strokecolor="#c0a2c7">
              <v:stroke dashstyle="solid"/>
            </v:line>
            <v:shape style="position:absolute;left:1200;top:2179;width:355;height:485" coordorigin="1200,2179" coordsize="355,485" path="m1200,2257l1233,2317m1233,2317l1273,2634m1273,2634l1305,2619m1305,2619l1348,2664m1348,2664l1378,2544m1378,2544l1410,2287m1410,2287l1450,2194m1450,2194l1483,2209m1483,2209l1525,2179m1525,2179l1555,2257e" filled="false" stroked="true" strokeweight="1pt" strokecolor="#c0a2c7">
              <v:path arrowok="t"/>
              <v:stroke dashstyle="solid"/>
            </v:shape>
            <v:line style="position:absolute" from="1545,2258" to="1608,2258" stroked="true" strokeweight="1.125pt" strokecolor="#c0a2c7">
              <v:stroke dashstyle="solid"/>
            </v:line>
            <v:shape style="position:absolute;left:1597;top:1921;width:1650;height:803" coordorigin="1598,1922" coordsize="1650,803" path="m1598,2257l1628,2227m1628,2227l1670,2272m1670,2272l1703,2257m1703,2257l1733,2302m1733,2302l1775,2482m1775,2482l1805,2467m1805,2467l1848,2499m1848,2499l1880,2514m1880,2514l1920,2362m1920,2362l1953,2287m1953,2287l1995,2392m1995,2392l2025,2407m2025,2407l2068,2347m2068,2347l2098,2407m2098,2407l2130,2227m2130,2227l2173,2074m2173,2074l2203,1922m2203,1922l2245,1999m2245,1999l2275,2179m2275,2179l2318,2242m2318,2242l2350,2377m2350,2377l2390,2209m2390,2209l2423,2149m2423,2149l2453,2164m2453,2164l2495,2362m2495,2362l2528,2604m2528,2604l2568,2619m2568,2619l2600,2664m2600,2664l2643,2634m2643,2634l2673,2559m2673,2559l2715,2664m2715,2664l2745,2724m2745,2724l2788,2649m2788,2649l2820,2574m2820,2574l2850,2377m2850,2377l2893,2347m2893,2347l2923,2272m2923,2272l2965,2194m2965,2194l2998,2242m2998,2242l3038,2119m3038,2119l3070,2089m3070,2089l3113,2104m3113,2104l3143,2074m3143,2074l3175,2257m3175,2257l3215,2272m3215,2272l3248,2257e" filled="false" stroked="true" strokeweight="1pt" strokecolor="#c0a2c7">
              <v:path arrowok="t"/>
              <v:stroke dashstyle="solid"/>
            </v:shape>
            <v:line style="position:absolute" from="3238,2258" to="3300,2258" stroked="true" strokeweight="1.125pt" strokecolor="#c0a2c7">
              <v:stroke dashstyle="solid"/>
            </v:line>
            <v:shape style="position:absolute;left:3290;top:2029;width:145;height:228" coordorigin="3290,2029" coordsize="145,228" path="m3290,2257l3320,2029m3320,2029l3363,2074m3363,2074l3393,2119m3393,2119l3435,2164e" filled="false" stroked="true" strokeweight="1pt" strokecolor="#c0a2c7">
              <v:path arrowok="t"/>
              <v:stroke dashstyle="solid"/>
            </v:shape>
            <v:line style="position:absolute" from="3425,2166" to="3478,2166" stroked="true" strokeweight="1.125pt" strokecolor="#c0a2c7">
              <v:stroke dashstyle="solid"/>
            </v:line>
            <v:shape style="position:absolute;left:3467;top:2044;width:323;height:228" coordorigin="3468,2044" coordsize="323,228" path="m3468,2164l3508,2194m3508,2194l3540,2149m3540,2149l3570,2119m3570,2119l3613,2272m3613,2272l3645,2164m3645,2164l3685,2257m3685,2257l3718,2272m3718,2272l3760,2044m3760,2044l3790,2059e" filled="false" stroked="true" strokeweight="1pt" strokecolor="#c0a2c7">
              <v:path arrowok="t"/>
              <v:stroke dashstyle="solid"/>
            </v:shape>
            <v:line style="position:absolute" from="3811,1504" to="3811,2069" stroked="true" strokeweight="3.125pt" strokecolor="#c0a2c7">
              <v:stroke dashstyle="solid"/>
            </v:line>
            <v:line style="position:absolute" from="3848,1504" to="3848,1947" stroked="true" strokeweight="2.5pt" strokecolor="#c0a2c7">
              <v:stroke dashstyle="solid"/>
            </v:line>
            <v:shape style="position:absolute;left:980;top:106;width:430;height:1770" coordorigin="980,107" coordsize="430,1770" path="m980,107l1013,1134m1013,1134l1055,1044m1055,1044l1085,1559m1085,1559l1128,1742m1128,1742l1158,1529m1158,1529l1200,1649m1200,1649l1233,1499m1233,1499l1273,1757m1273,1757l1305,1877m1305,1877l1348,1787m1348,1787l1378,1712m1378,1712l1410,1664e" filled="false" stroked="true" strokeweight="1pt" strokecolor="#006caa">
              <v:path arrowok="t"/>
              <v:stroke dashstyle="solid"/>
            </v:shape>
            <v:line style="position:absolute" from="1400,1666" to="1460,1666" stroked="true" strokeweight="1.125pt" strokecolor="#006caa">
              <v:stroke dashstyle="solid"/>
            </v:line>
            <v:shape style="position:absolute;left:1450;top:1649;width:148;height:365" coordorigin="1450,1649" coordsize="148,365" path="m1450,1664l1483,1649m1483,1649l1525,1937m1525,1937l1555,2014m1555,2014l1598,1922e" filled="false" stroked="true" strokeweight="1pt" strokecolor="#006caa">
              <v:path arrowok="t"/>
              <v:stroke dashstyle="solid"/>
            </v:shape>
            <v:line style="position:absolute" from="1613,1912" to="1613,2282" stroked="true" strokeweight="2.5pt" strokecolor="#006caa">
              <v:stroke dashstyle="solid"/>
            </v:line>
            <v:shape style="position:absolute;left:1627;top:1256;width:690;height:1015" coordorigin="1628,1257" coordsize="690,1015" path="m1628,2272l1670,2059m1670,2059l1703,1907m1703,1907l1733,1969m1733,1969l1775,1649m1775,1649l1805,1727m1805,1727l1848,1664m1848,1664l1880,1484m1880,1484l1920,1604m1920,1604l1953,1697m1953,1697l1995,1757m1995,1757l2025,1907m2025,1907l2068,1787m2068,1787l2098,1544m2098,1544l2130,1439m2130,1439l2173,1392m2173,1392l2203,1257m2203,1257l2245,1377m2245,1377l2275,1589m2275,1589l2318,1604e" filled="false" stroked="true" strokeweight="1pt" strokecolor="#006caa">
              <v:path arrowok="t"/>
              <v:stroke dashstyle="solid"/>
            </v:shape>
            <v:line style="position:absolute" from="2334,1594" to="2334,1947" stroked="true" strokeweight="2.625pt" strokecolor="#006caa">
              <v:stroke dashstyle="solid"/>
            </v:line>
            <v:shape style="position:absolute;left:2350;top:1831;width:720;height:545" coordorigin="2350,1832" coordsize="720,545" path="m2350,1937l2390,1892m2390,1892l2423,1907m2423,1907l2453,1832m2453,1832l2495,1862m2495,1862l2528,1999m2528,1999l2568,2119m2568,2119l2600,2257m2600,2257l2643,2164m2643,2164l2673,2257m2673,2257l2715,2272m2715,2272l2745,2242m2745,2242l2788,2362m2788,2362l2820,2332m2820,2332l2850,2242m2850,2242l2893,2209m2893,2209l2923,2089m2923,2089l2965,2044m2965,2044l2998,2164m2998,2164l3038,2272m3038,2272l3070,2377e" filled="false" stroked="true" strokeweight="1pt" strokecolor="#006caa">
              <v:path arrowok="t"/>
              <v:stroke dashstyle="solid"/>
            </v:shape>
            <v:line style="position:absolute" from="3060,2378" to="3123,2378" stroked="true" strokeweight="1.125pt" strokecolor="#006caa">
              <v:stroke dashstyle="solid"/>
            </v:line>
            <v:shape style="position:absolute;left:3112;top:2044;width:395;height:333" coordorigin="3113,2044" coordsize="395,333" path="m3113,2377l3143,2362m3143,2362l3175,2347m3175,2347l3215,2377m3215,2377l3248,2362m3248,2362l3290,2149m3290,2149l3320,2134m3320,2134l3363,2059m3363,2059l3393,2044m3393,2044l3435,2194m3435,2194l3468,2164m3468,2164l3508,2104e" filled="false" stroked="true" strokeweight="1pt" strokecolor="#006caa">
              <v:path arrowok="t"/>
              <v:stroke dashstyle="solid"/>
            </v:shape>
            <v:line style="position:absolute" from="3498,2106" to="3550,2106" stroked="true" strokeweight="1.125pt" strokecolor="#006caa">
              <v:stroke dashstyle="solid"/>
            </v:line>
            <v:shape style="position:absolute;left:3540;top:2104;width:220;height:198" coordorigin="3540,2104" coordsize="220,198" path="m3540,2104l3570,2164m3570,2164l3613,2179m3613,2179l3645,2257m3645,2257l3685,2302m3685,2302l3718,2194m3718,2194l3760,2149e" filled="false" stroked="true" strokeweight="1pt" strokecolor="#006caa">
              <v:path arrowok="t"/>
              <v:stroke dashstyle="solid"/>
            </v:shape>
            <v:line style="position:absolute" from="3750,2151" to="3800,2151" stroked="true" strokeweight="1.125pt" strokecolor="#006caa">
              <v:stroke dashstyle="solid"/>
            </v:line>
            <v:line style="position:absolute" from="3790,2149" to="3833,2119" stroked="true" strokeweight="1pt" strokecolor="#006caa">
              <v:stroke dashstyle="solid"/>
            </v:line>
            <v:shape style="position:absolute;left:814;top:55;width:3199;height:2629" coordorigin="814,55" coordsize="3199,2629" path="m832,294l919,294m832,533l919,533m832,772l919,772m832,1011l919,1011m832,1250l919,1250m832,1728l919,1728m832,2205l919,2205m832,2683l919,2683m832,2444l919,2444m832,55l919,55m814,1967l901,1967m814,1489l901,1489m3926,294l4013,294m3926,533l4013,533m3926,772l4013,772m3926,1011l4013,1011m3926,1250l4013,1250m3926,1728l4013,1728m3926,2206l4013,2206m3926,2683l4013,2683m3926,2445l4013,2445m3926,55l4013,55m3909,1967l3996,1967m3909,1489l3996,1489e" filled="false" stroked="true" strokeweight=".5pt" strokecolor="#000000">
              <v:path arrowok="t"/>
              <v:stroke dashstyle="solid"/>
            </v:shape>
            <v:shape style="position:absolute;left:1117;top:984;width:937;height:254" type="#_x0000_t202" filled="false" stroked="false">
              <v:textbox inset="0,0,0,0">
                <w:txbxContent>
                  <w:p>
                    <w:pPr>
                      <w:spacing w:line="208" w:lineRule="auto" w:before="9"/>
                      <w:ind w:left="30" w:right="0" w:hanging="30"/>
                      <w:jc w:val="left"/>
                      <w:rPr>
                        <w:sz w:val="12"/>
                      </w:rPr>
                    </w:pPr>
                    <w:r>
                      <w:rPr>
                        <w:sz w:val="12"/>
                      </w:rPr>
                      <w:t>Nominal consumer spending</w:t>
                    </w:r>
                  </w:p>
                </w:txbxContent>
              </v:textbox>
              <w10:wrap type="none"/>
            </v:shape>
            <v:shape style="position:absolute;left:1779;top:2537;width:740;height:134" type="#_x0000_t202" filled="false" stroked="false">
              <v:textbox inset="0,0,0,0">
                <w:txbxContent>
                  <w:p>
                    <w:pPr>
                      <w:spacing w:line="133" w:lineRule="exact" w:before="0"/>
                      <w:ind w:left="0" w:right="0" w:firstLine="0"/>
                      <w:jc w:val="left"/>
                      <w:rPr>
                        <w:sz w:val="12"/>
                      </w:rPr>
                    </w:pPr>
                    <w:r>
                      <w:rPr>
                        <w:sz w:val="12"/>
                      </w:rPr>
                      <w:t>Notes and coin</w:t>
                    </w:r>
                  </w:p>
                </w:txbxContent>
              </v:textbox>
              <w10:wrap type="none"/>
            </v:shape>
            <w10:wrap type="none"/>
          </v:group>
        </w:pict>
      </w:r>
      <w:r>
        <w:rPr>
          <w:sz w:val="12"/>
        </w:rPr>
        <w:t>24</w:t>
      </w:r>
    </w:p>
    <w:p>
      <w:pPr>
        <w:spacing w:before="100"/>
        <w:ind w:left="0" w:right="38" w:firstLine="0"/>
        <w:jc w:val="right"/>
        <w:rPr>
          <w:sz w:val="12"/>
        </w:rPr>
      </w:pPr>
      <w:r>
        <w:rPr>
          <w:sz w:val="12"/>
        </w:rPr>
        <w:t>22</w:t>
      </w:r>
    </w:p>
    <w:p>
      <w:pPr>
        <w:spacing w:before="100"/>
        <w:ind w:left="0" w:right="38" w:firstLine="0"/>
        <w:jc w:val="right"/>
        <w:rPr>
          <w:sz w:val="12"/>
        </w:rPr>
      </w:pPr>
      <w:r>
        <w:rPr>
          <w:sz w:val="12"/>
        </w:rPr>
        <w:t>20</w:t>
      </w:r>
    </w:p>
    <w:p>
      <w:pPr>
        <w:spacing w:before="100"/>
        <w:ind w:left="0" w:right="38" w:firstLine="0"/>
        <w:jc w:val="right"/>
        <w:rPr>
          <w:sz w:val="12"/>
        </w:rPr>
      </w:pPr>
      <w:r>
        <w:rPr>
          <w:sz w:val="12"/>
        </w:rPr>
        <w:t>18</w:t>
      </w:r>
    </w:p>
    <w:p>
      <w:pPr>
        <w:spacing w:before="100"/>
        <w:ind w:left="0" w:right="38" w:firstLine="0"/>
        <w:jc w:val="right"/>
        <w:rPr>
          <w:sz w:val="12"/>
        </w:rPr>
      </w:pPr>
      <w:r>
        <w:rPr>
          <w:sz w:val="12"/>
        </w:rPr>
        <w:t>16</w:t>
      </w:r>
    </w:p>
    <w:p>
      <w:pPr>
        <w:spacing w:before="100"/>
        <w:ind w:left="0" w:right="38" w:firstLine="0"/>
        <w:jc w:val="right"/>
        <w:rPr>
          <w:sz w:val="12"/>
        </w:rPr>
      </w:pPr>
      <w:r>
        <w:rPr>
          <w:sz w:val="12"/>
        </w:rPr>
        <w:t>14</w:t>
      </w:r>
    </w:p>
    <w:p>
      <w:pPr>
        <w:spacing w:before="100"/>
        <w:ind w:left="0" w:right="38" w:firstLine="0"/>
        <w:jc w:val="right"/>
        <w:rPr>
          <w:sz w:val="12"/>
        </w:rPr>
      </w:pPr>
      <w:r>
        <w:rPr>
          <w:sz w:val="12"/>
        </w:rPr>
        <w:t>12</w:t>
      </w:r>
    </w:p>
    <w:p>
      <w:pPr>
        <w:spacing w:before="100"/>
        <w:ind w:left="0" w:right="38" w:firstLine="0"/>
        <w:jc w:val="right"/>
        <w:rPr>
          <w:sz w:val="12"/>
        </w:rPr>
      </w:pPr>
      <w:r>
        <w:rPr>
          <w:sz w:val="12"/>
        </w:rPr>
        <w:t>10</w:t>
      </w:r>
    </w:p>
    <w:p>
      <w:pPr>
        <w:spacing w:before="100"/>
        <w:ind w:left="0" w:right="38" w:firstLine="0"/>
        <w:jc w:val="right"/>
        <w:rPr>
          <w:sz w:val="12"/>
        </w:rPr>
      </w:pPr>
      <w:r>
        <w:rPr>
          <w:sz w:val="12"/>
        </w:rPr>
        <w:t>8</w:t>
      </w:r>
    </w:p>
    <w:p>
      <w:pPr>
        <w:spacing w:before="100"/>
        <w:ind w:left="0" w:right="38" w:firstLine="0"/>
        <w:jc w:val="right"/>
        <w:rPr>
          <w:sz w:val="12"/>
        </w:rPr>
      </w:pPr>
      <w:r>
        <w:rPr>
          <w:sz w:val="12"/>
        </w:rPr>
        <w:t>6</w:t>
      </w:r>
    </w:p>
    <w:p>
      <w:pPr>
        <w:spacing w:before="100"/>
        <w:ind w:left="0" w:right="38" w:firstLine="0"/>
        <w:jc w:val="right"/>
        <w:rPr>
          <w:sz w:val="12"/>
        </w:rPr>
      </w:pPr>
      <w:r>
        <w:rPr>
          <w:sz w:val="12"/>
        </w:rPr>
        <w:t>4</w:t>
      </w:r>
    </w:p>
    <w:p>
      <w:pPr>
        <w:spacing w:before="100"/>
        <w:ind w:left="0" w:right="38" w:firstLine="0"/>
        <w:jc w:val="right"/>
        <w:rPr>
          <w:sz w:val="12"/>
        </w:rPr>
      </w:pPr>
      <w:r>
        <w:rPr>
          <w:sz w:val="12"/>
        </w:rPr>
        <w:t>2</w:t>
      </w:r>
    </w:p>
    <w:p>
      <w:pPr>
        <w:spacing w:line="121" w:lineRule="exact" w:before="100"/>
        <w:ind w:left="3494" w:right="0" w:firstLine="0"/>
        <w:jc w:val="left"/>
        <w:rPr>
          <w:sz w:val="12"/>
        </w:rPr>
      </w:pPr>
      <w:r>
        <w:rPr/>
        <w:pict>
          <v:shape style="position:absolute;margin-left:41.595001pt;margin-top:5.71557pt;width:159.1pt;height:3.4pt;mso-position-horizontal-relative:page;mso-position-vertical-relative:paragraph;z-index:15747072" coordorigin="832,114" coordsize="3182,68" path="m982,181l3877,181m832,182l919,182m3926,182l4013,182m979,114l979,181m1269,114l1269,181m1559,114l1559,181m1849,114l1849,181m2138,114l2138,181m2573,114l2573,181m3153,114l3153,181m3732,114l3732,181m2718,114l2718,181m3297,114l3297,181m1124,114l1124,181m1414,114l1414,181m1704,114l1704,181m1994,114l1994,181m2283,114l2283,181m2863,114l2863,181m3442,114l3442,181m2428,114l2428,181m3008,114l3008,181m3587,114l3587,181m3877,114l3877,181e" filled="false" stroked="true" strokeweight=".5pt" strokecolor="#000000">
            <v:path arrowok="t"/>
            <v:stroke dashstyle="solid"/>
            <w10:wrap type="none"/>
          </v:shape>
        </w:pict>
      </w:r>
      <w:r>
        <w:rPr>
          <w:sz w:val="12"/>
        </w:rPr>
        <w:t>0</w:t>
      </w:r>
    </w:p>
    <w:p>
      <w:pPr>
        <w:spacing w:line="121" w:lineRule="exact" w:before="0"/>
        <w:ind w:left="222" w:right="0" w:firstLine="0"/>
        <w:jc w:val="left"/>
        <w:rPr>
          <w:sz w:val="12"/>
        </w:rPr>
      </w:pPr>
      <w:r>
        <w:rPr>
          <w:sz w:val="12"/>
        </w:rPr>
        <w:t>1980 82 84 86 88 90 92 94 96 98 2000</w:t>
      </w:r>
    </w:p>
    <w:p>
      <w:pPr>
        <w:pStyle w:val="BodyText"/>
        <w:spacing w:before="5"/>
        <w:rPr>
          <w:sz w:val="10"/>
        </w:rPr>
      </w:pPr>
    </w:p>
    <w:p>
      <w:pPr>
        <w:spacing w:before="0"/>
        <w:ind w:left="154" w:right="0" w:firstLine="0"/>
        <w:jc w:val="left"/>
        <w:rPr>
          <w:sz w:val="12"/>
        </w:rPr>
      </w:pPr>
      <w:r>
        <w:rPr>
          <w:sz w:val="12"/>
        </w:rPr>
        <w:t>Sources: ONS and Bank of England.</w:t>
      </w:r>
    </w:p>
    <w:p>
      <w:pPr>
        <w:pStyle w:val="Heading6"/>
        <w:spacing w:line="242" w:lineRule="auto" w:before="90"/>
        <w:ind w:left="154" w:right="128"/>
      </w:pPr>
      <w:r>
        <w:rPr/>
        <w:br w:type="column"/>
      </w:r>
      <w:r>
        <w:rPr/>
        <w:t>The Bank of England official rate stands at 6%, unchanged since the February </w:t>
      </w:r>
      <w:r>
        <w:rPr>
          <w:i/>
        </w:rPr>
        <w:t>Report</w:t>
      </w:r>
      <w:r>
        <w:rPr/>
        <w:t>. In the euro area and the United States, official interest rates have risen in recent months. In the United Kingdom, the markets still expect official rates to rise over the next year, but now anticipate a lower peak in rates than at the time of the previous </w:t>
      </w:r>
      <w:r>
        <w:rPr>
          <w:i/>
        </w:rPr>
        <w:t>Report</w:t>
      </w:r>
      <w:r>
        <w:rPr/>
        <w:t>. Long-term market interest rates have also fallen.</w:t>
      </w:r>
    </w:p>
    <w:p>
      <w:pPr>
        <w:pStyle w:val="BodyText"/>
        <w:spacing w:before="6"/>
        <w:rPr>
          <w:sz w:val="23"/>
        </w:rPr>
      </w:pPr>
    </w:p>
    <w:p>
      <w:pPr>
        <w:spacing w:line="242" w:lineRule="auto" w:before="0"/>
        <w:ind w:left="154" w:right="221" w:firstLine="0"/>
        <w:jc w:val="left"/>
        <w:rPr>
          <w:sz w:val="24"/>
        </w:rPr>
      </w:pPr>
      <w:r>
        <w:rPr>
          <w:sz w:val="24"/>
        </w:rPr>
        <w:t>The sterling effective exchange rate remains very high, largely due to sustained euro weakness. Aggregate UK equity prices are slightly lower than in February, with share prices in high-technology sectors falling particularly sharply. House prices continue to rise rapidly but there are some tentative signs that house price inflation may be easing.</w:t>
      </w:r>
    </w:p>
    <w:p>
      <w:pPr>
        <w:pStyle w:val="BodyText"/>
        <w:spacing w:before="7"/>
        <w:rPr>
          <w:sz w:val="23"/>
        </w:rPr>
      </w:pPr>
    </w:p>
    <w:p>
      <w:pPr>
        <w:pStyle w:val="Heading3"/>
        <w:numPr>
          <w:ilvl w:val="1"/>
          <w:numId w:val="2"/>
        </w:numPr>
        <w:tabs>
          <w:tab w:pos="3324" w:val="left" w:leader="none"/>
          <w:tab w:pos="3325" w:val="left" w:leader="none"/>
          <w:tab w:pos="5644" w:val="left" w:leader="none"/>
        </w:tabs>
        <w:spacing w:line="240" w:lineRule="auto" w:before="0" w:after="0"/>
        <w:ind w:left="3324" w:right="0" w:hanging="3171"/>
        <w:jc w:val="left"/>
        <w:rPr>
          <w:color w:val="009391"/>
        </w:rPr>
      </w:pPr>
      <w:r>
        <w:rPr>
          <w:color w:val="009391"/>
          <w:u w:val="thick" w:color="0092C7"/>
        </w:rPr>
        <w:t>Money and</w:t>
      </w:r>
      <w:r>
        <w:rPr>
          <w:color w:val="009391"/>
          <w:spacing w:val="-17"/>
          <w:u w:val="thick" w:color="0092C7"/>
        </w:rPr>
        <w:t> </w:t>
      </w:r>
      <w:r>
        <w:rPr>
          <w:color w:val="009391"/>
          <w:u w:val="thick" w:color="0092C7"/>
        </w:rPr>
        <w:t>credit</w:t>
        <w:tab/>
      </w:r>
    </w:p>
    <w:p>
      <w:pPr>
        <w:spacing w:after="0" w:line="240" w:lineRule="auto"/>
        <w:jc w:val="left"/>
        <w:sectPr>
          <w:type w:val="continuous"/>
          <w:pgSz w:w="11900" w:h="16840"/>
          <w:pgMar w:top="1220" w:bottom="280" w:left="640" w:right="620"/>
          <w:cols w:num="2" w:equalWidth="0">
            <w:col w:w="3595" w:space="1231"/>
            <w:col w:w="5814"/>
          </w:cols>
        </w:sectPr>
      </w:pPr>
    </w:p>
    <w:p>
      <w:pPr>
        <w:pStyle w:val="BodyText"/>
        <w:spacing w:before="1"/>
        <w:rPr>
          <w:b/>
          <w:sz w:val="16"/>
        </w:rPr>
      </w:pPr>
    </w:p>
    <w:p>
      <w:pPr>
        <w:spacing w:after="0"/>
        <w:rPr>
          <w:sz w:val="16"/>
        </w:rPr>
        <w:sectPr>
          <w:type w:val="continuous"/>
          <w:pgSz w:w="11900" w:h="16840"/>
          <w:pgMar w:top="1220" w:bottom="280" w:left="640" w:right="620"/>
        </w:sectPr>
      </w:pPr>
    </w:p>
    <w:p>
      <w:pPr>
        <w:spacing w:before="110"/>
        <w:ind w:left="169" w:right="0" w:firstLine="0"/>
        <w:jc w:val="left"/>
        <w:rPr>
          <w:b/>
          <w:sz w:val="20"/>
        </w:rPr>
      </w:pPr>
      <w:r>
        <w:rPr>
          <w:b/>
          <w:color w:val="0092C7"/>
          <w:sz w:val="20"/>
        </w:rPr>
        <w:t>Chart 1.2</w:t>
      </w:r>
    </w:p>
    <w:p>
      <w:pPr>
        <w:spacing w:before="10"/>
        <w:ind w:left="169" w:right="0" w:firstLine="0"/>
        <w:jc w:val="left"/>
        <w:rPr>
          <w:sz w:val="12"/>
        </w:rPr>
      </w:pPr>
      <w:r>
        <w:rPr>
          <w:b/>
          <w:color w:val="0092C7"/>
          <w:sz w:val="20"/>
        </w:rPr>
        <w:t>Narrow money velocity</w:t>
      </w:r>
      <w:r>
        <w:rPr>
          <w:position w:val="4"/>
          <w:sz w:val="12"/>
        </w:rPr>
        <w:t>(a)</w:t>
      </w:r>
    </w:p>
    <w:p>
      <w:pPr>
        <w:pStyle w:val="BodyText"/>
        <w:spacing w:before="5" w:after="39"/>
      </w:pPr>
    </w:p>
    <w:p>
      <w:pPr>
        <w:pStyle w:val="BodyText"/>
        <w:spacing w:line="20" w:lineRule="exact"/>
        <w:ind w:left="194"/>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8"/>
        <w:rPr>
          <w:sz w:val="16"/>
        </w:rPr>
      </w:pPr>
      <w:r>
        <w:rPr/>
        <w:pict>
          <v:shape style="position:absolute;margin-left:41.992001pt;margin-top:11.838977pt;width:4.350pt;height:.1pt;mso-position-horizontal-relative:page;mso-position-vertical-relative:paragraph;z-index:-15715328;mso-wrap-distance-left:0;mso-wrap-distance-right:0" coordorigin="840,237" coordsize="87,0" path="m840,237l927,237e" filled="false" stroked="true" strokeweight=".5pt" strokecolor="#000000">
            <v:path arrowok="t"/>
            <v:stroke dashstyle="solid"/>
            <w10:wrap type="topAndBottom"/>
          </v:shape>
        </w:pict>
      </w:r>
    </w:p>
    <w:p>
      <w:pPr>
        <w:pStyle w:val="BodyText"/>
        <w:rPr>
          <w:sz w:val="20"/>
        </w:rPr>
      </w:pPr>
    </w:p>
    <w:p>
      <w:pPr>
        <w:pStyle w:val="BodyText"/>
        <w:spacing w:before="1"/>
        <w:rPr>
          <w:sz w:val="15"/>
        </w:rPr>
      </w:pPr>
      <w:r>
        <w:rPr/>
        <w:pict>
          <v:shape style="position:absolute;margin-left:41.992001pt;margin-top:10.889977pt;width:4.350pt;height:.1pt;mso-position-horizontal-relative:page;mso-position-vertical-relative:paragraph;z-index:-15714816;mso-wrap-distance-left:0;mso-wrap-distance-right:0" coordorigin="840,218" coordsize="87,0" path="m840,218l927,218e" filled="false" stroked="true" strokeweight=".5pt" strokecolor="#000000">
            <v:path arrowok="t"/>
            <v:stroke dashstyle="solid"/>
            <w10:wrap type="topAndBottom"/>
          </v:shape>
        </w:pict>
      </w:r>
    </w:p>
    <w:p>
      <w:pPr>
        <w:pStyle w:val="BodyText"/>
        <w:rPr>
          <w:sz w:val="20"/>
        </w:rPr>
      </w:pPr>
    </w:p>
    <w:p>
      <w:pPr>
        <w:pStyle w:val="BodyText"/>
        <w:spacing w:before="1"/>
        <w:rPr>
          <w:sz w:val="15"/>
        </w:rPr>
      </w:pPr>
      <w:r>
        <w:rPr/>
        <w:pict>
          <v:shape style="position:absolute;margin-left:41.992001pt;margin-top:10.888976pt;width:4.350pt;height:.1pt;mso-position-horizontal-relative:page;mso-position-vertical-relative:paragraph;z-index:-15714304;mso-wrap-distance-left:0;mso-wrap-distance-right:0" coordorigin="840,218" coordsize="87,0" path="m840,218l927,218e" filled="false" stroked="true" strokeweight=".5pt" strokecolor="#000000">
            <v:path arrowok="t"/>
            <v:stroke dashstyle="solid"/>
            <w10:wrap type="topAndBottom"/>
          </v:shape>
        </w:pict>
      </w:r>
    </w:p>
    <w:p>
      <w:pPr>
        <w:pStyle w:val="BodyText"/>
        <w:rPr>
          <w:sz w:val="20"/>
        </w:rPr>
      </w:pPr>
    </w:p>
    <w:p>
      <w:pPr>
        <w:pStyle w:val="BodyText"/>
        <w:spacing w:before="1"/>
        <w:rPr>
          <w:sz w:val="15"/>
        </w:rPr>
      </w:pPr>
      <w:r>
        <w:rPr/>
        <w:pict>
          <v:shape style="position:absolute;margin-left:41.992001pt;margin-top:10.889977pt;width:4.350pt;height:.1pt;mso-position-horizontal-relative:page;mso-position-vertical-relative:paragraph;z-index:-15713792;mso-wrap-distance-left:0;mso-wrap-distance-right:0" coordorigin="840,218" coordsize="87,0" path="m840,218l927,218e" filled="false" stroked="true" strokeweight=".5pt" strokecolor="#000000">
            <v:path arrowok="t"/>
            <v:stroke dashstyle="solid"/>
            <w10:wrap type="topAndBottom"/>
          </v:shape>
        </w:pict>
      </w:r>
    </w:p>
    <w:p>
      <w:pPr>
        <w:pStyle w:val="BodyText"/>
        <w:rPr>
          <w:sz w:val="20"/>
        </w:rPr>
      </w:pPr>
    </w:p>
    <w:p>
      <w:pPr>
        <w:pStyle w:val="BodyText"/>
        <w:spacing w:before="1"/>
        <w:rPr>
          <w:sz w:val="15"/>
        </w:rPr>
      </w:pPr>
      <w:r>
        <w:rPr/>
        <w:pict>
          <v:shape style="position:absolute;margin-left:41.992001pt;margin-top:10.888976pt;width:4.350pt;height:.1pt;mso-position-horizontal-relative:page;mso-position-vertical-relative:paragraph;z-index:-15713280;mso-wrap-distance-left:0;mso-wrap-distance-right:0" coordorigin="840,218" coordsize="87,0" path="m840,218l927,218e" filled="false" stroked="true" strokeweight=".5pt" strokecolor="#000000">
            <v:path arrowok="t"/>
            <v:stroke dashstyle="solid"/>
            <w10:wrap type="topAndBottom"/>
          </v:shape>
        </w:pict>
      </w:r>
    </w:p>
    <w:p>
      <w:pPr>
        <w:pStyle w:val="BodyText"/>
        <w:rPr>
          <w:sz w:val="20"/>
        </w:rPr>
      </w:pPr>
    </w:p>
    <w:p>
      <w:pPr>
        <w:pStyle w:val="BodyText"/>
        <w:spacing w:before="1"/>
        <w:rPr>
          <w:sz w:val="15"/>
        </w:rPr>
      </w:pPr>
      <w:r>
        <w:rPr/>
        <w:pict>
          <v:shape style="position:absolute;margin-left:41.992001pt;margin-top:10.889977pt;width:4.350pt;height:.1pt;mso-position-horizontal-relative:page;mso-position-vertical-relative:paragraph;z-index:-15712768;mso-wrap-distance-left:0;mso-wrap-distance-right:0" coordorigin="840,218" coordsize="87,0" path="m840,218l927,218e" filled="false" stroked="true" strokeweight=".5pt" strokecolor="#000000">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2"/>
        <w:rPr>
          <w:sz w:val="10"/>
        </w:rPr>
      </w:pPr>
    </w:p>
    <w:p>
      <w:pPr>
        <w:spacing w:before="1"/>
        <w:ind w:left="169" w:right="0" w:firstLine="0"/>
        <w:jc w:val="left"/>
        <w:rPr>
          <w:sz w:val="12"/>
        </w:rPr>
      </w:pPr>
      <w:r>
        <w:rPr/>
        <w:pict>
          <v:group style="position:absolute;margin-left:50.450001pt;margin-top:10.137056pt;width:151.9pt;height:119.55pt;mso-position-horizontal-relative:page;mso-position-vertical-relative:paragraph;z-index:15749120" coordorigin="1009,203" coordsize="3038,2391">
            <v:shape style="position:absolute;left:1019;top:266;width:2868;height:2317" coordorigin="1019,266" coordsize="2868,2317" path="m1019,2201l1042,2228m1042,2228l1064,2213m1064,2213l1087,2146m1087,2146l1109,2148m1109,2146l1132,2186m1132,2186l1157,2188m1157,2186l1179,2146m1179,2146l1202,2161m1202,2161l1224,2241m1224,2241l1247,2118m1247,2118l1269,2133m1269,2133l1292,2106m1292,2106l1304,2063m1304,2063l1349,2118m1349,2118l1439,2008m1439,2008l1462,2036m1462,2036l1484,2038m1484,2036l1507,2078m1507,2078l1529,2081m1529,2078l1552,2091m1552,2091l1574,2133m1574,2133l1597,2136m1597,2133l1619,2091m1619,2091l1644,2051m1644,2051l1667,2063m1667,2063l1689,2051m1689,2051l1712,2053m1712,2051l1734,2053m1734,2051l1757,2053m1757,2051l1779,2008m1779,2008l1802,1996m1802,1996l1824,2008m1824,2008l1847,2023m1847,2023l1869,2008m1869,2008l1882,2036m1882,2036l1904,2023m1904,2023l1927,2026m1927,2023l1949,1996m1949,1996l1972,2008m1972,2008l1994,2201m1994,2201l2017,2203m2017,2201l2039,2256m2039,2256l2062,2213m2062,2213l2084,2241m2084,2241l2107,2201m2107,2201l2132,2106m2132,2106l2154,2186m2154,2186l2177,2228m2177,2228l2199,2213m2199,2213l2222,2216m2222,2213l2244,2201m2244,2201l2267,2203m2267,2201l2289,2186m2289,2186l2312,2188m2312,2186l2334,2161m2334,2161l2357,2186m2357,2186l2379,2201m2379,2201l2402,2228m2402,2228l2424,2296m2424,2296l2447,2298m2447,2296l2459,2268m2459,2268l2482,2283m2482,2283l2504,2286m2504,2283l2527,2296m2527,2296l2549,2283m2549,2283l2572,2311m2572,2311l2594,2351m2594,2351l2619,2446m2619,2446l2642,2528m2642,2528l2664,2571m2664,2571l2687,2583m2687,2583l2732,2528m2732,2528l2754,2446m2754,2446l2777,2421m2777,2421l2822,2366m2822,2366l2844,2351m2844,2351l2867,2338m2867,2338l2889,2341m2889,2338l2912,2311m2912,2311l2934,2313m2934,2311l2959,2296m2959,2296l2982,2283m2982,2283l3004,2268m3004,2268l3027,2271m3027,2268l3037,2256m3037,2256l3059,2213m3059,2213l3082,2186m3082,2186l3104,2173m3104,2173l3129,2176m3129,2173l3152,2176m3152,2173l3174,2146m3174,2146l3197,2133m3197,2133l3219,2106m3219,2106l3242,2063m3242,2063l3264,2023m3264,2023l3287,1953m3287,1953l3309,1941m3309,1941l3332,1901m3332,1901l3354,1818m3354,1818l3377,1763m3377,1763l3399,1721m3399,1721l3422,1723m3422,1721l3447,1653m3447,1653l3469,1558m3469,1558l3492,1461m3492,1461l3514,1326m3514,1326l3537,1256m3537,1256l3559,1228m3559,1228l3582,1148m3582,1148l3604,1023m3604,1023l3617,928m3617,928l3639,806m3639,806l3707,558m3707,558l3729,491m3729,491l3752,448m3752,448l3797,503m3797,503l3819,506m3819,503l3842,506m3842,503l3864,506m3864,503l3887,518m1246,676l1371,266e" filled="false" stroked="true" strokeweight="1pt" strokecolor="#de0035">
              <v:path arrowok="t"/>
              <v:stroke dashstyle="solid"/>
            </v:shape>
            <v:shape style="position:absolute;left:1360;top:256;width:760;height:760" type="#_x0000_t75" stroked="false">
              <v:imagedata r:id="rId20" o:title=""/>
            </v:shape>
            <v:shape style="position:absolute;left:1127;top:265;width:2920;height:2311" coordorigin="1127,265" coordsize="2920,2311" path="m3960,649l4047,649m3960,1131l4047,1131m3960,1613l4047,1613m3960,2576l4047,2576m3960,2095l4047,2095m1127,266l1185,266m1127,770l1185,770m1127,518l1185,518m1127,1022l1185,1022m1239,1022l2112,1022m1239,973l1239,1020m1364,973l1364,1020m1489,973l1489,1020m1613,973l1613,1020m1738,973l1738,1020m1863,973l1863,1020m1988,973l1988,1020m2150,265l2207,265m2150,769l2207,769m2150,517l2207,517m2150,1021l2207,1021m3722,612l3896,612,3896,292,3722,292,3722,612xm2489,468l3622,468e" filled="false" stroked="true" strokeweight=".5pt" strokecolor="#000000">
              <v:path arrowok="t"/>
              <v:stroke dashstyle="solid"/>
            </v:shape>
            <v:shape style="position:absolute;left:3605;top:442;width:85;height:51" coordorigin="3605,443" coordsize="85,51" path="m3605,443l3605,493,3621,487,3633,483,3690,468,3681,467,3671,464,3659,461,3646,458,3635,454,3605,443xe" filled="true" fillcolor="#000000" stroked="false">
              <v:path arrowok="t"/>
              <v:fill type="solid"/>
            </v:shape>
            <v:shape style="position:absolute;left:2241;top:202;width:200;height:635" type="#_x0000_t202" filled="false" stroked="false">
              <v:textbox inset="0,0,0,0">
                <w:txbxContent>
                  <w:p>
                    <w:pPr>
                      <w:spacing w:line="133" w:lineRule="exact" w:before="0"/>
                      <w:ind w:left="0" w:right="0" w:firstLine="0"/>
                      <w:jc w:val="left"/>
                      <w:rPr>
                        <w:sz w:val="12"/>
                      </w:rPr>
                    </w:pPr>
                    <w:r>
                      <w:rPr>
                        <w:sz w:val="12"/>
                      </w:rPr>
                      <w:t>108</w:t>
                    </w:r>
                  </w:p>
                  <w:p>
                    <w:pPr>
                      <w:spacing w:line="240" w:lineRule="auto" w:before="9"/>
                      <w:rPr>
                        <w:sz w:val="9"/>
                      </w:rPr>
                    </w:pPr>
                  </w:p>
                  <w:p>
                    <w:pPr>
                      <w:spacing w:before="0"/>
                      <w:ind w:left="0" w:right="0" w:firstLine="0"/>
                      <w:jc w:val="left"/>
                      <w:rPr>
                        <w:sz w:val="12"/>
                      </w:rPr>
                    </w:pPr>
                    <w:r>
                      <w:rPr>
                        <w:sz w:val="12"/>
                      </w:rPr>
                      <w:t>107</w:t>
                    </w:r>
                  </w:p>
                  <w:p>
                    <w:pPr>
                      <w:spacing w:line="240" w:lineRule="auto" w:before="9"/>
                      <w:rPr>
                        <w:sz w:val="9"/>
                      </w:rPr>
                    </w:pPr>
                  </w:p>
                  <w:p>
                    <w:pPr>
                      <w:spacing w:before="0"/>
                      <w:ind w:left="0" w:right="0" w:firstLine="0"/>
                      <w:jc w:val="left"/>
                      <w:rPr>
                        <w:sz w:val="12"/>
                      </w:rPr>
                    </w:pPr>
                    <w:r>
                      <w:rPr>
                        <w:sz w:val="12"/>
                      </w:rPr>
                      <w:t>106</w:t>
                    </w:r>
                  </w:p>
                </w:txbxContent>
              </v:textbox>
              <w10:wrap type="none"/>
            </v:shape>
            <v:shape style="position:absolute;left:1113;top:1038;width:960;height:133" type="#_x0000_t202" filled="false" stroked="false">
              <v:textbox inset="0,0,0,0">
                <w:txbxContent>
                  <w:p>
                    <w:pPr>
                      <w:spacing w:line="133" w:lineRule="exact" w:before="0"/>
                      <w:ind w:left="0" w:right="0" w:firstLine="0"/>
                      <w:jc w:val="left"/>
                      <w:rPr>
                        <w:sz w:val="12"/>
                      </w:rPr>
                    </w:pPr>
                    <w:r>
                      <w:rPr>
                        <w:sz w:val="12"/>
                      </w:rPr>
                      <w:t>1992 94 96 98</w:t>
                    </w:r>
                  </w:p>
                </w:txbxContent>
              </v:textbox>
              <w10:wrap type="none"/>
            </v:shape>
            <v:shape style="position:absolute;left:2241;top:955;width:200;height:133" type="#_x0000_t202" filled="false" stroked="false">
              <v:textbox inset="0,0,0,0">
                <w:txbxContent>
                  <w:p>
                    <w:pPr>
                      <w:spacing w:line="133" w:lineRule="exact" w:before="0"/>
                      <w:ind w:left="0" w:right="0" w:firstLine="0"/>
                      <w:jc w:val="left"/>
                      <w:rPr>
                        <w:sz w:val="12"/>
                      </w:rPr>
                    </w:pPr>
                    <w:r>
                      <w:rPr>
                        <w:sz w:val="12"/>
                      </w:rPr>
                      <w:t>105</w:t>
                    </w:r>
                  </w:p>
                </w:txbxContent>
              </v:textbox>
              <w10:wrap type="none"/>
            </v:shape>
            <w10:wrap type="none"/>
          </v:group>
        </w:pict>
      </w:r>
      <w:r>
        <w:rPr>
          <w:sz w:val="12"/>
        </w:rPr>
        <w:t>1990 = 100</w:t>
      </w:r>
    </w:p>
    <w:p>
      <w:pPr>
        <w:pStyle w:val="BodyText"/>
        <w:spacing w:line="20" w:lineRule="exact"/>
        <w:ind w:left="625"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before="81"/>
        <w:ind w:left="-9" w:right="0" w:firstLine="0"/>
        <w:jc w:val="left"/>
        <w:rPr>
          <w:sz w:val="12"/>
        </w:rPr>
      </w:pPr>
      <w:r>
        <w:rPr>
          <w:sz w:val="12"/>
        </w:rPr>
        <w:t>120</w:t>
      </w:r>
    </w:p>
    <w:p>
      <w:pPr>
        <w:pStyle w:val="BodyText"/>
        <w:rPr>
          <w:sz w:val="12"/>
        </w:rPr>
      </w:pPr>
    </w:p>
    <w:p>
      <w:pPr>
        <w:pStyle w:val="BodyText"/>
        <w:spacing w:before="9"/>
        <w:rPr>
          <w:sz w:val="17"/>
        </w:rPr>
      </w:pPr>
    </w:p>
    <w:p>
      <w:pPr>
        <w:spacing w:before="0"/>
        <w:ind w:left="-9" w:right="0" w:firstLine="0"/>
        <w:jc w:val="left"/>
        <w:rPr>
          <w:sz w:val="12"/>
        </w:rPr>
      </w:pPr>
      <w:r>
        <w:rPr>
          <w:sz w:val="12"/>
        </w:rPr>
        <w:t>100</w:t>
      </w:r>
    </w:p>
    <w:p>
      <w:pPr>
        <w:pStyle w:val="BodyText"/>
        <w:rPr>
          <w:sz w:val="12"/>
        </w:rPr>
      </w:pPr>
    </w:p>
    <w:p>
      <w:pPr>
        <w:pStyle w:val="BodyText"/>
        <w:spacing w:before="10"/>
        <w:rPr>
          <w:sz w:val="17"/>
        </w:rPr>
      </w:pPr>
    </w:p>
    <w:p>
      <w:pPr>
        <w:spacing w:before="0"/>
        <w:ind w:left="51" w:right="0" w:firstLine="0"/>
        <w:jc w:val="left"/>
        <w:rPr>
          <w:sz w:val="12"/>
        </w:rPr>
      </w:pPr>
      <w:r>
        <w:rPr>
          <w:sz w:val="12"/>
        </w:rPr>
        <w:t>80</w:t>
      </w:r>
    </w:p>
    <w:p>
      <w:pPr>
        <w:pStyle w:val="BodyText"/>
        <w:rPr>
          <w:sz w:val="12"/>
        </w:rPr>
      </w:pPr>
    </w:p>
    <w:p>
      <w:pPr>
        <w:pStyle w:val="BodyText"/>
        <w:spacing w:before="10"/>
        <w:rPr>
          <w:sz w:val="17"/>
        </w:rPr>
      </w:pPr>
    </w:p>
    <w:p>
      <w:pPr>
        <w:spacing w:before="0"/>
        <w:ind w:left="51" w:right="0" w:firstLine="0"/>
        <w:jc w:val="left"/>
        <w:rPr>
          <w:sz w:val="12"/>
        </w:rPr>
      </w:pPr>
      <w:r>
        <w:rPr>
          <w:sz w:val="12"/>
        </w:rPr>
        <w:t>60</w:t>
      </w:r>
    </w:p>
    <w:p>
      <w:pPr>
        <w:pStyle w:val="BodyText"/>
        <w:rPr>
          <w:sz w:val="12"/>
        </w:rPr>
      </w:pPr>
    </w:p>
    <w:p>
      <w:pPr>
        <w:pStyle w:val="BodyText"/>
        <w:spacing w:before="9"/>
        <w:rPr>
          <w:sz w:val="17"/>
        </w:rPr>
      </w:pPr>
    </w:p>
    <w:p>
      <w:pPr>
        <w:spacing w:before="1"/>
        <w:ind w:left="51" w:right="0" w:firstLine="0"/>
        <w:jc w:val="left"/>
        <w:rPr>
          <w:sz w:val="12"/>
        </w:rPr>
      </w:pPr>
      <w:r>
        <w:rPr>
          <w:sz w:val="12"/>
        </w:rPr>
        <w:t>40</w:t>
      </w:r>
    </w:p>
    <w:p>
      <w:pPr>
        <w:pStyle w:val="BodyText"/>
        <w:rPr>
          <w:sz w:val="12"/>
        </w:rPr>
      </w:pPr>
    </w:p>
    <w:p>
      <w:pPr>
        <w:pStyle w:val="BodyText"/>
        <w:spacing w:before="9"/>
        <w:rPr>
          <w:sz w:val="17"/>
        </w:rPr>
      </w:pPr>
    </w:p>
    <w:p>
      <w:pPr>
        <w:spacing w:before="0"/>
        <w:ind w:left="51" w:right="0" w:firstLine="0"/>
        <w:jc w:val="left"/>
        <w:rPr>
          <w:sz w:val="12"/>
        </w:rPr>
      </w:pPr>
      <w:r>
        <w:rPr>
          <w:sz w:val="12"/>
        </w:rPr>
        <w:t>20</w:t>
      </w:r>
    </w:p>
    <w:p>
      <w:pPr>
        <w:pStyle w:val="BodyText"/>
        <w:rPr>
          <w:sz w:val="12"/>
        </w:rPr>
      </w:pPr>
    </w:p>
    <w:p>
      <w:pPr>
        <w:pStyle w:val="BodyText"/>
        <w:spacing w:before="10"/>
        <w:rPr>
          <w:sz w:val="17"/>
        </w:rPr>
      </w:pPr>
    </w:p>
    <w:p>
      <w:pPr>
        <w:spacing w:line="121" w:lineRule="exact" w:before="0"/>
        <w:ind w:left="111" w:right="0" w:firstLine="0"/>
        <w:jc w:val="left"/>
        <w:rPr>
          <w:sz w:val="12"/>
        </w:rPr>
      </w:pPr>
      <w:r>
        <w:rPr/>
        <w:pict>
          <v:shape style="position:absolute;margin-left:50.908001pt;margin-top:-2.357437pt;width:151.450pt;height:5.8pt;mso-position-horizontal-relative:page;mso-position-vertical-relative:paragraph;z-index:15749632" coordorigin="1018,-47" coordsize="3029,116" path="m3960,69l4047,69m1018,69l3896,69m1019,-47l1019,69m1130,22l1130,69m1242,22l1242,69m1353,22l1353,69m1464,22l1464,69m1575,22l1575,69m1686,-47l1686,69m1797,22l1797,69m1908,22l1908,69m2019,22l2019,69m2130,22l2130,69m2241,22l2241,69m2352,-47l2352,69m2463,22l2463,69m2574,22l2574,69m2685,22l2685,69m2796,22l2796,69m2907,22l2907,69m3018,-47l3018,69m3129,22l3129,69m3240,22l3240,69m3351,22l3351,69m3463,22l3463,69m3574,22l3574,69m3685,-47l3685,69m3796,22l3796,69e" filled="false" stroked="true" strokeweight=".5pt" strokecolor="#000000">
            <v:path arrowok="t"/>
            <v:stroke dashstyle="solid"/>
            <w10:wrap type="none"/>
          </v:shape>
        </w:pict>
      </w:r>
      <w:r>
        <w:rPr>
          <w:sz w:val="12"/>
        </w:rPr>
        <w:t>0</w:t>
      </w:r>
    </w:p>
    <w:p>
      <w:pPr>
        <w:pStyle w:val="Heading7"/>
        <w:spacing w:before="90"/>
        <w:ind w:left="168"/>
        <w:rPr>
          <w:i/>
        </w:rPr>
      </w:pPr>
      <w:r>
        <w:rPr>
          <w:i w:val="0"/>
        </w:rPr>
        <w:br w:type="column"/>
      </w:r>
      <w:r>
        <w:rPr>
          <w:i/>
          <w:color w:val="009391"/>
        </w:rPr>
        <w:t>Narrow money</w:t>
      </w:r>
    </w:p>
    <w:p>
      <w:pPr>
        <w:spacing w:line="242" w:lineRule="auto" w:before="164"/>
        <w:ind w:left="168" w:right="0" w:firstLine="0"/>
        <w:jc w:val="left"/>
        <w:rPr>
          <w:sz w:val="24"/>
        </w:rPr>
      </w:pPr>
      <w:r>
        <w:rPr>
          <w:sz w:val="24"/>
        </w:rPr>
        <w:t>Annual narrow money growth has weakened from the unusually high rates associated with the transition to the new millennium. But growth of notes and coin in circulation remains higher than at any time since the late 1980s and is well above growth of nominal consumer spending (see Chart 1.1).</w:t>
      </w:r>
    </w:p>
    <w:p>
      <w:pPr>
        <w:pStyle w:val="BodyText"/>
        <w:spacing w:before="11"/>
        <w:rPr>
          <w:sz w:val="22"/>
        </w:rPr>
      </w:pPr>
    </w:p>
    <w:p>
      <w:pPr>
        <w:spacing w:line="280" w:lineRule="atLeast" w:before="0"/>
        <w:ind w:left="168" w:right="122" w:firstLine="0"/>
        <w:jc w:val="left"/>
        <w:rPr>
          <w:sz w:val="24"/>
        </w:rPr>
      </w:pPr>
      <w:r>
        <w:rPr>
          <w:sz w:val="24"/>
        </w:rPr>
        <w:t>For most of the period since the Second World War, narrow money holdings have grown more slowly than nominal spending (ie narrow money velocity has risen), as new payment technologies, such as the introduction of credit and debit cards, have allowed agents to economise</w:t>
      </w:r>
    </w:p>
    <w:p>
      <w:pPr>
        <w:spacing w:after="0" w:line="280" w:lineRule="atLeast"/>
        <w:jc w:val="left"/>
        <w:rPr>
          <w:sz w:val="24"/>
        </w:rPr>
        <w:sectPr>
          <w:type w:val="continuous"/>
          <w:pgSz w:w="11900" w:h="16840"/>
          <w:pgMar w:top="1220" w:bottom="280" w:left="640" w:right="620"/>
          <w:cols w:num="4" w:equalWidth="0">
            <w:col w:w="2331" w:space="359"/>
            <w:col w:w="717" w:space="39"/>
            <w:col w:w="212" w:space="1153"/>
            <w:col w:w="5829"/>
          </w:cols>
        </w:sectPr>
      </w:pPr>
    </w:p>
    <w:p>
      <w:pPr>
        <w:tabs>
          <w:tab w:pos="924" w:val="left" w:leader="none"/>
          <w:tab w:pos="1641" w:val="left" w:leader="none"/>
          <w:tab w:pos="2315" w:val="left" w:leader="none"/>
          <w:tab w:pos="2993" w:val="left" w:leader="none"/>
        </w:tabs>
        <w:spacing w:line="46" w:lineRule="exact" w:before="0"/>
        <w:ind w:left="245" w:right="0" w:firstLine="0"/>
        <w:jc w:val="left"/>
        <w:rPr>
          <w:sz w:val="12"/>
        </w:rPr>
      </w:pPr>
      <w:r>
        <w:rPr>
          <w:sz w:val="12"/>
        </w:rPr>
        <w:t>1870</w:t>
        <w:tab/>
        <w:t>1900</w:t>
        <w:tab/>
        <w:t>30</w:t>
        <w:tab/>
        <w:t>60</w:t>
        <w:tab/>
        <w:t>90</w:t>
      </w:r>
    </w:p>
    <w:p>
      <w:pPr>
        <w:spacing w:before="46"/>
        <w:ind w:left="169" w:right="0" w:firstLine="0"/>
        <w:jc w:val="left"/>
        <w:rPr>
          <w:sz w:val="12"/>
        </w:rPr>
      </w:pPr>
      <w:r>
        <w:rPr>
          <w:sz w:val="12"/>
        </w:rPr>
        <w:t>Sources: Capie, F and Webber, A (1985), Feinstein, C (1972) and Bank of England.</w:t>
      </w:r>
    </w:p>
    <w:p>
      <w:pPr>
        <w:pStyle w:val="BodyText"/>
        <w:spacing w:before="2"/>
        <w:rPr>
          <w:sz w:val="10"/>
        </w:rPr>
      </w:pPr>
    </w:p>
    <w:p>
      <w:pPr>
        <w:spacing w:line="208" w:lineRule="auto" w:before="0"/>
        <w:ind w:left="409" w:right="349" w:hanging="240"/>
        <w:jc w:val="left"/>
        <w:rPr>
          <w:sz w:val="12"/>
        </w:rPr>
      </w:pPr>
      <w:r>
        <w:rPr>
          <w:sz w:val="12"/>
        </w:rPr>
        <w:t>(a) Defined as the ratio of annual consumer spending to the average annual M0 stock.</w:t>
      </w:r>
    </w:p>
    <w:p>
      <w:pPr>
        <w:pStyle w:val="Heading6"/>
        <w:spacing w:line="242" w:lineRule="auto" w:before="4"/>
        <w:ind w:left="168" w:right="168"/>
      </w:pPr>
      <w:r>
        <w:rPr/>
        <w:br w:type="column"/>
      </w:r>
      <w:r>
        <w:rPr/>
        <w:t>on cash holdings (see Chart 1.2). But in the early 1990s velocity rose less rapidly. And in recent years velocity has actually fallen.</w:t>
      </w:r>
    </w:p>
    <w:p>
      <w:pPr>
        <w:spacing w:after="0" w:line="242" w:lineRule="auto"/>
        <w:sectPr>
          <w:type w:val="continuous"/>
          <w:pgSz w:w="11900" w:h="16840"/>
          <w:pgMar w:top="1220" w:bottom="280" w:left="640" w:right="620"/>
          <w:cols w:num="2" w:equalWidth="0">
            <w:col w:w="4264" w:space="547"/>
            <w:col w:w="5829"/>
          </w:cols>
        </w:sectPr>
      </w:pPr>
    </w:p>
    <w:p>
      <w:pPr>
        <w:pStyle w:val="BodyText"/>
        <w:rPr>
          <w:sz w:val="20"/>
        </w:rPr>
      </w:pPr>
    </w:p>
    <w:p>
      <w:pPr>
        <w:spacing w:after="0"/>
        <w:rPr>
          <w:sz w:val="20"/>
        </w:rPr>
        <w:sectPr>
          <w:headerReference w:type="default" r:id="rId21"/>
          <w:headerReference w:type="even" r:id="rId22"/>
          <w:pgSz w:w="11900" w:h="16840"/>
          <w:pgMar w:header="586" w:footer="617" w:top="780" w:bottom="780" w:left="640" w:right="620"/>
        </w:sectPr>
      </w:pPr>
    </w:p>
    <w:p>
      <w:pPr>
        <w:pStyle w:val="BodyText"/>
        <w:spacing w:before="1"/>
        <w:rPr>
          <w:sz w:val="20"/>
        </w:rPr>
      </w:pPr>
    </w:p>
    <w:p>
      <w:pPr>
        <w:spacing w:before="0"/>
        <w:ind w:left="150" w:right="0" w:firstLine="0"/>
        <w:jc w:val="left"/>
        <w:rPr>
          <w:b/>
          <w:sz w:val="20"/>
        </w:rPr>
      </w:pPr>
      <w:bookmarkStart w:name="Broad money and credit" w:id="9"/>
      <w:bookmarkEnd w:id="9"/>
      <w:r>
        <w:rPr/>
      </w:r>
      <w:bookmarkStart w:name="_bookmark5" w:id="10"/>
      <w:bookmarkEnd w:id="10"/>
      <w:r>
        <w:rPr/>
      </w:r>
      <w:r>
        <w:rPr>
          <w:b/>
          <w:color w:val="0092C7"/>
          <w:sz w:val="20"/>
        </w:rPr>
        <w:t>Chart 1.3</w:t>
      </w:r>
    </w:p>
    <w:p>
      <w:pPr>
        <w:spacing w:before="10"/>
        <w:ind w:left="150" w:right="0" w:firstLine="0"/>
        <w:jc w:val="left"/>
        <w:rPr>
          <w:b/>
          <w:sz w:val="20"/>
        </w:rPr>
      </w:pPr>
      <w:r>
        <w:rPr>
          <w:b/>
          <w:color w:val="0092C7"/>
          <w:sz w:val="20"/>
        </w:rPr>
        <w:t>Growth of M4 and M4 excluding</w:t>
      </w:r>
      <w:r>
        <w:rPr>
          <w:b/>
          <w:color w:val="0092C7"/>
          <w:spacing w:val="-28"/>
          <w:sz w:val="20"/>
        </w:rPr>
        <w:t> </w:t>
      </w:r>
      <w:r>
        <w:rPr>
          <w:b/>
          <w:color w:val="0092C7"/>
          <w:sz w:val="20"/>
        </w:rPr>
        <w:t>OFCs</w:t>
      </w:r>
    </w:p>
    <w:p>
      <w:pPr>
        <w:spacing w:line="128" w:lineRule="exact" w:before="75"/>
        <w:ind w:left="1730" w:right="0" w:firstLine="0"/>
        <w:jc w:val="left"/>
        <w:rPr>
          <w:sz w:val="12"/>
        </w:rPr>
      </w:pPr>
      <w:r>
        <w:rPr>
          <w:sz w:val="12"/>
        </w:rPr>
        <w:t>Percentage changes on a year earlier</w:t>
      </w:r>
    </w:p>
    <w:p>
      <w:pPr>
        <w:spacing w:line="128" w:lineRule="exact" w:before="0"/>
        <w:ind w:left="3522" w:right="0" w:firstLine="0"/>
        <w:jc w:val="left"/>
        <w:rPr>
          <w:sz w:val="12"/>
        </w:rPr>
      </w:pPr>
      <w:r>
        <w:rPr/>
        <w:pict>
          <v:line style="position:absolute;mso-position-horizontal-relative:page;mso-position-vertical-relative:paragraph;z-index:15756800" from="41.5pt,3.306393pt" to="45.833pt,3.306393pt" stroked="true" strokeweight=".5pt" strokecolor="#000000">
            <v:stroke dashstyle="solid"/>
            <w10:wrap type="none"/>
          </v:line>
        </w:pict>
      </w:r>
      <w:r>
        <w:rPr/>
        <w:pict>
          <v:line style="position:absolute;mso-position-horizontal-relative:page;mso-position-vertical-relative:paragraph;z-index:15762944" from="200.875pt,3.431393pt" to="205.208pt,3.431393pt" stroked="true" strokeweight=".5pt" strokecolor="#000000">
            <v:stroke dashstyle="solid"/>
            <w10:wrap type="none"/>
          </v:line>
        </w:pict>
      </w:r>
      <w:r>
        <w:rPr>
          <w:sz w:val="12"/>
        </w:rPr>
        <w:t>20</w:t>
      </w:r>
    </w:p>
    <w:p>
      <w:pPr>
        <w:pStyle w:val="BodyText"/>
        <w:spacing w:before="5"/>
        <w:rPr>
          <w:sz w:val="13"/>
        </w:rPr>
      </w:pPr>
    </w:p>
    <w:p>
      <w:pPr>
        <w:spacing w:before="0"/>
        <w:ind w:left="3522" w:right="0" w:firstLine="0"/>
        <w:jc w:val="left"/>
        <w:rPr>
          <w:sz w:val="12"/>
        </w:rPr>
      </w:pPr>
      <w:r>
        <w:rPr/>
        <w:pict>
          <v:group style="position:absolute;margin-left:50.875pt;margin-top:3.102173pt;width:145.25pt;height:108.5pt;mso-position-horizontal-relative:page;mso-position-vertical-relative:paragraph;z-index:15751168" coordorigin="1018,62" coordsize="2905,2170">
            <v:shape style="position:absolute;left:1027;top:349;width:2628;height:1810" coordorigin="1028,350" coordsize="2628,1810" path="m1028,395l1100,350m1100,350l1158,532m1158,532l1228,380m1228,380l1288,517m1288,517l1358,610m1358,610l1415,840m1415,840l1485,1192m1485,1192l1555,1332m1555,1332l1615,1392m1615,1392l1685,1500m1685,1500l1745,1532m1745,1532l1815,1640m1815,1640l1885,1822m1885,1822l1943,1915m1943,1915l2013,2037m2013,2037l2073,2145m2073,2145l2143,2160m2143,2160l2213,2115m2213,2115l2273,2052m2273,2052l2343,1900m2343,1900l2400,2007m2400,2007l2470,1992m2470,1992l2543,2052m2543,2052l2600,2022m2600,2022l2670,1915m2670,1915l2730,1807m2730,1807l2800,1640m2800,1640l2870,1670m2870,1670l2928,1592m2928,1592l3000,1670m3000,1670l3058,1715m3058,1715l3128,1592m3128,1592l3198,1547m3198,1547l3258,1532m3258,1532l3328,1547m3328,1547l3385,1777m3385,1777l3455,1855m3455,1855l3528,1807m3528,1807l3585,1837m3585,1837l3655,1715e" filled="false" stroked="true" strokeweight="1pt" strokecolor="#0099d9">
              <v:path arrowok="t"/>
              <v:stroke dashstyle="solid"/>
            </v:shape>
            <v:line style="position:absolute" from="3645,1716" to="3725,1716" stroked="true" strokeweight="1.125pt" strokecolor="#0099d9">
              <v:stroke dashstyle="solid"/>
            </v:line>
            <v:shape style="position:absolute;left:3715;top:1714;width:198;height:170" coordorigin="3715,1715" coordsize="198,170" path="m3715,1715l3785,1822m3785,1822l3843,1730m3843,1730l3913,1885e" filled="false" stroked="true" strokeweight="1pt" strokecolor="#0099d9">
              <v:path arrowok="t"/>
              <v:stroke dashstyle="solid"/>
            </v:shape>
            <v:shape style="position:absolute;left:1027;top:72;width:2885;height:2150" coordorigin="1028,72" coordsize="2885,2150" path="m1028,150l1100,72m1100,72l1158,225m1158,225l1228,72m1228,72l1288,117m1288,117l1358,225m1358,225l1415,547m1415,547l1485,947m1485,947l1555,1285m1555,1285l1615,1562m1615,1562l1685,1715m1685,1715l1745,1792m1745,1792l1815,1870m1815,1870l1885,1930m1885,1930l1943,1962m1943,1962l2013,2115m2013,2115l2073,2177m2073,2177l2143,2222m2143,2222l2213,2177m2213,2177l2273,1992m2273,1992l2343,1837m2343,1837l2400,1870m2400,1870l2470,1915m2470,1915l2543,1977m2543,1977l2600,1870m2600,1870l2670,1655m2670,1655l2730,1455m2730,1455l2800,1240m2800,1240l2870,1255m2870,1255l2928,1240m2928,1240l3000,1225m3000,1225l3058,1270m3058,1270l3128,1070m3128,1070l3198,977m3198,977l3258,962m3258,962l3328,947m3328,947l3385,1225m3385,1225l3455,1270m3455,1270l3528,1285m3528,1285l3585,1455m3585,1455l3655,1655m3655,1655l3715,1870m3715,1870l3785,2222m3785,2222l3843,2100m3843,2100l3913,1915e" filled="false" stroked="true" strokeweight="1pt" strokecolor="#de0035">
              <v:path arrowok="t"/>
              <v:stroke dashstyle="solid"/>
            </v:shape>
            <v:shape style="position:absolute;left:3160;top:745;width:187;height:133" type="#_x0000_t202" filled="false" stroked="false">
              <v:textbox inset="0,0,0,0">
                <w:txbxContent>
                  <w:p>
                    <w:pPr>
                      <w:spacing w:line="133" w:lineRule="exact" w:before="0"/>
                      <w:ind w:left="0" w:right="0" w:firstLine="0"/>
                      <w:jc w:val="left"/>
                      <w:rPr>
                        <w:sz w:val="12"/>
                      </w:rPr>
                    </w:pPr>
                    <w:r>
                      <w:rPr>
                        <w:sz w:val="12"/>
                      </w:rPr>
                      <w:t>M4</w:t>
                    </w:r>
                  </w:p>
                </w:txbxContent>
              </v:textbox>
              <w10:wrap type="none"/>
            </v:shape>
            <v:shape style="position:absolute;left:2472;top:2072;width:1001;height:134" type="#_x0000_t202" filled="false" stroked="false">
              <v:textbox inset="0,0,0,0">
                <w:txbxContent>
                  <w:p>
                    <w:pPr>
                      <w:spacing w:line="133" w:lineRule="exact" w:before="0"/>
                      <w:ind w:left="0" w:right="0" w:firstLine="0"/>
                      <w:jc w:val="left"/>
                      <w:rPr>
                        <w:sz w:val="12"/>
                      </w:rPr>
                    </w:pPr>
                    <w:r>
                      <w:rPr>
                        <w:sz w:val="12"/>
                      </w:rPr>
                      <w:t>M4 excluding OFCs</w:t>
                    </w:r>
                  </w:p>
                </w:txbxContent>
              </v:textbox>
              <w10:wrap type="none"/>
            </v:shape>
            <w10:wrap type="none"/>
          </v:group>
        </w:pict>
      </w:r>
      <w:r>
        <w:rPr/>
        <w:pict>
          <v:line style="position:absolute;mso-position-horizontal-relative:page;mso-position-vertical-relative:paragraph;z-index:15751680" from="41.5pt,3.534173pt" to="45.833pt,3.534173pt" stroked="true" strokeweight=".5pt" strokecolor="#000000">
            <v:stroke dashstyle="solid"/>
            <w10:wrap type="none"/>
          </v:line>
        </w:pict>
      </w:r>
      <w:r>
        <w:rPr/>
        <w:pict>
          <v:line style="position:absolute;mso-position-horizontal-relative:page;mso-position-vertical-relative:paragraph;z-index:15757824" from="200.875pt,3.659173pt" to="205.208pt,3.659173pt" stroked="true" strokeweight=".5pt" strokecolor="#000000">
            <v:stroke dashstyle="solid"/>
            <w10:wrap type="none"/>
          </v:line>
        </w:pict>
      </w:r>
      <w:r>
        <w:rPr>
          <w:sz w:val="12"/>
        </w:rPr>
        <w:t>18</w:t>
      </w:r>
    </w:p>
    <w:p>
      <w:pPr>
        <w:pStyle w:val="BodyText"/>
        <w:spacing w:before="2"/>
        <w:rPr>
          <w:sz w:val="12"/>
        </w:rPr>
      </w:pPr>
    </w:p>
    <w:p>
      <w:pPr>
        <w:spacing w:before="0"/>
        <w:ind w:left="3522" w:right="0" w:firstLine="0"/>
        <w:jc w:val="left"/>
        <w:rPr>
          <w:sz w:val="12"/>
        </w:rPr>
      </w:pPr>
      <w:r>
        <w:rPr/>
        <w:pict>
          <v:line style="position:absolute;mso-position-horizontal-relative:page;mso-position-vertical-relative:paragraph;z-index:15752192" from="41.5pt,4.000173pt" to="45.833pt,4.000173pt" stroked="true" strokeweight=".5pt" strokecolor="#000000">
            <v:stroke dashstyle="solid"/>
            <w10:wrap type="none"/>
          </v:line>
        </w:pict>
      </w:r>
      <w:r>
        <w:rPr/>
        <w:pict>
          <v:line style="position:absolute;mso-position-horizontal-relative:page;mso-position-vertical-relative:paragraph;z-index:15758336" from="200.875pt,4.125173pt" to="205.208pt,4.125173pt" stroked="true" strokeweight=".5pt" strokecolor="#000000">
            <v:stroke dashstyle="solid"/>
            <w10:wrap type="none"/>
          </v:line>
        </w:pict>
      </w:r>
      <w:r>
        <w:rPr>
          <w:sz w:val="12"/>
        </w:rPr>
        <w:t>16</w:t>
      </w:r>
    </w:p>
    <w:p>
      <w:pPr>
        <w:pStyle w:val="BodyText"/>
        <w:spacing w:before="2"/>
        <w:rPr>
          <w:sz w:val="13"/>
        </w:rPr>
      </w:pPr>
    </w:p>
    <w:p>
      <w:pPr>
        <w:spacing w:before="0"/>
        <w:ind w:left="3522" w:right="0" w:firstLine="0"/>
        <w:jc w:val="left"/>
        <w:rPr>
          <w:sz w:val="12"/>
        </w:rPr>
      </w:pPr>
      <w:r>
        <w:rPr/>
        <w:pict>
          <v:line style="position:absolute;mso-position-horizontal-relative:page;mso-position-vertical-relative:paragraph;z-index:15752704" from="41.5pt,3.84099pt" to="45.833pt,3.84099pt" stroked="true" strokeweight=".5pt" strokecolor="#000000">
            <v:stroke dashstyle="solid"/>
            <w10:wrap type="none"/>
          </v:line>
        </w:pict>
      </w:r>
      <w:r>
        <w:rPr/>
        <w:pict>
          <v:line style="position:absolute;mso-position-horizontal-relative:page;mso-position-vertical-relative:paragraph;z-index:15758848" from="200.875pt,3.96599pt" to="205.208pt,3.96599pt" stroked="true" strokeweight=".5pt" strokecolor="#000000">
            <v:stroke dashstyle="solid"/>
            <w10:wrap type="none"/>
          </v:line>
        </w:pict>
      </w:r>
      <w:r>
        <w:rPr>
          <w:sz w:val="12"/>
        </w:rPr>
        <w:t>14</w:t>
      </w:r>
    </w:p>
    <w:p>
      <w:pPr>
        <w:pStyle w:val="BodyText"/>
        <w:spacing w:before="5"/>
        <w:rPr>
          <w:sz w:val="13"/>
        </w:rPr>
      </w:pPr>
    </w:p>
    <w:p>
      <w:pPr>
        <w:spacing w:before="0"/>
        <w:ind w:left="3522" w:right="0" w:firstLine="0"/>
        <w:jc w:val="left"/>
        <w:rPr>
          <w:sz w:val="12"/>
        </w:rPr>
      </w:pPr>
      <w:r>
        <w:rPr/>
        <w:pict>
          <v:line style="position:absolute;mso-position-horizontal-relative:page;mso-position-vertical-relative:paragraph;z-index:15753216" from="41.5pt,3.55699pt" to="45.833pt,3.55699pt" stroked="true" strokeweight=".5pt" strokecolor="#000000">
            <v:stroke dashstyle="solid"/>
            <w10:wrap type="none"/>
          </v:line>
        </w:pict>
      </w:r>
      <w:r>
        <w:rPr/>
        <w:pict>
          <v:line style="position:absolute;mso-position-horizontal-relative:page;mso-position-vertical-relative:paragraph;z-index:15759360" from="200.875pt,3.68199pt" to="205.208pt,3.68199pt" stroked="true" strokeweight=".5pt" strokecolor="#000000">
            <v:stroke dashstyle="solid"/>
            <w10:wrap type="none"/>
          </v:line>
        </w:pict>
      </w:r>
      <w:r>
        <w:rPr>
          <w:sz w:val="12"/>
        </w:rPr>
        <w:t>12</w:t>
      </w:r>
    </w:p>
    <w:p>
      <w:pPr>
        <w:pStyle w:val="BodyText"/>
        <w:spacing w:before="5"/>
        <w:rPr>
          <w:sz w:val="13"/>
        </w:rPr>
      </w:pPr>
    </w:p>
    <w:p>
      <w:pPr>
        <w:spacing w:before="0"/>
        <w:ind w:left="3522" w:right="0" w:firstLine="0"/>
        <w:jc w:val="left"/>
        <w:rPr>
          <w:sz w:val="12"/>
        </w:rPr>
      </w:pPr>
      <w:r>
        <w:rPr/>
        <w:pict>
          <v:line style="position:absolute;mso-position-horizontal-relative:page;mso-position-vertical-relative:paragraph;z-index:15753728" from="41.5pt,3.27299pt" to="45.833pt,3.27299pt" stroked="true" strokeweight=".5pt" strokecolor="#000000">
            <v:stroke dashstyle="solid"/>
            <w10:wrap type="none"/>
          </v:line>
        </w:pict>
      </w:r>
      <w:r>
        <w:rPr/>
        <w:pict>
          <v:line style="position:absolute;mso-position-horizontal-relative:page;mso-position-vertical-relative:paragraph;z-index:15759872" from="200.875pt,3.39799pt" to="205.208pt,3.39799pt" stroked="true" strokeweight=".5pt" strokecolor="#000000">
            <v:stroke dashstyle="solid"/>
            <w10:wrap type="none"/>
          </v:line>
        </w:pict>
      </w:r>
      <w:r>
        <w:rPr>
          <w:sz w:val="12"/>
        </w:rPr>
        <w:t>10</w:t>
      </w:r>
    </w:p>
    <w:p>
      <w:pPr>
        <w:pStyle w:val="BodyText"/>
        <w:spacing w:before="11"/>
        <w:rPr>
          <w:sz w:val="11"/>
        </w:rPr>
      </w:pPr>
    </w:p>
    <w:p>
      <w:pPr>
        <w:spacing w:before="0"/>
        <w:ind w:left="3582" w:right="0" w:firstLine="0"/>
        <w:jc w:val="left"/>
        <w:rPr>
          <w:sz w:val="12"/>
        </w:rPr>
      </w:pPr>
      <w:r>
        <w:rPr/>
        <w:pict>
          <v:line style="position:absolute;mso-position-horizontal-relative:page;mso-position-vertical-relative:paragraph;z-index:15754240" from="41.5pt,3.863746pt" to="45.833pt,3.863746pt" stroked="true" strokeweight=".5pt" strokecolor="#000000">
            <v:stroke dashstyle="solid"/>
            <w10:wrap type="none"/>
          </v:line>
        </w:pict>
      </w:r>
      <w:r>
        <w:rPr/>
        <w:pict>
          <v:line style="position:absolute;mso-position-horizontal-relative:page;mso-position-vertical-relative:paragraph;z-index:15760384" from="200.875pt,3.988746pt" to="205.208pt,3.988746pt" stroked="true" strokeweight=".5pt" strokecolor="#000000">
            <v:stroke dashstyle="solid"/>
            <w10:wrap type="none"/>
          </v:line>
        </w:pict>
      </w:r>
      <w:r>
        <w:rPr>
          <w:sz w:val="12"/>
        </w:rPr>
        <w:t>8</w:t>
      </w:r>
    </w:p>
    <w:p>
      <w:pPr>
        <w:pStyle w:val="BodyText"/>
        <w:spacing w:before="5"/>
        <w:rPr>
          <w:sz w:val="13"/>
        </w:rPr>
      </w:pPr>
    </w:p>
    <w:p>
      <w:pPr>
        <w:spacing w:before="0"/>
        <w:ind w:left="3582" w:right="0" w:firstLine="0"/>
        <w:jc w:val="left"/>
        <w:rPr>
          <w:sz w:val="12"/>
        </w:rPr>
      </w:pPr>
      <w:r>
        <w:rPr/>
        <w:pict>
          <v:line style="position:absolute;mso-position-horizontal-relative:page;mso-position-vertical-relative:paragraph;z-index:15754752" from="41.5pt,3.578746pt" to="45.833pt,3.578746pt" stroked="true" strokeweight=".5pt" strokecolor="#000000">
            <v:stroke dashstyle="solid"/>
            <w10:wrap type="none"/>
          </v:line>
        </w:pict>
      </w:r>
      <w:r>
        <w:rPr/>
        <w:pict>
          <v:line style="position:absolute;mso-position-horizontal-relative:page;mso-position-vertical-relative:paragraph;z-index:15760896" from="200.875pt,3.703746pt" to="205.208pt,3.703746pt" stroked="true" strokeweight=".5pt" strokecolor="#000000">
            <v:stroke dashstyle="solid"/>
            <w10:wrap type="none"/>
          </v:line>
        </w:pict>
      </w:r>
      <w:r>
        <w:rPr>
          <w:sz w:val="12"/>
        </w:rPr>
        <w:t>6</w:t>
      </w:r>
    </w:p>
    <w:p>
      <w:pPr>
        <w:pStyle w:val="BodyText"/>
        <w:spacing w:before="5"/>
        <w:rPr>
          <w:sz w:val="13"/>
        </w:rPr>
      </w:pPr>
    </w:p>
    <w:p>
      <w:pPr>
        <w:spacing w:before="0"/>
        <w:ind w:left="3582" w:right="0" w:firstLine="0"/>
        <w:jc w:val="left"/>
        <w:rPr>
          <w:sz w:val="12"/>
        </w:rPr>
      </w:pPr>
      <w:r>
        <w:rPr/>
        <w:pict>
          <v:line style="position:absolute;mso-position-horizontal-relative:page;mso-position-vertical-relative:paragraph;z-index:15755776" from="41.5pt,3.294746pt" to="45.833pt,3.294746pt" stroked="true" strokeweight=".5pt" strokecolor="#000000">
            <v:stroke dashstyle="solid"/>
            <w10:wrap type="none"/>
          </v:line>
        </w:pict>
      </w:r>
      <w:r>
        <w:rPr/>
        <w:pict>
          <v:line style="position:absolute;mso-position-horizontal-relative:page;mso-position-vertical-relative:paragraph;z-index:15761920" from="200.875pt,3.419746pt" to="205.208pt,3.419746pt" stroked="true" strokeweight=".5pt" strokecolor="#000000">
            <v:stroke dashstyle="solid"/>
            <w10:wrap type="none"/>
          </v:line>
        </w:pict>
      </w:r>
      <w:r>
        <w:rPr>
          <w:sz w:val="12"/>
        </w:rPr>
        <w:t>4</w:t>
      </w:r>
    </w:p>
    <w:p>
      <w:pPr>
        <w:pStyle w:val="BodyText"/>
        <w:spacing w:before="10"/>
        <w:rPr>
          <w:sz w:val="11"/>
        </w:rPr>
      </w:pPr>
    </w:p>
    <w:p>
      <w:pPr>
        <w:spacing w:before="1"/>
        <w:ind w:left="3582" w:right="0" w:firstLine="0"/>
        <w:jc w:val="left"/>
        <w:rPr>
          <w:sz w:val="12"/>
        </w:rPr>
      </w:pPr>
      <w:r>
        <w:rPr/>
        <w:pict>
          <v:line style="position:absolute;mso-position-horizontal-relative:page;mso-position-vertical-relative:paragraph;z-index:15755264" from="41.5pt,3.935563pt" to="45.833pt,3.935563pt" stroked="true" strokeweight=".5pt" strokecolor="#000000">
            <v:stroke dashstyle="solid"/>
            <w10:wrap type="none"/>
          </v:line>
        </w:pict>
      </w:r>
      <w:r>
        <w:rPr/>
        <w:pict>
          <v:line style="position:absolute;mso-position-horizontal-relative:page;mso-position-vertical-relative:paragraph;z-index:15761408" from="200.875pt,4.060563pt" to="205.208pt,4.060563pt" stroked="true" strokeweight=".5pt" strokecolor="#000000">
            <v:stroke dashstyle="solid"/>
            <w10:wrap type="none"/>
          </v:line>
        </w:pict>
      </w:r>
      <w:r>
        <w:rPr>
          <w:sz w:val="12"/>
        </w:rPr>
        <w:t>2</w:t>
      </w:r>
    </w:p>
    <w:p>
      <w:pPr>
        <w:pStyle w:val="BodyText"/>
        <w:spacing w:before="4"/>
        <w:rPr>
          <w:sz w:val="13"/>
        </w:rPr>
      </w:pPr>
    </w:p>
    <w:p>
      <w:pPr>
        <w:spacing w:before="1"/>
        <w:ind w:left="3582" w:right="0" w:firstLine="0"/>
        <w:jc w:val="left"/>
        <w:rPr>
          <w:sz w:val="12"/>
        </w:rPr>
      </w:pPr>
      <w:r>
        <w:rPr/>
        <w:pict>
          <v:line style="position:absolute;mso-position-horizontal-relative:page;mso-position-vertical-relative:paragraph;z-index:15756288" from="41.5pt,3.651562pt" to="45.833pt,3.651562pt" stroked="true" strokeweight=".5pt" strokecolor="#000000">
            <v:stroke dashstyle="solid"/>
            <w10:wrap type="none"/>
          </v:line>
        </w:pict>
      </w:r>
      <w:r>
        <w:rPr/>
        <w:pict>
          <v:shape style="position:absolute;margin-left:50.905998pt;margin-top:1.843562pt;width:146.1pt;height:3.4pt;mso-position-horizontal-relative:page;mso-position-vertical-relative:paragraph;z-index:15757312" coordorigin="1018,37" coordsize="2922,68" path="m1021,104l3940,104m1018,37l1018,104m1289,37l1289,104m1560,37l1560,104m1810,37l1810,104m2081,37l2081,104m2332,37l2332,104m2873,37l2873,104m3646,37l3646,104m2603,37l2603,104m3124,37l3124,104m3375,37l3375,104m3900,37l3900,104e" filled="false" stroked="true" strokeweight=".5pt" strokecolor="#000000">
            <v:path arrowok="t"/>
            <v:stroke dashstyle="solid"/>
            <w10:wrap type="none"/>
          </v:shape>
        </w:pict>
      </w:r>
      <w:r>
        <w:rPr/>
        <w:pict>
          <v:line style="position:absolute;mso-position-horizontal-relative:page;mso-position-vertical-relative:paragraph;z-index:15762432" from="200.875pt,3.776562pt" to="205.208pt,3.776562pt" stroked="true" strokeweight=".5pt" strokecolor="#000000">
            <v:stroke dashstyle="solid"/>
            <w10:wrap type="none"/>
          </v:line>
        </w:pict>
      </w:r>
      <w:r>
        <w:rPr>
          <w:sz w:val="12"/>
        </w:rPr>
        <w:t>0</w:t>
      </w:r>
    </w:p>
    <w:p>
      <w:pPr>
        <w:spacing w:before="7"/>
        <w:ind w:left="287" w:right="0" w:firstLine="0"/>
        <w:jc w:val="left"/>
        <w:rPr>
          <w:sz w:val="12"/>
        </w:rPr>
      </w:pPr>
      <w:r>
        <w:rPr>
          <w:sz w:val="12"/>
        </w:rPr>
        <w:t>1989 90 91 92 93 94 95 96 97 98 99 2000</w:t>
      </w:r>
    </w:p>
    <w:p>
      <w:pPr>
        <w:spacing w:before="55"/>
        <w:ind w:left="160" w:right="0" w:firstLine="0"/>
        <w:jc w:val="left"/>
        <w:rPr>
          <w:sz w:val="12"/>
        </w:rPr>
      </w:pPr>
      <w:r>
        <w:rPr>
          <w:sz w:val="12"/>
        </w:rPr>
        <w:t>Sources: ONS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spacing w:before="0"/>
        <w:ind w:left="160" w:right="0" w:firstLine="0"/>
        <w:jc w:val="left"/>
        <w:rPr>
          <w:b/>
          <w:sz w:val="20"/>
        </w:rPr>
      </w:pPr>
      <w:r>
        <w:rPr>
          <w:b/>
          <w:color w:val="0092C7"/>
          <w:sz w:val="20"/>
        </w:rPr>
        <w:t>Table 1.A</w:t>
      </w:r>
    </w:p>
    <w:p>
      <w:pPr>
        <w:spacing w:line="249" w:lineRule="auto" w:before="10"/>
        <w:ind w:left="160" w:right="0" w:firstLine="0"/>
        <w:jc w:val="left"/>
        <w:rPr>
          <w:sz w:val="12"/>
        </w:rPr>
      </w:pPr>
      <w:r>
        <w:rPr>
          <w:b/>
          <w:color w:val="0092C7"/>
          <w:sz w:val="20"/>
        </w:rPr>
        <w:t>Growth rates of notes and coin, M4 and</w:t>
      </w:r>
      <w:r>
        <w:rPr>
          <w:b/>
          <w:color w:val="0092C7"/>
          <w:spacing w:val="-31"/>
          <w:sz w:val="20"/>
        </w:rPr>
        <w:t> </w:t>
      </w:r>
      <w:r>
        <w:rPr>
          <w:b/>
          <w:color w:val="0092C7"/>
          <w:sz w:val="20"/>
        </w:rPr>
        <w:t>M4 lending</w:t>
      </w:r>
      <w:r>
        <w:rPr>
          <w:position w:val="4"/>
          <w:sz w:val="12"/>
        </w:rPr>
        <w:t>(a)</w:t>
      </w:r>
    </w:p>
    <w:p>
      <w:pPr>
        <w:spacing w:before="98"/>
        <w:ind w:left="160" w:right="0" w:firstLine="0"/>
        <w:jc w:val="left"/>
        <w:rPr>
          <w:sz w:val="14"/>
        </w:rPr>
      </w:pPr>
      <w:r>
        <w:rPr>
          <w:sz w:val="14"/>
        </w:rPr>
        <w:t>Per cent</w:t>
      </w:r>
    </w:p>
    <w:p>
      <w:pPr>
        <w:pStyle w:val="Heading6"/>
        <w:spacing w:line="242" w:lineRule="auto" w:before="207"/>
        <w:ind w:left="150" w:right="274"/>
      </w:pPr>
      <w:r>
        <w:rPr/>
        <w:br w:type="column"/>
      </w:r>
      <w:r>
        <w:rPr/>
        <w:t>One potential explanation for falling velocity in recent years is that the costs of holding cash have fallen. Cash holdings earn no interest and their purchasing power is eroded by inflation. It is possible that persistently low nominal interest rates and inflation in the 1990s relative to previous decades may have raised agents’ desired holdings of cash.</w:t>
      </w:r>
      <w:hyperlink w:history="true" w:anchor="_bookmark7">
        <w:r>
          <w:rPr/>
          <w:t> The box on page 5 </w:t>
        </w:r>
      </w:hyperlink>
      <w:r>
        <w:rPr/>
        <w:t>reports similar velocity behaviour in other countries that have experienced falls in inflation and nominal interest rates in recent years. Looking forward, the relationship between narrow money growth, future activity and inflation will depend partly on the extent to which agents have adjusted their cash holdings to a</w:t>
      </w:r>
    </w:p>
    <w:p>
      <w:pPr>
        <w:spacing w:line="242" w:lineRule="auto" w:before="17"/>
        <w:ind w:left="150" w:right="274" w:firstLine="0"/>
        <w:jc w:val="left"/>
        <w:rPr>
          <w:sz w:val="24"/>
        </w:rPr>
      </w:pPr>
      <w:r>
        <w:rPr>
          <w:sz w:val="24"/>
        </w:rPr>
        <w:t>low-inflation environment. If this adjustment is continuing, further falls in velocity would be consistent with less inflation at any given narrow money growth rate. But as this adjustment nears completion, velocity may rise again reflecting continuing innovation in payment systems.</w:t>
      </w:r>
    </w:p>
    <w:p>
      <w:pPr>
        <w:pStyle w:val="BodyText"/>
        <w:rPr>
          <w:sz w:val="25"/>
        </w:rPr>
      </w:pPr>
    </w:p>
    <w:p>
      <w:pPr>
        <w:pStyle w:val="Heading7"/>
        <w:ind w:left="150"/>
        <w:rPr>
          <w:i/>
        </w:rPr>
      </w:pPr>
      <w:r>
        <w:rPr>
          <w:i/>
          <w:color w:val="009391"/>
        </w:rPr>
        <w:t>Broad money and credit</w:t>
      </w:r>
    </w:p>
    <w:p>
      <w:pPr>
        <w:spacing w:after="0"/>
        <w:sectPr>
          <w:type w:val="continuous"/>
          <w:pgSz w:w="11900" w:h="16840"/>
          <w:pgMar w:top="1220" w:bottom="280" w:left="640" w:right="620"/>
          <w:cols w:num="2" w:equalWidth="0">
            <w:col w:w="3927" w:space="883"/>
            <w:col w:w="5830"/>
          </w:cols>
        </w:sect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spacing w:before="2"/>
        <w:rPr>
          <w:i/>
          <w:sz w:val="12"/>
        </w:rPr>
      </w:pPr>
    </w:p>
    <w:p>
      <w:pPr>
        <w:spacing w:before="0"/>
        <w:ind w:left="160" w:right="0" w:firstLine="0"/>
        <w:jc w:val="left"/>
        <w:rPr>
          <w:sz w:val="12"/>
        </w:rPr>
      </w:pPr>
      <w:r>
        <w:rPr/>
        <w:pict>
          <v:shape style="position:absolute;margin-left:37.499699pt;margin-top:-104.046227pt;width:209.55pt;height:98.8pt;mso-position-horizontal-relative:page;mso-position-vertical-relative:paragraph;z-index:1576704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9"/>
                    <w:gridCol w:w="901"/>
                    <w:gridCol w:w="662"/>
                    <w:gridCol w:w="845"/>
                    <w:gridCol w:w="623"/>
                  </w:tblGrid>
                  <w:tr>
                    <w:trPr>
                      <w:trHeight w:val="147" w:hRule="atLeast"/>
                    </w:trPr>
                    <w:tc>
                      <w:tcPr>
                        <w:tcW w:w="1159" w:type="dxa"/>
                      </w:tcPr>
                      <w:p>
                        <w:pPr>
                          <w:pStyle w:val="TableParagraph"/>
                          <w:spacing w:line="128" w:lineRule="exact"/>
                          <w:ind w:left="50"/>
                          <w:rPr>
                            <w:sz w:val="12"/>
                          </w:rPr>
                        </w:pPr>
                        <w:r>
                          <w:rPr>
                            <w:sz w:val="14"/>
                          </w:rPr>
                          <w:t>Notes and coin </w:t>
                        </w:r>
                        <w:r>
                          <w:rPr>
                            <w:sz w:val="12"/>
                          </w:rPr>
                          <w:t>(c)</w:t>
                        </w:r>
                      </w:p>
                    </w:tc>
                    <w:tc>
                      <w:tcPr>
                        <w:tcW w:w="901" w:type="dxa"/>
                      </w:tcPr>
                      <w:p>
                        <w:pPr>
                          <w:pStyle w:val="TableParagraph"/>
                          <w:spacing w:line="128" w:lineRule="exact"/>
                          <w:ind w:left="101"/>
                          <w:rPr>
                            <w:sz w:val="14"/>
                          </w:rPr>
                        </w:pPr>
                        <w:r>
                          <w:rPr>
                            <w:sz w:val="14"/>
                          </w:rPr>
                          <w:t>2000 Jan.</w:t>
                        </w:r>
                      </w:p>
                    </w:tc>
                    <w:tc>
                      <w:tcPr>
                        <w:tcW w:w="662" w:type="dxa"/>
                      </w:tcPr>
                      <w:p>
                        <w:pPr>
                          <w:pStyle w:val="TableParagraph"/>
                          <w:spacing w:line="128" w:lineRule="exact"/>
                          <w:ind w:left="145"/>
                          <w:rPr>
                            <w:sz w:val="14"/>
                          </w:rPr>
                        </w:pPr>
                        <w:r>
                          <w:rPr>
                            <w:sz w:val="14"/>
                          </w:rPr>
                          <w:t>30.1</w:t>
                        </w:r>
                      </w:p>
                    </w:tc>
                    <w:tc>
                      <w:tcPr>
                        <w:tcW w:w="845" w:type="dxa"/>
                      </w:tcPr>
                      <w:p>
                        <w:pPr>
                          <w:pStyle w:val="TableParagraph"/>
                          <w:spacing w:line="128" w:lineRule="exact"/>
                          <w:ind w:left="254" w:right="305"/>
                          <w:jc w:val="center"/>
                          <w:rPr>
                            <w:sz w:val="14"/>
                          </w:rPr>
                        </w:pPr>
                        <w:r>
                          <w:rPr>
                            <w:sz w:val="14"/>
                          </w:rPr>
                          <w:t>17.6</w:t>
                        </w:r>
                      </w:p>
                    </w:tc>
                    <w:tc>
                      <w:tcPr>
                        <w:tcW w:w="623" w:type="dxa"/>
                      </w:tcPr>
                      <w:p>
                        <w:pPr>
                          <w:pStyle w:val="TableParagraph"/>
                          <w:spacing w:line="128" w:lineRule="exact"/>
                          <w:ind w:right="47"/>
                          <w:jc w:val="right"/>
                          <w:rPr>
                            <w:sz w:val="14"/>
                          </w:rPr>
                        </w:pPr>
                        <w:r>
                          <w:rPr>
                            <w:sz w:val="14"/>
                          </w:rPr>
                          <w:t>13.0</w:t>
                        </w:r>
                      </w:p>
                    </w:tc>
                  </w:tr>
                  <w:tr>
                    <w:trPr>
                      <w:trHeight w:val="140" w:hRule="atLeast"/>
                    </w:trPr>
                    <w:tc>
                      <w:tcPr>
                        <w:tcW w:w="1159" w:type="dxa"/>
                      </w:tcPr>
                      <w:p>
                        <w:pPr>
                          <w:pStyle w:val="TableParagraph"/>
                          <w:spacing w:line="240" w:lineRule="auto"/>
                          <w:rPr>
                            <w:sz w:val="8"/>
                          </w:rPr>
                        </w:pPr>
                      </w:p>
                    </w:tc>
                    <w:tc>
                      <w:tcPr>
                        <w:tcW w:w="901" w:type="dxa"/>
                      </w:tcPr>
                      <w:p>
                        <w:pPr>
                          <w:pStyle w:val="TableParagraph"/>
                          <w:ind w:right="194"/>
                          <w:jc w:val="right"/>
                          <w:rPr>
                            <w:sz w:val="14"/>
                          </w:rPr>
                        </w:pPr>
                        <w:r>
                          <w:rPr>
                            <w:sz w:val="14"/>
                          </w:rPr>
                          <w:t>Feb.</w:t>
                        </w:r>
                      </w:p>
                    </w:tc>
                    <w:tc>
                      <w:tcPr>
                        <w:tcW w:w="662" w:type="dxa"/>
                      </w:tcPr>
                      <w:p>
                        <w:pPr>
                          <w:pStyle w:val="TableParagraph"/>
                          <w:ind w:left="215"/>
                          <w:rPr>
                            <w:sz w:val="14"/>
                          </w:rPr>
                        </w:pPr>
                        <w:r>
                          <w:rPr>
                            <w:sz w:val="14"/>
                          </w:rPr>
                          <w:t>6.0</w:t>
                        </w:r>
                      </w:p>
                    </w:tc>
                    <w:tc>
                      <w:tcPr>
                        <w:tcW w:w="845" w:type="dxa"/>
                      </w:tcPr>
                      <w:p>
                        <w:pPr>
                          <w:pStyle w:val="TableParagraph"/>
                          <w:ind w:left="254" w:right="238"/>
                          <w:jc w:val="center"/>
                          <w:rPr>
                            <w:sz w:val="14"/>
                          </w:rPr>
                        </w:pPr>
                        <w:r>
                          <w:rPr>
                            <w:sz w:val="14"/>
                          </w:rPr>
                          <w:t>7.2</w:t>
                        </w:r>
                      </w:p>
                    </w:tc>
                    <w:tc>
                      <w:tcPr>
                        <w:tcW w:w="623" w:type="dxa"/>
                      </w:tcPr>
                      <w:p>
                        <w:pPr>
                          <w:pStyle w:val="TableParagraph"/>
                          <w:ind w:right="47"/>
                          <w:jc w:val="right"/>
                          <w:rPr>
                            <w:sz w:val="14"/>
                          </w:rPr>
                        </w:pPr>
                        <w:r>
                          <w:rPr>
                            <w:sz w:val="14"/>
                          </w:rPr>
                          <w:t>8.4</w:t>
                        </w:r>
                      </w:p>
                    </w:tc>
                  </w:tr>
                  <w:tr>
                    <w:trPr>
                      <w:trHeight w:val="140" w:hRule="atLeast"/>
                    </w:trPr>
                    <w:tc>
                      <w:tcPr>
                        <w:tcW w:w="1159" w:type="dxa"/>
                      </w:tcPr>
                      <w:p>
                        <w:pPr>
                          <w:pStyle w:val="TableParagraph"/>
                          <w:spacing w:line="240" w:lineRule="auto"/>
                          <w:rPr>
                            <w:sz w:val="8"/>
                          </w:rPr>
                        </w:pPr>
                      </w:p>
                    </w:tc>
                    <w:tc>
                      <w:tcPr>
                        <w:tcW w:w="901" w:type="dxa"/>
                      </w:tcPr>
                      <w:p>
                        <w:pPr>
                          <w:pStyle w:val="TableParagraph"/>
                          <w:ind w:right="169"/>
                          <w:jc w:val="right"/>
                          <w:rPr>
                            <w:sz w:val="14"/>
                          </w:rPr>
                        </w:pPr>
                        <w:r>
                          <w:rPr>
                            <w:sz w:val="14"/>
                          </w:rPr>
                          <w:t>Mar.</w:t>
                        </w:r>
                      </w:p>
                    </w:tc>
                    <w:tc>
                      <w:tcPr>
                        <w:tcW w:w="662" w:type="dxa"/>
                      </w:tcPr>
                      <w:p>
                        <w:pPr>
                          <w:pStyle w:val="TableParagraph"/>
                          <w:ind w:left="168"/>
                          <w:rPr>
                            <w:sz w:val="14"/>
                          </w:rPr>
                        </w:pPr>
                        <w:r>
                          <w:rPr>
                            <w:sz w:val="14"/>
                          </w:rPr>
                          <w:t>-6.5</w:t>
                        </w:r>
                      </w:p>
                    </w:tc>
                    <w:tc>
                      <w:tcPr>
                        <w:tcW w:w="845" w:type="dxa"/>
                      </w:tcPr>
                      <w:p>
                        <w:pPr>
                          <w:pStyle w:val="TableParagraph"/>
                          <w:ind w:left="254" w:right="239"/>
                          <w:jc w:val="center"/>
                          <w:rPr>
                            <w:sz w:val="14"/>
                          </w:rPr>
                        </w:pPr>
                        <w:r>
                          <w:rPr>
                            <w:sz w:val="14"/>
                          </w:rPr>
                          <w:t>8.3</w:t>
                        </w:r>
                      </w:p>
                    </w:tc>
                    <w:tc>
                      <w:tcPr>
                        <w:tcW w:w="623" w:type="dxa"/>
                      </w:tcPr>
                      <w:p>
                        <w:pPr>
                          <w:pStyle w:val="TableParagraph"/>
                          <w:ind w:right="48"/>
                          <w:jc w:val="right"/>
                          <w:rPr>
                            <w:sz w:val="14"/>
                          </w:rPr>
                        </w:pPr>
                        <w:r>
                          <w:rPr>
                            <w:sz w:val="14"/>
                          </w:rPr>
                          <w:t>8.4</w:t>
                        </w:r>
                      </w:p>
                    </w:tc>
                  </w:tr>
                  <w:tr>
                    <w:trPr>
                      <w:trHeight w:val="210" w:hRule="atLeast"/>
                    </w:trPr>
                    <w:tc>
                      <w:tcPr>
                        <w:tcW w:w="1159" w:type="dxa"/>
                      </w:tcPr>
                      <w:p>
                        <w:pPr>
                          <w:pStyle w:val="TableParagraph"/>
                          <w:spacing w:line="240" w:lineRule="auto"/>
                          <w:rPr>
                            <w:sz w:val="14"/>
                          </w:rPr>
                        </w:pPr>
                      </w:p>
                    </w:tc>
                    <w:tc>
                      <w:tcPr>
                        <w:tcW w:w="901" w:type="dxa"/>
                      </w:tcPr>
                      <w:p>
                        <w:pPr>
                          <w:pStyle w:val="TableParagraph"/>
                          <w:spacing w:line="148" w:lineRule="exact"/>
                          <w:ind w:right="142"/>
                          <w:jc w:val="right"/>
                          <w:rPr>
                            <w:sz w:val="14"/>
                          </w:rPr>
                        </w:pPr>
                        <w:r>
                          <w:rPr>
                            <w:sz w:val="14"/>
                          </w:rPr>
                          <w:t>April</w:t>
                        </w:r>
                      </w:p>
                    </w:tc>
                    <w:tc>
                      <w:tcPr>
                        <w:tcW w:w="662" w:type="dxa"/>
                      </w:tcPr>
                      <w:p>
                        <w:pPr>
                          <w:pStyle w:val="TableParagraph"/>
                          <w:spacing w:line="148" w:lineRule="exact"/>
                          <w:ind w:left="168"/>
                          <w:rPr>
                            <w:sz w:val="14"/>
                          </w:rPr>
                        </w:pPr>
                        <w:r>
                          <w:rPr>
                            <w:sz w:val="14"/>
                          </w:rPr>
                          <w:t>-9.9</w:t>
                        </w:r>
                      </w:p>
                    </w:tc>
                    <w:tc>
                      <w:tcPr>
                        <w:tcW w:w="845" w:type="dxa"/>
                      </w:tcPr>
                      <w:p>
                        <w:pPr>
                          <w:pStyle w:val="TableParagraph"/>
                          <w:spacing w:line="148" w:lineRule="exact"/>
                          <w:ind w:left="254" w:right="238"/>
                          <w:jc w:val="center"/>
                          <w:rPr>
                            <w:sz w:val="14"/>
                          </w:rPr>
                        </w:pPr>
                        <w:r>
                          <w:rPr>
                            <w:sz w:val="14"/>
                          </w:rPr>
                          <w:t>8.3</w:t>
                        </w:r>
                      </w:p>
                    </w:tc>
                    <w:tc>
                      <w:tcPr>
                        <w:tcW w:w="623" w:type="dxa"/>
                      </w:tcPr>
                      <w:p>
                        <w:pPr>
                          <w:pStyle w:val="TableParagraph"/>
                          <w:spacing w:line="148" w:lineRule="exact"/>
                          <w:ind w:right="48"/>
                          <w:jc w:val="right"/>
                          <w:rPr>
                            <w:sz w:val="14"/>
                          </w:rPr>
                        </w:pPr>
                        <w:r>
                          <w:rPr>
                            <w:sz w:val="14"/>
                          </w:rPr>
                          <w:t>8.2</w:t>
                        </w:r>
                      </w:p>
                    </w:tc>
                  </w:tr>
                  <w:tr>
                    <w:trPr>
                      <w:trHeight w:val="210" w:hRule="atLeast"/>
                    </w:trPr>
                    <w:tc>
                      <w:tcPr>
                        <w:tcW w:w="1159" w:type="dxa"/>
                      </w:tcPr>
                      <w:p>
                        <w:pPr>
                          <w:pStyle w:val="TableParagraph"/>
                          <w:spacing w:line="133" w:lineRule="exact" w:before="56"/>
                          <w:ind w:left="50"/>
                          <w:rPr>
                            <w:sz w:val="14"/>
                          </w:rPr>
                        </w:pPr>
                        <w:r>
                          <w:rPr>
                            <w:sz w:val="14"/>
                          </w:rPr>
                          <w:t>M4</w:t>
                        </w:r>
                      </w:p>
                    </w:tc>
                    <w:tc>
                      <w:tcPr>
                        <w:tcW w:w="901" w:type="dxa"/>
                      </w:tcPr>
                      <w:p>
                        <w:pPr>
                          <w:pStyle w:val="TableParagraph"/>
                          <w:spacing w:line="133" w:lineRule="exact" w:before="56"/>
                          <w:ind w:left="101"/>
                          <w:rPr>
                            <w:sz w:val="14"/>
                          </w:rPr>
                        </w:pPr>
                        <w:r>
                          <w:rPr>
                            <w:sz w:val="14"/>
                          </w:rPr>
                          <w:t>1999 Q2</w:t>
                        </w:r>
                      </w:p>
                    </w:tc>
                    <w:tc>
                      <w:tcPr>
                        <w:tcW w:w="662" w:type="dxa"/>
                      </w:tcPr>
                      <w:p>
                        <w:pPr>
                          <w:pStyle w:val="TableParagraph"/>
                          <w:spacing w:line="133" w:lineRule="exact" w:before="56"/>
                          <w:ind w:left="215"/>
                          <w:rPr>
                            <w:sz w:val="14"/>
                          </w:rPr>
                        </w:pPr>
                        <w:r>
                          <w:rPr>
                            <w:sz w:val="14"/>
                          </w:rPr>
                          <w:t>3.4</w:t>
                        </w:r>
                      </w:p>
                    </w:tc>
                    <w:tc>
                      <w:tcPr>
                        <w:tcW w:w="845" w:type="dxa"/>
                      </w:tcPr>
                      <w:p>
                        <w:pPr>
                          <w:pStyle w:val="TableParagraph"/>
                          <w:spacing w:line="133" w:lineRule="exact" w:before="56"/>
                          <w:ind w:left="254" w:right="238"/>
                          <w:jc w:val="center"/>
                          <w:rPr>
                            <w:sz w:val="14"/>
                          </w:rPr>
                        </w:pPr>
                        <w:r>
                          <w:rPr>
                            <w:sz w:val="14"/>
                          </w:rPr>
                          <w:t>3.4</w:t>
                        </w:r>
                      </w:p>
                    </w:tc>
                    <w:tc>
                      <w:tcPr>
                        <w:tcW w:w="623" w:type="dxa"/>
                      </w:tcPr>
                      <w:p>
                        <w:pPr>
                          <w:pStyle w:val="TableParagraph"/>
                          <w:spacing w:line="133" w:lineRule="exact" w:before="56"/>
                          <w:ind w:right="47"/>
                          <w:jc w:val="right"/>
                          <w:rPr>
                            <w:sz w:val="14"/>
                          </w:rPr>
                        </w:pPr>
                        <w:r>
                          <w:rPr>
                            <w:sz w:val="14"/>
                          </w:rPr>
                          <w:t>5.5</w:t>
                        </w:r>
                      </w:p>
                    </w:tc>
                  </w:tr>
                  <w:tr>
                    <w:trPr>
                      <w:trHeight w:val="140" w:hRule="atLeast"/>
                    </w:trPr>
                    <w:tc>
                      <w:tcPr>
                        <w:tcW w:w="1159" w:type="dxa"/>
                      </w:tcPr>
                      <w:p>
                        <w:pPr>
                          <w:pStyle w:val="TableParagraph"/>
                          <w:spacing w:line="240" w:lineRule="auto"/>
                          <w:rPr>
                            <w:sz w:val="8"/>
                          </w:rPr>
                        </w:pPr>
                      </w:p>
                    </w:tc>
                    <w:tc>
                      <w:tcPr>
                        <w:tcW w:w="901" w:type="dxa"/>
                      </w:tcPr>
                      <w:p>
                        <w:pPr>
                          <w:pStyle w:val="TableParagraph"/>
                          <w:ind w:left="461"/>
                          <w:rPr>
                            <w:sz w:val="14"/>
                          </w:rPr>
                        </w:pPr>
                        <w:r>
                          <w:rPr>
                            <w:sz w:val="14"/>
                          </w:rPr>
                          <w:t>Q3</w:t>
                        </w:r>
                      </w:p>
                    </w:tc>
                    <w:tc>
                      <w:tcPr>
                        <w:tcW w:w="662" w:type="dxa"/>
                      </w:tcPr>
                      <w:p>
                        <w:pPr>
                          <w:pStyle w:val="TableParagraph"/>
                          <w:ind w:left="215"/>
                          <w:rPr>
                            <w:sz w:val="14"/>
                          </w:rPr>
                        </w:pPr>
                        <w:r>
                          <w:rPr>
                            <w:sz w:val="14"/>
                          </w:rPr>
                          <w:t>0.7</w:t>
                        </w:r>
                      </w:p>
                    </w:tc>
                    <w:tc>
                      <w:tcPr>
                        <w:tcW w:w="845" w:type="dxa"/>
                      </w:tcPr>
                      <w:p>
                        <w:pPr>
                          <w:pStyle w:val="TableParagraph"/>
                          <w:ind w:left="254" w:right="238"/>
                          <w:jc w:val="center"/>
                          <w:rPr>
                            <w:sz w:val="14"/>
                          </w:rPr>
                        </w:pPr>
                        <w:r>
                          <w:rPr>
                            <w:sz w:val="14"/>
                          </w:rPr>
                          <w:t>2.1</w:t>
                        </w:r>
                      </w:p>
                    </w:tc>
                    <w:tc>
                      <w:tcPr>
                        <w:tcW w:w="623" w:type="dxa"/>
                      </w:tcPr>
                      <w:p>
                        <w:pPr>
                          <w:pStyle w:val="TableParagraph"/>
                          <w:ind w:right="48"/>
                          <w:jc w:val="right"/>
                          <w:rPr>
                            <w:sz w:val="14"/>
                          </w:rPr>
                        </w:pPr>
                        <w:r>
                          <w:rPr>
                            <w:sz w:val="14"/>
                          </w:rPr>
                          <w:t>3.0</w:t>
                        </w:r>
                      </w:p>
                    </w:tc>
                  </w:tr>
                  <w:tr>
                    <w:trPr>
                      <w:trHeight w:val="140" w:hRule="atLeast"/>
                    </w:trPr>
                    <w:tc>
                      <w:tcPr>
                        <w:tcW w:w="1159" w:type="dxa"/>
                      </w:tcPr>
                      <w:p>
                        <w:pPr>
                          <w:pStyle w:val="TableParagraph"/>
                          <w:spacing w:line="240" w:lineRule="auto"/>
                          <w:rPr>
                            <w:sz w:val="8"/>
                          </w:rPr>
                        </w:pPr>
                      </w:p>
                    </w:tc>
                    <w:tc>
                      <w:tcPr>
                        <w:tcW w:w="901" w:type="dxa"/>
                      </w:tcPr>
                      <w:p>
                        <w:pPr>
                          <w:pStyle w:val="TableParagraph"/>
                          <w:ind w:left="461"/>
                          <w:rPr>
                            <w:sz w:val="14"/>
                          </w:rPr>
                        </w:pPr>
                        <w:r>
                          <w:rPr>
                            <w:sz w:val="14"/>
                          </w:rPr>
                          <w:t>Q4</w:t>
                        </w:r>
                      </w:p>
                    </w:tc>
                    <w:tc>
                      <w:tcPr>
                        <w:tcW w:w="662" w:type="dxa"/>
                      </w:tcPr>
                      <w:p>
                        <w:pPr>
                          <w:pStyle w:val="TableParagraph"/>
                          <w:ind w:left="215"/>
                          <w:rPr>
                            <w:sz w:val="14"/>
                          </w:rPr>
                        </w:pPr>
                        <w:r>
                          <w:rPr>
                            <w:sz w:val="14"/>
                          </w:rPr>
                          <w:t>8.2</w:t>
                        </w:r>
                      </w:p>
                    </w:tc>
                    <w:tc>
                      <w:tcPr>
                        <w:tcW w:w="845" w:type="dxa"/>
                      </w:tcPr>
                      <w:p>
                        <w:pPr>
                          <w:pStyle w:val="TableParagraph"/>
                          <w:ind w:left="254" w:right="238"/>
                          <w:jc w:val="center"/>
                          <w:rPr>
                            <w:sz w:val="14"/>
                          </w:rPr>
                        </w:pPr>
                        <w:r>
                          <w:rPr>
                            <w:sz w:val="14"/>
                          </w:rPr>
                          <w:t>4.4</w:t>
                        </w:r>
                      </w:p>
                    </w:tc>
                    <w:tc>
                      <w:tcPr>
                        <w:tcW w:w="623" w:type="dxa"/>
                      </w:tcPr>
                      <w:p>
                        <w:pPr>
                          <w:pStyle w:val="TableParagraph"/>
                          <w:ind w:right="48"/>
                          <w:jc w:val="right"/>
                          <w:rPr>
                            <w:sz w:val="14"/>
                          </w:rPr>
                        </w:pPr>
                        <w:r>
                          <w:rPr>
                            <w:sz w:val="14"/>
                          </w:rPr>
                          <w:t>3.9</w:t>
                        </w:r>
                      </w:p>
                    </w:tc>
                  </w:tr>
                  <w:tr>
                    <w:trPr>
                      <w:trHeight w:val="210" w:hRule="atLeast"/>
                    </w:trPr>
                    <w:tc>
                      <w:tcPr>
                        <w:tcW w:w="1159" w:type="dxa"/>
                      </w:tcPr>
                      <w:p>
                        <w:pPr>
                          <w:pStyle w:val="TableParagraph"/>
                          <w:spacing w:line="240" w:lineRule="auto"/>
                          <w:rPr>
                            <w:sz w:val="14"/>
                          </w:rPr>
                        </w:pPr>
                      </w:p>
                    </w:tc>
                    <w:tc>
                      <w:tcPr>
                        <w:tcW w:w="901" w:type="dxa"/>
                      </w:tcPr>
                      <w:p>
                        <w:pPr>
                          <w:pStyle w:val="TableParagraph"/>
                          <w:spacing w:line="148" w:lineRule="exact"/>
                          <w:ind w:left="101"/>
                          <w:rPr>
                            <w:sz w:val="14"/>
                          </w:rPr>
                        </w:pPr>
                        <w:r>
                          <w:rPr>
                            <w:sz w:val="14"/>
                          </w:rPr>
                          <w:t>2000 Q1</w:t>
                        </w:r>
                      </w:p>
                    </w:tc>
                    <w:tc>
                      <w:tcPr>
                        <w:tcW w:w="662" w:type="dxa"/>
                      </w:tcPr>
                      <w:p>
                        <w:pPr>
                          <w:pStyle w:val="TableParagraph"/>
                          <w:spacing w:line="148" w:lineRule="exact"/>
                          <w:ind w:left="215"/>
                          <w:rPr>
                            <w:sz w:val="14"/>
                          </w:rPr>
                        </w:pPr>
                        <w:r>
                          <w:rPr>
                            <w:sz w:val="14"/>
                          </w:rPr>
                          <w:t>8.3</w:t>
                        </w:r>
                      </w:p>
                    </w:tc>
                    <w:tc>
                      <w:tcPr>
                        <w:tcW w:w="845" w:type="dxa"/>
                      </w:tcPr>
                      <w:p>
                        <w:pPr>
                          <w:pStyle w:val="TableParagraph"/>
                          <w:spacing w:line="148" w:lineRule="exact"/>
                          <w:ind w:left="254" w:right="238"/>
                          <w:jc w:val="center"/>
                          <w:rPr>
                            <w:sz w:val="14"/>
                          </w:rPr>
                        </w:pPr>
                        <w:r>
                          <w:rPr>
                            <w:sz w:val="14"/>
                          </w:rPr>
                          <w:t>8.3</w:t>
                        </w:r>
                      </w:p>
                    </w:tc>
                    <w:tc>
                      <w:tcPr>
                        <w:tcW w:w="623" w:type="dxa"/>
                      </w:tcPr>
                      <w:p>
                        <w:pPr>
                          <w:pStyle w:val="TableParagraph"/>
                          <w:spacing w:line="148" w:lineRule="exact"/>
                          <w:ind w:right="48"/>
                          <w:jc w:val="right"/>
                          <w:rPr>
                            <w:sz w:val="14"/>
                          </w:rPr>
                        </w:pPr>
                        <w:r>
                          <w:rPr>
                            <w:sz w:val="14"/>
                          </w:rPr>
                          <w:t>5.1</w:t>
                        </w:r>
                      </w:p>
                    </w:tc>
                  </w:tr>
                  <w:tr>
                    <w:trPr>
                      <w:trHeight w:val="210" w:hRule="atLeast"/>
                    </w:trPr>
                    <w:tc>
                      <w:tcPr>
                        <w:tcW w:w="1159" w:type="dxa"/>
                      </w:tcPr>
                      <w:p>
                        <w:pPr>
                          <w:pStyle w:val="TableParagraph"/>
                          <w:spacing w:line="133" w:lineRule="exact" w:before="56"/>
                          <w:ind w:left="50"/>
                          <w:rPr>
                            <w:sz w:val="14"/>
                          </w:rPr>
                        </w:pPr>
                        <w:r>
                          <w:rPr>
                            <w:sz w:val="14"/>
                          </w:rPr>
                          <w:t>M4 lending</w:t>
                        </w:r>
                      </w:p>
                    </w:tc>
                    <w:tc>
                      <w:tcPr>
                        <w:tcW w:w="901" w:type="dxa"/>
                      </w:tcPr>
                      <w:p>
                        <w:pPr>
                          <w:pStyle w:val="TableParagraph"/>
                          <w:spacing w:line="133" w:lineRule="exact" w:before="56"/>
                          <w:ind w:left="101"/>
                          <w:rPr>
                            <w:sz w:val="14"/>
                          </w:rPr>
                        </w:pPr>
                        <w:r>
                          <w:rPr>
                            <w:sz w:val="14"/>
                          </w:rPr>
                          <w:t>1999 Q2</w:t>
                        </w:r>
                      </w:p>
                    </w:tc>
                    <w:tc>
                      <w:tcPr>
                        <w:tcW w:w="662" w:type="dxa"/>
                      </w:tcPr>
                      <w:p>
                        <w:pPr>
                          <w:pStyle w:val="TableParagraph"/>
                          <w:spacing w:line="133" w:lineRule="exact" w:before="56"/>
                          <w:ind w:left="215"/>
                          <w:rPr>
                            <w:sz w:val="14"/>
                          </w:rPr>
                        </w:pPr>
                        <w:r>
                          <w:rPr>
                            <w:sz w:val="14"/>
                          </w:rPr>
                          <w:t>8.3</w:t>
                        </w:r>
                      </w:p>
                    </w:tc>
                    <w:tc>
                      <w:tcPr>
                        <w:tcW w:w="845" w:type="dxa"/>
                      </w:tcPr>
                      <w:p>
                        <w:pPr>
                          <w:pStyle w:val="TableParagraph"/>
                          <w:spacing w:line="133" w:lineRule="exact" w:before="56"/>
                          <w:ind w:left="254" w:right="238"/>
                          <w:jc w:val="center"/>
                          <w:rPr>
                            <w:sz w:val="14"/>
                          </w:rPr>
                        </w:pPr>
                        <w:r>
                          <w:rPr>
                            <w:sz w:val="14"/>
                          </w:rPr>
                          <w:t>7.6</w:t>
                        </w:r>
                      </w:p>
                    </w:tc>
                    <w:tc>
                      <w:tcPr>
                        <w:tcW w:w="623" w:type="dxa"/>
                      </w:tcPr>
                      <w:p>
                        <w:pPr>
                          <w:pStyle w:val="TableParagraph"/>
                          <w:spacing w:line="133" w:lineRule="exact" w:before="56"/>
                          <w:ind w:right="47"/>
                          <w:jc w:val="right"/>
                          <w:rPr>
                            <w:sz w:val="14"/>
                          </w:rPr>
                        </w:pPr>
                        <w:r>
                          <w:rPr>
                            <w:sz w:val="14"/>
                          </w:rPr>
                          <w:t>7.6</w:t>
                        </w:r>
                      </w:p>
                    </w:tc>
                  </w:tr>
                  <w:tr>
                    <w:trPr>
                      <w:trHeight w:val="140" w:hRule="atLeast"/>
                    </w:trPr>
                    <w:tc>
                      <w:tcPr>
                        <w:tcW w:w="1159" w:type="dxa"/>
                      </w:tcPr>
                      <w:p>
                        <w:pPr>
                          <w:pStyle w:val="TableParagraph"/>
                          <w:spacing w:line="240" w:lineRule="auto"/>
                          <w:rPr>
                            <w:sz w:val="8"/>
                          </w:rPr>
                        </w:pPr>
                      </w:p>
                    </w:tc>
                    <w:tc>
                      <w:tcPr>
                        <w:tcW w:w="901" w:type="dxa"/>
                      </w:tcPr>
                      <w:p>
                        <w:pPr>
                          <w:pStyle w:val="TableParagraph"/>
                          <w:ind w:left="461"/>
                          <w:rPr>
                            <w:sz w:val="14"/>
                          </w:rPr>
                        </w:pPr>
                        <w:r>
                          <w:rPr>
                            <w:sz w:val="14"/>
                          </w:rPr>
                          <w:t>Q3</w:t>
                        </w:r>
                      </w:p>
                    </w:tc>
                    <w:tc>
                      <w:tcPr>
                        <w:tcW w:w="662" w:type="dxa"/>
                      </w:tcPr>
                      <w:p>
                        <w:pPr>
                          <w:pStyle w:val="TableParagraph"/>
                          <w:ind w:left="215"/>
                          <w:rPr>
                            <w:sz w:val="14"/>
                          </w:rPr>
                        </w:pPr>
                        <w:r>
                          <w:rPr>
                            <w:sz w:val="14"/>
                          </w:rPr>
                          <w:t>7.6</w:t>
                        </w:r>
                      </w:p>
                    </w:tc>
                    <w:tc>
                      <w:tcPr>
                        <w:tcW w:w="845" w:type="dxa"/>
                      </w:tcPr>
                      <w:p>
                        <w:pPr>
                          <w:pStyle w:val="TableParagraph"/>
                          <w:ind w:left="254" w:right="238"/>
                          <w:jc w:val="center"/>
                          <w:rPr>
                            <w:sz w:val="14"/>
                          </w:rPr>
                        </w:pPr>
                        <w:r>
                          <w:rPr>
                            <w:sz w:val="14"/>
                          </w:rPr>
                          <w:t>8.0</w:t>
                        </w:r>
                      </w:p>
                    </w:tc>
                    <w:tc>
                      <w:tcPr>
                        <w:tcW w:w="623" w:type="dxa"/>
                      </w:tcPr>
                      <w:p>
                        <w:pPr>
                          <w:pStyle w:val="TableParagraph"/>
                          <w:ind w:right="48"/>
                          <w:jc w:val="right"/>
                          <w:rPr>
                            <w:sz w:val="14"/>
                          </w:rPr>
                        </w:pPr>
                        <w:r>
                          <w:rPr>
                            <w:sz w:val="14"/>
                          </w:rPr>
                          <w:t>6.9</w:t>
                        </w:r>
                      </w:p>
                    </w:tc>
                  </w:tr>
                  <w:tr>
                    <w:trPr>
                      <w:trHeight w:val="140" w:hRule="atLeast"/>
                    </w:trPr>
                    <w:tc>
                      <w:tcPr>
                        <w:tcW w:w="1159" w:type="dxa"/>
                      </w:tcPr>
                      <w:p>
                        <w:pPr>
                          <w:pStyle w:val="TableParagraph"/>
                          <w:spacing w:line="240" w:lineRule="auto"/>
                          <w:rPr>
                            <w:sz w:val="8"/>
                          </w:rPr>
                        </w:pPr>
                      </w:p>
                    </w:tc>
                    <w:tc>
                      <w:tcPr>
                        <w:tcW w:w="901" w:type="dxa"/>
                      </w:tcPr>
                      <w:p>
                        <w:pPr>
                          <w:pStyle w:val="TableParagraph"/>
                          <w:ind w:left="461"/>
                          <w:rPr>
                            <w:sz w:val="14"/>
                          </w:rPr>
                        </w:pPr>
                        <w:r>
                          <w:rPr>
                            <w:sz w:val="14"/>
                          </w:rPr>
                          <w:t>Q4</w:t>
                        </w:r>
                      </w:p>
                    </w:tc>
                    <w:tc>
                      <w:tcPr>
                        <w:tcW w:w="662" w:type="dxa"/>
                      </w:tcPr>
                      <w:p>
                        <w:pPr>
                          <w:pStyle w:val="TableParagraph"/>
                          <w:ind w:left="145"/>
                          <w:rPr>
                            <w:sz w:val="14"/>
                          </w:rPr>
                        </w:pPr>
                        <w:r>
                          <w:rPr>
                            <w:sz w:val="14"/>
                          </w:rPr>
                          <w:t>11.7</w:t>
                        </w:r>
                      </w:p>
                    </w:tc>
                    <w:tc>
                      <w:tcPr>
                        <w:tcW w:w="845" w:type="dxa"/>
                      </w:tcPr>
                      <w:p>
                        <w:pPr>
                          <w:pStyle w:val="TableParagraph"/>
                          <w:ind w:left="254" w:right="238"/>
                          <w:jc w:val="center"/>
                          <w:rPr>
                            <w:sz w:val="14"/>
                          </w:rPr>
                        </w:pPr>
                        <w:r>
                          <w:rPr>
                            <w:sz w:val="14"/>
                          </w:rPr>
                          <w:t>9.7</w:t>
                        </w:r>
                      </w:p>
                    </w:tc>
                    <w:tc>
                      <w:tcPr>
                        <w:tcW w:w="623" w:type="dxa"/>
                      </w:tcPr>
                      <w:p>
                        <w:pPr>
                          <w:pStyle w:val="TableParagraph"/>
                          <w:ind w:right="48"/>
                          <w:jc w:val="right"/>
                          <w:rPr>
                            <w:sz w:val="14"/>
                          </w:rPr>
                        </w:pPr>
                        <w:r>
                          <w:rPr>
                            <w:sz w:val="14"/>
                          </w:rPr>
                          <w:t>8.6</w:t>
                        </w:r>
                      </w:p>
                    </w:tc>
                  </w:tr>
                  <w:tr>
                    <w:trPr>
                      <w:trHeight w:val="147" w:hRule="atLeast"/>
                    </w:trPr>
                    <w:tc>
                      <w:tcPr>
                        <w:tcW w:w="1159" w:type="dxa"/>
                      </w:tcPr>
                      <w:p>
                        <w:pPr>
                          <w:pStyle w:val="TableParagraph"/>
                          <w:spacing w:line="240" w:lineRule="auto"/>
                          <w:rPr>
                            <w:sz w:val="8"/>
                          </w:rPr>
                        </w:pPr>
                      </w:p>
                    </w:tc>
                    <w:tc>
                      <w:tcPr>
                        <w:tcW w:w="901" w:type="dxa"/>
                      </w:tcPr>
                      <w:p>
                        <w:pPr>
                          <w:pStyle w:val="TableParagraph"/>
                          <w:spacing w:line="128" w:lineRule="exact"/>
                          <w:ind w:left="101"/>
                          <w:rPr>
                            <w:sz w:val="14"/>
                          </w:rPr>
                        </w:pPr>
                        <w:r>
                          <w:rPr>
                            <w:sz w:val="14"/>
                          </w:rPr>
                          <w:t>2000 Q1</w:t>
                        </w:r>
                      </w:p>
                    </w:tc>
                    <w:tc>
                      <w:tcPr>
                        <w:tcW w:w="662" w:type="dxa"/>
                      </w:tcPr>
                      <w:p>
                        <w:pPr>
                          <w:pStyle w:val="TableParagraph"/>
                          <w:spacing w:line="128" w:lineRule="exact"/>
                          <w:ind w:left="145"/>
                          <w:rPr>
                            <w:sz w:val="14"/>
                          </w:rPr>
                        </w:pPr>
                        <w:r>
                          <w:rPr>
                            <w:sz w:val="14"/>
                          </w:rPr>
                          <w:t>12.9</w:t>
                        </w:r>
                      </w:p>
                    </w:tc>
                    <w:tc>
                      <w:tcPr>
                        <w:tcW w:w="845" w:type="dxa"/>
                      </w:tcPr>
                      <w:p>
                        <w:pPr>
                          <w:pStyle w:val="TableParagraph"/>
                          <w:spacing w:line="128" w:lineRule="exact"/>
                          <w:ind w:left="253" w:right="305"/>
                          <w:jc w:val="center"/>
                          <w:rPr>
                            <w:sz w:val="14"/>
                          </w:rPr>
                        </w:pPr>
                        <w:r>
                          <w:rPr>
                            <w:sz w:val="14"/>
                          </w:rPr>
                          <w:t>12.3</w:t>
                        </w:r>
                      </w:p>
                    </w:tc>
                    <w:tc>
                      <w:tcPr>
                        <w:tcW w:w="623" w:type="dxa"/>
                      </w:tcPr>
                      <w:p>
                        <w:pPr>
                          <w:pStyle w:val="TableParagraph"/>
                          <w:spacing w:line="128" w:lineRule="exact"/>
                          <w:ind w:right="48"/>
                          <w:jc w:val="right"/>
                          <w:rPr>
                            <w:sz w:val="14"/>
                          </w:rPr>
                        </w:pPr>
                        <w:r>
                          <w:rPr>
                            <w:sz w:val="14"/>
                          </w:rPr>
                          <w:t>10.1</w:t>
                        </w:r>
                      </w:p>
                    </w:tc>
                  </w:tr>
                </w:tbl>
                <w:p>
                  <w:pPr>
                    <w:pStyle w:val="BodyText"/>
                  </w:pPr>
                </w:p>
              </w:txbxContent>
            </v:textbox>
            <w10:wrap type="none"/>
          </v:shape>
        </w:pict>
      </w:r>
      <w:r>
        <w:rPr>
          <w:sz w:val="12"/>
        </w:rPr>
        <w:t>Source: Bank of England.</w:t>
      </w:r>
    </w:p>
    <w:p>
      <w:pPr>
        <w:pStyle w:val="ListParagraph"/>
        <w:numPr>
          <w:ilvl w:val="0"/>
          <w:numId w:val="3"/>
        </w:numPr>
        <w:tabs>
          <w:tab w:pos="400" w:val="left" w:leader="none"/>
        </w:tabs>
        <w:spacing w:line="129" w:lineRule="exact" w:before="102" w:after="0"/>
        <w:ind w:left="399" w:right="0" w:hanging="240"/>
        <w:jc w:val="left"/>
        <w:rPr>
          <w:sz w:val="12"/>
        </w:rPr>
      </w:pPr>
      <w:r>
        <w:rPr>
          <w:sz w:val="12"/>
        </w:rPr>
        <w:t>Seasonally</w:t>
      </w:r>
      <w:r>
        <w:rPr>
          <w:spacing w:val="-5"/>
          <w:sz w:val="12"/>
        </w:rPr>
        <w:t> </w:t>
      </w:r>
      <w:r>
        <w:rPr>
          <w:sz w:val="12"/>
        </w:rPr>
        <w:t>adjusted.</w:t>
      </w:r>
    </w:p>
    <w:p>
      <w:pPr>
        <w:pStyle w:val="ListParagraph"/>
        <w:numPr>
          <w:ilvl w:val="0"/>
          <w:numId w:val="3"/>
        </w:numPr>
        <w:tabs>
          <w:tab w:pos="401" w:val="left" w:leader="none"/>
        </w:tabs>
        <w:spacing w:line="44" w:lineRule="exact" w:before="0" w:after="0"/>
        <w:ind w:left="400" w:right="0" w:hanging="241"/>
        <w:jc w:val="left"/>
        <w:rPr>
          <w:sz w:val="12"/>
        </w:rPr>
      </w:pPr>
      <w:r>
        <w:rPr>
          <w:sz w:val="12"/>
        </w:rPr>
        <w:t>Annualised.</w:t>
      </w:r>
    </w:p>
    <w:p>
      <w:pPr>
        <w:spacing w:before="119"/>
        <w:ind w:left="160" w:right="0" w:firstLine="0"/>
        <w:jc w:val="left"/>
        <w:rPr>
          <w:sz w:val="14"/>
        </w:rPr>
      </w:pPr>
      <w:r>
        <w:rPr/>
        <w:br w:type="column"/>
      </w:r>
      <w:r>
        <w:rPr>
          <w:sz w:val="14"/>
          <w:u w:val="single"/>
        </w:rPr>
        <w:t>3 months </w:t>
      </w:r>
      <w:r>
        <w:rPr>
          <w:sz w:val="12"/>
          <w:u w:val="single"/>
        </w:rPr>
        <w:t>(b</w:t>
      </w:r>
      <w:r>
        <w:rPr>
          <w:sz w:val="12"/>
        </w:rPr>
        <w:t>) </w:t>
      </w:r>
      <w:r>
        <w:rPr>
          <w:sz w:val="14"/>
          <w:u w:val="single"/>
        </w:rPr>
        <w:t>6 months </w:t>
      </w:r>
      <w:r>
        <w:rPr>
          <w:sz w:val="12"/>
          <w:u w:val="single"/>
        </w:rPr>
        <w:t>(b</w:t>
      </w:r>
      <w:r>
        <w:rPr>
          <w:sz w:val="12"/>
        </w:rPr>
        <w:t>) </w:t>
      </w:r>
      <w:r>
        <w:rPr>
          <w:sz w:val="14"/>
          <w:u w:val="single"/>
        </w:rPr>
        <w:t>12 months</w:t>
      </w:r>
    </w:p>
    <w:p>
      <w:pPr>
        <w:pStyle w:val="Heading6"/>
        <w:spacing w:line="242" w:lineRule="auto" w:before="89"/>
        <w:ind w:left="160" w:right="248"/>
      </w:pPr>
      <w:r>
        <w:rPr/>
        <w:br w:type="column"/>
      </w:r>
      <w:r>
        <w:rPr/>
        <w:t>Annual M4 growth picked up to 5.1% in 2000 Q1, from 3.9% in the previous quarter (see Chart 1.3). During 1999, a rundown in deposits held at banks and building societies by other financial corporations (OFCs) led to weak growth of total M4. However, OFCs’ M4 deposits rose sharply at the end of 2000 Q1, more than accounting for the pick-up in annual M4 growth. As discussed below, it seems unlikely that this increase in OFCs’ deposits has major implications for aggregate demand. Excluding OFCs, annual broad money growth</w:t>
      </w:r>
    </w:p>
    <w:p>
      <w:pPr>
        <w:spacing w:after="0" w:line="242" w:lineRule="auto"/>
        <w:sectPr>
          <w:type w:val="continuous"/>
          <w:pgSz w:w="11900" w:h="16840"/>
          <w:pgMar w:top="1220" w:bottom="280" w:left="640" w:right="620"/>
          <w:cols w:num="3" w:equalWidth="0">
            <w:col w:w="1470" w:space="500"/>
            <w:col w:w="2478" w:space="352"/>
            <w:col w:w="5840"/>
          </w:cols>
        </w:sectPr>
      </w:pPr>
    </w:p>
    <w:p>
      <w:pPr>
        <w:pStyle w:val="ListParagraph"/>
        <w:numPr>
          <w:ilvl w:val="0"/>
          <w:numId w:val="3"/>
        </w:numPr>
        <w:tabs>
          <w:tab w:pos="400" w:val="left" w:leader="none"/>
        </w:tabs>
        <w:spacing w:line="240" w:lineRule="auto" w:before="67" w:after="0"/>
        <w:ind w:left="399" w:right="0" w:hanging="240"/>
        <w:jc w:val="left"/>
        <w:rPr>
          <w:sz w:val="12"/>
        </w:rPr>
      </w:pPr>
      <w:r>
        <w:rPr>
          <w:sz w:val="12"/>
        </w:rPr>
        <w:t>Growth</w:t>
      </w:r>
      <w:r>
        <w:rPr>
          <w:spacing w:val="-5"/>
          <w:sz w:val="12"/>
        </w:rPr>
        <w:t> </w:t>
      </w:r>
      <w:r>
        <w:rPr>
          <w:sz w:val="12"/>
        </w:rPr>
        <w:t>rates</w:t>
      </w:r>
      <w:r>
        <w:rPr>
          <w:spacing w:val="-4"/>
          <w:sz w:val="12"/>
        </w:rPr>
        <w:t> </w:t>
      </w:r>
      <w:r>
        <w:rPr>
          <w:sz w:val="12"/>
        </w:rPr>
        <w:t>based</w:t>
      </w:r>
      <w:r>
        <w:rPr>
          <w:spacing w:val="-4"/>
          <w:sz w:val="12"/>
        </w:rPr>
        <w:t> </w:t>
      </w:r>
      <w:r>
        <w:rPr>
          <w:sz w:val="12"/>
        </w:rPr>
        <w:t>on</w:t>
      </w:r>
      <w:r>
        <w:rPr>
          <w:spacing w:val="-5"/>
          <w:sz w:val="12"/>
        </w:rPr>
        <w:t> </w:t>
      </w:r>
      <w:r>
        <w:rPr>
          <w:sz w:val="12"/>
        </w:rPr>
        <w:t>an</w:t>
      </w:r>
      <w:r>
        <w:rPr>
          <w:spacing w:val="-4"/>
          <w:sz w:val="12"/>
        </w:rPr>
        <w:t> </w:t>
      </w:r>
      <w:r>
        <w:rPr>
          <w:sz w:val="12"/>
        </w:rPr>
        <w:t>average</w:t>
      </w:r>
      <w:r>
        <w:rPr>
          <w:spacing w:val="-4"/>
          <w:sz w:val="12"/>
        </w:rPr>
        <w:t> </w:t>
      </w:r>
      <w:r>
        <w:rPr>
          <w:sz w:val="12"/>
        </w:rPr>
        <w:t>of</w:t>
      </w:r>
      <w:r>
        <w:rPr>
          <w:spacing w:val="-4"/>
          <w:sz w:val="12"/>
        </w:rPr>
        <w:t> </w:t>
      </w:r>
      <w:r>
        <w:rPr>
          <w:sz w:val="12"/>
        </w:rPr>
        <w:t>weekly</w:t>
      </w:r>
      <w:r>
        <w:rPr>
          <w:spacing w:val="-5"/>
          <w:sz w:val="12"/>
        </w:rPr>
        <w:t> </w:t>
      </w:r>
      <w:r>
        <w:rPr>
          <w:sz w:val="12"/>
        </w:rPr>
        <w:t>observations</w:t>
      </w:r>
      <w:r>
        <w:rPr>
          <w:spacing w:val="-4"/>
          <w:sz w:val="12"/>
        </w:rPr>
        <w:t> </w:t>
      </w:r>
      <w:r>
        <w:rPr>
          <w:sz w:val="12"/>
        </w:rPr>
        <w:t>in</w:t>
      </w:r>
      <w:r>
        <w:rPr>
          <w:spacing w:val="-4"/>
          <w:sz w:val="12"/>
        </w:rPr>
        <w:t> </w:t>
      </w:r>
      <w:r>
        <w:rPr>
          <w:sz w:val="12"/>
        </w:rPr>
        <w:t>the</w:t>
      </w:r>
      <w:r>
        <w:rPr>
          <w:spacing w:val="-4"/>
          <w:sz w:val="12"/>
        </w:rPr>
        <w:t> </w:t>
      </w:r>
      <w:r>
        <w:rPr>
          <w:sz w:val="12"/>
        </w:rPr>
        <w:t>month.</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5"/>
        </w:rPr>
      </w:pPr>
    </w:p>
    <w:p>
      <w:pPr>
        <w:spacing w:before="1"/>
        <w:ind w:left="170" w:right="0" w:firstLine="0"/>
        <w:jc w:val="left"/>
        <w:rPr>
          <w:b/>
          <w:sz w:val="20"/>
        </w:rPr>
      </w:pPr>
      <w:r>
        <w:rPr>
          <w:b/>
          <w:color w:val="0092C7"/>
          <w:sz w:val="20"/>
        </w:rPr>
        <w:t>Chart 1.4</w:t>
      </w:r>
    </w:p>
    <w:p>
      <w:pPr>
        <w:spacing w:line="249" w:lineRule="auto" w:before="10"/>
        <w:ind w:left="170" w:right="121" w:firstLine="0"/>
        <w:jc w:val="left"/>
        <w:rPr>
          <w:b/>
          <w:sz w:val="20"/>
        </w:rPr>
      </w:pPr>
      <w:r>
        <w:rPr>
          <w:b/>
          <w:color w:val="0092C7"/>
          <w:sz w:val="20"/>
        </w:rPr>
        <w:t>Net new M4 borrowing by the M4 private sector</w:t>
      </w:r>
      <w:r>
        <w:rPr>
          <w:position w:val="4"/>
          <w:sz w:val="12"/>
        </w:rPr>
        <w:t>(a) </w:t>
      </w:r>
      <w:r>
        <w:rPr>
          <w:b/>
          <w:color w:val="0092C7"/>
          <w:sz w:val="20"/>
        </w:rPr>
        <w:t>and the current account deficit</w:t>
      </w:r>
    </w:p>
    <w:p>
      <w:pPr>
        <w:spacing w:before="49"/>
        <w:ind w:left="2674" w:right="0" w:firstLine="0"/>
        <w:jc w:val="left"/>
        <w:rPr>
          <w:sz w:val="12"/>
        </w:rPr>
      </w:pPr>
      <w:r>
        <w:rPr/>
        <w:pict>
          <v:group style="position:absolute;margin-left:44.137001pt;margin-top:16.65184pt;width:160.25pt;height:137.7pt;mso-position-horizontal-relative:page;mso-position-vertical-relative:paragraph;z-index:15764480" coordorigin="883,333" coordsize="3205,2754">
            <v:line style="position:absolute" from="1044,2006" to="3929,2006" stroked="true" strokeweight=".5pt" strokecolor="#000000">
              <v:stroke dashstyle="solid"/>
            </v:line>
            <v:line style="position:absolute" from="1046,2069" to="1086,1957" stroked="true" strokeweight="1pt" strokecolor="#610e7a">
              <v:stroke dashstyle="solid"/>
            </v:line>
            <v:line style="position:absolute" from="1102,1947" to="1102,2384" stroked="true" strokeweight="2.625pt" strokecolor="#610e7a">
              <v:stroke dashstyle="solid"/>
            </v:line>
            <v:line style="position:absolute" from="1119,2374" to="1159,2584" stroked="true" strokeweight="1pt" strokecolor="#610e7a">
              <v:stroke dashstyle="solid"/>
            </v:line>
            <v:line style="position:absolute" from="1174,2574" to="1174,2947" stroked="true" strokeweight="2.5pt" strokecolor="#610e7a">
              <v:stroke dashstyle="solid"/>
            </v:line>
            <v:line style="position:absolute" from="1189,2937" to="1261,2119" stroked="true" strokeweight="1pt" strokecolor="#610e7a">
              <v:stroke dashstyle="solid"/>
            </v:line>
            <v:shape style="position:absolute;left:1251;top:2044;width:243;height:405" type="#_x0000_t75" stroked="false">
              <v:imagedata r:id="rId23" o:title=""/>
            </v:shape>
            <v:line style="position:absolute" from="1505,1979" to="1505,2417" stroked="true" strokeweight="3.125pt" strokecolor="#610e7a">
              <v:stroke dashstyle="solid"/>
            </v:line>
            <v:shape style="position:absolute;left:1516;top:1866;width:273;height:438" type="#_x0000_t75" stroked="false">
              <v:imagedata r:id="rId24" o:title=""/>
            </v:shape>
            <v:line style="position:absolute" from="1795,1867" to="1795,2289" stroked="true" strokeweight="2.625pt" strokecolor="#610e7a">
              <v:stroke dashstyle="solid"/>
            </v:line>
            <v:shape style="position:absolute;left:1811;top:1429;width:408;height:850" coordorigin="1811,1429" coordsize="408,850" path="m1811,2279l1851,2167m1851,2167l1881,2119m1881,2119l1924,2087m1924,2087l1964,1909m1964,1909l1994,1734m1994,1734l2034,1844m2034,1844l2066,2087m2066,2087l2106,1797m2106,1797l2136,1717m2136,1717l2176,1477m2176,1477l2219,1429e" filled="false" stroked="true" strokeweight="1pt" strokecolor="#610e7a">
              <v:path arrowok="t"/>
              <v:stroke dashstyle="solid"/>
            </v:shape>
            <v:shape style="position:absolute;left:2208;top:1430;width:90;height:2" coordorigin="2209,1431" coordsize="90,0" path="m2209,1431l2259,1431m2239,1431l2299,1431e" filled="false" stroked="true" strokeweight="1.125pt" strokecolor="#610e7a">
              <v:path arrowok="t"/>
              <v:stroke dashstyle="solid"/>
            </v:shape>
            <v:line style="position:absolute" from="2304,1034" to="2304,1439" stroked="true" strokeweight="2.5pt" strokecolor="#610e7a">
              <v:stroke dashstyle="solid"/>
            </v:line>
            <v:shape style="position:absolute;left:2318;top:1044;width:225;height:255" coordorigin="2319,1044" coordsize="225,255" path="m2319,1044l2361,1204m2361,1204l2401,1172m2401,1172l2431,1044m2431,1044l2474,1299m2474,1299l2504,1172m2504,1172l2544,1237e" filled="false" stroked="true" strokeweight="1pt" strokecolor="#610e7a">
              <v:path arrowok="t"/>
              <v:stroke dashstyle="solid"/>
            </v:shape>
            <v:line style="position:absolute" from="2559,1227" to="2559,1534" stroked="true" strokeweight="2.5pt" strokecolor="#610e7a">
              <v:stroke dashstyle="solid"/>
            </v:line>
            <v:shape style="position:absolute;left:2573;top:1524;width:623;height:545" coordorigin="2574,1524" coordsize="623,545" path="m2574,1524l2616,1557m2616,1557l2656,1622m2656,1622l2686,1877m2686,1877l2726,1717m2726,1717l2759,1764m2759,1764l2799,1749m2799,1749l2839,1684m2839,1684l2871,1702m2871,1702l2911,1684m2911,1684l2941,1637m2941,1637l2981,1669m2981,1669l3014,1734m3014,1734l3054,1764m3054,1764l3094,1909m3094,1909l3124,1877m3124,1877l3166,1989m3166,1989l3196,2069e" filled="false" stroked="true" strokeweight="1pt" strokecolor="#610e7a">
              <v:path arrowok="t"/>
              <v:stroke dashstyle="solid"/>
            </v:shape>
            <v:line style="position:absolute" from="3186,2071" to="3246,2071" stroked="true" strokeweight="1.125pt" strokecolor="#610e7a">
              <v:stroke dashstyle="solid"/>
            </v:line>
            <v:shape style="position:absolute;left:3236;top:1651;width:693;height:578" coordorigin="3236,1652" coordsize="693,578" path="m3236,2069l3279,1749m3279,1749l3309,1862m3309,1862l3349,1942m3349,1942l3379,1877m3379,1877l3421,2007m3421,2007l3451,1942m3451,1942l3491,2134m3491,2134l3531,2229m3531,2229l3564,2149m3564,2149l3604,2214m3604,2214l3634,2022m3634,2022l3676,1974m3676,1974l3716,1989m3716,1989l3746,2134m3746,2134l3786,1862m3786,1862l3819,1652m3819,1652l3859,1782m3859,1782l3889,1764m3889,1764l3929,1782e" filled="false" stroked="true" strokeweight="1pt" strokecolor="#610e7a">
              <v:path arrowok="t"/>
              <v:stroke dashstyle="solid"/>
            </v:shape>
            <v:line style="position:absolute" from="1066,1627" to="1066,2064" stroked="true" strokeweight="3pt" strokecolor="#de0035">
              <v:stroke dashstyle="solid"/>
            </v:line>
            <v:shape style="position:absolute;left:1086;top:2054;width:73;height:338" coordorigin="1086,2054" coordsize="73,338" path="m1086,2054l1119,2069m1119,2069l1159,2392e" filled="false" stroked="true" strokeweight="1pt" strokecolor="#de0035">
              <v:path arrowok="t"/>
              <v:stroke dashstyle="solid"/>
            </v:shape>
            <v:line style="position:absolute" from="1174,2044" to="1174,2402" stroked="true" strokeweight="2.5pt" strokecolor="#de0035">
              <v:stroke dashstyle="solid"/>
            </v:line>
            <v:line style="position:absolute" from="1209,2044" to="1209,2464" stroked="true" strokeweight="3pt" strokecolor="#de0035">
              <v:stroke dashstyle="solid"/>
            </v:line>
            <v:line style="position:absolute" from="1245,1979" to="1245,2464" stroked="true" strokeweight="2.625pt" strokecolor="#de0035">
              <v:stroke dashstyle="solid"/>
            </v:line>
            <v:shape style="position:absolute;left:1261;top:1011;width:153;height:978" coordorigin="1261,1012" coordsize="153,978" path="m1261,1989l1301,1012m1301,1012l1341,1187m1341,1187l1371,1412m1371,1412l1414,1299e" filled="false" stroked="true" strokeweight="1pt" strokecolor="#de0035">
              <v:path arrowok="t"/>
              <v:stroke dashstyle="solid"/>
            </v:shape>
            <v:line style="position:absolute" from="1429,1289" to="1429,1727" stroked="true" strokeweight="2.5pt" strokecolor="#de0035">
              <v:stroke dashstyle="solid"/>
            </v:line>
            <v:line style="position:absolute" from="1464,1707" to="1464,2209" stroked="true" strokeweight="3pt" strokecolor="#de0035">
              <v:stroke dashstyle="solid"/>
            </v:line>
            <v:shape style="position:absolute;left:1483;top:1444;width:73;height:755" coordorigin="1484,1444" coordsize="73,755" path="m1484,2199l1526,1557m1526,1557l1556,1444e" filled="false" stroked="true" strokeweight="1pt" strokecolor="#de0035">
              <v:path arrowok="t"/>
              <v:stroke dashstyle="solid"/>
            </v:shape>
            <v:line style="position:absolute" from="1576,1434" to="1576,1887" stroked="true" strokeweight="3pt" strokecolor="#de0035">
              <v:stroke dashstyle="solid"/>
            </v:line>
            <v:line style="position:absolute" from="1611,1402" to="1611,1887" stroked="true" strokeweight="2.5pt" strokecolor="#de0035">
              <v:stroke dashstyle="solid"/>
            </v:line>
            <v:shape style="position:absolute;left:1626;top:1411;width:113;height:323" coordorigin="1626,1412" coordsize="113,323" path="m1626,1412l1669,1717m1669,1717l1699,1589m1699,1589l1739,1734e" filled="false" stroked="true" strokeweight="1pt" strokecolor="#de0035">
              <v:path arrowok="t"/>
              <v:stroke dashstyle="solid"/>
            </v:shape>
            <v:line style="position:absolute" from="1759,1242" to="1759,1744" stroked="true" strokeweight="3pt" strokecolor="#de0035">
              <v:stroke dashstyle="solid"/>
            </v:line>
            <v:line style="position:absolute" from="1779,1252" to="1811,1462" stroked="true" strokeweight="1pt" strokecolor="#de0035">
              <v:stroke dashstyle="solid"/>
            </v:line>
            <v:line style="position:absolute" from="1831,1452" to="1831,1937" stroked="true" strokeweight="3pt" strokecolor="#de0035">
              <v:stroke dashstyle="solid"/>
            </v:line>
            <v:shape style="position:absolute;left:1851;top:1764;width:113;height:163" coordorigin="1851,1764" coordsize="113,163" path="m1851,1927l1881,1782m1881,1782l1924,1814m1924,1814l1964,1764e" filled="false" stroked="true" strokeweight="1pt" strokecolor="#de0035">
              <v:path arrowok="t"/>
              <v:stroke dashstyle="solid"/>
            </v:shape>
            <v:line style="position:absolute" from="1979,1307" to="1979,1774" stroked="true" strokeweight="2.5pt" strokecolor="#de0035">
              <v:stroke dashstyle="solid"/>
            </v:line>
            <v:line style="position:absolute" from="2014,904" to="2014,1327" stroked="true" strokeweight="3pt" strokecolor="#de0035">
              <v:stroke dashstyle="solid"/>
            </v:line>
            <v:shape style="position:absolute;left:2033;top:851;width:185;height:898" coordorigin="2034,852" coordsize="185,898" path="m2034,914l2066,1749m2066,1749l2106,1397m2106,1397l2136,1299m2136,1299l2176,1622m2176,1622l2219,852e" filled="false" stroked="true" strokeweight="1pt" strokecolor="#de0035">
              <v:path arrowok="t"/>
              <v:stroke dashstyle="solid"/>
            </v:shape>
            <v:line style="position:absolute" from="2234,377" to="2234,862" stroked="true" strokeweight="2.5pt" strokecolor="#de0035">
              <v:stroke dashstyle="solid"/>
            </v:line>
            <v:shape style="position:absolute;left:2248;top:386;width:183;height:833" coordorigin="2249,387" coordsize="183,833" path="m2249,387l2289,1219m2289,1219l2319,722m2319,722l2361,1059m2361,1059l2401,1092m2401,1092l2431,867e" filled="false" stroked="true" strokeweight="1pt" strokecolor="#de0035">
              <v:path arrowok="t"/>
              <v:stroke dashstyle="solid"/>
            </v:shape>
            <v:line style="position:absolute" from="2452,857" to="2452,1422" stroked="true" strokeweight="3.125pt" strokecolor="#de0035">
              <v:stroke dashstyle="solid"/>
            </v:line>
            <v:line style="position:absolute" from="2474,1412" to="2504,1172" stroked="true" strokeweight="1pt" strokecolor="#de0035">
              <v:stroke dashstyle="solid"/>
            </v:line>
            <v:line style="position:absolute" from="2524,1162" to="2524,1567" stroked="true" strokeweight="3pt" strokecolor="#de0035">
              <v:stroke dashstyle="solid"/>
            </v:line>
            <v:shape style="position:absolute;left:2543;top:1316;width:73;height:240" coordorigin="2544,1317" coordsize="73,240" path="m2544,1557l2574,1444m2574,1444l2616,1317e" filled="false" stroked="true" strokeweight="1pt" strokecolor="#de0035">
              <v:path arrowok="t"/>
              <v:stroke dashstyle="solid"/>
            </v:shape>
            <v:line style="position:absolute" from="2606,1318" to="2666,1318" stroked="true" strokeweight="1.125pt" strokecolor="#de0035">
              <v:stroke dashstyle="solid"/>
            </v:line>
            <v:shape style="position:absolute;left:2656;top:1316;width:143;height:738" coordorigin="2656,1317" coordsize="143,738" path="m2656,1317l2686,2054m2686,2054l2726,1717m2726,1717l2759,1927m2759,1927l2799,1989e" filled="false" stroked="true" strokeweight="1pt" strokecolor="#de0035">
              <v:path arrowok="t"/>
              <v:stroke dashstyle="solid"/>
            </v:shape>
            <v:line style="position:absolute" from="2819,1547" to="2819,1999" stroked="true" strokeweight="3pt" strokecolor="#de0035">
              <v:stroke dashstyle="solid"/>
            </v:line>
            <v:line style="position:absolute" from="2855,1547" to="2855,1967" stroked="true" strokeweight="2.625pt" strokecolor="#de0035">
              <v:stroke dashstyle="solid"/>
            </v:line>
            <v:shape style="position:absolute;left:2861;top:1659;width:243;height:773" type="#_x0000_t75" stroked="false">
              <v:imagedata r:id="rId25" o:title=""/>
            </v:shape>
            <v:shape style="position:absolute;left:3093;top:1461;width:285;height:960" coordorigin="3094,1462" coordsize="285,960" path="m3094,2422l3124,1814m3124,1814l3166,1524m3166,1524l3196,1462m3196,1462l3236,1829m3236,1829l3279,2007m3279,2007l3309,1829m3309,1829l3349,1862m3349,1862l3379,1829e" filled="false" stroked="true" strokeweight="1pt" strokecolor="#de0035">
              <v:path arrowok="t"/>
              <v:stroke dashstyle="solid"/>
            </v:shape>
            <v:line style="position:absolute" from="3369,1831" to="3431,1831" stroked="true" strokeweight="1.125pt" strokecolor="#de0035">
              <v:stroke dashstyle="solid"/>
            </v:line>
            <v:shape style="position:absolute;left:3421;top:1829;width:110;height:513" coordorigin="3421,1829" coordsize="110,513" path="m3421,1829l3451,1957m3451,1957l3491,2134m3491,2134l3531,2342e" filled="false" stroked="true" strokeweight="1pt" strokecolor="#de0035">
              <v:path arrowok="t"/>
              <v:stroke dashstyle="solid"/>
            </v:shape>
            <v:line style="position:absolute" from="3547,1997" to="3547,2352" stroked="true" strokeweight="2.625pt" strokecolor="#de0035">
              <v:stroke dashstyle="solid"/>
            </v:line>
            <v:line style="position:absolute" from="3584,1997" to="3584,2577" stroked="true" strokeweight="3pt" strokecolor="#de0035">
              <v:stroke dashstyle="solid"/>
            </v:line>
            <v:shape style="position:absolute;left:3603;top:1749;width:73;height:818" coordorigin="3604,1749" coordsize="73,818" path="m3604,2567l3634,1862m3634,1862l3676,1749e" filled="false" stroked="true" strokeweight="1pt" strokecolor="#de0035">
              <v:path arrowok="t"/>
              <v:stroke dashstyle="solid"/>
            </v:shape>
            <v:shape style="position:absolute;left:3666;top:1724;width:90;height:485" coordorigin="3666,1724" coordsize="90,485" path="m3756,1724l3706,1724,3706,1739,3666,1739,3666,2209,3706,2209,3726,2209,3756,2209,3756,1724xe" filled="true" fillcolor="#de0035" stroked="false">
              <v:path arrowok="t"/>
              <v:fill type="solid"/>
            </v:shape>
            <v:shape style="position:absolute;left:3746;top:1059;width:113;height:803" coordorigin="3746,1059" coordsize="113,803" path="m3746,1734l3786,1862m3786,1862l3819,1252m3819,1252l3859,1059e" filled="false" stroked="true" strokeweight="1pt" strokecolor="#de0035">
              <v:path arrowok="t"/>
              <v:stroke dashstyle="solid"/>
            </v:shape>
            <v:shape style="position:absolute;left:3848;top:664;width:90;height:405" coordorigin="3849,664" coordsize="90,405" path="m3939,664l3899,664,3879,664,3849,664,3849,1069,3879,1069,3899,1069,3939,1069,3939,664xe" filled="true" fillcolor="#de0035" stroked="false">
              <v:path arrowok="t"/>
              <v:fill type="solid"/>
            </v:shape>
            <v:shape style="position:absolute;left:882;top:572;width:3205;height:2509" coordorigin="883,573" coordsize="3205,2509" path="m883,573l969,573m883,931l969,931m883,1290l969,1290m883,1648l969,1648m883,2006l969,2006m883,2723l969,2723m883,2365l969,2365m4001,573l4088,573m4001,931l4088,931m4001,1290l4088,1290m4001,1648l4088,1648m4001,2006l4088,2006m4001,2723l4088,2723m4001,2365l4088,2365m1049,3082l3929,3082m1047,3015l1047,3082m1339,3015l1339,3082m1631,3015l1631,3082m1923,3015l1923,3082m2215,3015l2215,3082m2653,3015l2653,3082m3237,3015l3237,3082m3822,3015l3822,3082m2945,3015l2945,3082m3530,3015l3530,3082m1193,3015l1193,3082m1485,3015l1485,3082m1777,3015l1777,3082m2069,3015l2069,3082m2361,3015l2361,3082m2799,3015l2799,3082m3384,3015l3384,3082m2507,3015l2507,3082m3091,3015l3091,3082m3676,3015l3676,3082e" filled="false" stroked="true" strokeweight=".5pt" strokecolor="#000000">
              <v:path arrowok="t"/>
              <v:stroke dashstyle="solid"/>
            </v:shape>
            <v:shape style="position:absolute;left:2296;top:333;width:1160;height:374" type="#_x0000_t202" filled="false" stroked="false">
              <v:textbox inset="0,0,0,0">
                <w:txbxContent>
                  <w:p>
                    <w:pPr>
                      <w:spacing w:line="208" w:lineRule="auto" w:before="9"/>
                      <w:ind w:left="30" w:right="0" w:hanging="30"/>
                      <w:jc w:val="left"/>
                      <w:rPr>
                        <w:sz w:val="12"/>
                      </w:rPr>
                    </w:pPr>
                    <w:r>
                      <w:rPr>
                        <w:sz w:val="12"/>
                      </w:rPr>
                      <w:t>Net new borrowing by M4 private sector from M4 institutions</w:t>
                    </w:r>
                  </w:p>
                </w:txbxContent>
              </v:textbox>
              <w10:wrap type="none"/>
            </v:shape>
            <v:shape style="position:absolute;left:1247;top:2638;width:1127;height:134" type="#_x0000_t202" filled="false" stroked="false">
              <v:textbox inset="0,0,0,0">
                <w:txbxContent>
                  <w:p>
                    <w:pPr>
                      <w:spacing w:line="133" w:lineRule="exact" w:before="0"/>
                      <w:ind w:left="0" w:right="0" w:firstLine="0"/>
                      <w:jc w:val="left"/>
                      <w:rPr>
                        <w:sz w:val="12"/>
                      </w:rPr>
                    </w:pPr>
                    <w:r>
                      <w:rPr>
                        <w:sz w:val="12"/>
                      </w:rPr>
                      <w:t>Current account deficit</w:t>
                    </w:r>
                  </w:p>
                </w:txbxContent>
              </v:textbox>
              <w10:wrap type="none"/>
            </v:shape>
            <w10:wrap type="none"/>
          </v:group>
        </w:pict>
      </w:r>
      <w:r>
        <w:rPr/>
        <w:pict>
          <v:line style="position:absolute;mso-position-horizontal-relative:page;mso-position-vertical-relative:paragraph;z-index:15765504" from="44.137001pt,10.728326pt" to="48.470001pt,10.728326pt" stroked="true" strokeweight=".5pt" strokecolor="#000000">
            <v:stroke dashstyle="solid"/>
            <w10:wrap type="none"/>
          </v:line>
        </w:pict>
      </w:r>
      <w:r>
        <w:rPr/>
        <w:pict>
          <v:line style="position:absolute;mso-position-horizontal-relative:page;mso-position-vertical-relative:paragraph;z-index:-22844928" from="200.052994pt,10.728326pt" to="204.386994pt,10.728326pt" stroked="true" strokeweight=".5pt" strokecolor="#000000">
            <v:stroke dashstyle="solid"/>
            <w10:wrap type="none"/>
          </v:line>
        </w:pict>
      </w:r>
      <w:r>
        <w:rPr>
          <w:sz w:val="12"/>
        </w:rPr>
        <w:t>Per cent of GDP</w:t>
      </w:r>
      <w:r>
        <w:rPr>
          <w:spacing w:val="-16"/>
          <w:sz w:val="12"/>
        </w:rPr>
        <w:t> </w:t>
      </w:r>
      <w:r>
        <w:rPr>
          <w:position w:val="-6"/>
          <w:sz w:val="12"/>
        </w:rPr>
        <w:t>10</w:t>
      </w:r>
    </w:p>
    <w:p>
      <w:pPr>
        <w:pStyle w:val="BodyText"/>
        <w:spacing w:before="6"/>
        <w:rPr>
          <w:sz w:val="19"/>
        </w:rPr>
      </w:pPr>
    </w:p>
    <w:p>
      <w:pPr>
        <w:spacing w:before="0"/>
        <w:ind w:left="0" w:right="270" w:firstLine="0"/>
        <w:jc w:val="right"/>
        <w:rPr>
          <w:sz w:val="12"/>
        </w:rPr>
      </w:pPr>
      <w:r>
        <w:rPr>
          <w:sz w:val="12"/>
        </w:rPr>
        <w:t>8</w:t>
      </w:r>
    </w:p>
    <w:p>
      <w:pPr>
        <w:pStyle w:val="BodyText"/>
        <w:rPr>
          <w:sz w:val="12"/>
        </w:rPr>
      </w:pPr>
    </w:p>
    <w:p>
      <w:pPr>
        <w:spacing w:before="83"/>
        <w:ind w:left="0" w:right="270" w:firstLine="0"/>
        <w:jc w:val="right"/>
        <w:rPr>
          <w:sz w:val="12"/>
        </w:rPr>
      </w:pPr>
      <w:r>
        <w:rPr>
          <w:sz w:val="12"/>
        </w:rPr>
        <w:t>6</w:t>
      </w:r>
    </w:p>
    <w:p>
      <w:pPr>
        <w:pStyle w:val="BodyText"/>
        <w:rPr>
          <w:sz w:val="12"/>
        </w:rPr>
      </w:pPr>
    </w:p>
    <w:p>
      <w:pPr>
        <w:spacing w:before="84"/>
        <w:ind w:left="0" w:right="270" w:firstLine="0"/>
        <w:jc w:val="right"/>
        <w:rPr>
          <w:sz w:val="12"/>
        </w:rPr>
      </w:pPr>
      <w:r>
        <w:rPr>
          <w:sz w:val="12"/>
        </w:rPr>
        <w:t>4</w:t>
      </w:r>
    </w:p>
    <w:p>
      <w:pPr>
        <w:pStyle w:val="BodyText"/>
        <w:rPr>
          <w:sz w:val="12"/>
        </w:rPr>
      </w:pPr>
    </w:p>
    <w:p>
      <w:pPr>
        <w:spacing w:before="83"/>
        <w:ind w:left="0" w:right="270" w:firstLine="0"/>
        <w:jc w:val="right"/>
        <w:rPr>
          <w:sz w:val="12"/>
        </w:rPr>
      </w:pPr>
      <w:r>
        <w:rPr>
          <w:sz w:val="12"/>
        </w:rPr>
        <w:t>2</w:t>
      </w:r>
    </w:p>
    <w:p>
      <w:pPr>
        <w:spacing w:line="184" w:lineRule="exact" w:before="37"/>
        <w:ind w:left="3444" w:right="0" w:firstLine="0"/>
        <w:jc w:val="left"/>
        <w:rPr>
          <w:sz w:val="16"/>
        </w:rPr>
      </w:pPr>
      <w:r>
        <w:rPr>
          <w:sz w:val="16"/>
        </w:rPr>
        <w:t>+</w:t>
      </w:r>
    </w:p>
    <w:p>
      <w:pPr>
        <w:spacing w:line="177" w:lineRule="auto" w:before="15"/>
        <w:ind w:left="3464" w:right="0" w:firstLine="0"/>
        <w:jc w:val="left"/>
        <w:rPr>
          <w:sz w:val="12"/>
        </w:rPr>
      </w:pPr>
      <w:r>
        <w:rPr>
          <w:spacing w:val="-3"/>
          <w:position w:val="-8"/>
          <w:sz w:val="16"/>
        </w:rPr>
        <w:t>_</w:t>
      </w:r>
      <w:r>
        <w:rPr>
          <w:spacing w:val="-3"/>
          <w:sz w:val="12"/>
        </w:rPr>
        <w:t>0</w:t>
      </w:r>
    </w:p>
    <w:p>
      <w:pPr>
        <w:spacing w:before="153"/>
        <w:ind w:left="0" w:right="270" w:firstLine="0"/>
        <w:jc w:val="right"/>
        <w:rPr>
          <w:sz w:val="12"/>
        </w:rPr>
      </w:pPr>
      <w:r>
        <w:rPr>
          <w:sz w:val="12"/>
        </w:rPr>
        <w:t>2</w:t>
      </w:r>
    </w:p>
    <w:p>
      <w:pPr>
        <w:pStyle w:val="BodyText"/>
        <w:rPr>
          <w:sz w:val="12"/>
        </w:rPr>
      </w:pPr>
    </w:p>
    <w:p>
      <w:pPr>
        <w:spacing w:before="83"/>
        <w:ind w:left="0" w:right="270" w:firstLine="0"/>
        <w:jc w:val="right"/>
        <w:rPr>
          <w:sz w:val="12"/>
        </w:rPr>
      </w:pPr>
      <w:r>
        <w:rPr>
          <w:sz w:val="12"/>
        </w:rPr>
        <w:t>4</w:t>
      </w:r>
    </w:p>
    <w:p>
      <w:pPr>
        <w:pStyle w:val="BodyText"/>
        <w:rPr>
          <w:sz w:val="12"/>
        </w:rPr>
      </w:pPr>
    </w:p>
    <w:p>
      <w:pPr>
        <w:spacing w:line="130" w:lineRule="exact" w:before="84"/>
        <w:ind w:left="3538" w:right="0" w:firstLine="0"/>
        <w:jc w:val="left"/>
        <w:rPr>
          <w:sz w:val="12"/>
        </w:rPr>
      </w:pPr>
      <w:r>
        <w:rPr/>
        <w:pict>
          <v:line style="position:absolute;mso-position-horizontal-relative:page;mso-position-vertical-relative:paragraph;z-index:15764992" from="44.137001pt,8.541562pt" to="48.470001pt,8.541562pt" stroked="true" strokeweight=".5pt" strokecolor="#000000">
            <v:stroke dashstyle="solid"/>
            <w10:wrap type="none"/>
          </v:line>
        </w:pict>
      </w:r>
      <w:r>
        <w:rPr/>
        <w:pict>
          <v:line style="position:absolute;mso-position-horizontal-relative:page;mso-position-vertical-relative:paragraph;z-index:15766016" from="200.052994pt,8.541562pt" to="204.386994pt,8.541562pt" stroked="true" strokeweight=".5pt" strokecolor="#000000">
            <v:stroke dashstyle="solid"/>
            <w10:wrap type="none"/>
          </v:line>
        </w:pict>
      </w:r>
      <w:r>
        <w:rPr>
          <w:sz w:val="12"/>
        </w:rPr>
        <w:t>6</w:t>
      </w:r>
    </w:p>
    <w:p>
      <w:pPr>
        <w:spacing w:line="130" w:lineRule="exact" w:before="0"/>
        <w:ind w:left="299" w:right="0" w:firstLine="0"/>
        <w:jc w:val="left"/>
        <w:rPr>
          <w:sz w:val="12"/>
        </w:rPr>
      </w:pPr>
      <w:r>
        <w:rPr>
          <w:sz w:val="12"/>
        </w:rPr>
        <w:t>1980 82 84 86 88 90 92 94 96 98</w:t>
      </w:r>
    </w:p>
    <w:p>
      <w:pPr>
        <w:spacing w:before="85"/>
        <w:ind w:left="160" w:right="0" w:firstLine="0"/>
        <w:jc w:val="left"/>
        <w:rPr>
          <w:sz w:val="12"/>
        </w:rPr>
      </w:pPr>
      <w:r>
        <w:rPr>
          <w:sz w:val="12"/>
        </w:rPr>
        <w:t>Sources: ONS and Bank of England.</w:t>
      </w:r>
    </w:p>
    <w:p>
      <w:pPr>
        <w:pStyle w:val="ListParagraph"/>
        <w:numPr>
          <w:ilvl w:val="0"/>
          <w:numId w:val="4"/>
        </w:numPr>
        <w:tabs>
          <w:tab w:pos="400" w:val="left" w:leader="none"/>
        </w:tabs>
        <w:spacing w:line="240" w:lineRule="auto" w:before="102" w:after="0"/>
        <w:ind w:left="399" w:right="0" w:hanging="240"/>
        <w:jc w:val="left"/>
        <w:rPr>
          <w:sz w:val="12"/>
        </w:rPr>
      </w:pPr>
      <w:r>
        <w:rPr>
          <w:sz w:val="12"/>
        </w:rPr>
        <w:t>Sterling M4 lending flows minus sterling M4 deposit</w:t>
      </w:r>
      <w:r>
        <w:rPr>
          <w:spacing w:val="-20"/>
          <w:sz w:val="12"/>
        </w:rPr>
        <w:t> </w:t>
      </w:r>
      <w:r>
        <w:rPr>
          <w:sz w:val="12"/>
        </w:rPr>
        <w:t>flows.</w:t>
      </w:r>
    </w:p>
    <w:p>
      <w:pPr>
        <w:pStyle w:val="Heading6"/>
        <w:spacing w:line="266" w:lineRule="exact"/>
        <w:ind w:left="160"/>
      </w:pPr>
      <w:r>
        <w:rPr/>
        <w:br w:type="column"/>
      </w:r>
      <w:r>
        <w:rPr/>
        <w:t>eased slightly in 2000 Q1 (see Chart 1.3).</w:t>
      </w:r>
    </w:p>
    <w:p>
      <w:pPr>
        <w:pStyle w:val="BodyText"/>
        <w:spacing w:before="8"/>
        <w:rPr>
          <w:sz w:val="24"/>
        </w:rPr>
      </w:pPr>
    </w:p>
    <w:p>
      <w:pPr>
        <w:spacing w:line="242" w:lineRule="auto" w:before="0"/>
        <w:ind w:left="160" w:right="248" w:firstLine="0"/>
        <w:jc w:val="left"/>
        <w:rPr>
          <w:sz w:val="24"/>
        </w:rPr>
      </w:pPr>
      <w:r>
        <w:rPr>
          <w:sz w:val="24"/>
        </w:rPr>
        <w:t>Bank and building society lending to the M4 private sector rose by 10.1% in the year to 2000 Q1 (see</w:t>
      </w:r>
    </w:p>
    <w:p>
      <w:pPr>
        <w:spacing w:line="242" w:lineRule="auto" w:before="2"/>
        <w:ind w:left="160" w:right="119" w:firstLine="0"/>
        <w:jc w:val="left"/>
        <w:rPr>
          <w:sz w:val="24"/>
        </w:rPr>
      </w:pPr>
      <w:r>
        <w:rPr>
          <w:sz w:val="24"/>
        </w:rPr>
        <w:t>Table 1.A), the highest annual rate since 1991. Over the past year, a substantial gap has emerged between M4 and M4 lending flows. In the past, divergences between M4 and M4 lending have been associated with movements in the UK current account balance (see Chart 1.4).</w:t>
      </w:r>
    </w:p>
    <w:p>
      <w:pPr>
        <w:spacing w:line="242" w:lineRule="auto" w:before="7"/>
        <w:ind w:left="160" w:right="207" w:firstLine="0"/>
        <w:jc w:val="left"/>
        <w:rPr>
          <w:sz w:val="24"/>
        </w:rPr>
      </w:pPr>
      <w:r>
        <w:rPr>
          <w:sz w:val="24"/>
        </w:rPr>
        <w:t>Aggregate imbalances between the income and spending of the UK public and private sectors have to be financed, in an accounting sense, by the acquisition of foreign assets or liabilities, either directly with non-residents, or intermediated via the banking system. Recent financial deficits in the private sector have more than offset the public sector financial surplus, consistent with a movement into current account deficit. On past relationships, that would suggest a widening gap between M4 and M4 lending. However, Chart 1.4 suggests that in 1999 sterling funds from overseas</w:t>
      </w:r>
    </w:p>
    <w:p>
      <w:pPr>
        <w:spacing w:after="0" w:line="242" w:lineRule="auto"/>
        <w:jc w:val="left"/>
        <w:rPr>
          <w:sz w:val="24"/>
        </w:rPr>
        <w:sectPr>
          <w:type w:val="continuous"/>
          <w:pgSz w:w="11900" w:h="16840"/>
          <w:pgMar w:top="1220" w:bottom="280" w:left="640" w:right="620"/>
          <w:cols w:num="2" w:equalWidth="0">
            <w:col w:w="3872" w:space="928"/>
            <w:col w:w="5840"/>
          </w:cols>
        </w:sectPr>
      </w:pPr>
    </w:p>
    <w:p>
      <w:pPr>
        <w:pStyle w:val="BodyText"/>
        <w:spacing w:before="6"/>
        <w:rPr>
          <w:sz w:val="29"/>
        </w:rPr>
      </w:pPr>
    </w:p>
    <w:p>
      <w:pPr>
        <w:spacing w:before="88"/>
        <w:ind w:left="1975" w:right="1981" w:firstLine="0"/>
        <w:jc w:val="center"/>
        <w:rPr>
          <w:b/>
          <w:sz w:val="28"/>
        </w:rPr>
      </w:pPr>
      <w:bookmarkStart w:name="International trends in narrow money vel" w:id="11"/>
      <w:bookmarkEnd w:id="11"/>
      <w:r>
        <w:rPr/>
      </w:r>
      <w:bookmarkStart w:name="_bookmark6" w:id="12"/>
      <w:bookmarkEnd w:id="12"/>
      <w:r>
        <w:rPr/>
      </w:r>
      <w:bookmarkStart w:name="_bookmark7" w:id="13"/>
      <w:bookmarkEnd w:id="13"/>
      <w:r>
        <w:rPr/>
      </w:r>
      <w:r>
        <w:rPr>
          <w:b/>
          <w:color w:val="009391"/>
          <w:sz w:val="28"/>
        </w:rPr>
        <w:t>International trends in narrow money velocity</w:t>
      </w:r>
    </w:p>
    <w:p>
      <w:pPr>
        <w:pStyle w:val="BodyText"/>
        <w:spacing w:before="7"/>
        <w:rPr>
          <w:b/>
          <w:sz w:val="24"/>
        </w:rPr>
      </w:pPr>
    </w:p>
    <w:p>
      <w:pPr>
        <w:spacing w:after="0"/>
        <w:rPr>
          <w:sz w:val="24"/>
        </w:rPr>
        <w:sectPr>
          <w:footerReference w:type="default" r:id="rId26"/>
          <w:footerReference w:type="even" r:id="rId27"/>
          <w:pgSz w:w="11900" w:h="16840"/>
          <w:pgMar w:footer="617" w:header="586" w:top="780" w:bottom="800" w:left="640" w:right="620"/>
          <w:pgNumType w:start="5"/>
        </w:sectPr>
      </w:pPr>
    </w:p>
    <w:p>
      <w:pPr>
        <w:pStyle w:val="Heading9"/>
        <w:spacing w:before="92"/>
        <w:ind w:left="395" w:right="13"/>
      </w:pPr>
      <w:r>
        <w:rPr/>
        <w:t>Understanding the behaviour of narrow money velocity—defined as nominal spending relative to cash in circulation—is important for assessing the information content of narrow money for activity and inflation. An examination of overseas velocity behaviour may provide insights into recent trends in UK narrow money velocity.</w:t>
      </w:r>
    </w:p>
    <w:p>
      <w:pPr>
        <w:pStyle w:val="BodyText"/>
        <w:spacing w:before="5"/>
        <w:rPr>
          <w:sz w:val="23"/>
        </w:rPr>
      </w:pPr>
    </w:p>
    <w:p>
      <w:pPr>
        <w:spacing w:before="0"/>
        <w:ind w:left="395" w:right="13" w:firstLine="0"/>
        <w:jc w:val="left"/>
        <w:rPr>
          <w:sz w:val="21"/>
        </w:rPr>
      </w:pPr>
      <w:r>
        <w:rPr>
          <w:sz w:val="21"/>
        </w:rPr>
        <w:t>Chart A shows that the shift to stable and gently falling narrow money velocity in the United Kingdom in the 1990s is not exceptional by international standards. In fact, velocity has been broadly flat or falling in almost all G7 economies for much of the 1990s.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line="237" w:lineRule="auto" w:before="175"/>
        <w:ind w:left="395" w:right="36" w:firstLine="0"/>
        <w:jc w:val="left"/>
        <w:rPr>
          <w:sz w:val="21"/>
        </w:rPr>
      </w:pPr>
      <w:r>
        <w:rPr>
          <w:sz w:val="21"/>
        </w:rPr>
        <w:t>There are many possible explanations of the paths of narrow money velocity across economies over this period.</w:t>
      </w:r>
      <w:r>
        <w:rPr>
          <w:position w:val="5"/>
          <w:sz w:val="16"/>
        </w:rPr>
        <w:t>(1) </w:t>
      </w:r>
      <w:r>
        <w:rPr>
          <w:sz w:val="21"/>
        </w:rPr>
        <w:t>An important common contributory factor to rising velocity in some economies in the 1970s and 1980s was the introduction of cash-saving financial innovations. Greater use of bank accounts, the spread of automated cash dispensers, and the proliferation of credit, debit and store cards are all likely to have reduced agents’ demand for cash—and raised the velocity of circulation.</w:t>
      </w:r>
    </w:p>
    <w:p>
      <w:pPr>
        <w:pStyle w:val="BodyText"/>
        <w:spacing w:before="2"/>
        <w:rPr>
          <w:sz w:val="21"/>
        </w:rPr>
      </w:pPr>
    </w:p>
    <w:p>
      <w:pPr>
        <w:spacing w:before="0"/>
        <w:ind w:left="395" w:right="392" w:firstLine="0"/>
        <w:jc w:val="left"/>
        <w:rPr>
          <w:sz w:val="21"/>
        </w:rPr>
      </w:pPr>
      <w:r>
        <w:rPr>
          <w:sz w:val="21"/>
        </w:rPr>
        <w:t>But financial innovation is a less satisfactory explanation of velocity behaviour in countries, such as Germany and Japan, with flat or falling</w:t>
      </w:r>
    </w:p>
    <w:p>
      <w:pPr>
        <w:spacing w:line="237" w:lineRule="auto" w:before="0"/>
        <w:ind w:left="395" w:right="146" w:firstLine="0"/>
        <w:jc w:val="left"/>
        <w:rPr>
          <w:sz w:val="21"/>
        </w:rPr>
      </w:pPr>
      <w:r>
        <w:rPr>
          <w:sz w:val="21"/>
        </w:rPr>
        <w:t>velocity for most of the period. And falls in velocity in other countries in the 1990s seem at odds with continuing rapid innovation in cash-saving technologies.</w:t>
      </w:r>
    </w:p>
    <w:p>
      <w:pPr>
        <w:spacing w:before="92"/>
        <w:ind w:left="395" w:right="428" w:firstLine="0"/>
        <w:jc w:val="left"/>
        <w:rPr>
          <w:sz w:val="21"/>
        </w:rPr>
      </w:pPr>
      <w:r>
        <w:rPr/>
        <w:br w:type="column"/>
      </w:r>
      <w:r>
        <w:rPr>
          <w:sz w:val="21"/>
        </w:rPr>
        <w:t>Another potential factor contributing to velocity behaviour (and cash demand) in recent decades may be the differing inflationary experiences of countries (see Chart B).  High and variable inflation in some countries in the 1970s and 1980s increased the costs of holding notes and coin relative to interest-bearing deposits or real assets, and that is likely to </w:t>
      </w:r>
      <w:r>
        <w:rPr>
          <w:spacing w:val="-3"/>
          <w:sz w:val="21"/>
        </w:rPr>
        <w:t>have </w:t>
      </w:r>
      <w:r>
        <w:rPr>
          <w:sz w:val="21"/>
        </w:rPr>
        <w:t>reduced cash demand. It may also </w:t>
      </w:r>
      <w:r>
        <w:rPr>
          <w:spacing w:val="-3"/>
          <w:sz w:val="21"/>
        </w:rPr>
        <w:t>have </w:t>
      </w:r>
      <w:r>
        <w:rPr>
          <w:sz w:val="21"/>
        </w:rPr>
        <w:t>provided a further spur to innovation in cash-saving payment technologies, also raising </w:t>
      </w:r>
      <w:r>
        <w:rPr>
          <w:spacing w:val="-3"/>
          <w:sz w:val="21"/>
        </w:rPr>
        <w:t>velocity. </w:t>
      </w:r>
      <w:r>
        <w:rPr>
          <w:sz w:val="21"/>
        </w:rPr>
        <w:t>Consistent with this explanation, velocity in the 1970s tended to rise most sharply in countries that experienced high and variable inflation, such as </w:t>
      </w:r>
      <w:r>
        <w:rPr>
          <w:spacing w:val="-3"/>
          <w:sz w:val="21"/>
        </w:rPr>
        <w:t>Italy, </w:t>
      </w:r>
      <w:r>
        <w:rPr>
          <w:sz w:val="21"/>
        </w:rPr>
        <w:t>the United Kingdom and France. By contrast, velocity rose less, or fell, in countries with lower and more stable inflation and nominal interest rates, such as Germany and</w:t>
      </w:r>
      <w:r>
        <w:rPr>
          <w:spacing w:val="-26"/>
          <w:sz w:val="21"/>
        </w:rPr>
        <w:t> </w:t>
      </w:r>
      <w:r>
        <w:rPr>
          <w:sz w:val="21"/>
        </w:rPr>
        <w:t>Japan.</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
        <w:rPr>
          <w:sz w:val="19"/>
        </w:rPr>
      </w:pPr>
    </w:p>
    <w:p>
      <w:pPr>
        <w:spacing w:line="237" w:lineRule="auto" w:before="0"/>
        <w:ind w:left="395" w:right="530" w:firstLine="0"/>
        <w:jc w:val="left"/>
        <w:rPr>
          <w:sz w:val="21"/>
        </w:rPr>
      </w:pPr>
      <w:r>
        <w:rPr>
          <w:sz w:val="21"/>
        </w:rPr>
        <w:t>More recently, changes in velocity trends appear to have been related to the transition of countries to lower-inflation environments, and sometimes the implementation of new monetary regimes. Successful new regimes may lower private sector inflation expectations, and so raise the demand for cash and reduce the velocity of circulation. For example, US velocity, based on an estimate of currency held by US residents, rose in the 1970s.</w:t>
      </w:r>
      <w:r>
        <w:rPr>
          <w:position w:val="5"/>
          <w:sz w:val="16"/>
        </w:rPr>
        <w:t>(2) </w:t>
      </w:r>
      <w:r>
        <w:rPr>
          <w:sz w:val="21"/>
        </w:rPr>
        <w:t>But it stabilised in the early 1980s following the introduction of a new</w:t>
      </w:r>
    </w:p>
    <w:p>
      <w:pPr>
        <w:spacing w:before="4"/>
        <w:ind w:left="395" w:right="428" w:firstLine="0"/>
        <w:jc w:val="left"/>
        <w:rPr>
          <w:sz w:val="21"/>
        </w:rPr>
      </w:pPr>
      <w:r>
        <w:rPr>
          <w:sz w:val="21"/>
        </w:rPr>
        <w:t>monetary control regime and sharp falls in inflation. In Canada, velocity began to fall in the early 1990s following falls in inflation and the implementation of inflation targeting in 1991. And the stabilisation and subsequent fall in velocity in the United Kingdom in the 1990s broadly coincided with the start of inflation targeting in 1992.</w:t>
      </w:r>
    </w:p>
    <w:p>
      <w:pPr>
        <w:spacing w:after="0"/>
        <w:jc w:val="left"/>
        <w:rPr>
          <w:sz w:val="21"/>
        </w:rPr>
        <w:sectPr>
          <w:type w:val="continuous"/>
          <w:pgSz w:w="11900" w:h="16840"/>
          <w:pgMar w:top="1220" w:bottom="280" w:left="640" w:right="620"/>
          <w:cols w:num="2" w:equalWidth="0">
            <w:col w:w="5071" w:space="84"/>
            <w:col w:w="5485"/>
          </w:cols>
        </w:sectPr>
      </w:pPr>
    </w:p>
    <w:p>
      <w:pPr>
        <w:pStyle w:val="BodyText"/>
        <w:spacing w:before="1"/>
        <w:rPr>
          <w:sz w:val="11"/>
        </w:rPr>
      </w:pPr>
      <w:r>
        <w:rPr/>
        <w:pict>
          <v:group style="position:absolute;margin-left:38.279999pt;margin-top:40pt;width:518pt;height:740pt;mso-position-horizontal-relative:page;mso-position-vertical-relative:page;z-index:-22825984" coordorigin="766,800" coordsize="10360,14800">
            <v:shape style="position:absolute;left:785;top:820;width:10320;height:14760" coordorigin="786,820" coordsize="10320,14760" path="m11106,820l5959,820,5932,820,786,820,786,8171,786,8229,786,15580,5931,15580,5959,15580,11106,15580,11106,8228,11106,8172,11106,820xe" filled="true" fillcolor="#d7e8e7" stroked="false">
              <v:path arrowok="t"/>
              <v:fill type="solid"/>
            </v:shape>
            <v:shape style="position:absolute;left:865;top:942;width:10161;height:14516" coordorigin="865,942" coordsize="10161,14516" path="m5945,942l865,8200,5945,15458,11026,8200,5945,942xe" filled="true" fillcolor="#d9e8e7" stroked="false">
              <v:path arrowok="t"/>
              <v:fill type="solid"/>
            </v:shape>
            <v:shape style="position:absolute;left:964;top:1084;width:9962;height:14231" coordorigin="965,1085" coordsize="9962,14231" path="m5945,1085l965,8200,5945,15315,10926,8200,5945,1085xe" filled="true" fillcolor="#dae9e8" stroked="false">
              <v:path arrowok="t"/>
              <v:fill type="solid"/>
            </v:shape>
            <v:shape style="position:absolute;left:1064;top:1227;width:9763;height:13947" coordorigin="1064,1227" coordsize="9763,13947" path="m5945,1227l1064,8200,5945,15173,10826,8200,5945,1227xe" filled="true" fillcolor="#daeae8" stroked="false">
              <v:path arrowok="t"/>
              <v:fill type="solid"/>
            </v:shape>
            <v:shape style="position:absolute;left:1163;top:1369;width:9563;height:13662" coordorigin="1164,1369" coordsize="9563,13662" path="m5945,1369l1164,8200,5945,15031,10727,8200,5945,1369xe" filled="true" fillcolor="#dbeae8" stroked="false">
              <v:path arrowok="t"/>
              <v:fill type="solid"/>
            </v:shape>
            <v:shape style="position:absolute;left:1263;top:1511;width:9364;height:13377" coordorigin="1264,1512" coordsize="9364,13377" path="m5945,1512l1264,8200,5945,14888,10627,8200,5945,1512xe" filled="true" fillcolor="#dcebe9" stroked="false">
              <v:path arrowok="t"/>
              <v:fill type="solid"/>
            </v:shape>
            <v:shape style="position:absolute;left:1363;top:1653;width:9165;height:13093" coordorigin="1363,1654" coordsize="9165,13093" path="m5945,1654l1363,8200,5945,14746,10528,8200,5945,1654xe" filled="true" fillcolor="#ddebe9" stroked="false">
              <v:path arrowok="t"/>
              <v:fill type="solid"/>
            </v:shape>
            <v:shape style="position:absolute;left:1462;top:1796;width:8966;height:12808" coordorigin="1463,1796" coordsize="8966,12808" path="m5945,1796l1463,8200,5945,14604,10428,8200,5945,1796xe" filled="true" fillcolor="#ddebea" stroked="false">
              <v:path arrowok="t"/>
              <v:fill type="solid"/>
            </v:shape>
            <v:shape style="position:absolute;left:1562;top:1938;width:8766;height:12523" coordorigin="1562,1939" coordsize="8766,12523" path="m5945,1939l1562,8200,5945,14462,10328,8200,5945,1939xe" filled="true" fillcolor="#dfebea" stroked="false">
              <v:path arrowok="t"/>
              <v:fill type="solid"/>
            </v:shape>
            <v:shape style="position:absolute;left:1662;top:2080;width:8567;height:12239" coordorigin="1662,2081" coordsize="8567,12239" path="m10229,8200l5945,2081,1662,8200,5945,14319,10229,8200xe" filled="true" fillcolor="#dfeceb" stroked="false">
              <v:path arrowok="t"/>
              <v:fill type="solid"/>
            </v:shape>
            <v:shape style="position:absolute;left:1861;top:2365;width:8169;height:11670" coordorigin="1861,2366" coordsize="8169,11670" path="m5945,2366l1861,8200,5945,14035,10030,8200,5945,2366xe" filled="true" fillcolor="#e0eceb" stroked="false">
              <v:path arrowok="t"/>
              <v:fill type="solid"/>
            </v:shape>
            <v:shape style="position:absolute;left:1960;top:2507;width:7970;height:11385" coordorigin="1961,2508" coordsize="7970,11385" path="m5945,2508l1961,8200,5945,13892,9930,8200,5945,2508xe" filled="true" fillcolor="#e0edeb" stroked="false">
              <v:path arrowok="t"/>
              <v:fill type="solid"/>
            </v:shape>
            <v:shape style="position:absolute;left:2060;top:2650;width:7770;height:11100" coordorigin="2060,2650" coordsize="7770,11100" path="m5945,2650l2060,8200,5945,13750,9830,8200,5945,2650xe" filled="true" fillcolor="#e1edeb" stroked="false">
              <v:path arrowok="t"/>
              <v:fill type="solid"/>
            </v:shape>
            <v:shape style="position:absolute;left:2160;top:2792;width:7571;height:10816" coordorigin="2160,2792" coordsize="7571,10816" path="m5945,2792l2160,8200,5945,13608,9731,8200,5945,2792xe" filled="true" fillcolor="#e2edec" stroked="false">
              <v:path arrowok="t"/>
              <v:fill type="solid"/>
            </v:shape>
            <v:shape style="position:absolute;left:2259;top:2934;width:7372;height:10531" coordorigin="2260,2935" coordsize="7372,10531" path="m5945,2935l2260,8200,5945,13465,9631,8200,5945,2935xe" filled="true" fillcolor="#e3eeec" stroked="false">
              <v:path arrowok="t"/>
              <v:fill type="solid"/>
            </v:shape>
            <v:shape style="position:absolute;left:2359;top:3077;width:7173;height:10247" coordorigin="2359,3077" coordsize="7173,10247" path="m5945,3077l2359,8200,5945,13323,9531,8200,5945,3077xe" filled="true" fillcolor="#e4efed" stroked="false">
              <v:path arrowok="t"/>
              <v:fill type="solid"/>
            </v:shape>
            <v:shape style="position:absolute;left:2458;top:3219;width:6973;height:9962" coordorigin="2459,3219" coordsize="6973,9962" path="m5945,3219l2459,8200,5945,13181,9432,8200,5945,3219xe" filled="true" fillcolor="#e6efed" stroked="false">
              <v:path arrowok="t"/>
              <v:fill type="solid"/>
            </v:shape>
            <v:shape style="position:absolute;left:2558;top:3361;width:6774;height:9677" coordorigin="2559,3362" coordsize="6774,9677" path="m5945,3362l2559,8200,5945,13038,9332,8200,5945,3362xe" filled="true" fillcolor="#e6efee" stroked="false">
              <v:path arrowok="t"/>
              <v:fill type="solid"/>
            </v:shape>
            <v:shape style="position:absolute;left:2658;top:3503;width:6575;height:9393" coordorigin="2658,3504" coordsize="6575,9393" path="m5945,3504l2658,8200,5945,12896,9233,8200,5945,3504xe" filled="true" fillcolor="#e7f0ee" stroked="false">
              <v:path arrowok="t"/>
              <v:fill type="solid"/>
            </v:shape>
            <v:shape style="position:absolute;left:2757;top:3646;width:6376;height:9108" coordorigin="2758,3646" coordsize="6376,9108" path="m9133,8200l5945,3646,2758,8200,5945,12754,9133,8200xe" filled="true" fillcolor="#e8f0ee" stroked="false">
              <v:path arrowok="t"/>
              <v:fill type="solid"/>
            </v:shape>
            <v:shape style="position:absolute;left:2957;top:3930;width:5977;height:8539" coordorigin="2957,3931" coordsize="5977,8539" path="m5945,3931l2957,8200,5945,12469,8934,8200,5945,3931xe" filled="true" fillcolor="#eaf1f0" stroked="false">
              <v:path arrowok="t"/>
              <v:fill type="solid"/>
            </v:shape>
            <v:shape style="position:absolute;left:3056;top:4073;width:5778;height:8254" coordorigin="3057,4073" coordsize="5778,8254" path="m8834,8200l5945,4073,3057,8200,5945,12327,8834,8200xe" filled="true" fillcolor="#ebf3f0" stroked="false">
              <v:path arrowok="t"/>
              <v:fill type="solid"/>
            </v:shape>
            <v:shape style="position:absolute;left:3255;top:4357;width:5380;height:7685" coordorigin="3256,4358" coordsize="5380,7685" path="m5945,4358l3256,8200,5945,12042,8635,8200,5945,4358xe" filled="true" fillcolor="#ebf4f1" stroked="false">
              <v:path arrowok="t"/>
              <v:fill type="solid"/>
            </v:shape>
            <v:shape style="position:absolute;left:3355;top:4500;width:5180;height:7400" coordorigin="3355,4500" coordsize="5180,7400" path="m5945,4500l3355,8200,5945,11900,8535,8200,5945,4500xe" filled="true" fillcolor="#ecf4f1" stroked="false">
              <v:path arrowok="t"/>
              <v:fill type="solid"/>
            </v:shape>
            <v:shape style="position:absolute;left:3455;top:4642;width:4981;height:7116" coordorigin="3455,4642" coordsize="4981,7116" path="m5945,4642l3455,8200,5945,11758,8436,8200,5945,4642xe" filled="true" fillcolor="#ecf4f3" stroked="false">
              <v:path arrowok="t"/>
              <v:fill type="solid"/>
            </v:shape>
            <v:shape style="position:absolute;left:3554;top:4784;width:4782;height:6831" coordorigin="3555,4785" coordsize="4782,6831" path="m5945,4785l3555,8200,5945,11615,8336,8200,5945,4785xe" filled="true" fillcolor="#edf5f3" stroked="false">
              <v:path arrowok="t"/>
              <v:fill type="solid"/>
            </v:shape>
            <v:shape style="position:absolute;left:3654;top:4927;width:4583;height:6547" coordorigin="3654,4927" coordsize="4583,6547" path="m5945,4927l3654,8200,5945,11473,8237,8200,5945,4927xe" filled="true" fillcolor="#eef5f4" stroked="false">
              <v:path arrowok="t"/>
              <v:fill type="solid"/>
            </v:shape>
            <v:shape style="position:absolute;left:3753;top:5069;width:4383;height:6262" coordorigin="3754,5069" coordsize="4383,6262" path="m5945,5069l3754,8200,5945,11331,8137,8200,5945,5069xe" filled="true" fillcolor="#eff6f4" stroked="false">
              <v:path arrowok="t"/>
              <v:fill type="solid"/>
            </v:shape>
            <v:shape style="position:absolute;left:3853;top:5211;width:4184;height:5977" coordorigin="3854,5212" coordsize="4184,5977" path="m5945,5212l3854,8200,5945,11189,8037,8200,5945,5212xe" filled="true" fillcolor="#eff6f5" stroked="false">
              <v:path arrowok="t"/>
              <v:fill type="solid"/>
            </v:shape>
            <v:shape style="position:absolute;left:3953;top:5353;width:3985;height:5693" coordorigin="3953,5354" coordsize="3985,5693" path="m5945,5354l3953,8200,5945,11046,7938,8200,5945,5354xe" filled="true" fillcolor="#f0f7f6" stroked="false">
              <v:path arrowok="t"/>
              <v:fill type="solid"/>
            </v:shape>
            <v:shape style="position:absolute;left:4052;top:5496;width:3786;height:5408" coordorigin="4053,5496" coordsize="3786,5408" path="m7838,8200l5945,5496,4053,8200,5945,10904,7838,8200xe" filled="true" fillcolor="#f1f7f6" stroked="false">
              <v:path arrowok="t"/>
              <v:fill type="solid"/>
            </v:shape>
            <v:shape style="position:absolute;left:4251;top:5780;width:3387;height:4839" coordorigin="4252,5781" coordsize="3387,4839" path="m5945,5781l4252,8200,5945,10619,7639,8200,5945,5781xe" filled="true" fillcolor="#f4f8f7" stroked="false">
              <v:path arrowok="t"/>
              <v:fill type="solid"/>
            </v:shape>
            <v:shape style="position:absolute;left:4351;top:5923;width:3188;height:4554" coordorigin="4352,5923" coordsize="3188,4554" path="m5945,5923l4352,8200,5945,10477,7539,8200,5945,5923xe" filled="true" fillcolor="#f4f8f8" stroked="false">
              <v:path arrowok="t"/>
              <v:fill type="solid"/>
            </v:shape>
            <v:shape style="position:absolute;left:4451;top:6065;width:2989;height:4270" coordorigin="4451,6065" coordsize="2989,4270" path="m5945,6065l4451,8200,5945,10335,7440,8200,5945,6065xe" filled="true" fillcolor="#f5f8f8" stroked="false">
              <v:path arrowok="t"/>
              <v:fill type="solid"/>
            </v:shape>
            <v:shape style="position:absolute;left:4550;top:6207;width:2790;height:3985" coordorigin="4551,6208" coordsize="2790,3985" path="m7340,8200l5945,6208,4551,8200,5945,10192,7340,8200xe" filled="true" fillcolor="#f6f8f8" stroked="false">
              <v:path arrowok="t"/>
              <v:fill type="solid"/>
            </v:shape>
            <v:shape style="position:absolute;left:4750;top:6492;width:2391;height:3416" coordorigin="4750,6492" coordsize="2391,3416" path="m5945,6492l4750,8200,5945,9908,7141,8200,5945,6492xe" filled="true" fillcolor="#f7f9f8" stroked="false">
              <v:path arrowok="t"/>
              <v:fill type="solid"/>
            </v:shape>
            <v:shape style="position:absolute;left:4849;top:6634;width:2192;height:3131" coordorigin="4850,6635" coordsize="2192,3131" path="m5945,6635l4850,8200,5945,9765,7041,8200,5945,6635xe" filled="true" fillcolor="#f8f9f8" stroked="false">
              <v:path arrowok="t"/>
              <v:fill type="solid"/>
            </v:shape>
            <v:shape style="position:absolute;left:4949;top:6777;width:1993;height:2847" coordorigin="4949,6777" coordsize="1993,2847" path="m5945,6777l4949,8200,5945,9623,6942,8200,5945,6777xe" filled="true" fillcolor="#f8fafa" stroked="false">
              <v:path arrowok="t"/>
              <v:fill type="solid"/>
            </v:shape>
            <v:shape style="position:absolute;left:5048;top:6919;width:1794;height:2562" coordorigin="5049,6919" coordsize="1794,2562" path="m5945,6919l5049,8200,5945,9481,6842,8200,5945,6919xe" filled="true" fillcolor="#f8fbfa" stroked="false">
              <v:path arrowok="t"/>
              <v:fill type="solid"/>
            </v:shape>
            <v:shape style="position:absolute;left:5148;top:7061;width:1594;height:2277" coordorigin="5149,7062" coordsize="1594,2277" path="m5945,7062l5149,8200,5945,9339,6742,8200,5945,7062xe" filled="true" fillcolor="#f9fbfa" stroked="false">
              <v:path arrowok="t"/>
              <v:fill type="solid"/>
            </v:shape>
            <v:shape style="position:absolute;left:5248;top:7203;width:1395;height:1993" coordorigin="5248,7204" coordsize="1395,1993" path="m5945,7204l5248,8200,5945,9196,6643,8200,5945,7204xe" filled="true" fillcolor="#fafbfb" stroked="false">
              <v:path arrowok="t"/>
              <v:fill type="solid"/>
            </v:shape>
            <v:shape style="position:absolute;left:5347;top:7346;width:1196;height:1708" coordorigin="5348,7346" coordsize="1196,1708" path="m5945,7346l5348,8200,5945,9054,6543,8200,5945,7346xe" filled="true" fillcolor="#fafcfb" stroked="false">
              <v:path arrowok="t"/>
              <v:fill type="solid"/>
            </v:shape>
            <v:shape style="position:absolute;left:5447;top:7488;width:997;height:1424" coordorigin="5447,7489" coordsize="997,1424" path="m5945,7489l5447,8200,5945,8912,6443,8200,5945,7489xe" filled="true" fillcolor="#fbfcfc" stroked="false">
              <v:path arrowok="t"/>
              <v:fill type="solid"/>
            </v:shape>
            <v:shape style="position:absolute;left:5546;top:7630;width:797;height:1139" coordorigin="5547,7631" coordsize="797,1139" path="m5945,7631l5547,8200,5945,8769,6344,8200,5945,7631xe" filled="true" fillcolor="#fcfdfd" stroked="false">
              <v:path arrowok="t"/>
              <v:fill type="solid"/>
            </v:shape>
            <v:shape style="position:absolute;left:5646;top:7773;width:598;height:854" coordorigin="5647,7773" coordsize="598,854" path="m5945,7773l5647,8200,5945,8627,6244,8200,5945,7773xe" filled="true" fillcolor="#fdfdfd" stroked="false">
              <v:path arrowok="t"/>
              <v:fill type="solid"/>
            </v:shape>
            <v:shape style="position:absolute;left:5746;top:7915;width:399;height:570" coordorigin="5746,7915" coordsize="399,570" path="m5945,7915l5746,8200,5945,8485,6145,8200,5945,7915xe" filled="true" fillcolor="#fdfffd" stroked="false">
              <v:path arrowok="t"/>
              <v:fill type="solid"/>
            </v:shape>
            <v:shape style="position:absolute;left:5845;top:8057;width:200;height:285" coordorigin="5846,8058" coordsize="200,285" path="m5945,8058l5846,8200,5945,8342,6045,8200,5945,8058xe" filled="true" fillcolor="#ffffff" stroked="false">
              <v:path arrowok="t"/>
              <v:fill type="solid"/>
            </v:shape>
            <v:rect style="position:absolute;left:775;top:810;width:10340;height:14780" filled="false" stroked="true" strokeweight="1pt" strokecolor="#009391">
              <v:stroke dashstyle="solid"/>
            </v:rect>
            <v:shape style="position:absolute;left:1020;top:5313;width:9868;height:4047" coordorigin="1020,5313" coordsize="9868,4047" path="m5745,5313l1020,5313,1020,5900,1020,5913,1020,9360,5736,9360,5736,5913,5745,5913,5745,5313xm10888,6020l6180,6020,6180,6540,10888,6540,10888,6020xe" filled="true" fillcolor="#ffffff" stroked="false">
              <v:path arrowok="t"/>
              <v:fill type="solid"/>
            </v:shape>
            <v:shape style="position:absolute;left:1260;top:6180;width:3608;height:2668" type="#_x0000_t75" stroked="false">
              <v:imagedata r:id="rId28" o:title=""/>
            </v:shape>
            <v:shape style="position:absolute;left:1075;top:6132;width:3964;height:2909" coordorigin="1076,6133" coordsize="3964,2909" path="m1162,6133l1076,6133m1162,6687l1076,6687m1162,7286l1076,7286m1162,7860l1076,7860m1162,8446l1076,8446m1162,9041l1076,9041m1266,8930l1266,9030m1385,8977l1385,9030m1515,8977l1515,9030m1625,8977l1625,9030m1755,8977l1755,9030m5039,6154l4952,6154m5039,6708l4952,6708m5039,7307l4952,7307m5039,7881l4952,7881m5039,8467l4952,8467m5039,9041l4952,9041m1866,8930l1866,9030m1985,8977l1985,9030m2115,8977l2115,9030m2225,8977l2225,9030m2355,8977l2355,9030m2496,8930l2496,9030m2615,8977l2615,9030m2745,8977l2745,9030m2855,8977l2855,9030m2985,8977l2985,9030m3096,8930l3096,9030m3215,8977l3215,9030m3345,8977l3345,9030m3455,8977l3455,9030m3585,8977l3585,9030m3705,8930l3705,9030m3825,8977l3825,9030m3955,8977l3955,9030m4065,8977l4065,9030m4195,8977l4195,9030m4315,8930l4315,9030m4435,8977l4435,9030m4565,8977l4565,9030m4675,8977l4675,9030m4805,8977l4805,9030m1266,9041l4876,9041e" filled="false" stroked="true" strokeweight=".5pt" strokecolor="#000000">
              <v:path arrowok="t"/>
              <v:stroke dashstyle="solid"/>
            </v:shape>
            <v:shape style="position:absolute;left:1020;top:6540;width:9866;height:3580" coordorigin="1020,6540" coordsize="9866,3580" path="m5746,9360l1020,9360,1020,10120,5746,10120,5746,9360xm10886,6540l6180,6540,6180,10020,10886,10020,10886,6540xe" filled="true" fillcolor="#ffffff" stroked="false">
              <v:path arrowok="t"/>
              <v:fill type="solid"/>
            </v:shape>
            <v:shape style="position:absolute;left:6459;top:7898;width:3625;height:1593" coordorigin="6460,7898" coordsize="3625,1593" path="m6460,8463l7188,8058m7188,8058l7916,7898m7916,7898l8628,9116m8628,9116l9357,9288m9357,9288l10085,9491e" filled="false" stroked="true" strokeweight="1pt" strokecolor="#972140">
              <v:path arrowok="t"/>
              <v:stroke dashstyle="solid"/>
            </v:shape>
            <v:shape style="position:absolute;left:6459;top:7175;width:3625;height:2070" coordorigin="6460,7176" coordsize="3625,2070" path="m6460,8146l7188,7176m7188,7176l7916,8146m7916,8146l8628,8841m8628,8841l9357,8956m9357,8956l10085,9246e" filled="false" stroked="true" strokeweight="1pt" strokecolor="#008360">
              <v:path arrowok="t"/>
              <v:stroke dashstyle="solid"/>
            </v:shape>
            <v:shape style="position:absolute;left:6459;top:8260;width:3625;height:1173" coordorigin="6460,8261" coordsize="3625,1173" path="m6460,8753l7188,8261m7188,8261l7916,8291m7916,8291l8628,8998m8628,8998l9357,9246m9357,9246l10085,9433e" filled="false" stroked="true" strokeweight="1pt" strokecolor="#f6d200">
              <v:path arrowok="t"/>
              <v:stroke dashstyle="solid"/>
            </v:shape>
            <v:shape style="position:absolute;left:6459;top:8405;width:3625;height:913" coordorigin="6460,8406" coordsize="3625,913" path="m6460,8708l7188,8406m7188,8406l7916,8493m7916,8493l8628,9116m9357,9116l10085,9318e" filled="false" stroked="true" strokeweight="1pt" strokecolor="#006caa">
              <v:path arrowok="t"/>
              <v:stroke dashstyle="solid"/>
            </v:shape>
            <v:shape style="position:absolute;left:6459;top:7970;width:3625;height:1650" coordorigin="6460,7971" coordsize="3625,1650" path="m6460,7971l7188,8493m7188,8493l7916,9056m7916,9056l8628,9506m8628,9506l9357,9376m9357,9376l10085,9621e" filled="false" stroked="true" strokeweight="1pt" strokecolor="#a64991">
              <v:path arrowok="t"/>
              <v:stroke dashstyle="solid"/>
            </v:shape>
            <v:line style="position:absolute" from="6460,8781" to="7188,9028" stroked="true" strokeweight="1pt" strokecolor="#f6bd61">
              <v:stroke dashstyle="solid"/>
            </v:line>
            <v:line style="position:absolute" from="7178,9000" to="7926,9000" stroked="true" strokeweight="3.875pt" strokecolor="#f6bd61">
              <v:stroke dashstyle="solid"/>
            </v:line>
            <v:shape style="position:absolute;left:7915;top:8970;width:2169;height:520" coordorigin="7916,8971" coordsize="2169,520" path="m7916,8971l8628,9491m8628,9491l9357,9158m9357,9158l10085,9476e" filled="false" stroked="true" strokeweight="1pt" strokecolor="#f6bd61">
              <v:path arrowok="t"/>
              <v:stroke dashstyle="solid"/>
            </v:shape>
            <v:shape style="position:absolute;left:6459;top:7030;width:3625;height:2185" coordorigin="6460,7031" coordsize="3625,2185" path="m6460,8231l7188,7161m7188,7161l7916,7031m7916,7031l8628,8696m8628,8696l9357,8841m9357,8841l10085,9216e" filled="false" stroked="true" strokeweight="1pt" strokecolor="#0099d9">
              <v:path arrowok="t"/>
              <v:stroke dashstyle="solid"/>
            </v:shape>
            <v:shape style="position:absolute;left:6247;top:6806;width:4033;height:2901" coordorigin="6247,6806" coordsize="4033,2901" path="m6356,6806l6247,6806m6356,7120l6247,7120m6356,7780l6247,7780m6356,8414l6247,8414m6356,9059l6247,9059m6356,9693l6247,9693m6447,9653l6447,9707m7193,9653l7193,9707m7910,9653l7910,9707m8622,9653l8622,9707m6356,7443l6247,7443m6356,8083l6247,8083m6356,8723l6247,8723m6356,9373l6247,9373m10280,6807l10171,6807m10280,7122l10171,7122m10280,7781l10171,7781m10280,8415l10171,8415m10280,9060l10171,9060m10280,9694l10171,9694m10280,7444l10171,7444m10280,8084l10171,8084m10280,8724l10171,8724m10280,9374l10171,9374m9347,9653l9347,9707m10085,9653l10085,9707e" filled="false" stroked="true" strokeweight=".5pt" strokecolor="#000000">
              <v:path arrowok="t"/>
              <v:stroke dashstyle="solid"/>
            </v:shape>
            <v:line style="position:absolute" from="6447,9713" to="10085,9713" stroked="true" strokeweight=".5pt" strokecolor="#000000">
              <v:stroke dashstyle="solid"/>
            </v:line>
            <v:rect style="position:absolute;left:6172;top:10020;width:4720;height:400" filled="true" fillcolor="#ffffff" stroked="false">
              <v:fill type="solid"/>
            </v:rect>
            <v:shape style="position:absolute;left:1012;top:5300;width:9858;height:9568" coordorigin="1012,5300" coordsize="9858,9568" path="m1040,5300l5740,5300m1040,10120l5740,10120m6160,10420l10860,10420m6170,6010l10870,6010m1012,14867l10860,14867e" filled="false" stroked="true" strokeweight=".125pt" strokecolor="#000000">
              <v:path arrowok="t"/>
              <v:stroke dashstyle="solid"/>
            </v:shape>
            <v:shape style="position:absolute;left:1040;top:5294;width:2847;height:462" type="#_x0000_t202" filled="false" stroked="false">
              <v:textbox inset="0,0,0,0">
                <w:txbxContent>
                  <w:p>
                    <w:pPr>
                      <w:spacing w:line="221" w:lineRule="exact" w:before="0"/>
                      <w:ind w:left="0" w:right="0" w:firstLine="0"/>
                      <w:jc w:val="left"/>
                      <w:rPr>
                        <w:b/>
                        <w:sz w:val="20"/>
                      </w:rPr>
                    </w:pPr>
                    <w:r>
                      <w:rPr>
                        <w:b/>
                        <w:color w:val="0092C7"/>
                        <w:sz w:val="20"/>
                      </w:rPr>
                      <w:t>Chart A</w:t>
                    </w:r>
                  </w:p>
                  <w:p>
                    <w:pPr>
                      <w:spacing w:before="10"/>
                      <w:ind w:left="0" w:right="0" w:firstLine="0"/>
                      <w:jc w:val="left"/>
                      <w:rPr>
                        <w:b/>
                        <w:sz w:val="20"/>
                      </w:rPr>
                    </w:pPr>
                    <w:r>
                      <w:rPr>
                        <w:b/>
                        <w:color w:val="0092C7"/>
                        <w:sz w:val="20"/>
                      </w:rPr>
                      <w:t>Narrow money velocity in the G7</w:t>
                    </w:r>
                  </w:p>
                </w:txbxContent>
              </v:textbox>
              <w10:wrap type="none"/>
            </v:shape>
            <v:shape style="position:absolute;left:4490;top:5962;width:568;height:133" type="#_x0000_t202" filled="false" stroked="false">
              <v:textbox inset="0,0,0,0">
                <w:txbxContent>
                  <w:p>
                    <w:pPr>
                      <w:spacing w:line="133" w:lineRule="exact" w:before="0"/>
                      <w:ind w:left="0" w:right="0" w:firstLine="0"/>
                      <w:jc w:val="left"/>
                      <w:rPr>
                        <w:sz w:val="12"/>
                      </w:rPr>
                    </w:pPr>
                    <w:r>
                      <w:rPr>
                        <w:sz w:val="12"/>
                      </w:rPr>
                      <w:t>1970 = 100</w:t>
                    </w:r>
                  </w:p>
                </w:txbxContent>
              </v:textbox>
              <w10:wrap type="none"/>
            </v:shape>
            <v:shape style="position:absolute;left:5115;top:6068;width:200;height:133" type="#_x0000_t202" filled="false" stroked="false">
              <v:textbox inset="0,0,0,0">
                <w:txbxContent>
                  <w:p>
                    <w:pPr>
                      <w:spacing w:line="133" w:lineRule="exact" w:before="0"/>
                      <w:ind w:left="0" w:right="0" w:firstLine="0"/>
                      <w:jc w:val="left"/>
                      <w:rPr>
                        <w:sz w:val="12"/>
                      </w:rPr>
                    </w:pPr>
                    <w:r>
                      <w:rPr>
                        <w:sz w:val="12"/>
                      </w:rPr>
                      <w:t>300</w:t>
                    </w:r>
                  </w:p>
                </w:txbxContent>
              </v:textbox>
              <w10:wrap type="none"/>
            </v:shape>
            <v:shape style="position:absolute;left:3193;top:6643;width:2123;height:1398" type="#_x0000_t202" filled="false" stroked="false">
              <v:textbox inset="0,0,0,0">
                <w:txbxContent>
                  <w:p>
                    <w:pPr>
                      <w:tabs>
                        <w:tab w:pos="2102" w:val="right" w:leader="none"/>
                      </w:tabs>
                      <w:spacing w:line="150" w:lineRule="exact" w:before="0"/>
                      <w:ind w:left="5" w:right="0" w:firstLine="0"/>
                      <w:jc w:val="left"/>
                      <w:rPr>
                        <w:sz w:val="12"/>
                      </w:rPr>
                    </w:pPr>
                    <w:r>
                      <w:rPr>
                        <w:sz w:val="12"/>
                      </w:rPr>
                      <w:t>France</w:t>
                      <w:tab/>
                    </w:r>
                    <w:r>
                      <w:rPr>
                        <w:position w:val="2"/>
                        <w:sz w:val="12"/>
                      </w:rPr>
                      <w:t>250</w:t>
                    </w:r>
                  </w:p>
                  <w:p>
                    <w:pPr>
                      <w:spacing w:before="122"/>
                      <w:ind w:left="575" w:right="0" w:firstLine="0"/>
                      <w:jc w:val="left"/>
                      <w:rPr>
                        <w:sz w:val="12"/>
                      </w:rPr>
                    </w:pPr>
                    <w:r>
                      <w:rPr>
                        <w:sz w:val="12"/>
                      </w:rPr>
                      <w:t>United Kingdom</w:t>
                    </w:r>
                  </w:p>
                  <w:p>
                    <w:pPr>
                      <w:tabs>
                        <w:tab w:pos="2102" w:val="right" w:leader="none"/>
                      </w:tabs>
                      <w:spacing w:before="142"/>
                      <w:ind w:left="575" w:right="0" w:firstLine="0"/>
                      <w:jc w:val="left"/>
                      <w:rPr>
                        <w:sz w:val="12"/>
                      </w:rPr>
                    </w:pPr>
                    <w:r>
                      <w:rPr>
                        <w:sz w:val="12"/>
                      </w:rPr>
                      <w:t>United States (a)</w:t>
                      <w:tab/>
                    </w:r>
                    <w:r>
                      <w:rPr>
                        <w:position w:val="-2"/>
                        <w:sz w:val="12"/>
                      </w:rPr>
                      <w:t>200</w:t>
                    </w:r>
                  </w:p>
                  <w:p>
                    <w:pPr>
                      <w:spacing w:line="240" w:lineRule="auto" w:before="0"/>
                      <w:rPr>
                        <w:sz w:val="16"/>
                      </w:rPr>
                    </w:pPr>
                  </w:p>
                  <w:p>
                    <w:pPr>
                      <w:spacing w:line="240" w:lineRule="auto" w:before="6"/>
                      <w:rPr>
                        <w:sz w:val="13"/>
                      </w:rPr>
                    </w:pPr>
                  </w:p>
                  <w:p>
                    <w:pPr>
                      <w:spacing w:line="118" w:lineRule="exact" w:before="0"/>
                      <w:ind w:left="1209" w:right="0" w:firstLine="0"/>
                      <w:jc w:val="left"/>
                      <w:rPr>
                        <w:sz w:val="12"/>
                      </w:rPr>
                    </w:pPr>
                    <w:r>
                      <w:rPr>
                        <w:sz w:val="12"/>
                      </w:rPr>
                      <w:t>Italy</w:t>
                    </w:r>
                  </w:p>
                  <w:p>
                    <w:pPr>
                      <w:spacing w:line="100" w:lineRule="exact" w:before="0"/>
                      <w:ind w:left="1922" w:right="0" w:firstLine="0"/>
                      <w:jc w:val="left"/>
                      <w:rPr>
                        <w:sz w:val="12"/>
                      </w:rPr>
                    </w:pPr>
                    <w:r>
                      <w:rPr>
                        <w:sz w:val="12"/>
                      </w:rPr>
                      <w:t>150</w:t>
                    </w:r>
                  </w:p>
                  <w:p>
                    <w:pPr>
                      <w:spacing w:line="120" w:lineRule="exact" w:before="0"/>
                      <w:ind w:left="0" w:right="0" w:firstLine="0"/>
                      <w:jc w:val="left"/>
                      <w:rPr>
                        <w:sz w:val="12"/>
                      </w:rPr>
                    </w:pPr>
                    <w:r>
                      <w:rPr>
                        <w:sz w:val="12"/>
                      </w:rPr>
                      <w:t>Canada</w:t>
                    </w:r>
                  </w:p>
                </w:txbxContent>
              </v:textbox>
              <w10:wrap type="none"/>
            </v:shape>
            <v:shape style="position:absolute;left:4273;top:8432;width:467;height:133" type="#_x0000_t202" filled="false" stroked="false">
              <v:textbox inset="0,0,0,0">
                <w:txbxContent>
                  <w:p>
                    <w:pPr>
                      <w:spacing w:line="133" w:lineRule="exact" w:before="0"/>
                      <w:ind w:left="0" w:right="0" w:firstLine="0"/>
                      <w:jc w:val="left"/>
                      <w:rPr>
                        <w:sz w:val="12"/>
                      </w:rPr>
                    </w:pPr>
                    <w:r>
                      <w:rPr>
                        <w:sz w:val="12"/>
                      </w:rPr>
                      <w:t>Germany</w:t>
                    </w:r>
                  </w:p>
                </w:txbxContent>
              </v:textbox>
              <w10:wrap type="none"/>
            </v:shape>
            <v:shape style="position:absolute;left:5115;top:8393;width:200;height:133" type="#_x0000_t202" filled="false" stroked="false">
              <v:textbox inset="0,0,0,0">
                <w:txbxContent>
                  <w:p>
                    <w:pPr>
                      <w:spacing w:line="133" w:lineRule="exact" w:before="0"/>
                      <w:ind w:left="0" w:right="0" w:firstLine="0"/>
                      <w:jc w:val="left"/>
                      <w:rPr>
                        <w:sz w:val="12"/>
                      </w:rPr>
                    </w:pPr>
                    <w:r>
                      <w:rPr>
                        <w:sz w:val="12"/>
                      </w:rPr>
                      <w:t>100</w:t>
                    </w:r>
                  </w:p>
                </w:txbxContent>
              </v:textbox>
              <w10:wrap type="none"/>
            </v:shape>
            <v:shape style="position:absolute;left:3935;top:8715;width:294;height:133" type="#_x0000_t202" filled="false" stroked="false">
              <v:textbox inset="0,0,0,0">
                <w:txbxContent>
                  <w:p>
                    <w:pPr>
                      <w:spacing w:line="133" w:lineRule="exact" w:before="0"/>
                      <w:ind w:left="0" w:right="0" w:firstLine="0"/>
                      <w:jc w:val="left"/>
                      <w:rPr>
                        <w:sz w:val="12"/>
                      </w:rPr>
                    </w:pPr>
                    <w:r>
                      <w:rPr>
                        <w:sz w:val="12"/>
                      </w:rPr>
                      <w:t>Japan</w:t>
                    </w:r>
                  </w:p>
                </w:txbxContent>
              </v:textbox>
              <w10:wrap type="none"/>
            </v:shape>
            <v:shape style="position:absolute;left:5175;top:8968;width:140;height:133" type="#_x0000_t202" filled="false" stroked="false">
              <v:textbox inset="0,0,0,0">
                <w:txbxContent>
                  <w:p>
                    <w:pPr>
                      <w:spacing w:line="133" w:lineRule="exact" w:before="0"/>
                      <w:ind w:left="0" w:right="0" w:firstLine="0"/>
                      <w:jc w:val="left"/>
                      <w:rPr>
                        <w:sz w:val="12"/>
                      </w:rPr>
                    </w:pPr>
                    <w:r>
                      <w:rPr>
                        <w:sz w:val="12"/>
                      </w:rPr>
                      <w:t>50</w:t>
                    </w:r>
                  </w:p>
                </w:txbxContent>
              </v:textbox>
              <w10:wrap type="none"/>
            </v:shape>
            <v:shape style="position:absolute;left:1193;top:9103;width:743;height:133" type="#_x0000_t202" filled="false" stroked="false">
              <v:textbox inset="0,0,0,0">
                <w:txbxContent>
                  <w:p>
                    <w:pPr>
                      <w:tabs>
                        <w:tab w:pos="602" w:val="left" w:leader="none"/>
                      </w:tabs>
                      <w:spacing w:line="133" w:lineRule="exact" w:before="0"/>
                      <w:ind w:left="0" w:right="0" w:firstLine="0"/>
                      <w:jc w:val="left"/>
                      <w:rPr>
                        <w:sz w:val="12"/>
                      </w:rPr>
                    </w:pPr>
                    <w:r>
                      <w:rPr>
                        <w:sz w:val="12"/>
                      </w:rPr>
                      <w:t>1970</w:t>
                      <w:tab/>
                      <w:t>75</w:t>
                    </w:r>
                  </w:p>
                </w:txbxContent>
              </v:textbox>
              <w10:wrap type="none"/>
            </v:shape>
            <v:shape style="position:absolute;left:2410;top:9103;width:140;height:133" type="#_x0000_t202" filled="false" stroked="false">
              <v:textbox inset="0,0,0,0">
                <w:txbxContent>
                  <w:p>
                    <w:pPr>
                      <w:spacing w:line="133" w:lineRule="exact" w:before="0"/>
                      <w:ind w:left="0" w:right="0" w:firstLine="0"/>
                      <w:jc w:val="left"/>
                      <w:rPr>
                        <w:sz w:val="12"/>
                      </w:rPr>
                    </w:pPr>
                    <w:r>
                      <w:rPr>
                        <w:sz w:val="12"/>
                      </w:rPr>
                      <w:t>80</w:t>
                    </w:r>
                  </w:p>
                </w:txbxContent>
              </v:textbox>
              <w10:wrap type="none"/>
            </v:shape>
            <v:shape style="position:absolute;left:3013;top:9103;width:140;height:133" type="#_x0000_t202" filled="false" stroked="false">
              <v:textbox inset="0,0,0,0">
                <w:txbxContent>
                  <w:p>
                    <w:pPr>
                      <w:spacing w:line="133" w:lineRule="exact" w:before="0"/>
                      <w:ind w:left="0" w:right="0" w:firstLine="0"/>
                      <w:jc w:val="left"/>
                      <w:rPr>
                        <w:sz w:val="12"/>
                      </w:rPr>
                    </w:pPr>
                    <w:r>
                      <w:rPr>
                        <w:sz w:val="12"/>
                      </w:rPr>
                      <w:t>85</w:t>
                    </w:r>
                  </w:p>
                </w:txbxContent>
              </v:textbox>
              <w10:wrap type="none"/>
            </v:shape>
            <v:shape style="position:absolute;left:3628;top:9103;width:140;height:133" type="#_x0000_t202" filled="false" stroked="false">
              <v:textbox inset="0,0,0,0">
                <w:txbxContent>
                  <w:p>
                    <w:pPr>
                      <w:spacing w:line="133" w:lineRule="exact" w:before="0"/>
                      <w:ind w:left="0" w:right="0" w:firstLine="0"/>
                      <w:jc w:val="left"/>
                      <w:rPr>
                        <w:sz w:val="12"/>
                      </w:rPr>
                    </w:pPr>
                    <w:r>
                      <w:rPr>
                        <w:sz w:val="12"/>
                      </w:rPr>
                      <w:t>90</w:t>
                    </w:r>
                  </w:p>
                </w:txbxContent>
              </v:textbox>
              <w10:wrap type="none"/>
            </v:shape>
            <v:shape style="position:absolute;left:4230;top:9103;width:140;height:133" type="#_x0000_t202" filled="false" stroked="false">
              <v:textbox inset="0,0,0,0">
                <w:txbxContent>
                  <w:p>
                    <w:pPr>
                      <w:spacing w:line="133" w:lineRule="exact" w:before="0"/>
                      <w:ind w:left="0" w:right="0" w:firstLine="0"/>
                      <w:jc w:val="left"/>
                      <w:rPr>
                        <w:sz w:val="12"/>
                      </w:rPr>
                    </w:pPr>
                    <w:r>
                      <w:rPr>
                        <w:sz w:val="12"/>
                      </w:rPr>
                      <w:t>95</w:t>
                    </w:r>
                  </w:p>
                </w:txbxContent>
              </v:textbox>
              <w10:wrap type="none"/>
            </v:shape>
            <v:shape style="position:absolute;left:1040;top:9356;width:4012;height:373" type="#_x0000_t202" filled="false" stroked="false">
              <v:textbox inset="0,0,0,0">
                <w:txbxContent>
                  <w:p>
                    <w:pPr>
                      <w:spacing w:line="133" w:lineRule="exact" w:before="0"/>
                      <w:ind w:left="0" w:right="0" w:firstLine="0"/>
                      <w:jc w:val="left"/>
                      <w:rPr>
                        <w:sz w:val="12"/>
                      </w:rPr>
                    </w:pPr>
                    <w:r>
                      <w:rPr>
                        <w:sz w:val="12"/>
                      </w:rPr>
                      <w:t>Sources: Bank of England, BIS, Federal Reserve Bank of St Louis, IMF and ONS.</w:t>
                    </w:r>
                  </w:p>
                  <w:p>
                    <w:pPr>
                      <w:spacing w:before="102"/>
                      <w:ind w:left="0" w:right="0" w:firstLine="0"/>
                      <w:jc w:val="left"/>
                      <w:rPr>
                        <w:sz w:val="12"/>
                      </w:rPr>
                    </w:pPr>
                    <w:r>
                      <w:rPr>
                        <w:sz w:val="12"/>
                      </w:rPr>
                      <w:t>(a) Based on an estimate of currency held by US residents.</w:t>
                    </w:r>
                  </w:p>
                </w:txbxContent>
              </v:textbox>
              <w10:wrap type="none"/>
            </v:shape>
            <v:shape style="position:absolute;left:6200;top:6001;width:3686;height:462" type="#_x0000_t202" filled="false" stroked="false">
              <v:textbox inset="0,0,0,0">
                <w:txbxContent>
                  <w:p>
                    <w:pPr>
                      <w:spacing w:line="221" w:lineRule="exact" w:before="0"/>
                      <w:ind w:left="0" w:right="0" w:firstLine="0"/>
                      <w:jc w:val="left"/>
                      <w:rPr>
                        <w:b/>
                        <w:sz w:val="20"/>
                      </w:rPr>
                    </w:pPr>
                    <w:r>
                      <w:rPr>
                        <w:b/>
                        <w:color w:val="0092C7"/>
                        <w:sz w:val="20"/>
                      </w:rPr>
                      <w:t>Chart B</w:t>
                    </w:r>
                  </w:p>
                  <w:p>
                    <w:pPr>
                      <w:spacing w:before="10"/>
                      <w:ind w:left="0" w:right="0" w:firstLine="0"/>
                      <w:jc w:val="left"/>
                      <w:rPr>
                        <w:b/>
                        <w:sz w:val="20"/>
                      </w:rPr>
                    </w:pPr>
                    <w:r>
                      <w:rPr>
                        <w:b/>
                        <w:color w:val="0092C7"/>
                        <w:sz w:val="20"/>
                      </w:rPr>
                      <w:t>Period average annual inflation</w:t>
                    </w:r>
                    <w:r>
                      <w:rPr>
                        <w:position w:val="4"/>
                        <w:sz w:val="12"/>
                      </w:rPr>
                      <w:t>(a) </w:t>
                    </w:r>
                    <w:r>
                      <w:rPr>
                        <w:b/>
                        <w:color w:val="0092C7"/>
                        <w:sz w:val="20"/>
                      </w:rPr>
                      <w:t>in the G7</w:t>
                    </w:r>
                  </w:p>
                </w:txbxContent>
              </v:textbox>
              <w10:wrap type="none"/>
            </v:shape>
            <v:shape style="position:absolute;left:9879;top:6596;width:410;height:133" type="#_x0000_t202" filled="false" stroked="false">
              <v:textbox inset="0,0,0,0">
                <w:txbxContent>
                  <w:p>
                    <w:pPr>
                      <w:spacing w:line="133" w:lineRule="exact" w:before="0"/>
                      <w:ind w:left="0" w:right="0" w:firstLine="0"/>
                      <w:jc w:val="left"/>
                      <w:rPr>
                        <w:sz w:val="12"/>
                      </w:rPr>
                    </w:pPr>
                    <w:r>
                      <w:rPr>
                        <w:sz w:val="12"/>
                      </w:rPr>
                      <w:t>Per cent</w:t>
                    </w:r>
                  </w:p>
                </w:txbxContent>
              </v:textbox>
              <w10:wrap type="none"/>
            </v:shape>
            <v:shape style="position:absolute;left:10387;top:6721;width:140;height:133" type="#_x0000_t202" filled="false" stroked="false">
              <v:textbox inset="0,0,0,0">
                <w:txbxContent>
                  <w:p>
                    <w:pPr>
                      <w:spacing w:line="133" w:lineRule="exact" w:before="0"/>
                      <w:ind w:left="0" w:right="0" w:firstLine="0"/>
                      <w:jc w:val="left"/>
                      <w:rPr>
                        <w:sz w:val="12"/>
                      </w:rPr>
                    </w:pPr>
                    <w:r>
                      <w:rPr>
                        <w:sz w:val="12"/>
                      </w:rPr>
                      <w:t>18</w:t>
                    </w:r>
                  </w:p>
                </w:txbxContent>
              </v:textbox>
              <w10:wrap type="none"/>
            </v:shape>
            <v:shape style="position:absolute;left:8044;top:7026;width:240;height:133" type="#_x0000_t202" filled="false" stroked="false">
              <v:textbox inset="0,0,0,0">
                <w:txbxContent>
                  <w:p>
                    <w:pPr>
                      <w:spacing w:line="133" w:lineRule="exact" w:before="0"/>
                      <w:ind w:left="0" w:right="0" w:firstLine="0"/>
                      <w:jc w:val="left"/>
                      <w:rPr>
                        <w:sz w:val="12"/>
                      </w:rPr>
                    </w:pPr>
                    <w:r>
                      <w:rPr>
                        <w:sz w:val="12"/>
                      </w:rPr>
                      <w:t>Italy</w:t>
                    </w:r>
                  </w:p>
                </w:txbxContent>
              </v:textbox>
              <w10:wrap type="none"/>
            </v:shape>
            <v:shape style="position:absolute;left:10387;top:7038;width:140;height:451" type="#_x0000_t202" filled="false" stroked="false">
              <v:textbox inset="0,0,0,0">
                <w:txbxContent>
                  <w:p>
                    <w:pPr>
                      <w:spacing w:line="133" w:lineRule="exact" w:before="0"/>
                      <w:ind w:left="0" w:right="0" w:firstLine="0"/>
                      <w:jc w:val="left"/>
                      <w:rPr>
                        <w:sz w:val="12"/>
                      </w:rPr>
                    </w:pPr>
                    <w:r>
                      <w:rPr>
                        <w:sz w:val="12"/>
                      </w:rPr>
                      <w:t>16</w:t>
                    </w:r>
                  </w:p>
                  <w:p>
                    <w:pPr>
                      <w:spacing w:line="240" w:lineRule="auto" w:before="7"/>
                      <w:rPr>
                        <w:sz w:val="15"/>
                      </w:rPr>
                    </w:pPr>
                  </w:p>
                  <w:p>
                    <w:pPr>
                      <w:spacing w:before="0"/>
                      <w:ind w:left="0" w:right="0" w:firstLine="0"/>
                      <w:jc w:val="left"/>
                      <w:rPr>
                        <w:sz w:val="12"/>
                      </w:rPr>
                    </w:pPr>
                    <w:r>
                      <w:rPr>
                        <w:sz w:val="12"/>
                      </w:rPr>
                      <w:t>14</w:t>
                    </w:r>
                  </w:p>
                </w:txbxContent>
              </v:textbox>
              <w10:wrap type="none"/>
            </v:shape>
            <v:shape style="position:absolute;left:6994;top:7556;width:3534;height:278" type="#_x0000_t202" filled="false" stroked="false">
              <v:textbox inset="0,0,0,0">
                <w:txbxContent>
                  <w:p>
                    <w:pPr>
                      <w:spacing w:line="131" w:lineRule="exact" w:before="0"/>
                      <w:ind w:left="0" w:right="0" w:firstLine="0"/>
                      <w:jc w:val="left"/>
                      <w:rPr>
                        <w:sz w:val="12"/>
                      </w:rPr>
                    </w:pPr>
                    <w:r>
                      <w:rPr>
                        <w:sz w:val="12"/>
                      </w:rPr>
                      <w:t>United</w:t>
                    </w:r>
                  </w:p>
                  <w:p>
                    <w:pPr>
                      <w:tabs>
                        <w:tab w:pos="3513" w:val="right" w:leader="none"/>
                      </w:tabs>
                      <w:spacing w:line="146" w:lineRule="exact" w:before="0"/>
                      <w:ind w:left="30" w:right="0" w:firstLine="0"/>
                      <w:jc w:val="left"/>
                      <w:rPr>
                        <w:sz w:val="12"/>
                      </w:rPr>
                    </w:pPr>
                    <w:r>
                      <w:rPr>
                        <w:sz w:val="12"/>
                      </w:rPr>
                      <w:t>Kingdom</w:t>
                      <w:tab/>
                    </w:r>
                    <w:r>
                      <w:rPr>
                        <w:position w:val="1"/>
                        <w:sz w:val="12"/>
                      </w:rPr>
                      <w:t>12</w:t>
                    </w:r>
                  </w:p>
                </w:txbxContent>
              </v:textbox>
              <w10:wrap type="none"/>
            </v:shape>
            <v:shape style="position:absolute;left:7325;top:8048;width:493;height:378" type="#_x0000_t202" filled="false" stroked="false">
              <v:textbox inset="0,0,0,0">
                <w:txbxContent>
                  <w:p>
                    <w:pPr>
                      <w:spacing w:line="133" w:lineRule="exact" w:before="0"/>
                      <w:ind w:left="0" w:right="0" w:firstLine="0"/>
                      <w:jc w:val="left"/>
                      <w:rPr>
                        <w:sz w:val="12"/>
                      </w:rPr>
                    </w:pPr>
                    <w:r>
                      <w:rPr>
                        <w:sz w:val="12"/>
                      </w:rPr>
                      <w:t>France</w:t>
                    </w:r>
                  </w:p>
                  <w:p>
                    <w:pPr>
                      <w:spacing w:before="107"/>
                      <w:ind w:left="112" w:right="0" w:firstLine="0"/>
                      <w:jc w:val="left"/>
                      <w:rPr>
                        <w:sz w:val="12"/>
                      </w:rPr>
                    </w:pPr>
                    <w:r>
                      <w:rPr>
                        <w:sz w:val="12"/>
                      </w:rPr>
                      <w:t>Canada</w:t>
                    </w:r>
                  </w:p>
                </w:txbxContent>
              </v:textbox>
              <w10:wrap type="none"/>
            </v:shape>
            <v:shape style="position:absolute;left:10387;top:8008;width:140;height:451" type="#_x0000_t202" filled="false" stroked="false">
              <v:textbox inset="0,0,0,0">
                <w:txbxContent>
                  <w:p>
                    <w:pPr>
                      <w:spacing w:line="133" w:lineRule="exact" w:before="0"/>
                      <w:ind w:left="0" w:right="0" w:firstLine="0"/>
                      <w:jc w:val="left"/>
                      <w:rPr>
                        <w:sz w:val="12"/>
                      </w:rPr>
                    </w:pPr>
                    <w:r>
                      <w:rPr>
                        <w:sz w:val="12"/>
                      </w:rPr>
                      <w:t>10</w:t>
                    </w:r>
                  </w:p>
                  <w:p>
                    <w:pPr>
                      <w:spacing w:line="240" w:lineRule="auto" w:before="7"/>
                      <w:rPr>
                        <w:sz w:val="15"/>
                      </w:rPr>
                    </w:pPr>
                  </w:p>
                  <w:p>
                    <w:pPr>
                      <w:spacing w:before="0"/>
                      <w:ind w:left="60" w:right="0" w:firstLine="0"/>
                      <w:jc w:val="left"/>
                      <w:rPr>
                        <w:sz w:val="12"/>
                      </w:rPr>
                    </w:pPr>
                    <w:r>
                      <w:rPr>
                        <w:sz w:val="12"/>
                      </w:rPr>
                      <w:t>8</w:t>
                    </w:r>
                  </w:p>
                </w:txbxContent>
              </v:textbox>
              <w10:wrap type="none"/>
            </v:shape>
            <v:shape style="position:absolute;left:7616;top:8553;width:2912;height:248" type="#_x0000_t202" filled="false" stroked="false">
              <v:textbox inset="0,0,0,0">
                <w:txbxContent>
                  <w:p>
                    <w:pPr>
                      <w:spacing w:line="111" w:lineRule="exact" w:before="0"/>
                      <w:ind w:left="0" w:right="0" w:firstLine="0"/>
                      <w:jc w:val="left"/>
                      <w:rPr>
                        <w:sz w:val="12"/>
                      </w:rPr>
                    </w:pPr>
                    <w:r>
                      <w:rPr>
                        <w:sz w:val="12"/>
                      </w:rPr>
                      <w:t>United</w:t>
                    </w:r>
                  </w:p>
                  <w:p>
                    <w:pPr>
                      <w:tabs>
                        <w:tab w:pos="2891" w:val="right" w:leader="none"/>
                      </w:tabs>
                      <w:spacing w:line="136" w:lineRule="exact" w:before="0"/>
                      <w:ind w:left="75" w:right="0" w:firstLine="0"/>
                      <w:jc w:val="left"/>
                      <w:rPr>
                        <w:sz w:val="12"/>
                      </w:rPr>
                    </w:pPr>
                    <w:r>
                      <w:rPr>
                        <w:sz w:val="12"/>
                      </w:rPr>
                      <w:t>States</w:t>
                      <w:tab/>
                    </w:r>
                    <w:r>
                      <w:rPr>
                        <w:position w:val="2"/>
                        <w:sz w:val="12"/>
                      </w:rPr>
                      <w:t>6</w:t>
                    </w:r>
                  </w:p>
                </w:txbxContent>
              </v:textbox>
              <w10:wrap type="none"/>
            </v:shape>
            <v:shape style="position:absolute;left:6750;top:9038;width:467;height:133" type="#_x0000_t202" filled="false" stroked="false">
              <v:textbox inset="0,0,0,0">
                <w:txbxContent>
                  <w:p>
                    <w:pPr>
                      <w:spacing w:line="133" w:lineRule="exact" w:before="0"/>
                      <w:ind w:left="0" w:right="0" w:firstLine="0"/>
                      <w:jc w:val="left"/>
                      <w:rPr>
                        <w:sz w:val="12"/>
                      </w:rPr>
                    </w:pPr>
                    <w:r>
                      <w:rPr>
                        <w:sz w:val="12"/>
                      </w:rPr>
                      <w:t>Germany</w:t>
                    </w:r>
                  </w:p>
                </w:txbxContent>
              </v:textbox>
              <w10:wrap type="none"/>
            </v:shape>
            <v:shape style="position:absolute;left:8618;top:8978;width:769;height:133" type="#_x0000_t202" filled="false" stroked="false">
              <v:textbox inset="0,0,0,0">
                <w:txbxContent>
                  <w:p>
                    <w:pPr>
                      <w:tabs>
                        <w:tab w:pos="748" w:val="left" w:leader="none"/>
                      </w:tabs>
                      <w:spacing w:line="133" w:lineRule="exact" w:before="0"/>
                      <w:ind w:left="0" w:right="0" w:firstLine="0"/>
                      <w:jc w:val="left"/>
                      <w:rPr>
                        <w:sz w:val="12"/>
                      </w:rPr>
                    </w:pPr>
                    <w:r>
                      <w:rPr>
                        <w:sz w:val="12"/>
                        <w:u w:val="thick" w:color="006CAA"/>
                      </w:rPr>
                      <w:t> </w:t>
                      <w:tab/>
                    </w:r>
                  </w:p>
                </w:txbxContent>
              </v:textbox>
              <w10:wrap type="none"/>
            </v:shape>
            <v:shape style="position:absolute;left:10447;top:8978;width:80;height:451" type="#_x0000_t202" filled="false" stroked="false">
              <v:textbox inset="0,0,0,0">
                <w:txbxContent>
                  <w:p>
                    <w:pPr>
                      <w:spacing w:line="133" w:lineRule="exact" w:before="0"/>
                      <w:ind w:left="0" w:right="0" w:firstLine="0"/>
                      <w:jc w:val="left"/>
                      <w:rPr>
                        <w:sz w:val="12"/>
                      </w:rPr>
                    </w:pPr>
                    <w:r>
                      <w:rPr>
                        <w:sz w:val="12"/>
                      </w:rPr>
                      <w:t>4</w:t>
                    </w:r>
                  </w:p>
                  <w:p>
                    <w:pPr>
                      <w:spacing w:line="240" w:lineRule="auto" w:before="7"/>
                      <w:rPr>
                        <w:sz w:val="15"/>
                      </w:rPr>
                    </w:pPr>
                  </w:p>
                  <w:p>
                    <w:pPr>
                      <w:spacing w:before="0"/>
                      <w:ind w:left="0" w:right="0" w:firstLine="0"/>
                      <w:jc w:val="left"/>
                      <w:rPr>
                        <w:sz w:val="12"/>
                      </w:rPr>
                    </w:pPr>
                    <w:r>
                      <w:rPr>
                        <w:sz w:val="12"/>
                      </w:rPr>
                      <w:t>2</w:t>
                    </w:r>
                  </w:p>
                </w:txbxContent>
              </v:textbox>
              <w10:wrap type="none"/>
            </v:shape>
            <v:shape style="position:absolute;left:9097;top:9443;width:294;height:133" type="#_x0000_t202" filled="false" stroked="false">
              <v:textbox inset="0,0,0,0">
                <w:txbxContent>
                  <w:p>
                    <w:pPr>
                      <w:spacing w:line="133" w:lineRule="exact" w:before="0"/>
                      <w:ind w:left="0" w:right="0" w:firstLine="0"/>
                      <w:jc w:val="left"/>
                      <w:rPr>
                        <w:sz w:val="12"/>
                      </w:rPr>
                    </w:pPr>
                    <w:r>
                      <w:rPr>
                        <w:sz w:val="12"/>
                      </w:rPr>
                      <w:t>Japan</w:t>
                    </w:r>
                  </w:p>
                </w:txbxContent>
              </v:textbox>
              <w10:wrap type="none"/>
            </v:shape>
            <v:shape style="position:absolute;left:10447;top:9616;width:80;height:133" type="#_x0000_t202" filled="false" stroked="false">
              <v:textbox inset="0,0,0,0">
                <w:txbxContent>
                  <w:p>
                    <w:pPr>
                      <w:spacing w:line="133" w:lineRule="exact" w:before="0"/>
                      <w:ind w:left="0" w:right="0" w:firstLine="0"/>
                      <w:jc w:val="left"/>
                      <w:rPr>
                        <w:sz w:val="12"/>
                      </w:rPr>
                    </w:pPr>
                    <w:r>
                      <w:rPr>
                        <w:sz w:val="12"/>
                      </w:rPr>
                      <w:t>0</w:t>
                    </w:r>
                  </w:p>
                </w:txbxContent>
              </v:textbox>
              <w10:wrap type="none"/>
            </v:shape>
            <v:shape style="position:absolute;left:6187;top:9803;width:441;height:133" type="#_x0000_t202" filled="false" stroked="false">
              <v:textbox inset="0,0,0,0">
                <w:txbxContent>
                  <w:p>
                    <w:pPr>
                      <w:spacing w:line="133" w:lineRule="exact" w:before="0"/>
                      <w:ind w:left="0" w:right="0" w:firstLine="0"/>
                      <w:jc w:val="left"/>
                      <w:rPr>
                        <w:sz w:val="12"/>
                      </w:rPr>
                    </w:pPr>
                    <w:r>
                      <w:rPr>
                        <w:sz w:val="12"/>
                      </w:rPr>
                      <w:t>1970–74</w:t>
                    </w:r>
                  </w:p>
                </w:txbxContent>
              </v:textbox>
              <w10:wrap type="none"/>
            </v:shape>
            <v:shape style="position:absolute;left:7031;top:9803;width:321;height:133" type="#_x0000_t202" filled="false" stroked="false">
              <v:textbox inset="0,0,0,0">
                <w:txbxContent>
                  <w:p>
                    <w:pPr>
                      <w:spacing w:line="133" w:lineRule="exact" w:before="0"/>
                      <w:ind w:left="0" w:right="0" w:firstLine="0"/>
                      <w:jc w:val="left"/>
                      <w:rPr>
                        <w:sz w:val="12"/>
                      </w:rPr>
                    </w:pPr>
                    <w:r>
                      <w:rPr>
                        <w:sz w:val="12"/>
                      </w:rPr>
                      <w:t>75–79</w:t>
                    </w:r>
                  </w:p>
                </w:txbxContent>
              </v:textbox>
              <w10:wrap type="none"/>
            </v:shape>
            <v:shape style="position:absolute;left:7747;top:9803;width:321;height:133" type="#_x0000_t202" filled="false" stroked="false">
              <v:textbox inset="0,0,0,0">
                <w:txbxContent>
                  <w:p>
                    <w:pPr>
                      <w:spacing w:line="133" w:lineRule="exact" w:before="0"/>
                      <w:ind w:left="0" w:right="0" w:firstLine="0"/>
                      <w:jc w:val="left"/>
                      <w:rPr>
                        <w:sz w:val="12"/>
                      </w:rPr>
                    </w:pPr>
                    <w:r>
                      <w:rPr>
                        <w:sz w:val="12"/>
                      </w:rPr>
                      <w:t>80–84</w:t>
                    </w:r>
                  </w:p>
                </w:txbxContent>
              </v:textbox>
              <w10:wrap type="none"/>
            </v:shape>
            <v:shape style="position:absolute;left:8475;top:9803;width:321;height:133" type="#_x0000_t202" filled="false" stroked="false">
              <v:textbox inset="0,0,0,0">
                <w:txbxContent>
                  <w:p>
                    <w:pPr>
                      <w:spacing w:line="133" w:lineRule="exact" w:before="0"/>
                      <w:ind w:left="0" w:right="0" w:firstLine="0"/>
                      <w:jc w:val="left"/>
                      <w:rPr>
                        <w:sz w:val="12"/>
                      </w:rPr>
                    </w:pPr>
                    <w:r>
                      <w:rPr>
                        <w:sz w:val="12"/>
                      </w:rPr>
                      <w:t>85–89</w:t>
                    </w:r>
                  </w:p>
                </w:txbxContent>
              </v:textbox>
              <w10:wrap type="none"/>
            </v:shape>
            <v:shape style="position:absolute;left:9216;top:9803;width:321;height:133" type="#_x0000_t202" filled="false" stroked="false">
              <v:textbox inset="0,0,0,0">
                <w:txbxContent>
                  <w:p>
                    <w:pPr>
                      <w:spacing w:line="133" w:lineRule="exact" w:before="0"/>
                      <w:ind w:left="0" w:right="0" w:firstLine="0"/>
                      <w:jc w:val="left"/>
                      <w:rPr>
                        <w:sz w:val="12"/>
                      </w:rPr>
                    </w:pPr>
                    <w:r>
                      <w:rPr>
                        <w:sz w:val="12"/>
                      </w:rPr>
                      <w:t>90–94</w:t>
                    </w:r>
                  </w:p>
                </w:txbxContent>
              </v:textbox>
              <w10:wrap type="none"/>
            </v:shape>
            <v:shape style="position:absolute;left:9944;top:9803;width:321;height:133" type="#_x0000_t202" filled="false" stroked="false">
              <v:textbox inset="0,0,0,0">
                <w:txbxContent>
                  <w:p>
                    <w:pPr>
                      <w:spacing w:line="133" w:lineRule="exact" w:before="0"/>
                      <w:ind w:left="0" w:right="0" w:firstLine="0"/>
                      <w:jc w:val="left"/>
                      <w:rPr>
                        <w:sz w:val="12"/>
                      </w:rPr>
                    </w:pPr>
                    <w:r>
                      <w:rPr>
                        <w:sz w:val="12"/>
                      </w:rPr>
                      <w:t>95–99</w:t>
                    </w:r>
                  </w:p>
                </w:txbxContent>
              </v:textbox>
              <w10:wrap type="none"/>
            </v:shape>
            <v:shape style="position:absolute;left:6192;top:10016;width:4618;height:373" type="#_x0000_t202" filled="false" stroked="false">
              <v:textbox inset="0,0,0,0">
                <w:txbxContent>
                  <w:p>
                    <w:pPr>
                      <w:spacing w:line="133" w:lineRule="exact" w:before="0"/>
                      <w:ind w:left="0" w:right="0" w:firstLine="0"/>
                      <w:jc w:val="left"/>
                      <w:rPr>
                        <w:sz w:val="12"/>
                      </w:rPr>
                    </w:pPr>
                    <w:r>
                      <w:rPr>
                        <w:sz w:val="12"/>
                      </w:rPr>
                      <w:t>Sources: IMF and ONS.</w:t>
                    </w:r>
                  </w:p>
                  <w:p>
                    <w:pPr>
                      <w:spacing w:before="102"/>
                      <w:ind w:left="0" w:right="0" w:firstLine="0"/>
                      <w:jc w:val="left"/>
                      <w:rPr>
                        <w:sz w:val="12"/>
                      </w:rPr>
                    </w:pPr>
                    <w:r>
                      <w:rPr>
                        <w:sz w:val="12"/>
                      </w:rPr>
                      <w:t>(a) Defined as average annual change in CPI over specified period (RPI for United Kingdom).</w:t>
                    </w:r>
                  </w:p>
                </w:txbxContent>
              </v:textbox>
              <w10:wrap type="none"/>
            </v:shape>
            <w10:wrap type="none"/>
          </v:group>
        </w:pict>
      </w:r>
    </w:p>
    <w:p>
      <w:pPr>
        <w:pStyle w:val="ListParagraph"/>
        <w:numPr>
          <w:ilvl w:val="1"/>
          <w:numId w:val="4"/>
        </w:numPr>
        <w:tabs>
          <w:tab w:pos="646" w:val="left" w:leader="none"/>
        </w:tabs>
        <w:spacing w:line="172" w:lineRule="exact" w:before="94" w:after="0"/>
        <w:ind w:left="645" w:right="0" w:hanging="241"/>
        <w:jc w:val="left"/>
        <w:rPr>
          <w:sz w:val="16"/>
        </w:rPr>
      </w:pPr>
      <w:r>
        <w:rPr>
          <w:sz w:val="16"/>
        </w:rPr>
        <w:t>See</w:t>
      </w:r>
      <w:r>
        <w:rPr>
          <w:spacing w:val="-3"/>
          <w:sz w:val="16"/>
        </w:rPr>
        <w:t> </w:t>
      </w:r>
      <w:r>
        <w:rPr>
          <w:sz w:val="16"/>
        </w:rPr>
        <w:t>for</w:t>
      </w:r>
      <w:r>
        <w:rPr>
          <w:spacing w:val="-2"/>
          <w:sz w:val="16"/>
        </w:rPr>
        <w:t> </w:t>
      </w:r>
      <w:r>
        <w:rPr>
          <w:sz w:val="16"/>
        </w:rPr>
        <w:t>example</w:t>
      </w:r>
      <w:r>
        <w:rPr>
          <w:spacing w:val="-3"/>
          <w:sz w:val="16"/>
        </w:rPr>
        <w:t> </w:t>
      </w:r>
      <w:r>
        <w:rPr>
          <w:sz w:val="16"/>
        </w:rPr>
        <w:t>Janssen,</w:t>
      </w:r>
      <w:r>
        <w:rPr>
          <w:spacing w:val="-2"/>
          <w:sz w:val="16"/>
        </w:rPr>
        <w:t> </w:t>
      </w:r>
      <w:r>
        <w:rPr>
          <w:sz w:val="16"/>
        </w:rPr>
        <w:t>N,</w:t>
      </w:r>
      <w:r>
        <w:rPr>
          <w:spacing w:val="-2"/>
          <w:sz w:val="16"/>
        </w:rPr>
        <w:t> </w:t>
      </w:r>
      <w:r>
        <w:rPr>
          <w:sz w:val="16"/>
        </w:rPr>
        <w:t>‘Can</w:t>
      </w:r>
      <w:r>
        <w:rPr>
          <w:spacing w:val="-3"/>
          <w:sz w:val="16"/>
        </w:rPr>
        <w:t> </w:t>
      </w:r>
      <w:r>
        <w:rPr>
          <w:sz w:val="16"/>
        </w:rPr>
        <w:t>we</w:t>
      </w:r>
      <w:r>
        <w:rPr>
          <w:spacing w:val="-2"/>
          <w:sz w:val="16"/>
        </w:rPr>
        <w:t> </w:t>
      </w:r>
      <w:r>
        <w:rPr>
          <w:sz w:val="16"/>
        </w:rPr>
        <w:t>explain</w:t>
      </w:r>
      <w:r>
        <w:rPr>
          <w:spacing w:val="-2"/>
          <w:sz w:val="16"/>
        </w:rPr>
        <w:t> </w:t>
      </w:r>
      <w:r>
        <w:rPr>
          <w:sz w:val="16"/>
        </w:rPr>
        <w:t>the</w:t>
      </w:r>
      <w:r>
        <w:rPr>
          <w:spacing w:val="-3"/>
          <w:sz w:val="16"/>
        </w:rPr>
        <w:t> </w:t>
      </w:r>
      <w:r>
        <w:rPr>
          <w:sz w:val="16"/>
        </w:rPr>
        <w:t>shift</w:t>
      </w:r>
      <w:r>
        <w:rPr>
          <w:spacing w:val="-2"/>
          <w:sz w:val="16"/>
        </w:rPr>
        <w:t> </w:t>
      </w:r>
      <w:r>
        <w:rPr>
          <w:sz w:val="16"/>
        </w:rPr>
        <w:t>in</w:t>
      </w:r>
      <w:r>
        <w:rPr>
          <w:spacing w:val="-2"/>
          <w:sz w:val="16"/>
        </w:rPr>
        <w:t> </w:t>
      </w:r>
      <w:r>
        <w:rPr>
          <w:sz w:val="16"/>
        </w:rPr>
        <w:t>M0</w:t>
      </w:r>
      <w:r>
        <w:rPr>
          <w:spacing w:val="-3"/>
          <w:sz w:val="16"/>
        </w:rPr>
        <w:t> </w:t>
      </w:r>
      <w:r>
        <w:rPr>
          <w:sz w:val="16"/>
        </w:rPr>
        <w:t>velocity?’,</w:t>
      </w:r>
      <w:r>
        <w:rPr>
          <w:spacing w:val="-2"/>
          <w:sz w:val="16"/>
        </w:rPr>
        <w:t> </w:t>
      </w:r>
      <w:r>
        <w:rPr>
          <w:i/>
          <w:sz w:val="16"/>
        </w:rPr>
        <w:t>Bank</w:t>
      </w:r>
      <w:r>
        <w:rPr>
          <w:i/>
          <w:spacing w:val="-3"/>
          <w:sz w:val="16"/>
        </w:rPr>
        <w:t> </w:t>
      </w:r>
      <w:r>
        <w:rPr>
          <w:i/>
          <w:sz w:val="16"/>
        </w:rPr>
        <w:t>of</w:t>
      </w:r>
      <w:r>
        <w:rPr>
          <w:i/>
          <w:spacing w:val="-2"/>
          <w:sz w:val="16"/>
        </w:rPr>
        <w:t> </w:t>
      </w:r>
      <w:r>
        <w:rPr>
          <w:i/>
          <w:sz w:val="16"/>
        </w:rPr>
        <w:t>England</w:t>
      </w:r>
      <w:r>
        <w:rPr>
          <w:i/>
          <w:spacing w:val="-2"/>
          <w:sz w:val="16"/>
        </w:rPr>
        <w:t> </w:t>
      </w:r>
      <w:r>
        <w:rPr>
          <w:i/>
          <w:sz w:val="16"/>
        </w:rPr>
        <w:t>Quarterly</w:t>
      </w:r>
      <w:r>
        <w:rPr>
          <w:i/>
          <w:spacing w:val="-3"/>
          <w:sz w:val="16"/>
        </w:rPr>
        <w:t> </w:t>
      </w:r>
      <w:r>
        <w:rPr>
          <w:i/>
          <w:sz w:val="16"/>
        </w:rPr>
        <w:t>Bulletin</w:t>
      </w:r>
      <w:r>
        <w:rPr>
          <w:sz w:val="16"/>
        </w:rPr>
        <w:t>,</w:t>
      </w:r>
      <w:r>
        <w:rPr>
          <w:spacing w:val="-1"/>
          <w:sz w:val="16"/>
        </w:rPr>
        <w:t> </w:t>
      </w:r>
      <w:r>
        <w:rPr>
          <w:sz w:val="16"/>
        </w:rPr>
        <w:t>February</w:t>
      </w:r>
      <w:r>
        <w:rPr>
          <w:spacing w:val="-1"/>
          <w:sz w:val="16"/>
        </w:rPr>
        <w:t> </w:t>
      </w:r>
      <w:r>
        <w:rPr>
          <w:sz w:val="16"/>
        </w:rPr>
        <w:t>1996,</w:t>
      </w:r>
      <w:r>
        <w:rPr>
          <w:spacing w:val="-2"/>
          <w:sz w:val="16"/>
        </w:rPr>
        <w:t> </w:t>
      </w:r>
      <w:r>
        <w:rPr>
          <w:sz w:val="16"/>
        </w:rPr>
        <w:t>pages</w:t>
      </w:r>
      <w:r>
        <w:rPr>
          <w:spacing w:val="-1"/>
          <w:sz w:val="16"/>
        </w:rPr>
        <w:t> </w:t>
      </w:r>
      <w:r>
        <w:rPr>
          <w:sz w:val="16"/>
        </w:rPr>
        <w:t>39–50.</w:t>
      </w:r>
    </w:p>
    <w:p>
      <w:pPr>
        <w:pStyle w:val="ListParagraph"/>
        <w:numPr>
          <w:ilvl w:val="1"/>
          <w:numId w:val="4"/>
        </w:numPr>
        <w:tabs>
          <w:tab w:pos="646" w:val="left" w:leader="none"/>
        </w:tabs>
        <w:spacing w:line="208" w:lineRule="auto" w:before="7" w:after="0"/>
        <w:ind w:left="645" w:right="1138" w:hanging="240"/>
        <w:jc w:val="left"/>
        <w:rPr>
          <w:sz w:val="16"/>
        </w:rPr>
      </w:pPr>
      <w:r>
        <w:rPr>
          <w:sz w:val="16"/>
        </w:rPr>
        <w:t>Estimates</w:t>
      </w:r>
      <w:r>
        <w:rPr>
          <w:spacing w:val="-6"/>
          <w:sz w:val="16"/>
        </w:rPr>
        <w:t> </w:t>
      </w:r>
      <w:r>
        <w:rPr>
          <w:sz w:val="16"/>
        </w:rPr>
        <w:t>of</w:t>
      </w:r>
      <w:r>
        <w:rPr>
          <w:spacing w:val="-5"/>
          <w:sz w:val="16"/>
        </w:rPr>
        <w:t> </w:t>
      </w:r>
      <w:r>
        <w:rPr>
          <w:sz w:val="16"/>
        </w:rPr>
        <w:t>US</w:t>
      </w:r>
      <w:r>
        <w:rPr>
          <w:spacing w:val="-5"/>
          <w:sz w:val="16"/>
        </w:rPr>
        <w:t> </w:t>
      </w:r>
      <w:r>
        <w:rPr>
          <w:sz w:val="16"/>
        </w:rPr>
        <w:t>residents’</w:t>
      </w:r>
      <w:r>
        <w:rPr>
          <w:spacing w:val="-5"/>
          <w:sz w:val="16"/>
        </w:rPr>
        <w:t> </w:t>
      </w:r>
      <w:r>
        <w:rPr>
          <w:sz w:val="16"/>
        </w:rPr>
        <w:t>currency</w:t>
      </w:r>
      <w:r>
        <w:rPr>
          <w:spacing w:val="-6"/>
          <w:sz w:val="16"/>
        </w:rPr>
        <w:t> </w:t>
      </w:r>
      <w:r>
        <w:rPr>
          <w:sz w:val="16"/>
        </w:rPr>
        <w:t>holdings</w:t>
      </w:r>
      <w:r>
        <w:rPr>
          <w:spacing w:val="-5"/>
          <w:sz w:val="16"/>
        </w:rPr>
        <w:t> </w:t>
      </w:r>
      <w:r>
        <w:rPr>
          <w:sz w:val="16"/>
        </w:rPr>
        <w:t>are</w:t>
      </w:r>
      <w:r>
        <w:rPr>
          <w:spacing w:val="-5"/>
          <w:sz w:val="16"/>
        </w:rPr>
        <w:t> </w:t>
      </w:r>
      <w:r>
        <w:rPr>
          <w:sz w:val="16"/>
        </w:rPr>
        <w:t>taken</w:t>
      </w:r>
      <w:r>
        <w:rPr>
          <w:spacing w:val="-5"/>
          <w:sz w:val="16"/>
        </w:rPr>
        <w:t> </w:t>
      </w:r>
      <w:r>
        <w:rPr>
          <w:sz w:val="16"/>
        </w:rPr>
        <w:t>from</w:t>
      </w:r>
      <w:r>
        <w:rPr>
          <w:spacing w:val="-6"/>
          <w:sz w:val="16"/>
        </w:rPr>
        <w:t> </w:t>
      </w:r>
      <w:r>
        <w:rPr>
          <w:sz w:val="16"/>
        </w:rPr>
        <w:t>Anderson,</w:t>
      </w:r>
      <w:r>
        <w:rPr>
          <w:spacing w:val="-5"/>
          <w:sz w:val="16"/>
        </w:rPr>
        <w:t> </w:t>
      </w:r>
      <w:r>
        <w:rPr>
          <w:sz w:val="16"/>
        </w:rPr>
        <w:t>R</w:t>
      </w:r>
      <w:r>
        <w:rPr>
          <w:spacing w:val="-5"/>
          <w:sz w:val="16"/>
        </w:rPr>
        <w:t> </w:t>
      </w:r>
      <w:r>
        <w:rPr>
          <w:sz w:val="16"/>
        </w:rPr>
        <w:t>and</w:t>
      </w:r>
      <w:r>
        <w:rPr>
          <w:spacing w:val="-5"/>
          <w:sz w:val="16"/>
        </w:rPr>
        <w:t> </w:t>
      </w:r>
      <w:r>
        <w:rPr>
          <w:sz w:val="16"/>
        </w:rPr>
        <w:t>Rasche,</w:t>
      </w:r>
      <w:r>
        <w:rPr>
          <w:spacing w:val="-6"/>
          <w:sz w:val="16"/>
        </w:rPr>
        <w:t> </w:t>
      </w:r>
      <w:r>
        <w:rPr>
          <w:sz w:val="16"/>
        </w:rPr>
        <w:t>R,</w:t>
      </w:r>
      <w:r>
        <w:rPr>
          <w:spacing w:val="-4"/>
          <w:sz w:val="16"/>
        </w:rPr>
        <w:t> </w:t>
      </w:r>
      <w:r>
        <w:rPr>
          <w:sz w:val="16"/>
        </w:rPr>
        <w:t>‘The</w:t>
      </w:r>
      <w:r>
        <w:rPr>
          <w:spacing w:val="-5"/>
          <w:sz w:val="16"/>
        </w:rPr>
        <w:t> </w:t>
      </w:r>
      <w:r>
        <w:rPr>
          <w:sz w:val="16"/>
        </w:rPr>
        <w:t>domestic</w:t>
      </w:r>
      <w:r>
        <w:rPr>
          <w:spacing w:val="-5"/>
          <w:sz w:val="16"/>
        </w:rPr>
        <w:t> </w:t>
      </w:r>
      <w:r>
        <w:rPr>
          <w:sz w:val="16"/>
        </w:rPr>
        <w:t>adjusted</w:t>
      </w:r>
      <w:r>
        <w:rPr>
          <w:spacing w:val="-6"/>
          <w:sz w:val="16"/>
        </w:rPr>
        <w:t> </w:t>
      </w:r>
      <w:r>
        <w:rPr>
          <w:sz w:val="16"/>
        </w:rPr>
        <w:t>monetary</w:t>
      </w:r>
      <w:r>
        <w:rPr>
          <w:spacing w:val="-5"/>
          <w:sz w:val="16"/>
        </w:rPr>
        <w:t> </w:t>
      </w:r>
      <w:r>
        <w:rPr>
          <w:sz w:val="16"/>
        </w:rPr>
        <w:t>base’,</w:t>
      </w:r>
      <w:r>
        <w:rPr>
          <w:spacing w:val="-5"/>
          <w:sz w:val="16"/>
        </w:rPr>
        <w:t> </w:t>
      </w:r>
      <w:r>
        <w:rPr>
          <w:i/>
          <w:sz w:val="16"/>
        </w:rPr>
        <w:t>Federal </w:t>
      </w:r>
      <w:r>
        <w:rPr>
          <w:i/>
          <w:sz w:val="16"/>
        </w:rPr>
        <w:t>Reserve Bank of St Louis Working Paper</w:t>
      </w:r>
      <w:r>
        <w:rPr>
          <w:sz w:val="16"/>
        </w:rPr>
        <w:t>, January</w:t>
      </w:r>
      <w:r>
        <w:rPr>
          <w:spacing w:val="-10"/>
          <w:sz w:val="16"/>
        </w:rPr>
        <w:t> </w:t>
      </w:r>
      <w:r>
        <w:rPr>
          <w:sz w:val="16"/>
        </w:rPr>
        <w:t>2000.</w:t>
      </w:r>
    </w:p>
    <w:p>
      <w:pPr>
        <w:spacing w:after="0" w:line="208" w:lineRule="auto"/>
        <w:jc w:val="left"/>
        <w:rPr>
          <w:sz w:val="16"/>
        </w:rPr>
        <w:sectPr>
          <w:type w:val="continuous"/>
          <w:pgSz w:w="11900" w:h="16840"/>
          <w:pgMar w:top="1220" w:bottom="280" w:left="640" w:right="620"/>
        </w:sectPr>
      </w:pPr>
    </w:p>
    <w:p>
      <w:pPr>
        <w:pStyle w:val="BodyText"/>
        <w:rPr>
          <w:sz w:val="20"/>
        </w:rPr>
      </w:pPr>
    </w:p>
    <w:p>
      <w:pPr>
        <w:pStyle w:val="Heading6"/>
        <w:spacing w:line="242" w:lineRule="auto" w:before="207"/>
        <w:ind w:left="4980" w:right="190"/>
      </w:pPr>
      <w:bookmarkStart w:name="Household sector" w:id="14"/>
      <w:bookmarkEnd w:id="14"/>
      <w:r>
        <w:rPr/>
      </w:r>
      <w:bookmarkStart w:name="_bookmark8" w:id="15"/>
      <w:bookmarkEnd w:id="15"/>
      <w:r>
        <w:rPr/>
      </w:r>
      <w:r>
        <w:rPr/>
        <w:t>flowing through the UK banking sector were considerably larger than the current account deficit.</w:t>
      </w:r>
    </w:p>
    <w:p>
      <w:pPr>
        <w:pStyle w:val="BodyText"/>
        <w:spacing w:before="9"/>
        <w:rPr>
          <w:sz w:val="16"/>
        </w:rPr>
      </w:pPr>
    </w:p>
    <w:p>
      <w:pPr>
        <w:spacing w:after="0"/>
        <w:rPr>
          <w:sz w:val="16"/>
        </w:rPr>
        <w:sectPr>
          <w:pgSz w:w="11900" w:h="16840"/>
          <w:pgMar w:header="586" w:footer="597" w:top="78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
        <w:rPr>
          <w:sz w:val="19"/>
        </w:rPr>
      </w:pPr>
    </w:p>
    <w:p>
      <w:pPr>
        <w:spacing w:before="0"/>
        <w:ind w:left="180" w:right="0" w:firstLine="0"/>
        <w:jc w:val="left"/>
        <w:rPr>
          <w:b/>
          <w:sz w:val="20"/>
        </w:rPr>
      </w:pPr>
      <w:r>
        <w:rPr>
          <w:b/>
          <w:color w:val="0092C7"/>
          <w:sz w:val="20"/>
        </w:rPr>
        <w:t>Chart</w:t>
      </w:r>
      <w:r>
        <w:rPr>
          <w:b/>
          <w:color w:val="0092C7"/>
          <w:spacing w:val="-8"/>
          <w:sz w:val="20"/>
        </w:rPr>
        <w:t> </w:t>
      </w:r>
      <w:r>
        <w:rPr>
          <w:b/>
          <w:color w:val="0092C7"/>
          <w:sz w:val="20"/>
        </w:rPr>
        <w:t>1.5</w:t>
      </w:r>
    </w:p>
    <w:p>
      <w:pPr>
        <w:spacing w:line="249" w:lineRule="auto" w:before="10"/>
        <w:ind w:left="180" w:right="0" w:firstLine="0"/>
        <w:jc w:val="left"/>
        <w:rPr>
          <w:b/>
          <w:sz w:val="20"/>
        </w:rPr>
      </w:pPr>
      <w:r>
        <w:rPr>
          <w:b/>
          <w:color w:val="0092C7"/>
          <w:sz w:val="20"/>
        </w:rPr>
        <w:t>Secured lending to individuals and</w:t>
      </w:r>
      <w:r>
        <w:rPr>
          <w:b/>
          <w:color w:val="0092C7"/>
          <w:spacing w:val="-31"/>
          <w:sz w:val="20"/>
        </w:rPr>
        <w:t> </w:t>
      </w:r>
      <w:r>
        <w:rPr>
          <w:b/>
          <w:color w:val="0092C7"/>
          <w:sz w:val="20"/>
        </w:rPr>
        <w:t>loan approvals</w:t>
      </w:r>
    </w:p>
    <w:p>
      <w:pPr>
        <w:pStyle w:val="Heading7"/>
        <w:spacing w:before="90"/>
        <w:rPr>
          <w:i/>
        </w:rPr>
      </w:pPr>
      <w:r>
        <w:rPr>
          <w:i w:val="0"/>
        </w:rPr>
        <w:br w:type="column"/>
      </w:r>
      <w:r>
        <w:rPr>
          <w:i/>
          <w:color w:val="009391"/>
        </w:rPr>
        <w:t>Household sector</w:t>
      </w:r>
    </w:p>
    <w:p>
      <w:pPr>
        <w:spacing w:line="242" w:lineRule="auto" w:before="164"/>
        <w:ind w:left="180" w:right="407" w:firstLine="0"/>
        <w:jc w:val="left"/>
        <w:rPr>
          <w:sz w:val="24"/>
        </w:rPr>
      </w:pPr>
      <w:r>
        <w:rPr>
          <w:sz w:val="24"/>
        </w:rPr>
        <w:t>Household sector M4 </w:t>
      </w:r>
      <w:r>
        <w:rPr>
          <w:spacing w:val="-3"/>
          <w:sz w:val="24"/>
        </w:rPr>
        <w:t>grew </w:t>
      </w:r>
      <w:r>
        <w:rPr>
          <w:sz w:val="24"/>
        </w:rPr>
        <w:t>by 6.1% in the year to 2000 Q1, the same rate as in the previous </w:t>
      </w:r>
      <w:r>
        <w:rPr>
          <w:spacing w:val="-3"/>
          <w:sz w:val="24"/>
        </w:rPr>
        <w:t>quarter. </w:t>
      </w:r>
      <w:r>
        <w:rPr>
          <w:sz w:val="24"/>
        </w:rPr>
        <w:t>An alternative indicator of deposits likely to be used in nominal spending is the Divisia index, which places a higher weight on more liquid deposits. Annual growth in household sector Divisia eased slightly to 5.9%</w:t>
      </w:r>
      <w:r>
        <w:rPr>
          <w:spacing w:val="-35"/>
          <w:sz w:val="24"/>
        </w:rPr>
        <w:t> </w:t>
      </w:r>
      <w:r>
        <w:rPr>
          <w:sz w:val="24"/>
        </w:rPr>
        <w:t>in</w:t>
      </w:r>
    </w:p>
    <w:p>
      <w:pPr>
        <w:spacing w:line="242" w:lineRule="auto" w:before="7"/>
        <w:ind w:left="180" w:right="174" w:firstLine="0"/>
        <w:jc w:val="left"/>
        <w:rPr>
          <w:sz w:val="24"/>
        </w:rPr>
      </w:pPr>
      <w:r>
        <w:rPr>
          <w:sz w:val="24"/>
        </w:rPr>
        <w:t>2000 Q1, partly owing to the sharp fall in notes and coin in circulation after the turn of the millennium. Looking forward, households’ M4 may be boosted in coming months by payments associated with the demutualisation of Scottish Widows.</w:t>
      </w:r>
    </w:p>
    <w:p>
      <w:pPr>
        <w:pStyle w:val="BodyText"/>
        <w:spacing w:before="10"/>
        <w:rPr>
          <w:sz w:val="24"/>
        </w:rPr>
      </w:pPr>
    </w:p>
    <w:p>
      <w:pPr>
        <w:spacing w:line="242" w:lineRule="auto" w:before="1"/>
        <w:ind w:left="180" w:right="198" w:firstLine="0"/>
        <w:jc w:val="left"/>
        <w:rPr>
          <w:sz w:val="24"/>
        </w:rPr>
      </w:pPr>
      <w:r>
        <w:rPr>
          <w:sz w:val="24"/>
        </w:rPr>
        <w:t>Annual growth in lending to households</w:t>
      </w:r>
      <w:r>
        <w:rPr>
          <w:position w:val="5"/>
          <w:sz w:val="16"/>
        </w:rPr>
        <w:t>(1) </w:t>
      </w:r>
      <w:r>
        <w:rPr>
          <w:sz w:val="24"/>
        </w:rPr>
        <w:t>rose further to 9.9% in 2000 Q1, the highest rate since 1991, although shorter-term growth measures suggested no further</w:t>
      </w:r>
    </w:p>
    <w:p>
      <w:pPr>
        <w:spacing w:after="0" w:line="242" w:lineRule="auto"/>
        <w:jc w:val="left"/>
        <w:rPr>
          <w:sz w:val="24"/>
        </w:rPr>
        <w:sectPr>
          <w:type w:val="continuous"/>
          <w:pgSz w:w="11900" w:h="16840"/>
          <w:pgMar w:top="1220" w:bottom="280" w:left="640" w:right="620"/>
          <w:cols w:num="2" w:equalWidth="0">
            <w:col w:w="3593" w:space="1207"/>
            <w:col w:w="5840"/>
          </w:cols>
        </w:sectPr>
      </w:pPr>
    </w:p>
    <w:p>
      <w:pPr>
        <w:spacing w:line="114" w:lineRule="exact" w:before="27"/>
        <w:ind w:left="348" w:right="0" w:firstLine="0"/>
        <w:jc w:val="left"/>
        <w:rPr>
          <w:sz w:val="12"/>
        </w:rPr>
      </w:pPr>
      <w:r>
        <w:rPr>
          <w:sz w:val="12"/>
        </w:rPr>
        <w:t>£ billions</w:t>
      </w:r>
    </w:p>
    <w:p>
      <w:pPr>
        <w:spacing w:line="114" w:lineRule="exact" w:before="0"/>
        <w:ind w:left="177" w:right="0" w:firstLine="0"/>
        <w:jc w:val="left"/>
        <w:rPr>
          <w:sz w:val="12"/>
        </w:rPr>
      </w:pPr>
      <w:r>
        <w:rPr/>
        <w:pict>
          <v:line style="position:absolute;mso-position-horizontal-relative:page;mso-position-vertical-relative:paragraph;z-index:15794176" from="49.401001pt,2.739776pt" to="53.734001pt,2.739776pt" stroked="true" strokeweight=".5pt" strokecolor="#000000">
            <v:stroke dashstyle="solid"/>
            <w10:wrap type="none"/>
          </v:line>
        </w:pict>
      </w:r>
      <w:r>
        <w:rPr>
          <w:sz w:val="12"/>
        </w:rPr>
        <w:t>2.1</w:t>
      </w:r>
    </w:p>
    <w:p>
      <w:pPr>
        <w:pStyle w:val="BodyText"/>
        <w:spacing w:before="5"/>
        <w:rPr>
          <w:sz w:val="12"/>
        </w:rPr>
      </w:pPr>
    </w:p>
    <w:p>
      <w:pPr>
        <w:spacing w:before="1"/>
        <w:ind w:left="177" w:right="0" w:firstLine="0"/>
        <w:jc w:val="left"/>
        <w:rPr>
          <w:sz w:val="12"/>
        </w:rPr>
      </w:pPr>
      <w:r>
        <w:rPr/>
        <w:pict>
          <v:group style="position:absolute;margin-left:57.625pt;margin-top:-3.532112pt;width:144.75pt;height:123.55pt;mso-position-horizontal-relative:page;mso-position-vertical-relative:paragraph;z-index:15788032" coordorigin="1153,-71" coordsize="2895,2471">
            <v:rect style="position:absolute;left:1187;top:1775;width:58;height:103" filled="true" fillcolor="#0092c6" stroked="false">
              <v:fill type="solid"/>
            </v:rect>
            <v:rect style="position:absolute;left:1187;top:1775;width:58;height:103" filled="false" stroked="true" strokeweight=".5pt" strokecolor="#000000">
              <v:stroke dashstyle="solid"/>
            </v:rect>
            <v:rect style="position:absolute;left:1257;top:1775;width:58;height:220" filled="true" fillcolor="#0092c6" stroked="false">
              <v:fill type="solid"/>
            </v:rect>
            <v:rect style="position:absolute;left:1257;top:1775;width:58;height:220" filled="false" stroked="true" strokeweight=".5pt" strokecolor="#000000">
              <v:stroke dashstyle="solid"/>
            </v:rect>
            <v:rect style="position:absolute;left:1327;top:1741;width:58;height:35" filled="true" fillcolor="#0092c6" stroked="false">
              <v:fill type="solid"/>
            </v:rect>
            <v:rect style="position:absolute;left:1327;top:1741;width:58;height:35" filled="false" stroked="true" strokeweight=".5pt" strokecolor="#000000">
              <v:stroke dashstyle="solid"/>
            </v:rect>
            <v:rect style="position:absolute;left:1397;top:1276;width:58;height:500" filled="true" fillcolor="#0092c6" stroked="false">
              <v:fill type="solid"/>
            </v:rect>
            <v:rect style="position:absolute;left:1397;top:1276;width:58;height:500" filled="false" stroked="true" strokeweight=".5pt" strokecolor="#000000">
              <v:stroke dashstyle="solid"/>
            </v:rect>
            <v:rect style="position:absolute;left:1467;top:1559;width:58;height:218" filled="true" fillcolor="#0092c6" stroked="false">
              <v:fill type="solid"/>
            </v:rect>
            <v:rect style="position:absolute;left:1467;top:1559;width:58;height:218" filled="false" stroked="true" strokeweight=".5pt" strokecolor="#000000">
              <v:stroke dashstyle="solid"/>
            </v:rect>
            <v:rect style="position:absolute;left:1537;top:1775;width:58;height:220" filled="true" fillcolor="#0092c6" stroked="false">
              <v:fill type="solid"/>
            </v:rect>
            <v:rect style="position:absolute;left:1537;top:1775;width:58;height:220" filled="false" stroked="true" strokeweight=".5pt" strokecolor="#000000">
              <v:stroke dashstyle="solid"/>
            </v:rect>
            <v:rect style="position:absolute;left:1607;top:1775;width:58;height:103" filled="true" fillcolor="#0092c6" stroked="false">
              <v:fill type="solid"/>
            </v:rect>
            <v:rect style="position:absolute;left:1607;top:1775;width:58;height:103" filled="false" stroked="true" strokeweight=".5pt" strokecolor="#000000">
              <v:stroke dashstyle="solid"/>
            </v:rect>
            <v:shape style="position:absolute;left:1190;top:1391;width:450;height:85" coordorigin="1190,1391" coordsize="450,85" path="m1190,1426l1268,1409m1268,1409l1335,1476m1335,1476l1415,1391m1415,1391l1493,1409m1493,1409l1560,1426m1560,1426l1640,1391e" filled="false" stroked="true" strokeweight="1pt" strokecolor="#f5b37a">
              <v:path arrowok="t"/>
              <v:stroke dashstyle="solid"/>
            </v:shape>
            <v:rect style="position:absolute;left:1747;top:1626;width:58;height:150" filled="true" fillcolor="#0092c6" stroked="false">
              <v:fill type="solid"/>
            </v:rect>
            <v:rect style="position:absolute;left:1747;top:1626;width:58;height:150" filled="false" stroked="true" strokeweight=".5pt" strokecolor="#000000">
              <v:stroke dashstyle="solid"/>
            </v:rect>
            <v:rect style="position:absolute;left:1817;top:1775;width:58;height:103" filled="true" fillcolor="#0092c6" stroked="false">
              <v:fill type="solid"/>
            </v:rect>
            <v:rect style="position:absolute;left:1817;top:1775;width:58;height:103" filled="false" stroked="true" strokeweight=".5pt" strokecolor="#000000">
              <v:stroke dashstyle="solid"/>
            </v:rect>
            <v:rect style="position:absolute;left:1887;top:1359;width:58;height:418" filled="true" fillcolor="#0092c6" stroked="false">
              <v:fill type="solid"/>
            </v:rect>
            <v:rect style="position:absolute;left:1887;top:1359;width:58;height:418" filled="false" stroked="true" strokeweight=".5pt" strokecolor="#000000">
              <v:stroke dashstyle="solid"/>
            </v:rect>
            <v:rect style="position:absolute;left:1957;top:1459;width:58;height:318" filled="true" fillcolor="#0092c6" stroked="false">
              <v:fill type="solid"/>
            </v:rect>
            <v:rect style="position:absolute;left:1957;top:1459;width:58;height:318" filled="false" stroked="true" strokeweight=".5pt" strokecolor="#000000">
              <v:stroke dashstyle="solid"/>
            </v:rect>
            <v:rect style="position:absolute;left:2076;top:1659;width:58;height:118" filled="true" fillcolor="#0092c6" stroked="false">
              <v:fill type="solid"/>
            </v:rect>
            <v:rect style="position:absolute;left:2076;top:1659;width:58;height:118" filled="false" stroked="true" strokeweight=".5pt" strokecolor="#000000">
              <v:stroke dashstyle="solid"/>
            </v:rect>
            <v:rect style="position:absolute;left:2146;top:1526;width:58;height:250" filled="true" fillcolor="#0092c6" stroked="false">
              <v:fill type="solid"/>
            </v:rect>
            <v:rect style="position:absolute;left:2146;top:1526;width:58;height:250" filled="false" stroked="true" strokeweight=".5pt" strokecolor="#000000">
              <v:stroke dashstyle="solid"/>
            </v:rect>
            <v:rect style="position:absolute;left:2217;top:1626;width:58;height:150" filled="true" fillcolor="#0092c6" stroked="false">
              <v:fill type="solid"/>
            </v:rect>
            <v:rect style="position:absolute;left:2217;top:1626;width:58;height:150" filled="false" stroked="true" strokeweight=".5pt" strokecolor="#000000">
              <v:stroke dashstyle="solid"/>
            </v:rect>
            <v:rect style="position:absolute;left:2287;top:1775;width:58;height:153" filled="true" fillcolor="#0092c6" stroked="false">
              <v:fill type="solid"/>
            </v:rect>
            <v:rect style="position:absolute;left:2287;top:1775;width:58;height:153" filled="false" stroked="true" strokeweight=".5pt" strokecolor="#000000">
              <v:stroke dashstyle="solid"/>
            </v:rect>
            <v:rect style="position:absolute;left:2358;top:1641;width:58;height:135" filled="true" fillcolor="#0092c6" stroked="false">
              <v:fill type="solid"/>
            </v:rect>
            <v:rect style="position:absolute;left:2358;top:1641;width:58;height:135" filled="false" stroked="true" strokeweight=".5pt" strokecolor="#000000">
              <v:stroke dashstyle="solid"/>
            </v:rect>
            <v:rect style="position:absolute;left:2428;top:1326;width:58;height:450" filled="true" fillcolor="#0092c6" stroked="false">
              <v:fill type="solid"/>
            </v:rect>
            <v:rect style="position:absolute;left:2428;top:1326;width:58;height:450" filled="false" stroked="true" strokeweight=".5pt" strokecolor="#000000">
              <v:stroke dashstyle="solid"/>
            </v:rect>
            <v:rect style="position:absolute;left:2498;top:1376;width:58;height:400" filled="true" fillcolor="#0092c6" stroked="false">
              <v:fill type="solid"/>
            </v:rect>
            <v:rect style="position:absolute;left:2498;top:1376;width:58;height:400" filled="false" stroked="true" strokeweight=".5pt" strokecolor="#000000">
              <v:stroke dashstyle="solid"/>
            </v:rect>
            <v:rect style="position:absolute;left:2569;top:1591;width:58;height:185" filled="true" fillcolor="#0092c6" stroked="false">
              <v:fill type="solid"/>
            </v:rect>
            <v:rect style="position:absolute;left:2569;top:1591;width:58;height:185" filled="false" stroked="true" strokeweight=".5pt" strokecolor="#000000">
              <v:stroke dashstyle="solid"/>
            </v:rect>
            <v:rect style="position:absolute;left:2639;top:1709;width:58;height:68" filled="true" fillcolor="#0092c6" stroked="false">
              <v:fill type="solid"/>
            </v:rect>
            <v:rect style="position:absolute;left:2639;top:1709;width:58;height:68" filled="false" stroked="true" strokeweight=".5pt" strokecolor="#000000">
              <v:stroke dashstyle="solid"/>
            </v:rect>
            <v:rect style="position:absolute;left:2710;top:1476;width:58;height:300" filled="true" fillcolor="#0092c6" stroked="false">
              <v:fill type="solid"/>
            </v:rect>
            <v:rect style="position:absolute;left:2710;top:1476;width:58;height:300" filled="false" stroked="true" strokeweight=".5pt" strokecolor="#000000">
              <v:stroke dashstyle="solid"/>
            </v:rect>
            <v:rect style="position:absolute;left:2780;top:1459;width:58;height:318" filled="true" fillcolor="#0092c6" stroked="false">
              <v:fill type="solid"/>
            </v:rect>
            <v:rect style="position:absolute;left:2780;top:1459;width:58;height:318" filled="false" stroked="true" strokeweight=".5pt" strokecolor="#000000">
              <v:stroke dashstyle="solid"/>
            </v:rect>
            <v:rect style="position:absolute;left:2851;top:1741;width:58;height:35" filled="true" fillcolor="#0092c6" stroked="false">
              <v:fill type="solid"/>
            </v:rect>
            <v:rect style="position:absolute;left:2851;top:1741;width:58;height:35" filled="false" stroked="true" strokeweight=".5pt" strokecolor="#000000">
              <v:stroke dashstyle="solid"/>
            </v:rect>
            <v:rect style="position:absolute;left:2964;top:1775;width:58;height:53" filled="true" fillcolor="#0092c6" stroked="false">
              <v:fill type="solid"/>
            </v:rect>
            <v:rect style="position:absolute;left:2964;top:1775;width:58;height:53" filled="false" stroked="true" strokeweight=".5pt" strokecolor="#000000">
              <v:stroke dashstyle="solid"/>
            </v:rect>
            <v:rect style="position:absolute;left:3035;top:1109;width:58;height:668" filled="true" fillcolor="#0092c6" stroked="false">
              <v:fill type="solid"/>
            </v:rect>
            <v:rect style="position:absolute;left:3035;top:1109;width:58;height:668" filled="false" stroked="true" strokeweight=".5pt" strokecolor="#000000">
              <v:stroke dashstyle="solid"/>
            </v:rect>
            <v:rect style="position:absolute;left:3106;top:1041;width:58;height:735" filled="true" fillcolor="#0092c6" stroked="false">
              <v:fill type="solid"/>
            </v:rect>
            <v:rect style="position:absolute;left:3106;top:1041;width:58;height:735" filled="false" stroked="true" strokeweight=".5pt" strokecolor="#000000">
              <v:stroke dashstyle="solid"/>
            </v:rect>
            <v:rect style="position:absolute;left:3176;top:1159;width:58;height:618" filled="true" fillcolor="#0092c6" stroked="false">
              <v:fill type="solid"/>
            </v:rect>
            <v:rect style="position:absolute;left:3176;top:1159;width:58;height:618" filled="false" stroked="true" strokeweight=".5pt" strokecolor="#000000">
              <v:stroke dashstyle="solid"/>
            </v:rect>
            <v:rect style="position:absolute;left:3247;top:1026;width:58;height:750" filled="true" fillcolor="#0092c6" stroked="false">
              <v:fill type="solid"/>
            </v:rect>
            <v:rect style="position:absolute;left:3247;top:1026;width:58;height:750" filled="false" stroked="true" strokeweight=".5pt" strokecolor="#000000">
              <v:stroke dashstyle="solid"/>
            </v:rect>
            <v:rect style="position:absolute;left:3317;top:991;width:58;height:785" filled="true" fillcolor="#0092c6" stroked="false">
              <v:fill type="solid"/>
            </v:rect>
            <v:rect style="position:absolute;left:3317;top:991;width:58;height:785" filled="false" stroked="true" strokeweight=".5pt" strokecolor="#000000">
              <v:stroke dashstyle="solid"/>
            </v:rect>
            <v:rect style="position:absolute;left:3388;top:1476;width:58;height:300" filled="true" fillcolor="#0092c6" stroked="false">
              <v:fill type="solid"/>
            </v:rect>
            <v:rect style="position:absolute;left:3388;top:1476;width:58;height:300" filled="false" stroked="true" strokeweight=".5pt" strokecolor="#000000">
              <v:stroke dashstyle="solid"/>
            </v:rect>
            <v:rect style="position:absolute;left:3458;top:1559;width:58;height:218" filled="true" fillcolor="#0092c6" stroked="false">
              <v:fill type="solid"/>
            </v:rect>
            <v:rect style="position:absolute;left:3458;top:1559;width:58;height:218" filled="false" stroked="true" strokeweight=".5pt" strokecolor="#000000">
              <v:stroke dashstyle="solid"/>
            </v:rect>
            <v:rect style="position:absolute;left:3529;top:1526;width:58;height:250" filled="true" fillcolor="#0092c6" stroked="false">
              <v:fill type="solid"/>
            </v:rect>
            <v:rect style="position:absolute;left:3529;top:1526;width:58;height:250" filled="false" stroked="true" strokeweight=".5pt" strokecolor="#000000">
              <v:stroke dashstyle="solid"/>
            </v:rect>
            <v:rect style="position:absolute;left:3600;top:1709;width:58;height:68" filled="true" fillcolor="#0092c6" stroked="false">
              <v:fill type="solid"/>
            </v:rect>
            <v:rect style="position:absolute;left:3600;top:1709;width:58;height:68" filled="false" stroked="true" strokeweight=".5pt" strokecolor="#000000">
              <v:stroke dashstyle="solid"/>
            </v:rect>
            <v:rect style="position:absolute;left:3670;top:1775;width:58;height:570" filled="true" fillcolor="#0092c6" stroked="false">
              <v:fill type="solid"/>
            </v:rect>
            <v:rect style="position:absolute;left:3670;top:1775;width:58;height:570" filled="false" stroked="true" strokeweight=".5pt" strokecolor="#000000">
              <v:stroke dashstyle="solid"/>
            </v:rect>
            <v:rect style="position:absolute;left:3741;top:1775;width:58;height:620" filled="true" fillcolor="#0092c6" stroked="false">
              <v:fill type="solid"/>
            </v:rect>
            <v:rect style="position:absolute;left:3741;top:1775;width:58;height:620" filled="false" stroked="true" strokeweight=".5pt" strokecolor="#000000">
              <v:stroke dashstyle="solid"/>
            </v:rect>
            <v:rect style="position:absolute;left:3843;top:1775;width:58;height:388" filled="true" fillcolor="#0092c6" stroked="false">
              <v:fill type="solid"/>
            </v:rect>
            <v:rect style="position:absolute;left:3843;top:1775;width:58;height:388" filled="false" stroked="true" strokeweight=".5pt" strokecolor="#000000">
              <v:stroke dashstyle="solid"/>
            </v:rect>
            <v:rect style="position:absolute;left:3911;top:1775;width:58;height:170" filled="true" fillcolor="#0092c6" stroked="false">
              <v:fill type="solid"/>
            </v:rect>
            <v:rect style="position:absolute;left:3911;top:1775;width:58;height:170" filled="false" stroked="true" strokeweight=".5pt" strokecolor="#000000">
              <v:stroke dashstyle="solid"/>
            </v:rect>
            <v:rect style="position:absolute;left:3979;top:1775;width:58;height:238" filled="true" fillcolor="#0092c6" stroked="false">
              <v:fill type="solid"/>
            </v:rect>
            <v:rect style="position:absolute;left:3979;top:1775;width:58;height:238" filled="false" stroked="true" strokeweight=".5pt" strokecolor="#000000">
              <v:stroke dashstyle="solid"/>
            </v:rect>
            <v:shape style="position:absolute;left:1640;top:1209;width:518;height:233" coordorigin="1640,1209" coordsize="518,233" path="m1640,1391l1708,1409m1708,1409l1785,1341m1785,1341l1865,1326m1865,1326l1933,1441m1933,1441l2010,1259m2010,1259l2078,1226m2078,1226l2158,1209e" filled="false" stroked="true" strokeweight="1pt" strokecolor="#f5b37a">
              <v:path arrowok="t"/>
              <v:stroke dashstyle="solid"/>
            </v:shape>
            <v:line style="position:absolute" from="2148,1210" to="2245,1210" stroked="true" strokeweight="1.125pt" strokecolor="#f5b37a">
              <v:stroke dashstyle="solid"/>
            </v:line>
            <v:shape style="position:absolute;left:2235;top:144;width:1778;height:1083" coordorigin="2235,144" coordsize="1778,1083" path="m2235,1209l2303,1159m2303,1159l2383,1226m2383,1226l2450,1109m2450,1109l2528,1041m2528,1041l2608,1091m2608,1091l2675,1026m2675,1026l2753,1059m2753,1059l2820,1026m2820,1026l2900,909m2900,909l2968,891m2968,891l3045,876m3045,876l3125,544m3125,544l3193,659m3193,659l3270,644m3270,644l3338,494m3338,494l3418,459m3418,459l3495,409m3495,409l3563,376m3563,376l3643,359m3643,359l3710,176m3710,176l3788,309m3788,309l3868,426m3868,426l3935,294m3935,294l4013,144e" filled="false" stroked="true" strokeweight="1pt" strokecolor="#f5b37a">
              <v:path arrowok="t"/>
              <v:stroke dashstyle="solid"/>
            </v:shape>
            <v:line style="position:absolute" from="1190,1459" to="1268,1476" stroked="true" strokeweight="1pt" strokecolor="#be869b">
              <v:stroke dashstyle="solid"/>
            </v:line>
            <v:line style="position:absolute" from="1258,1478" to="1345,1478" stroked="true" strokeweight="1.125pt" strokecolor="#be869b">
              <v:stroke dashstyle="solid"/>
            </v:line>
            <v:shape style="position:absolute;left:1335;top:226;width:2678;height:1265" coordorigin="1335,226" coordsize="2678,1265" path="m1335,1476l1415,1241m1415,1241l1493,1341m1493,1341l1560,1491m1560,1491l1640,1426m1640,1426l1708,1409m1708,1409l1785,1291m1785,1291l1865,1341m1865,1341l1933,1309m1933,1309l2010,1159m2010,1159l2078,1191m2078,1191l2158,1126m2158,1126l2235,1159m2235,1159l2303,1209m2303,1209l2383,1191m2383,1191l2450,976m2450,976l2528,909m2528,909l2608,1041m2608,1041l2675,991m2675,991l2753,976m2753,976l2820,926m2820,926l2900,891m2900,891l2968,909m2968,909l3045,676m3045,676l3125,326m3125,326l3193,476m3193,476l3270,409m3270,409l3338,259m3338,259l3418,359m3418,359l3495,344m3495,344l3563,294m3563,294l3643,326m3643,326l3710,359m3710,359l3788,494m3788,494l3868,526m3868,526l3935,344m3935,344l4013,226e" filled="false" stroked="true" strokeweight="1pt" strokecolor="#be869b">
              <v:path arrowok="t"/>
              <v:stroke dashstyle="solid"/>
            </v:shape>
            <v:line style="position:absolute" from="1153,1775" to="4047,1775" stroked="true" strokeweight=".5pt" strokecolor="#000000">
              <v:stroke dashstyle="solid"/>
            </v:line>
            <v:shape style="position:absolute;left:2795;top:-71;width:1087;height:254" type="#_x0000_t202" filled="false" stroked="false">
              <v:textbox inset="0,0,0,0">
                <w:txbxContent>
                  <w:p>
                    <w:pPr>
                      <w:spacing w:line="208" w:lineRule="auto" w:before="9"/>
                      <w:ind w:left="60" w:right="18" w:hanging="60"/>
                      <w:jc w:val="left"/>
                      <w:rPr>
                        <w:sz w:val="12"/>
                      </w:rPr>
                    </w:pPr>
                    <w:r>
                      <w:rPr>
                        <w:sz w:val="12"/>
                      </w:rPr>
                      <w:t>Gross secured lending (right-hand scale)</w:t>
                    </w:r>
                  </w:p>
                </w:txbxContent>
              </v:textbox>
              <w10:wrap type="none"/>
            </v:shape>
            <v:shape style="position:absolute;left:1290;top:816;width:1197;height:254" type="#_x0000_t202" filled="false" stroked="false">
              <v:textbox inset="0,0,0,0">
                <w:txbxContent>
                  <w:p>
                    <w:pPr>
                      <w:spacing w:line="208" w:lineRule="auto" w:before="9"/>
                      <w:ind w:left="90" w:right="18" w:hanging="90"/>
                      <w:jc w:val="left"/>
                      <w:rPr>
                        <w:sz w:val="12"/>
                      </w:rPr>
                    </w:pPr>
                    <w:r>
                      <w:rPr>
                        <w:sz w:val="12"/>
                      </w:rPr>
                      <w:t>Value of loans approved (right-hand scale)</w:t>
                    </w:r>
                  </w:p>
                </w:txbxContent>
              </v:textbox>
              <w10:wrap type="none"/>
            </v:shape>
            <v:shape style="position:absolute;left:2080;top:1997;width:1583;height:254" type="#_x0000_t202" filled="false" stroked="false">
              <v:textbox inset="0,0,0,0">
                <w:txbxContent>
                  <w:p>
                    <w:pPr>
                      <w:spacing w:line="208" w:lineRule="auto" w:before="9"/>
                      <w:ind w:left="60" w:right="18" w:hanging="60"/>
                      <w:jc w:val="left"/>
                      <w:rPr>
                        <w:sz w:val="12"/>
                      </w:rPr>
                    </w:pPr>
                    <w:r>
                      <w:rPr>
                        <w:sz w:val="12"/>
                      </w:rPr>
                      <w:t>Change in stock of approvals (a) (left-hand scale)</w:t>
                    </w:r>
                  </w:p>
                </w:txbxContent>
              </v:textbox>
              <w10:wrap type="none"/>
            </v:shape>
            <w10:wrap type="none"/>
          </v:group>
        </w:pict>
      </w:r>
      <w:r>
        <w:rPr/>
        <w:pict>
          <v:line style="position:absolute;mso-position-horizontal-relative:page;mso-position-vertical-relative:paragraph;z-index:15789056" from="49.401001pt,4.06775pt" to="53.734001pt,4.06775pt" stroked="true" strokeweight=".5pt" strokecolor="#000000">
            <v:stroke dashstyle="solid"/>
            <w10:wrap type="none"/>
          </v:line>
        </w:pict>
      </w:r>
      <w:r>
        <w:rPr>
          <w:sz w:val="12"/>
        </w:rPr>
        <w:t>1.8</w:t>
      </w:r>
    </w:p>
    <w:p>
      <w:pPr>
        <w:pStyle w:val="BodyText"/>
        <w:spacing w:before="5"/>
        <w:rPr>
          <w:sz w:val="12"/>
        </w:rPr>
      </w:pPr>
    </w:p>
    <w:p>
      <w:pPr>
        <w:spacing w:before="0"/>
        <w:ind w:left="177" w:right="0" w:firstLine="0"/>
        <w:jc w:val="left"/>
        <w:rPr>
          <w:sz w:val="12"/>
        </w:rPr>
      </w:pPr>
      <w:r>
        <w:rPr/>
        <w:pict>
          <v:line style="position:absolute;mso-position-horizontal-relative:page;mso-position-vertical-relative:paragraph;z-index:15789568" from="49.401001pt,4.076951pt" to="53.734001pt,4.076951pt" stroked="true" strokeweight=".5pt" strokecolor="#000000">
            <v:stroke dashstyle="solid"/>
            <w10:wrap type="none"/>
          </v:line>
        </w:pict>
      </w:r>
      <w:r>
        <w:rPr>
          <w:sz w:val="12"/>
        </w:rPr>
        <w:t>1.5</w:t>
      </w:r>
    </w:p>
    <w:p>
      <w:pPr>
        <w:pStyle w:val="BodyText"/>
        <w:spacing w:before="6"/>
        <w:rPr>
          <w:sz w:val="12"/>
        </w:rPr>
      </w:pPr>
    </w:p>
    <w:p>
      <w:pPr>
        <w:spacing w:before="0"/>
        <w:ind w:left="177" w:right="0" w:firstLine="0"/>
        <w:jc w:val="left"/>
        <w:rPr>
          <w:sz w:val="12"/>
        </w:rPr>
      </w:pPr>
      <w:r>
        <w:rPr/>
        <w:pict>
          <v:line style="position:absolute;mso-position-horizontal-relative:page;mso-position-vertical-relative:paragraph;z-index:15790080" from="49.401001pt,4.136153pt" to="53.734001pt,4.136153pt" stroked="true" strokeweight=".5pt" strokecolor="#000000">
            <v:stroke dashstyle="solid"/>
            <w10:wrap type="none"/>
          </v:line>
        </w:pict>
      </w:r>
      <w:r>
        <w:rPr>
          <w:sz w:val="12"/>
        </w:rPr>
        <w:t>1.2</w:t>
      </w:r>
    </w:p>
    <w:p>
      <w:pPr>
        <w:pStyle w:val="BodyText"/>
        <w:spacing w:before="5"/>
        <w:rPr>
          <w:sz w:val="12"/>
        </w:rPr>
      </w:pPr>
    </w:p>
    <w:p>
      <w:pPr>
        <w:spacing w:before="0"/>
        <w:ind w:left="177" w:right="0" w:firstLine="0"/>
        <w:jc w:val="left"/>
        <w:rPr>
          <w:sz w:val="12"/>
        </w:rPr>
      </w:pPr>
      <w:r>
        <w:rPr/>
        <w:pict>
          <v:line style="position:absolute;mso-position-horizontal-relative:page;mso-position-vertical-relative:paragraph;z-index:15790592" from="49.401001pt,4.195354pt" to="53.734001pt,4.195354pt" stroked="true" strokeweight=".5pt" strokecolor="#000000">
            <v:stroke dashstyle="solid"/>
            <w10:wrap type="none"/>
          </v:line>
        </w:pict>
      </w:r>
      <w:r>
        <w:rPr>
          <w:sz w:val="12"/>
        </w:rPr>
        <w:t>0.9</w:t>
      </w:r>
    </w:p>
    <w:p>
      <w:pPr>
        <w:spacing w:line="114" w:lineRule="exact" w:before="27"/>
        <w:ind w:left="177" w:right="0" w:firstLine="0"/>
        <w:jc w:val="left"/>
        <w:rPr>
          <w:sz w:val="12"/>
        </w:rPr>
      </w:pPr>
      <w:r>
        <w:rPr/>
        <w:br w:type="column"/>
      </w:r>
      <w:r>
        <w:rPr>
          <w:sz w:val="12"/>
        </w:rPr>
        <w:t>£ billions</w:t>
      </w:r>
    </w:p>
    <w:p>
      <w:pPr>
        <w:spacing w:line="114" w:lineRule="exact" w:before="0"/>
        <w:ind w:left="661" w:right="0" w:firstLine="0"/>
        <w:jc w:val="left"/>
        <w:rPr>
          <w:sz w:val="12"/>
        </w:rPr>
      </w:pPr>
      <w:r>
        <w:rPr/>
        <w:pict>
          <v:line style="position:absolute;mso-position-horizontal-relative:page;mso-position-vertical-relative:paragraph;z-index:15799808" from="206.332993pt,2.731013pt" to="210.666993pt,2.731013pt" stroked="true" strokeweight=".5pt" strokecolor="#000000">
            <v:stroke dashstyle="solid"/>
            <w10:wrap type="none"/>
          </v:line>
        </w:pict>
      </w:r>
      <w:r>
        <w:rPr>
          <w:sz w:val="12"/>
        </w:rPr>
        <w:t>12</w:t>
      </w:r>
    </w:p>
    <w:p>
      <w:pPr>
        <w:pStyle w:val="BodyText"/>
        <w:spacing w:before="6"/>
        <w:rPr>
          <w:sz w:val="12"/>
        </w:rPr>
      </w:pPr>
    </w:p>
    <w:p>
      <w:pPr>
        <w:spacing w:before="0"/>
        <w:ind w:left="0" w:right="38" w:firstLine="0"/>
        <w:jc w:val="right"/>
        <w:rPr>
          <w:sz w:val="12"/>
        </w:rPr>
      </w:pPr>
      <w:r>
        <w:rPr/>
        <w:pict>
          <v:line style="position:absolute;mso-position-horizontal-relative:page;mso-position-vertical-relative:paragraph;z-index:15794688" from="206.332993pt,4.008461pt" to="210.666993pt,4.008461pt" stroked="true" strokeweight=".5pt" strokecolor="#000000">
            <v:stroke dashstyle="solid"/>
            <w10:wrap type="none"/>
          </v:line>
        </w:pict>
      </w:r>
      <w:r>
        <w:rPr>
          <w:sz w:val="12"/>
        </w:rPr>
        <w:t>11</w:t>
      </w:r>
    </w:p>
    <w:p>
      <w:pPr>
        <w:pStyle w:val="BodyText"/>
        <w:spacing w:before="5"/>
        <w:rPr>
          <w:sz w:val="12"/>
        </w:rPr>
      </w:pPr>
    </w:p>
    <w:p>
      <w:pPr>
        <w:spacing w:before="0"/>
        <w:ind w:left="0" w:right="38" w:firstLine="0"/>
        <w:jc w:val="right"/>
        <w:rPr>
          <w:sz w:val="12"/>
        </w:rPr>
      </w:pPr>
      <w:r>
        <w:rPr/>
        <w:pict>
          <v:line style="position:absolute;mso-position-horizontal-relative:page;mso-position-vertical-relative:paragraph;z-index:15795200" from="206.332993pt,4.066052pt" to="210.666993pt,4.066052pt" stroked="true" strokeweight=".5pt" strokecolor="#000000">
            <v:stroke dashstyle="solid"/>
            <w10:wrap type="none"/>
          </v:line>
        </w:pict>
      </w:r>
      <w:r>
        <w:rPr>
          <w:sz w:val="12"/>
        </w:rPr>
        <w:t>10</w:t>
      </w:r>
    </w:p>
    <w:p>
      <w:pPr>
        <w:pStyle w:val="BodyText"/>
        <w:spacing w:before="6"/>
        <w:rPr>
          <w:sz w:val="12"/>
        </w:rPr>
      </w:pPr>
    </w:p>
    <w:p>
      <w:pPr>
        <w:spacing w:before="0"/>
        <w:ind w:left="0" w:right="38" w:firstLine="0"/>
        <w:jc w:val="right"/>
        <w:rPr>
          <w:sz w:val="12"/>
        </w:rPr>
      </w:pPr>
      <w:r>
        <w:rPr/>
        <w:pict>
          <v:line style="position:absolute;mso-position-horizontal-relative:page;mso-position-vertical-relative:paragraph;z-index:15795712" from="206.332993pt,4.125253pt" to="210.666993pt,4.125253pt" stroked="true" strokeweight=".5pt" strokecolor="#000000">
            <v:stroke dashstyle="solid"/>
            <w10:wrap type="none"/>
          </v:line>
        </w:pict>
      </w:r>
      <w:r>
        <w:rPr>
          <w:sz w:val="12"/>
        </w:rPr>
        <w:t>9</w:t>
      </w:r>
    </w:p>
    <w:p>
      <w:pPr>
        <w:pStyle w:val="BodyText"/>
        <w:spacing w:before="5"/>
        <w:rPr>
          <w:sz w:val="12"/>
        </w:rPr>
      </w:pPr>
    </w:p>
    <w:p>
      <w:pPr>
        <w:spacing w:before="0"/>
        <w:ind w:left="0" w:right="38" w:firstLine="0"/>
        <w:jc w:val="right"/>
        <w:rPr>
          <w:sz w:val="12"/>
        </w:rPr>
      </w:pPr>
      <w:r>
        <w:rPr/>
        <w:pict>
          <v:line style="position:absolute;mso-position-horizontal-relative:page;mso-position-vertical-relative:paragraph;z-index:15796224" from="206.332993pt,4.184455pt" to="210.666993pt,4.184455pt" stroked="true" strokeweight=".5pt" strokecolor="#000000">
            <v:stroke dashstyle="solid"/>
            <w10:wrap type="none"/>
          </v:line>
        </w:pict>
      </w:r>
      <w:r>
        <w:rPr>
          <w:sz w:val="12"/>
        </w:rPr>
        <w:t>8</w:t>
      </w:r>
    </w:p>
    <w:p>
      <w:pPr>
        <w:pStyle w:val="Heading6"/>
        <w:spacing w:line="242" w:lineRule="auto"/>
        <w:ind w:left="177" w:right="542"/>
      </w:pPr>
      <w:r>
        <w:rPr/>
        <w:br w:type="column"/>
      </w:r>
      <w:r>
        <w:rPr/>
        <w:t>increase from the high growth rates reached in late 1999. Annual growth in a broader measure of total lending to individuals by banks, building societies and other specialist lenders also edged up, to 9.7% in 2000 Q1.</w:t>
      </w:r>
    </w:p>
    <w:p>
      <w:pPr>
        <w:spacing w:after="0" w:line="242" w:lineRule="auto"/>
        <w:sectPr>
          <w:type w:val="continuous"/>
          <w:pgSz w:w="11900" w:h="16840"/>
          <w:pgMar w:top="1220" w:bottom="280" w:left="640" w:right="620"/>
          <w:cols w:num="3" w:equalWidth="0">
            <w:col w:w="839" w:space="2107"/>
            <w:col w:w="822" w:space="1034"/>
            <w:col w:w="5838"/>
          </w:cols>
        </w:sectPr>
      </w:pPr>
    </w:p>
    <w:p>
      <w:pPr>
        <w:pStyle w:val="BodyText"/>
        <w:spacing w:before="3"/>
        <w:rPr>
          <w:sz w:val="11"/>
        </w:rPr>
      </w:pPr>
    </w:p>
    <w:p>
      <w:pPr>
        <w:spacing w:before="1"/>
        <w:ind w:left="177" w:right="0" w:firstLine="0"/>
        <w:jc w:val="left"/>
        <w:rPr>
          <w:sz w:val="12"/>
        </w:rPr>
      </w:pPr>
      <w:r>
        <w:rPr/>
        <w:pict>
          <v:line style="position:absolute;mso-position-horizontal-relative:page;mso-position-vertical-relative:paragraph;z-index:15791104" from="49.401001pt,4.304555pt" to="53.734001pt,4.304555pt" stroked="true" strokeweight=".5pt" strokecolor="#000000">
            <v:stroke dashstyle="solid"/>
            <w10:wrap type="none"/>
          </v:line>
        </w:pict>
      </w:r>
      <w:r>
        <w:rPr>
          <w:sz w:val="12"/>
        </w:rPr>
        <w:t>0.6</w:t>
      </w:r>
    </w:p>
    <w:p>
      <w:pPr>
        <w:pStyle w:val="BodyText"/>
        <w:spacing w:before="5"/>
        <w:rPr>
          <w:sz w:val="12"/>
        </w:rPr>
      </w:pPr>
    </w:p>
    <w:p>
      <w:pPr>
        <w:spacing w:line="127" w:lineRule="exact" w:before="0"/>
        <w:ind w:left="177" w:right="0" w:firstLine="0"/>
        <w:jc w:val="left"/>
        <w:rPr>
          <w:sz w:val="12"/>
        </w:rPr>
      </w:pPr>
      <w:r>
        <w:rPr/>
        <w:pict>
          <v:line style="position:absolute;mso-position-horizontal-relative:page;mso-position-vertical-relative:paragraph;z-index:15791616" from="49.401001pt,4.313757pt" to="53.734001pt,4.313757pt" stroked="true" strokeweight=".5pt" strokecolor="#000000">
            <v:stroke dashstyle="solid"/>
            <w10:wrap type="none"/>
          </v:line>
        </w:pict>
      </w:r>
      <w:r>
        <w:rPr>
          <w:sz w:val="12"/>
        </w:rPr>
        <w:t>0.3</w:t>
      </w:r>
    </w:p>
    <w:p>
      <w:pPr>
        <w:spacing w:line="164" w:lineRule="exact" w:before="0"/>
        <w:ind w:left="289" w:right="0" w:firstLine="0"/>
        <w:jc w:val="left"/>
        <w:rPr>
          <w:sz w:val="16"/>
        </w:rPr>
      </w:pPr>
      <w:r>
        <w:rPr>
          <w:sz w:val="16"/>
        </w:rPr>
        <w:t>+</w:t>
      </w:r>
    </w:p>
    <w:p>
      <w:pPr>
        <w:spacing w:line="102" w:lineRule="exact" w:before="0"/>
        <w:ind w:left="177" w:right="0" w:firstLine="0"/>
        <w:jc w:val="left"/>
        <w:rPr>
          <w:sz w:val="12"/>
        </w:rPr>
      </w:pPr>
      <w:r>
        <w:rPr/>
        <w:pict>
          <v:line style="position:absolute;mso-position-horizontal-relative:page;mso-position-vertical-relative:paragraph;z-index:15792128" from="49.401001pt,3.906245pt" to="53.734001pt,3.906245pt" stroked="true" strokeweight=".5pt" strokecolor="#000000">
            <v:stroke dashstyle="solid"/>
            <w10:wrap type="none"/>
          </v:line>
        </w:pict>
      </w:r>
      <w:r>
        <w:rPr>
          <w:sz w:val="12"/>
        </w:rPr>
        <w:t>0.0</w:t>
      </w:r>
    </w:p>
    <w:p>
      <w:pPr>
        <w:spacing w:line="158" w:lineRule="exact" w:before="0"/>
        <w:ind w:left="296" w:right="0" w:firstLine="0"/>
        <w:jc w:val="left"/>
        <w:rPr>
          <w:sz w:val="16"/>
        </w:rPr>
      </w:pPr>
      <w:r>
        <w:rPr>
          <w:sz w:val="16"/>
        </w:rPr>
        <w:t>_</w:t>
      </w:r>
    </w:p>
    <w:p>
      <w:pPr>
        <w:spacing w:before="12"/>
        <w:ind w:left="177" w:right="0" w:firstLine="0"/>
        <w:jc w:val="left"/>
        <w:rPr>
          <w:sz w:val="12"/>
        </w:rPr>
      </w:pPr>
      <w:r>
        <w:rPr/>
        <w:pict>
          <v:line style="position:absolute;mso-position-horizontal-relative:page;mso-position-vertical-relative:paragraph;z-index:15793152" from="49.401001pt,5.03116pt" to="53.734001pt,5.03116pt" stroked="true" strokeweight=".5pt" strokecolor="#000000">
            <v:stroke dashstyle="solid"/>
            <w10:wrap type="none"/>
          </v:line>
        </w:pict>
      </w:r>
      <w:r>
        <w:rPr>
          <w:sz w:val="12"/>
        </w:rPr>
        <w:t>0.3</w:t>
      </w:r>
    </w:p>
    <w:p>
      <w:pPr>
        <w:pStyle w:val="BodyText"/>
        <w:spacing w:before="6"/>
        <w:rPr>
          <w:sz w:val="12"/>
        </w:rPr>
      </w:pPr>
    </w:p>
    <w:p>
      <w:pPr>
        <w:spacing w:before="0"/>
        <w:ind w:left="177" w:right="0" w:firstLine="0"/>
        <w:jc w:val="left"/>
        <w:rPr>
          <w:sz w:val="12"/>
        </w:rPr>
      </w:pPr>
      <w:r>
        <w:rPr/>
        <w:pict>
          <v:line style="position:absolute;mso-position-horizontal-relative:page;mso-position-vertical-relative:paragraph;z-index:15792640" from="49.401001pt,4.490361pt" to="53.734001pt,4.490361pt" stroked="true" strokeweight=".5pt" strokecolor="#000000">
            <v:stroke dashstyle="solid"/>
            <w10:wrap type="none"/>
          </v:line>
        </w:pict>
      </w:r>
      <w:r>
        <w:rPr>
          <w:sz w:val="12"/>
        </w:rPr>
        <w:t>0.6</w:t>
      </w:r>
    </w:p>
    <w:p>
      <w:pPr>
        <w:pStyle w:val="BodyText"/>
        <w:spacing w:before="5"/>
        <w:rPr>
          <w:sz w:val="12"/>
        </w:rPr>
      </w:pPr>
    </w:p>
    <w:p>
      <w:pPr>
        <w:spacing w:before="0"/>
        <w:ind w:left="177" w:right="0" w:firstLine="0"/>
        <w:jc w:val="left"/>
        <w:rPr>
          <w:sz w:val="12"/>
        </w:rPr>
      </w:pPr>
      <w:r>
        <w:rPr/>
        <w:pict>
          <v:line style="position:absolute;mso-position-horizontal-relative:page;mso-position-vertical-relative:paragraph;z-index:15793664" from="49.401001pt,4.549562pt" to="53.734001pt,4.549562pt" stroked="true" strokeweight=".5pt" strokecolor="#000000">
            <v:stroke dashstyle="solid"/>
            <w10:wrap type="none"/>
          </v:line>
        </w:pict>
      </w:r>
      <w:r>
        <w:rPr>
          <w:sz w:val="12"/>
        </w:rPr>
        <w:t>0.9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3"/>
        </w:rPr>
      </w:pPr>
    </w:p>
    <w:p>
      <w:pPr>
        <w:tabs>
          <w:tab w:pos="1171" w:val="left" w:leader="none"/>
        </w:tabs>
        <w:spacing w:before="1"/>
        <w:ind w:left="177" w:right="0" w:firstLine="0"/>
        <w:jc w:val="left"/>
        <w:rPr>
          <w:sz w:val="12"/>
        </w:rPr>
      </w:pPr>
      <w:r>
        <w:rPr>
          <w:sz w:val="12"/>
        </w:rPr>
        <w:t>1997</w:t>
        <w:tab/>
        <w:t>98</w:t>
      </w:r>
    </w:p>
    <w:p>
      <w:pPr>
        <w:pStyle w:val="BodyText"/>
        <w:spacing w:before="4"/>
        <w:rPr>
          <w:sz w:val="11"/>
        </w:rPr>
      </w:pPr>
      <w:r>
        <w:rPr/>
        <w:br w:type="column"/>
      </w:r>
      <w:r>
        <w:rPr>
          <w:sz w:val="11"/>
        </w:rPr>
      </w:r>
    </w:p>
    <w:p>
      <w:pPr>
        <w:spacing w:before="0"/>
        <w:ind w:left="1170" w:right="0" w:firstLine="0"/>
        <w:jc w:val="left"/>
        <w:rPr>
          <w:sz w:val="12"/>
        </w:rPr>
      </w:pPr>
      <w:r>
        <w:rPr>
          <w:sz w:val="12"/>
        </w:rPr>
        <w:t>7</w:t>
      </w:r>
    </w:p>
    <w:p>
      <w:pPr>
        <w:pStyle w:val="BodyText"/>
        <w:spacing w:before="5"/>
        <w:rPr>
          <w:sz w:val="12"/>
        </w:rPr>
      </w:pPr>
    </w:p>
    <w:p>
      <w:pPr>
        <w:spacing w:before="0"/>
        <w:ind w:left="1170" w:right="0" w:firstLine="0"/>
        <w:jc w:val="left"/>
        <w:rPr>
          <w:sz w:val="12"/>
        </w:rPr>
      </w:pPr>
      <w:r>
        <w:rPr/>
        <w:pict>
          <v:line style="position:absolute;mso-position-horizontal-relative:page;mso-position-vertical-relative:paragraph;z-index:15796736" from="206.332993pt,-9.831142pt" to="210.666993pt,-9.831142pt" stroked="true" strokeweight=".5pt" strokecolor="#000000">
            <v:stroke dashstyle="solid"/>
            <w10:wrap type="none"/>
          </v:line>
        </w:pict>
      </w:r>
      <w:r>
        <w:rPr/>
        <w:pict>
          <v:line style="position:absolute;mso-position-horizontal-relative:page;mso-position-vertical-relative:paragraph;z-index:15797248" from="206.332993pt,4.302858pt" to="210.666993pt,4.302858pt" stroked="true" strokeweight=".5pt" strokecolor="#000000">
            <v:stroke dashstyle="solid"/>
            <w10:wrap type="none"/>
          </v:line>
        </w:pict>
      </w:r>
      <w:r>
        <w:rPr>
          <w:sz w:val="12"/>
        </w:rPr>
        <w:t>6</w:t>
      </w:r>
    </w:p>
    <w:p>
      <w:pPr>
        <w:pStyle w:val="BodyText"/>
        <w:spacing w:before="6"/>
        <w:rPr>
          <w:sz w:val="12"/>
        </w:rPr>
      </w:pPr>
    </w:p>
    <w:p>
      <w:pPr>
        <w:spacing w:before="0"/>
        <w:ind w:left="1170" w:right="0" w:firstLine="0"/>
        <w:jc w:val="left"/>
        <w:rPr>
          <w:sz w:val="12"/>
        </w:rPr>
      </w:pPr>
      <w:r>
        <w:rPr/>
        <w:pict>
          <v:line style="position:absolute;mso-position-horizontal-relative:page;mso-position-vertical-relative:paragraph;z-index:15797760" from="206.332993pt,4.362059pt" to="210.666993pt,4.362059pt" stroked="true" strokeweight=".5pt" strokecolor="#000000">
            <v:stroke dashstyle="solid"/>
            <w10:wrap type="none"/>
          </v:line>
        </w:pict>
      </w:r>
      <w:r>
        <w:rPr>
          <w:sz w:val="12"/>
        </w:rPr>
        <w:t>5</w:t>
      </w:r>
    </w:p>
    <w:p>
      <w:pPr>
        <w:pStyle w:val="BodyText"/>
        <w:spacing w:before="5"/>
        <w:rPr>
          <w:sz w:val="12"/>
        </w:rPr>
      </w:pPr>
    </w:p>
    <w:p>
      <w:pPr>
        <w:spacing w:before="0"/>
        <w:ind w:left="1170" w:right="0" w:firstLine="0"/>
        <w:jc w:val="left"/>
        <w:rPr>
          <w:sz w:val="12"/>
        </w:rPr>
      </w:pPr>
      <w:r>
        <w:rPr/>
        <w:pict>
          <v:line style="position:absolute;mso-position-horizontal-relative:page;mso-position-vertical-relative:paragraph;z-index:15798784" from="206.332993pt,4.42026pt" to="210.666993pt,4.42026pt" stroked="true" strokeweight=".5pt" strokecolor="#000000">
            <v:stroke dashstyle="solid"/>
            <w10:wrap type="none"/>
          </v:line>
        </w:pict>
      </w:r>
      <w:r>
        <w:rPr>
          <w:sz w:val="12"/>
        </w:rPr>
        <w:t>4</w:t>
      </w:r>
    </w:p>
    <w:p>
      <w:pPr>
        <w:pStyle w:val="BodyText"/>
        <w:spacing w:before="6"/>
        <w:rPr>
          <w:sz w:val="12"/>
        </w:rPr>
      </w:pPr>
    </w:p>
    <w:p>
      <w:pPr>
        <w:spacing w:before="0"/>
        <w:ind w:left="1170" w:right="0" w:firstLine="0"/>
        <w:jc w:val="left"/>
        <w:rPr>
          <w:sz w:val="12"/>
        </w:rPr>
      </w:pPr>
      <w:r>
        <w:rPr/>
        <w:pict>
          <v:line style="position:absolute;mso-position-horizontal-relative:page;mso-position-vertical-relative:paragraph;z-index:15798272" from="206.332993pt,4.479462pt" to="210.666993pt,4.479462pt" stroked="true" strokeweight=".5pt" strokecolor="#000000">
            <v:stroke dashstyle="solid"/>
            <w10:wrap type="none"/>
          </v:line>
        </w:pict>
      </w:r>
      <w:r>
        <w:rPr>
          <w:sz w:val="12"/>
        </w:rPr>
        <w:t>3</w:t>
      </w:r>
    </w:p>
    <w:p>
      <w:pPr>
        <w:pStyle w:val="BodyText"/>
        <w:spacing w:before="5"/>
        <w:rPr>
          <w:sz w:val="12"/>
        </w:rPr>
      </w:pPr>
    </w:p>
    <w:p>
      <w:pPr>
        <w:spacing w:before="0"/>
        <w:ind w:left="1170" w:right="0" w:firstLine="0"/>
        <w:jc w:val="left"/>
        <w:rPr>
          <w:sz w:val="12"/>
        </w:rPr>
      </w:pPr>
      <w:r>
        <w:rPr/>
        <w:pict>
          <v:shape style="position:absolute;margin-left:57.625pt;margin-top:1.171663pt;width:144.9pt;height:3.4pt;mso-position-horizontal-relative:page;mso-position-vertical-relative:paragraph;z-index:15788544" coordorigin="1153,23" coordsize="2898,68" path="m1155,91l4050,91m1153,23l1153,91m2043,23l2043,91m2933,23l2933,91m3823,23l3823,91e" filled="false" stroked="true" strokeweight=".5pt" strokecolor="#000000">
            <v:path arrowok="t"/>
            <v:stroke dashstyle="solid"/>
            <w10:wrap type="none"/>
          </v:shape>
        </w:pict>
      </w:r>
      <w:r>
        <w:rPr/>
        <w:pict>
          <v:line style="position:absolute;mso-position-horizontal-relative:page;mso-position-vertical-relative:paragraph;z-index:15799296" from="206.332993pt,4.538663pt" to="210.666993pt,4.538663pt" stroked="true" strokeweight=".5pt" strokecolor="#000000">
            <v:stroke dashstyle="solid"/>
            <w10:wrap type="none"/>
          </v:line>
        </w:pict>
      </w:r>
      <w:r>
        <w:rPr>
          <w:sz w:val="12"/>
        </w:rPr>
        <w:t>2</w:t>
      </w:r>
    </w:p>
    <w:p>
      <w:pPr>
        <w:tabs>
          <w:tab w:pos="725" w:val="left" w:leader="none"/>
        </w:tabs>
        <w:spacing w:before="1"/>
        <w:ind w:left="177" w:right="0" w:firstLine="0"/>
        <w:jc w:val="left"/>
        <w:rPr>
          <w:sz w:val="12"/>
        </w:rPr>
      </w:pPr>
      <w:r>
        <w:rPr>
          <w:sz w:val="12"/>
        </w:rPr>
        <w:t>99</w:t>
        <w:tab/>
        <w:t>2000</w:t>
      </w:r>
    </w:p>
    <w:p>
      <w:pPr>
        <w:pStyle w:val="BodyText"/>
        <w:spacing w:before="2"/>
        <w:rPr>
          <w:sz w:val="24"/>
        </w:rPr>
      </w:pPr>
      <w:r>
        <w:rPr/>
        <w:br w:type="column"/>
      </w:r>
      <w:r>
        <w:rPr>
          <w:sz w:val="24"/>
        </w:rPr>
      </w:r>
    </w:p>
    <w:p>
      <w:pPr>
        <w:pStyle w:val="Heading6"/>
        <w:spacing w:line="242" w:lineRule="auto"/>
        <w:ind w:left="177" w:right="155"/>
      </w:pPr>
      <w:r>
        <w:rPr/>
        <w:t>Within the total, net secured lending to individuals grew by 8.7% in the year to 2000 Q1. For much of 1999, new loan approvals were well above gross new lending, leading to a substantial build-up in the stock of unused mortgage approvals (see Chart 1.5). Around the turn of the year, there was a slowdown in loan approvals.</w:t>
      </w:r>
    </w:p>
    <w:p>
      <w:pPr>
        <w:spacing w:after="0" w:line="242" w:lineRule="auto"/>
        <w:sectPr>
          <w:type w:val="continuous"/>
          <w:pgSz w:w="11900" w:h="16840"/>
          <w:pgMar w:top="1220" w:bottom="280" w:left="640" w:right="620"/>
          <w:cols w:num="4" w:equalWidth="0">
            <w:col w:w="421" w:space="205"/>
            <w:col w:w="1332" w:space="539"/>
            <w:col w:w="1271" w:space="1034"/>
            <w:col w:w="5838"/>
          </w:cols>
        </w:sectPr>
      </w:pPr>
    </w:p>
    <w:p>
      <w:pPr>
        <w:spacing w:before="6"/>
        <w:ind w:left="180" w:right="0" w:firstLine="0"/>
        <w:jc w:val="left"/>
        <w:rPr>
          <w:sz w:val="12"/>
        </w:rPr>
      </w:pPr>
      <w:r>
        <w:rPr>
          <w:sz w:val="12"/>
        </w:rPr>
        <w:t>Source: Bank of England.</w:t>
      </w:r>
    </w:p>
    <w:p>
      <w:pPr>
        <w:spacing w:before="102"/>
        <w:ind w:left="180" w:right="0" w:firstLine="0"/>
        <w:jc w:val="left"/>
        <w:rPr>
          <w:sz w:val="12"/>
        </w:rPr>
      </w:pPr>
      <w:r>
        <w:rPr>
          <w:sz w:val="12"/>
        </w:rPr>
        <w:t>(a) Defined as gross approvals net of cancellations and gross lending.</w:t>
      </w:r>
    </w:p>
    <w:p>
      <w:pPr>
        <w:pStyle w:val="BodyText"/>
        <w:rPr>
          <w:sz w:val="12"/>
        </w:rPr>
      </w:pPr>
    </w:p>
    <w:p>
      <w:pPr>
        <w:spacing w:before="75"/>
        <w:ind w:left="190" w:right="0" w:firstLine="0"/>
        <w:jc w:val="left"/>
        <w:rPr>
          <w:b/>
          <w:sz w:val="20"/>
        </w:rPr>
      </w:pPr>
      <w:r>
        <w:rPr>
          <w:b/>
          <w:color w:val="0092C7"/>
          <w:sz w:val="20"/>
        </w:rPr>
        <w:t>Chart 1.6</w:t>
      </w:r>
    </w:p>
    <w:p>
      <w:pPr>
        <w:spacing w:line="249" w:lineRule="auto" w:before="10"/>
        <w:ind w:left="190" w:right="19" w:firstLine="0"/>
        <w:jc w:val="left"/>
        <w:rPr>
          <w:b/>
          <w:sz w:val="20"/>
        </w:rPr>
      </w:pPr>
      <w:r>
        <w:rPr>
          <w:b/>
          <w:color w:val="0092C7"/>
          <w:sz w:val="20"/>
        </w:rPr>
        <w:t>Total lending for consumption and household expenditure</w:t>
      </w:r>
    </w:p>
    <w:p>
      <w:pPr>
        <w:spacing w:line="242" w:lineRule="auto" w:before="8"/>
        <w:ind w:left="180" w:right="227" w:firstLine="0"/>
        <w:jc w:val="left"/>
        <w:rPr>
          <w:sz w:val="24"/>
        </w:rPr>
      </w:pPr>
      <w:r>
        <w:rPr/>
        <w:br w:type="column"/>
      </w:r>
      <w:r>
        <w:rPr>
          <w:sz w:val="24"/>
        </w:rPr>
        <w:t>Although lending also eased somewhat, it remained stronger than new approvals as this stock was run down. More recently loan approvals and lending have picked up once again, suggesting that current housing market activity remains relatively firm.</w:t>
      </w:r>
    </w:p>
    <w:p>
      <w:pPr>
        <w:spacing w:after="0" w:line="242" w:lineRule="auto"/>
        <w:jc w:val="left"/>
        <w:rPr>
          <w:sz w:val="24"/>
        </w:rPr>
        <w:sectPr>
          <w:type w:val="continuous"/>
          <w:pgSz w:w="11900" w:h="16840"/>
          <w:pgMar w:top="1220" w:bottom="280" w:left="640" w:right="620"/>
          <w:cols w:num="2" w:equalWidth="0">
            <w:col w:w="4114" w:space="686"/>
            <w:col w:w="5840"/>
          </w:cols>
        </w:sectPr>
      </w:pPr>
    </w:p>
    <w:p>
      <w:pPr>
        <w:spacing w:line="121" w:lineRule="exact" w:before="0"/>
        <w:ind w:left="442" w:right="0" w:firstLine="0"/>
        <w:jc w:val="left"/>
        <w:rPr>
          <w:sz w:val="12"/>
        </w:rPr>
      </w:pPr>
      <w:r>
        <w:rPr>
          <w:sz w:val="12"/>
        </w:rPr>
        <w:t>Percentage of disposable</w:t>
      </w:r>
    </w:p>
    <w:p>
      <w:pPr>
        <w:spacing w:line="237" w:lineRule="auto" w:before="0"/>
        <w:ind w:left="215" w:right="0" w:firstLine="0"/>
        <w:jc w:val="left"/>
        <w:rPr>
          <w:sz w:val="12"/>
        </w:rPr>
      </w:pPr>
      <w:r>
        <w:rPr/>
        <w:pict>
          <v:group style="position:absolute;margin-left:62.625pt;margin-top:17.351776pt;width:148.35pt;height:121.65pt;mso-position-horizontal-relative:page;mso-position-vertical-relative:paragraph;z-index:15801344" coordorigin="1253,347" coordsize="2967,2433">
            <v:shape style="position:absolute;left:1262;top:357;width:523;height:673" coordorigin="1263,357" coordsize="523,673" path="m1263,875l1325,1030m1325,1030l1373,772m1373,772l1433,892m1433,892l1495,530m1495,530l1555,755m1555,755l1603,357m1603,357l1665,617m1665,617l1725,582m1725,582l1785,617e" filled="false" stroked="true" strokeweight="1pt" strokecolor="#835335">
              <v:path arrowok="t"/>
              <v:stroke dashstyle="solid"/>
            </v:shape>
            <v:line style="position:absolute" from="1810,607" to="1810,1212" stroked="true" strokeweight="3.5pt" strokecolor="#835335">
              <v:stroke dashstyle="solid"/>
            </v:line>
            <v:shape style="position:absolute;left:1835;top:1134;width:1033;height:1085" coordorigin="1835,1135" coordsize="1033,1085" path="m1835,1202l1895,1167m1895,1167l1955,1220m1955,1220l2005,1135m2005,1135l2065,1305m2065,1305l2125,1427m2125,1427l2188,1650m2188,1650l2235,1565m2235,1565l2295,1787m2295,1787l2358,1702m2358,1702l2418,1910m2418,1910l2465,2132m2465,2132l2528,2220m2528,2220l2588,2185m2588,2185l2638,1977m2638,1977l2698,2082m2698,2082l2758,1892m2758,1892l2818,2047m2818,2047l2868,1650e" filled="false" stroked="true" strokeweight="1pt" strokecolor="#835335">
              <v:path arrowok="t"/>
              <v:stroke dashstyle="solid"/>
            </v:shape>
            <v:shape style="position:absolute;left:2857;top:1519;width:653;height:450" type="#_x0000_t75" stroked="false">
              <v:imagedata r:id="rId29" o:title=""/>
            </v:shape>
            <v:shape style="position:absolute;left:3500;top:789;width:583;height:1155" coordorigin="3500,790" coordsize="583,1155" path="m3500,1530l3620,1945m3620,1945l3670,1685m3670,1685l3730,1357m3730,1357l3790,1220m3790,1220l3853,857m3853,857l3900,910m3900,910l3960,1030m3960,1030l4023,790m4023,790l4083,1322e" filled="false" stroked="true" strokeweight="1pt" strokecolor="#835335">
              <v:path arrowok="t"/>
              <v:stroke dashstyle="solid"/>
            </v:shape>
            <v:line style="position:absolute" from="4106,727" to="4106,1332" stroked="true" strokeweight="3.375pt" strokecolor="#835335">
              <v:stroke dashstyle="solid"/>
            </v:line>
            <v:line style="position:absolute" from="4130,737" to="4193,1100" stroked="true" strokeweight="1pt" strokecolor="#835335">
              <v:stroke dashstyle="solid"/>
            </v:line>
            <v:shape style="position:absolute;left:1262;top:789;width:293;height:448" coordorigin="1263,790" coordsize="293,448" path="m1263,1237l1325,1220m1325,1220l1373,1202m1373,1202l1433,807m1433,807l1495,790m1495,790l1555,892e" filled="false" stroked="true" strokeweight="1pt" strokecolor="#44af34">
              <v:path arrowok="t"/>
              <v:stroke dashstyle="solid"/>
            </v:shape>
            <v:line style="position:absolute" from="1579,400" to="1579,902" stroked="true" strokeweight="3.375pt" strokecolor="#44af34">
              <v:stroke dashstyle="solid"/>
            </v:line>
            <v:shape style="position:absolute;left:1602;top:409;width:1958;height:2360" coordorigin="1603,410" coordsize="1958,2360" path="m1603,410l1665,1392m1665,1392l1725,1530m1725,1530l1785,1410m1785,1410l1835,1340m1835,1340l1895,1290m1895,1290l1955,1272m1955,1272l2005,1462m2005,1462l2065,1720m2065,1720l2125,1617m2125,1617l2188,1787m2188,1787l2235,1875m2235,1875l2295,2047m2295,2047l2358,2167m2358,2167l2418,2185m2418,2185l2465,2392m2465,2392l2528,2375m2528,2375l2588,2770m2588,2770l2638,2530m2638,2530l2698,2582m2698,2582l2758,2477m2758,2477l2818,2287m2818,2287l2868,2495m2868,2495l2928,2255m2928,2255l2990,2357m2990,2357l3038,2410m3038,2410l3098,2427m3098,2427l3160,2597m3160,2597l3220,2530m3220,2530l3268,2460m3268,2460l3330,2442m3330,2442l3390,2375m3390,2375l3450,2340m3450,2340l3500,2287m3500,2287l3560,2185e" filled="false" stroked="true" strokeweight="1pt" strokecolor="#44af34">
              <v:path arrowok="t"/>
              <v:stroke dashstyle="solid"/>
            </v:shape>
            <v:line style="position:absolute" from="3550,2186" to="3630,2186" stroked="true" strokeweight="1.125pt" strokecolor="#44af34">
              <v:stroke dashstyle="solid"/>
            </v:line>
            <v:shape style="position:absolute;left:3620;top:2184;width:170;height:120" coordorigin="3620,2185" coordsize="170,120" path="m3620,2185l3670,2305m3670,2305l3730,2185m3730,2185l3790,2202e" filled="false" stroked="true" strokeweight="1pt" strokecolor="#44af34">
              <v:path arrowok="t"/>
              <v:stroke dashstyle="solid"/>
            </v:shape>
            <v:line style="position:absolute" from="3780,2203" to="3863,2203" stroked="true" strokeweight="1.125pt" strokecolor="#44af34">
              <v:stroke dashstyle="solid"/>
            </v:line>
            <v:shape style="position:absolute;left:3852;top:1667;width:340;height:535" coordorigin="3853,1667" coordsize="340,535" path="m3853,2202l3900,2065m3900,2065l3960,2167m3960,2167l4023,2150m4023,2150l4083,1892m4083,1892l4130,1667m4130,1667l4193,1822e" filled="false" stroked="true" strokeweight="1pt" strokecolor="#44af34">
              <v:path arrowok="t"/>
              <v:stroke dashstyle="solid"/>
            </v:shape>
            <v:shape style="position:absolute;left:2892;top:612;width:1090;height:379" type="#_x0000_t202" filled="false" stroked="false">
              <v:textbox inset="0,0,0,0">
                <w:txbxContent>
                  <w:p>
                    <w:pPr>
                      <w:spacing w:line="204" w:lineRule="auto" w:before="12"/>
                      <w:ind w:left="87" w:right="1" w:hanging="88"/>
                      <w:jc w:val="left"/>
                      <w:rPr>
                        <w:sz w:val="12"/>
                      </w:rPr>
                    </w:pPr>
                    <w:r>
                      <w:rPr>
                        <w:sz w:val="12"/>
                      </w:rPr>
                      <w:t>Nominal consumption expenditure</w:t>
                    </w:r>
                  </w:p>
                  <w:p>
                    <w:pPr>
                      <w:spacing w:line="132" w:lineRule="exact" w:before="0"/>
                      <w:ind w:left="100" w:right="0" w:firstLine="0"/>
                      <w:jc w:val="left"/>
                      <w:rPr>
                        <w:sz w:val="12"/>
                      </w:rPr>
                    </w:pPr>
                    <w:r>
                      <w:rPr>
                        <w:sz w:val="12"/>
                      </w:rPr>
                      <w:t>(left-hand scale)</w:t>
                    </w:r>
                  </w:p>
                </w:txbxContent>
              </v:textbox>
              <w10:wrap type="none"/>
            </v:shape>
            <v:shape style="position:absolute;left:1256;top:1660;width:2963;height:850" type="#_x0000_t202" filled="false" stroked="false">
              <v:textbox inset="0,0,0,0">
                <w:txbxContent>
                  <w:p>
                    <w:pPr>
                      <w:spacing w:line="232" w:lineRule="auto" w:before="0"/>
                      <w:ind w:left="188" w:right="2191" w:hanging="40"/>
                      <w:jc w:val="left"/>
                      <w:rPr>
                        <w:sz w:val="12"/>
                      </w:rPr>
                    </w:pPr>
                    <w:r>
                      <w:rPr>
                        <w:sz w:val="12"/>
                      </w:rPr>
                      <w:t>Unsecured lending and MEW</w:t>
                    </w:r>
                  </w:p>
                  <w:p>
                    <w:pPr>
                      <w:spacing w:line="128" w:lineRule="exact" w:before="0"/>
                      <w:ind w:left="178" w:right="0" w:firstLine="0"/>
                      <w:jc w:val="left"/>
                      <w:rPr>
                        <w:sz w:val="12"/>
                      </w:rPr>
                    </w:pPr>
                    <w:r>
                      <w:rPr>
                        <w:sz w:val="12"/>
                      </w:rPr>
                      <w:t>(right-hand scale)</w:t>
                    </w:r>
                  </w:p>
                  <w:p>
                    <w:pPr>
                      <w:spacing w:line="240" w:lineRule="auto" w:before="9"/>
                      <w:rPr>
                        <w:sz w:val="11"/>
                      </w:rPr>
                    </w:pPr>
                  </w:p>
                  <w:p>
                    <w:pPr>
                      <w:tabs>
                        <w:tab w:pos="2942" w:val="left" w:leader="none"/>
                      </w:tabs>
                      <w:spacing w:before="0"/>
                      <w:ind w:left="0" w:right="0" w:firstLine="0"/>
                      <w:jc w:val="left"/>
                      <w:rPr>
                        <w:sz w:val="16"/>
                      </w:rPr>
                    </w:pPr>
                    <w:r>
                      <w:rPr>
                        <w:sz w:val="16"/>
                        <w:u w:val="single"/>
                      </w:rPr>
                      <w:t> </w:t>
                      <w:tab/>
                    </w:r>
                  </w:p>
                </w:txbxContent>
              </v:textbox>
              <w10:wrap type="none"/>
            </v:shape>
            <w10:wrap type="none"/>
          </v:group>
        </w:pict>
      </w:r>
      <w:r>
        <w:rPr/>
        <w:pict>
          <v:line style="position:absolute;mso-position-horizontal-relative:page;mso-position-vertical-relative:paragraph;z-index:15805440" from="53.5pt,8.768776pt" to="57.833pt,8.768776pt" stroked="true" strokeweight=".5pt" strokecolor="#000000">
            <v:stroke dashstyle="solid"/>
            <w10:wrap type="none"/>
          </v:line>
        </w:pict>
      </w:r>
      <w:r>
        <w:rPr>
          <w:position w:val="-6"/>
          <w:sz w:val="12"/>
        </w:rPr>
        <w:t>98 </w:t>
      </w:r>
      <w:r>
        <w:rPr>
          <w:sz w:val="12"/>
        </w:rPr>
        <w:t>income</w:t>
      </w:r>
    </w:p>
    <w:p>
      <w:pPr>
        <w:pStyle w:val="BodyText"/>
        <w:spacing w:before="3"/>
        <w:rPr>
          <w:sz w:val="24"/>
        </w:rPr>
      </w:pPr>
    </w:p>
    <w:p>
      <w:pPr>
        <w:spacing w:before="0"/>
        <w:ind w:left="215" w:right="0" w:firstLine="0"/>
        <w:jc w:val="left"/>
        <w:rPr>
          <w:sz w:val="12"/>
        </w:rPr>
      </w:pPr>
      <w:r>
        <w:rPr/>
        <w:pict>
          <v:line style="position:absolute;mso-position-horizontal-relative:page;mso-position-vertical-relative:paragraph;z-index:15801856" from="53.5pt,4.726364pt" to="57.833pt,4.726364pt" stroked="true" strokeweight=".5pt" strokecolor="#000000">
            <v:stroke dashstyle="solid"/>
            <w10:wrap type="none"/>
          </v:line>
        </w:pict>
      </w:r>
      <w:r>
        <w:rPr>
          <w:sz w:val="12"/>
        </w:rPr>
        <w:t>96</w:t>
      </w:r>
    </w:p>
    <w:p>
      <w:pPr>
        <w:pStyle w:val="BodyText"/>
        <w:rPr>
          <w:sz w:val="12"/>
        </w:rPr>
      </w:pPr>
    </w:p>
    <w:p>
      <w:pPr>
        <w:pStyle w:val="BodyText"/>
        <w:spacing w:before="10"/>
        <w:rPr>
          <w:sz w:val="11"/>
        </w:rPr>
      </w:pPr>
    </w:p>
    <w:p>
      <w:pPr>
        <w:spacing w:before="0"/>
        <w:ind w:left="215" w:right="0" w:firstLine="0"/>
        <w:jc w:val="left"/>
        <w:rPr>
          <w:sz w:val="12"/>
        </w:rPr>
      </w:pPr>
      <w:r>
        <w:rPr/>
        <w:pict>
          <v:line style="position:absolute;mso-position-horizontal-relative:page;mso-position-vertical-relative:paragraph;z-index:15802368" from="53.5pt,5.435364pt" to="57.833pt,5.435364pt" stroked="true" strokeweight=".5pt" strokecolor="#000000">
            <v:stroke dashstyle="solid"/>
            <w10:wrap type="none"/>
          </v:line>
        </w:pict>
      </w:r>
      <w:r>
        <w:rPr>
          <w:sz w:val="12"/>
        </w:rPr>
        <w:t>94</w:t>
      </w:r>
    </w:p>
    <w:p>
      <w:pPr>
        <w:pStyle w:val="BodyText"/>
        <w:rPr>
          <w:sz w:val="12"/>
        </w:rPr>
      </w:pPr>
    </w:p>
    <w:p>
      <w:pPr>
        <w:pStyle w:val="BodyText"/>
        <w:spacing w:before="1"/>
        <w:rPr>
          <w:sz w:val="12"/>
        </w:rPr>
      </w:pPr>
    </w:p>
    <w:p>
      <w:pPr>
        <w:spacing w:before="0"/>
        <w:ind w:left="215" w:right="0" w:firstLine="0"/>
        <w:jc w:val="left"/>
        <w:rPr>
          <w:sz w:val="12"/>
        </w:rPr>
      </w:pPr>
      <w:r>
        <w:rPr/>
        <w:pict>
          <v:line style="position:absolute;mso-position-horizontal-relative:page;mso-position-vertical-relative:paragraph;z-index:15802880" from="53.5pt,5.018562pt" to="57.833pt,5.018562pt" stroked="true" strokeweight=".5pt" strokecolor="#000000">
            <v:stroke dashstyle="solid"/>
            <w10:wrap type="none"/>
          </v:line>
        </w:pict>
      </w:r>
      <w:r>
        <w:rPr>
          <w:sz w:val="12"/>
        </w:rPr>
        <w:t>92</w:t>
      </w:r>
    </w:p>
    <w:p>
      <w:pPr>
        <w:pStyle w:val="BodyText"/>
        <w:rPr>
          <w:sz w:val="12"/>
        </w:rPr>
      </w:pPr>
    </w:p>
    <w:p>
      <w:pPr>
        <w:pStyle w:val="BodyText"/>
        <w:spacing w:before="4"/>
        <w:rPr>
          <w:sz w:val="10"/>
        </w:rPr>
      </w:pPr>
    </w:p>
    <w:p>
      <w:pPr>
        <w:spacing w:before="0"/>
        <w:ind w:left="215" w:right="0" w:firstLine="0"/>
        <w:jc w:val="left"/>
        <w:rPr>
          <w:sz w:val="12"/>
        </w:rPr>
      </w:pPr>
      <w:r>
        <w:rPr/>
        <w:pict>
          <v:line style="position:absolute;mso-position-horizontal-relative:page;mso-position-vertical-relative:paragraph;z-index:15803392" from="53.5pt,4.601364pt" to="57.833pt,4.601364pt" stroked="true" strokeweight=".5pt" strokecolor="#000000">
            <v:stroke dashstyle="solid"/>
            <w10:wrap type="none"/>
          </v:line>
        </w:pict>
      </w:r>
      <w:r>
        <w:rPr>
          <w:sz w:val="12"/>
        </w:rPr>
        <w:t>90</w:t>
      </w:r>
    </w:p>
    <w:p>
      <w:pPr>
        <w:pStyle w:val="BodyText"/>
        <w:rPr>
          <w:sz w:val="12"/>
        </w:rPr>
      </w:pPr>
    </w:p>
    <w:p>
      <w:pPr>
        <w:pStyle w:val="BodyText"/>
        <w:spacing w:before="1"/>
        <w:rPr>
          <w:sz w:val="12"/>
        </w:rPr>
      </w:pPr>
    </w:p>
    <w:p>
      <w:pPr>
        <w:spacing w:before="0"/>
        <w:ind w:left="215" w:right="0" w:firstLine="0"/>
        <w:jc w:val="left"/>
        <w:rPr>
          <w:sz w:val="12"/>
        </w:rPr>
      </w:pPr>
      <w:r>
        <w:rPr/>
        <w:pict>
          <v:line style="position:absolute;mso-position-horizontal-relative:page;mso-position-vertical-relative:paragraph;z-index:15804416" from="53.5pt,5.184563pt" to="57.833pt,5.184563pt" stroked="true" strokeweight=".5pt" strokecolor="#000000">
            <v:stroke dashstyle="solid"/>
            <w10:wrap type="none"/>
          </v:line>
        </w:pict>
      </w:r>
      <w:r>
        <w:rPr>
          <w:sz w:val="12"/>
        </w:rPr>
        <w:t>88</w:t>
      </w:r>
    </w:p>
    <w:p>
      <w:pPr>
        <w:pStyle w:val="BodyText"/>
        <w:rPr>
          <w:sz w:val="12"/>
        </w:rPr>
      </w:pPr>
    </w:p>
    <w:p>
      <w:pPr>
        <w:pStyle w:val="BodyText"/>
        <w:spacing w:before="10"/>
        <w:rPr>
          <w:sz w:val="11"/>
        </w:rPr>
      </w:pPr>
    </w:p>
    <w:p>
      <w:pPr>
        <w:spacing w:before="0"/>
        <w:ind w:left="215" w:right="0" w:firstLine="0"/>
        <w:jc w:val="left"/>
        <w:rPr>
          <w:sz w:val="12"/>
        </w:rPr>
      </w:pPr>
      <w:r>
        <w:rPr/>
        <w:pict>
          <v:line style="position:absolute;mso-position-horizontal-relative:page;mso-position-vertical-relative:paragraph;z-index:15803904" from="53.5pt,4.893562pt" to="57.833pt,4.893562pt" stroked="true" strokeweight=".5pt" strokecolor="#000000">
            <v:stroke dashstyle="solid"/>
            <w10:wrap type="none"/>
          </v:line>
        </w:pict>
      </w:r>
      <w:r>
        <w:rPr>
          <w:sz w:val="12"/>
        </w:rPr>
        <w:t>86</w:t>
      </w:r>
    </w:p>
    <w:p>
      <w:pPr>
        <w:pStyle w:val="BodyText"/>
        <w:rPr>
          <w:sz w:val="12"/>
        </w:rPr>
      </w:pPr>
    </w:p>
    <w:p>
      <w:pPr>
        <w:pStyle w:val="BodyText"/>
        <w:spacing w:before="10"/>
        <w:rPr>
          <w:sz w:val="11"/>
        </w:rPr>
      </w:pPr>
    </w:p>
    <w:p>
      <w:pPr>
        <w:spacing w:before="0"/>
        <w:ind w:left="215" w:right="0" w:firstLine="0"/>
        <w:jc w:val="left"/>
        <w:rPr>
          <w:sz w:val="12"/>
        </w:rPr>
      </w:pPr>
      <w:r>
        <w:rPr/>
        <w:pict>
          <v:line style="position:absolute;mso-position-horizontal-relative:page;mso-position-vertical-relative:paragraph;z-index:15804928" from="53.5pt,4.601563pt" to="57.833pt,4.601563pt" stroked="true" strokeweight=".5pt" strokecolor="#000000">
            <v:stroke dashstyle="solid"/>
            <w10:wrap type="none"/>
          </v:line>
        </w:pict>
      </w:r>
      <w:r>
        <w:rPr/>
        <w:pict>
          <v:shape style="position:absolute;margin-left:63.208pt;margin-top:2.309562pt;width:155.3pt;height:3.4pt;mso-position-horizontal-relative:page;mso-position-vertical-relative:paragraph;z-index:15805952" coordorigin="1264,46" coordsize="3106,68" path="m1267,113l4220,113m1264,46l1264,113m1493,46l1493,113m1950,46l1950,113m2408,46l2408,113m2865,46l2865,113m3322,46l3322,113m3800,46l3800,113m4028,46l4028,113m3094,46l3094,113m3571,46l3571,113m2179,46l2179,113m2636,46l2636,113m1722,46l1722,113m4283,92l4370,92e" filled="false" stroked="true" strokeweight=".5pt" strokecolor="#000000">
            <v:path arrowok="t"/>
            <v:stroke dashstyle="solid"/>
            <w10:wrap type="none"/>
          </v:shape>
        </w:pict>
      </w:r>
      <w:r>
        <w:rPr>
          <w:sz w:val="12"/>
        </w:rPr>
        <w:t>84</w:t>
      </w:r>
    </w:p>
    <w:p>
      <w:pPr>
        <w:spacing w:line="121" w:lineRule="exact" w:before="0"/>
        <w:ind w:left="0" w:right="222" w:firstLine="0"/>
        <w:jc w:val="right"/>
        <w:rPr>
          <w:sz w:val="12"/>
        </w:rPr>
      </w:pPr>
      <w:r>
        <w:rPr/>
        <w:br w:type="column"/>
      </w:r>
      <w:r>
        <w:rPr>
          <w:sz w:val="12"/>
        </w:rPr>
        <w:t>Percentage of disposable</w:t>
      </w:r>
    </w:p>
    <w:p>
      <w:pPr>
        <w:spacing w:line="120" w:lineRule="exact" w:before="0"/>
        <w:ind w:left="0" w:right="222" w:firstLine="0"/>
        <w:jc w:val="right"/>
        <w:rPr>
          <w:sz w:val="12"/>
        </w:rPr>
      </w:pPr>
      <w:r>
        <w:rPr>
          <w:sz w:val="12"/>
        </w:rPr>
        <w:t>income</w:t>
      </w:r>
    </w:p>
    <w:p>
      <w:pPr>
        <w:spacing w:line="120" w:lineRule="exact" w:before="0"/>
        <w:ind w:left="1472" w:right="0" w:firstLine="0"/>
        <w:jc w:val="left"/>
        <w:rPr>
          <w:sz w:val="12"/>
        </w:rPr>
      </w:pPr>
      <w:r>
        <w:rPr/>
        <w:pict>
          <v:line style="position:absolute;mso-position-horizontal-relative:page;mso-position-vertical-relative:paragraph;z-index:15809024" from="214.167007pt,2.755371pt" to="218.500007pt,2.755371pt" stroked="true" strokeweight=".5pt" strokecolor="#000000">
            <v:stroke dashstyle="solid"/>
            <w10:wrap type="none"/>
          </v:line>
        </w:pict>
      </w:r>
      <w:r>
        <w:rPr>
          <w:sz w:val="12"/>
        </w:rPr>
        <w:t>12</w:t>
      </w:r>
    </w:p>
    <w:p>
      <w:pPr>
        <w:pStyle w:val="BodyText"/>
        <w:rPr>
          <w:sz w:val="12"/>
        </w:rPr>
      </w:pPr>
    </w:p>
    <w:p>
      <w:pPr>
        <w:pStyle w:val="BodyText"/>
        <w:spacing w:before="1"/>
        <w:rPr>
          <w:sz w:val="12"/>
        </w:rPr>
      </w:pPr>
    </w:p>
    <w:p>
      <w:pPr>
        <w:spacing w:before="0"/>
        <w:ind w:left="0" w:right="38" w:firstLine="0"/>
        <w:jc w:val="right"/>
        <w:rPr>
          <w:sz w:val="12"/>
        </w:rPr>
      </w:pPr>
      <w:r>
        <w:rPr/>
        <w:pict>
          <v:line style="position:absolute;mso-position-horizontal-relative:page;mso-position-vertical-relative:paragraph;z-index:15806464" from="214.167007pt,3.225067pt" to="218.500007pt,3.225067pt" stroked="true" strokeweight=".5pt" strokecolor="#000000">
            <v:stroke dashstyle="solid"/>
            <w10:wrap type="none"/>
          </v:line>
        </w:pict>
      </w:r>
      <w:r>
        <w:rPr>
          <w:sz w:val="12"/>
        </w:rPr>
        <w:t>10</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806976" from="214.167007pt,3.934067pt" to="218.500007pt,3.934067pt" stroked="true" strokeweight=".5pt" strokecolor="#000000">
            <v:stroke dashstyle="solid"/>
            <w10:wrap type="none"/>
          </v:line>
        </w:pict>
      </w:r>
      <w:r>
        <w:rPr>
          <w:sz w:val="12"/>
        </w:rPr>
        <w:t>8</w:t>
      </w:r>
    </w:p>
    <w:p>
      <w:pPr>
        <w:pStyle w:val="BodyText"/>
        <w:rPr>
          <w:sz w:val="12"/>
        </w:rPr>
      </w:pPr>
    </w:p>
    <w:p>
      <w:pPr>
        <w:pStyle w:val="BodyText"/>
        <w:spacing w:before="1"/>
        <w:rPr>
          <w:sz w:val="12"/>
        </w:rPr>
      </w:pPr>
    </w:p>
    <w:p>
      <w:pPr>
        <w:spacing w:before="0"/>
        <w:ind w:left="0" w:right="38" w:firstLine="0"/>
        <w:jc w:val="right"/>
        <w:rPr>
          <w:sz w:val="12"/>
        </w:rPr>
      </w:pPr>
      <w:r>
        <w:rPr/>
        <w:pict>
          <v:line style="position:absolute;mso-position-horizontal-relative:page;mso-position-vertical-relative:paragraph;z-index:15807488" from="214.167007pt,3.517266pt" to="218.500007pt,3.517266pt" stroked="true" strokeweight=".5pt" strokecolor="#000000">
            <v:stroke dashstyle="solid"/>
            <w10:wrap type="none"/>
          </v:line>
        </w:pict>
      </w:r>
      <w:r>
        <w:rPr>
          <w:sz w:val="12"/>
        </w:rPr>
        <w:t>6</w:t>
      </w:r>
    </w:p>
    <w:p>
      <w:pPr>
        <w:pStyle w:val="BodyText"/>
        <w:rPr>
          <w:sz w:val="12"/>
        </w:rPr>
      </w:pPr>
    </w:p>
    <w:p>
      <w:pPr>
        <w:pStyle w:val="BodyText"/>
        <w:spacing w:before="4"/>
        <w:rPr>
          <w:sz w:val="10"/>
        </w:rPr>
      </w:pPr>
    </w:p>
    <w:p>
      <w:pPr>
        <w:spacing w:before="0"/>
        <w:ind w:left="0" w:right="38" w:firstLine="0"/>
        <w:jc w:val="right"/>
        <w:rPr>
          <w:sz w:val="12"/>
        </w:rPr>
      </w:pPr>
      <w:r>
        <w:rPr/>
        <w:pict>
          <v:line style="position:absolute;mso-position-horizontal-relative:page;mso-position-vertical-relative:paragraph;z-index:15808000" from="214.167007pt,3.100067pt" to="218.500007pt,3.100067pt" stroked="true" strokeweight=".5pt" strokecolor="#000000">
            <v:stroke dashstyle="solid"/>
            <w10:wrap type="none"/>
          </v:line>
        </w:pict>
      </w:r>
      <w:r>
        <w:rPr>
          <w:sz w:val="12"/>
        </w:rPr>
        <w:t>4</w:t>
      </w:r>
    </w:p>
    <w:p>
      <w:pPr>
        <w:pStyle w:val="BodyText"/>
        <w:rPr>
          <w:sz w:val="12"/>
        </w:rPr>
      </w:pPr>
    </w:p>
    <w:p>
      <w:pPr>
        <w:pStyle w:val="BodyText"/>
        <w:spacing w:before="1"/>
        <w:rPr>
          <w:sz w:val="12"/>
        </w:rPr>
      </w:pPr>
    </w:p>
    <w:p>
      <w:pPr>
        <w:spacing w:before="0"/>
        <w:ind w:left="0" w:right="38" w:firstLine="0"/>
        <w:jc w:val="right"/>
        <w:rPr>
          <w:sz w:val="12"/>
        </w:rPr>
      </w:pPr>
      <w:r>
        <w:rPr/>
        <w:pict>
          <v:line style="position:absolute;mso-position-horizontal-relative:page;mso-position-vertical-relative:paragraph;z-index:15808512" from="214.167007pt,3.683265pt" to="218.500007pt,3.683265pt" stroked="true" strokeweight=".5pt" strokecolor="#000000">
            <v:stroke dashstyle="solid"/>
            <w10:wrap type="none"/>
          </v:line>
        </w:pict>
      </w:r>
      <w:r>
        <w:rPr>
          <w:sz w:val="12"/>
        </w:rPr>
        <w:t>2</w:t>
      </w:r>
    </w:p>
    <w:p>
      <w:pPr>
        <w:spacing w:before="32"/>
        <w:ind w:left="1310" w:right="0" w:firstLine="0"/>
        <w:jc w:val="left"/>
        <w:rPr>
          <w:sz w:val="16"/>
        </w:rPr>
      </w:pPr>
      <w:r>
        <w:rPr>
          <w:sz w:val="16"/>
          <w:u w:val="single"/>
        </w:rPr>
        <w:t>  </w:t>
      </w:r>
      <w:r>
        <w:rPr>
          <w:sz w:val="16"/>
        </w:rPr>
        <w:t>+</w:t>
      </w:r>
    </w:p>
    <w:p>
      <w:pPr>
        <w:spacing w:line="112" w:lineRule="exact" w:before="58"/>
        <w:ind w:left="1532" w:right="0" w:firstLine="0"/>
        <w:jc w:val="left"/>
        <w:rPr>
          <w:sz w:val="12"/>
        </w:rPr>
      </w:pPr>
      <w:r>
        <w:rPr>
          <w:sz w:val="12"/>
        </w:rPr>
        <w:t>0</w:t>
      </w:r>
    </w:p>
    <w:p>
      <w:pPr>
        <w:spacing w:line="158" w:lineRule="exact" w:before="0"/>
        <w:ind w:left="1367" w:right="0" w:firstLine="0"/>
        <w:jc w:val="left"/>
        <w:rPr>
          <w:sz w:val="16"/>
        </w:rPr>
      </w:pPr>
      <w:r>
        <w:rPr>
          <w:sz w:val="16"/>
        </w:rPr>
        <w:t>_</w:t>
      </w:r>
    </w:p>
    <w:p>
      <w:pPr>
        <w:spacing w:before="144"/>
        <w:ind w:left="0" w:right="38" w:firstLine="0"/>
        <w:jc w:val="right"/>
        <w:rPr>
          <w:sz w:val="12"/>
        </w:rPr>
      </w:pPr>
      <w:r>
        <w:rPr>
          <w:sz w:val="12"/>
        </w:rPr>
        <w:t>2</w:t>
      </w:r>
    </w:p>
    <w:p>
      <w:pPr>
        <w:pStyle w:val="BodyText"/>
        <w:spacing w:before="6"/>
        <w:rPr>
          <w:sz w:val="24"/>
        </w:rPr>
      </w:pPr>
      <w:r>
        <w:rPr/>
        <w:br w:type="column"/>
      </w:r>
      <w:r>
        <w:rPr>
          <w:sz w:val="24"/>
        </w:rPr>
      </w:r>
    </w:p>
    <w:p>
      <w:pPr>
        <w:pStyle w:val="Heading6"/>
        <w:spacing w:line="280" w:lineRule="atLeast"/>
        <w:ind w:left="215" w:right="154"/>
      </w:pPr>
      <w:r>
        <w:rPr/>
        <w:t>Annual growth in unsecured consumer credit remained robust at 14.3% in 2000 Q1, but the pace of growth has moderated slightly over the past year. One reason for slower growth in unsecured credit may be that households have increasingly financed their spending at lower interest rates with borrowing secured on rising housing equity. The Bank estimate of mortgage equity withdrawal (MEW) in 1999 Q4 was £2.5 billion, slightly weaker than in the previous quarter. But the estimated total flow of MEW in 1999, at £8.2 billion, was equivalent to around a quarter of total net secured</w:t>
      </w:r>
    </w:p>
    <w:p>
      <w:pPr>
        <w:spacing w:after="0" w:line="280" w:lineRule="atLeast"/>
        <w:sectPr>
          <w:type w:val="continuous"/>
          <w:pgSz w:w="11900" w:h="16840"/>
          <w:pgMar w:top="1220" w:bottom="280" w:left="640" w:right="620"/>
          <w:cols w:num="3" w:equalWidth="0">
            <w:col w:w="1676" w:space="657"/>
            <w:col w:w="1633" w:space="799"/>
            <w:col w:w="5875"/>
          </w:cols>
        </w:sectPr>
      </w:pPr>
    </w:p>
    <w:p>
      <w:pPr>
        <w:spacing w:line="14" w:lineRule="exact" w:before="0"/>
        <w:ind w:left="505" w:right="0" w:firstLine="0"/>
        <w:jc w:val="left"/>
        <w:rPr>
          <w:sz w:val="12"/>
        </w:rPr>
      </w:pPr>
      <w:r>
        <w:rPr>
          <w:sz w:val="12"/>
        </w:rPr>
        <w:t>1987 88 89 90 91 92 93 94 95 96 97 98 99</w:t>
      </w:r>
    </w:p>
    <w:p>
      <w:pPr>
        <w:spacing w:before="68"/>
        <w:ind w:left="179" w:right="0" w:firstLine="0"/>
        <w:jc w:val="left"/>
        <w:rPr>
          <w:sz w:val="12"/>
        </w:rPr>
      </w:pPr>
      <w:r>
        <w:rPr>
          <w:sz w:val="12"/>
        </w:rPr>
        <w:t>Sources: ONS and Bank of England.</w:t>
      </w:r>
    </w:p>
    <w:p>
      <w:pPr>
        <w:pStyle w:val="Heading6"/>
        <w:spacing w:before="5"/>
        <w:ind w:left="179"/>
      </w:pPr>
      <w:r>
        <w:rPr/>
        <w:br w:type="column"/>
      </w:r>
      <w:r>
        <w:rPr/>
        <w:t>lending over the year. Taking consumer credit and</w:t>
      </w:r>
    </w:p>
    <w:p>
      <w:pPr>
        <w:pStyle w:val="BodyText"/>
        <w:spacing w:before="8"/>
        <w:rPr>
          <w:sz w:val="20"/>
        </w:rPr>
      </w:pPr>
      <w:r>
        <w:rPr/>
        <w:pict>
          <v:shape style="position:absolute;margin-left:280pt;margin-top:13.997158pt;width:276pt;height:.1pt;mso-position-horizontal-relative:page;mso-position-vertical-relative:paragraph;z-index:-15671296;mso-wrap-distance-left:0;mso-wrap-distance-right:0" coordorigin="5600,280" coordsize="5520,0" path="m5600,280l11120,280e" filled="false" stroked="true" strokeweight=".125pt" strokecolor="#000000">
            <v:path arrowok="t"/>
            <v:stroke dashstyle="solid"/>
            <w10:wrap type="topAndBottom"/>
          </v:shape>
        </w:pict>
      </w:r>
    </w:p>
    <w:p>
      <w:pPr>
        <w:spacing w:before="0"/>
        <w:ind w:left="178" w:right="0" w:firstLine="0"/>
        <w:jc w:val="left"/>
        <w:rPr>
          <w:sz w:val="16"/>
        </w:rPr>
      </w:pPr>
      <w:r>
        <w:rPr>
          <w:sz w:val="16"/>
        </w:rPr>
        <w:t>(1) Excluding the effects of securitisations and other loan transfers.</w:t>
      </w:r>
    </w:p>
    <w:p>
      <w:pPr>
        <w:spacing w:after="0"/>
        <w:jc w:val="left"/>
        <w:rPr>
          <w:sz w:val="16"/>
        </w:rPr>
        <w:sectPr>
          <w:type w:val="continuous"/>
          <w:pgSz w:w="11900" w:h="16840"/>
          <w:pgMar w:top="1220" w:bottom="280" w:left="640" w:right="620"/>
          <w:cols w:num="2" w:equalWidth="0">
            <w:col w:w="3598" w:space="1203"/>
            <w:col w:w="5839"/>
          </w:cols>
        </w:sectPr>
      </w:pPr>
    </w:p>
    <w:p>
      <w:pPr>
        <w:pStyle w:val="BodyText"/>
        <w:rPr>
          <w:sz w:val="20"/>
        </w:rPr>
      </w:pPr>
    </w:p>
    <w:p>
      <w:pPr>
        <w:spacing w:after="0"/>
        <w:rPr>
          <w:sz w:val="20"/>
        </w:rPr>
        <w:sectPr>
          <w:headerReference w:type="default" r:id="rId30"/>
          <w:headerReference w:type="even" r:id="rId31"/>
          <w:footerReference w:type="default" r:id="rId32"/>
          <w:footerReference w:type="even" r:id="rId33"/>
          <w:pgSz w:w="11900" w:h="16840"/>
          <w:pgMar w:header="586" w:footer="617" w:top="780" w:bottom="800" w:left="640" w:right="620"/>
          <w:pgNumType w:start="7"/>
        </w:sectPr>
      </w:pPr>
    </w:p>
    <w:p>
      <w:pPr>
        <w:pStyle w:val="BodyText"/>
        <w:spacing w:before="6"/>
        <w:rPr>
          <w:sz w:val="20"/>
        </w:rPr>
      </w:pPr>
    </w:p>
    <w:p>
      <w:pPr>
        <w:spacing w:before="0"/>
        <w:ind w:left="155" w:right="0" w:firstLine="0"/>
        <w:jc w:val="left"/>
        <w:rPr>
          <w:b/>
          <w:sz w:val="20"/>
        </w:rPr>
      </w:pPr>
      <w:bookmarkStart w:name="Private non-financial corporations" w:id="16"/>
      <w:bookmarkEnd w:id="16"/>
      <w:r>
        <w:rPr/>
      </w:r>
      <w:bookmarkStart w:name="_bookmark9" w:id="17"/>
      <w:bookmarkEnd w:id="17"/>
      <w:r>
        <w:rPr/>
      </w:r>
      <w:r>
        <w:rPr>
          <w:b/>
          <w:color w:val="0092C7"/>
          <w:sz w:val="20"/>
        </w:rPr>
        <w:t>Chart 1.7</w:t>
      </w:r>
    </w:p>
    <w:p>
      <w:pPr>
        <w:spacing w:before="10"/>
        <w:ind w:left="155" w:right="0" w:firstLine="0"/>
        <w:jc w:val="left"/>
        <w:rPr>
          <w:b/>
          <w:sz w:val="20"/>
        </w:rPr>
      </w:pPr>
      <w:r>
        <w:rPr>
          <w:b/>
          <w:color w:val="0092C7"/>
          <w:sz w:val="20"/>
        </w:rPr>
        <w:t>Household balance</w:t>
      </w:r>
      <w:r>
        <w:rPr>
          <w:b/>
          <w:color w:val="0092C7"/>
          <w:spacing w:val="-19"/>
          <w:sz w:val="20"/>
        </w:rPr>
        <w:t> </w:t>
      </w:r>
      <w:r>
        <w:rPr>
          <w:b/>
          <w:color w:val="0092C7"/>
          <w:sz w:val="20"/>
        </w:rPr>
        <w:t>sheets</w:t>
      </w:r>
    </w:p>
    <w:p>
      <w:pPr>
        <w:spacing w:before="82"/>
        <w:ind w:left="378" w:right="0" w:firstLine="0"/>
        <w:jc w:val="left"/>
        <w:rPr>
          <w:b/>
          <w:sz w:val="12"/>
        </w:rPr>
      </w:pPr>
      <w:r>
        <w:rPr>
          <w:b/>
          <w:sz w:val="12"/>
        </w:rPr>
        <w:t>Debt</w:t>
      </w:r>
    </w:p>
    <w:p>
      <w:pPr>
        <w:spacing w:line="456" w:lineRule="auto" w:before="22"/>
        <w:ind w:left="222" w:right="626" w:firstLine="0"/>
        <w:jc w:val="left"/>
        <w:rPr>
          <w:sz w:val="12"/>
        </w:rPr>
      </w:pPr>
      <w:r>
        <w:rPr/>
        <w:pict>
          <v:group style="position:absolute;margin-left:50.917pt;margin-top:18.614573pt;width:153.75pt;height:61.95pt;mso-position-horizontal-relative:page;mso-position-vertical-relative:paragraph;z-index:-22797824" coordorigin="1018,372" coordsize="3075,1239">
            <v:shape style="position:absolute;left:1192;top:717;width:1915;height:752" coordorigin="1193,718" coordsize="1915,752" path="m1193,1469l1240,1460m1240,1460l1275,1422m1275,1422l1320,1393m1320,1393l1355,1354m1355,1354l1403,1327m1403,1327l1438,1336m1438,1336l1483,1307m1483,1307l1518,1289m1518,1289l1565,1260m1565,1260l1600,1242m1600,1242l1645,1222m1645,1222l1680,1204m1680,1204l1728,1192m1728,1192l1763,1174m1763,1174l1808,1145m1808,1145l1843,1127m1843,1127l1890,1107m1890,1107l1925,1060m1925,1060l1970,1030m1970,1030l2005,1003m2005,1003l2053,954m2053,954l2088,927m2088,927l2133,880m2133,880l2168,841m2168,841l2215,812m2215,812l2250,783m2250,783l2295,774m2295,774l2330,745m2330,745l2378,718m2378,718l2413,718m2413,718l2458,727m2458,727l2493,736m2493,736l2540,745m2540,745l2575,754m2575,754l2620,745m2620,745l2655,783m2655,783l2703,792m2703,792l2738,812m2738,812l2783,841m2783,841l2818,859m2818,859l2865,907m2865,907l2900,918m2900,918l2945,965m2945,965l2980,1021m2980,1021l3028,1042m3028,1042l3063,1060m3063,1060l3108,1089e" filled="false" stroked="true" strokeweight="1pt" strokecolor="#610e7a">
              <v:path arrowok="t"/>
              <v:stroke dashstyle="solid"/>
            </v:shape>
            <v:line style="position:absolute" from="3098,1090" to="3153,1090" stroked="true" strokeweight="1.113pt" strokecolor="#610e7a">
              <v:stroke dashstyle="solid"/>
            </v:line>
            <v:shape style="position:absolute;left:3142;top:629;width:730;height:459" coordorigin="3143,630" coordsize="730,459" path="m3143,1089l3190,1069m3190,1069l3225,1060m3225,1060l3270,1030m3270,1030l3305,1012m3305,1012l3353,1003m3353,1003l3385,992m3385,992l3433,965m3433,965l3468,954m3468,954l3515,936m3515,936l3548,918m3548,918l3595,898m3595,898l3630,859m3630,859l3678,830m3678,830l3710,821m3710,821l3758,792m3758,792l3793,754m3793,754l3840,688m3840,688l3873,630e" filled="false" stroked="true" strokeweight="1pt" strokecolor="#610e7a">
              <v:path arrowok="t"/>
              <v:stroke dashstyle="solid"/>
            </v:shape>
            <v:line style="position:absolute" from="3862,631" to="3930,631" stroked="true" strokeweight="1.112pt" strokecolor="#610e7a">
              <v:stroke dashstyle="solid"/>
            </v:line>
            <v:shape style="position:absolute;left:3920;top:526;width:163;height:104" coordorigin="3920,526" coordsize="163,104" path="m3920,630l3955,583m3955,583l4002,574m4002,574l4035,544m4035,544l4082,526e" filled="false" stroked="true" strokeweight="1pt" strokecolor="#610e7a">
              <v:path arrowok="t"/>
              <v:stroke dashstyle="solid"/>
            </v:shape>
            <v:shape style="position:absolute;left:1192;top:458;width:1428;height:963" coordorigin="1193,459" coordsize="1428,963" path="m1193,1422l1240,1393m1240,1393l1275,1354m1275,1354l1320,1318m1320,1318l1355,1280m1355,1280l1403,1242m1403,1242l1438,1213m1438,1213l1483,1183m1483,1183l1518,1154m1518,1154l1565,1118m1565,1118l1600,1089m1600,1089l1645,1069m1645,1069l1680,1042m1680,1042l1728,1021m1728,1021l1763,1003m1763,1003l1808,965m1808,965l1843,936m1843,936l1890,898m1890,898l1925,859m1925,859l1970,821m1970,821l2005,812m2005,812l2053,774m2053,774l2088,736m2088,736l2133,706m2133,706l2168,668m2168,668l2215,630m2215,630l2250,583m2250,583l2295,574m2295,574l2330,553m2330,553l2378,535m2378,535l2413,526m2413,526l2458,506m2458,506l2493,488m2493,488l2540,479m2540,479l2575,468m2575,468l2620,459e" filled="false" stroked="true" strokeweight="1pt" strokecolor="#00a2a0">
              <v:path arrowok="t"/>
              <v:stroke dashstyle="solid"/>
            </v:shape>
            <v:line style="position:absolute" from="2610,460" to="2665,460" stroked="true" strokeweight="1.112pt" strokecolor="#00a2a0">
              <v:stroke dashstyle="solid"/>
            </v:line>
            <v:line style="position:absolute" from="2655,459" to="2703,450" stroked="true" strokeweight="1pt" strokecolor="#00a2a0">
              <v:stroke dashstyle="solid"/>
            </v:line>
            <v:line style="position:absolute" from="2693,451" to="2748,451" stroked="true" strokeweight="1.112pt" strokecolor="#00a2a0">
              <v:stroke dashstyle="solid"/>
            </v:line>
            <v:shape style="position:absolute;left:2737;top:402;width:615;height:48" coordorigin="2738,403" coordsize="615,48" path="m2738,450l2783,441m2783,441l2818,430m2818,430l2865,441m2865,441l2900,430m2900,430l2945,450m2945,450l2980,441m2980,441l3143,441m3143,441l3190,421m3190,421l3225,412m3225,412l3270,403m3270,403l3305,412m3305,412l3353,421e" filled="false" stroked="true" strokeweight="1pt" strokecolor="#00a2a0">
              <v:path arrowok="t"/>
              <v:stroke dashstyle="solid"/>
            </v:shape>
            <v:line style="position:absolute" from="3343,422" to="3395,422" stroked="true" strokeweight="1.113pt" strokecolor="#00a2a0">
              <v:stroke dashstyle="solid"/>
            </v:line>
            <v:shape style="position:absolute;left:3385;top:420;width:325;height:39" coordorigin="3385,421" coordsize="325,39" path="m3385,421l3433,430m3433,430l3468,441m3468,441l3595,441m3595,441l3630,430m3630,430l3678,441m3678,441l3710,459e" filled="false" stroked="true" strokeweight="1pt" strokecolor="#00a2a0">
              <v:path arrowok="t"/>
              <v:stroke dashstyle="solid"/>
            </v:shape>
            <v:shape style="position:absolute;left:3700;top:459;width:103;height:2" coordorigin="3700,460" coordsize="103,0" path="m3700,460l3767,460m3747,460l3802,460e" filled="false" stroked="true" strokeweight="1.112pt" strokecolor="#00a2a0">
              <v:path arrowok="t"/>
              <v:stroke dashstyle="solid"/>
            </v:shape>
            <v:shape style="position:absolute;left:3792;top:391;width:128;height:68" coordorigin="3792,391" coordsize="128,68" path="m3792,459l3840,430m3840,430l3872,412m3872,412l3920,391e" filled="false" stroked="true" strokeweight="1pt" strokecolor="#00a2a0">
              <v:path arrowok="t"/>
              <v:stroke dashstyle="solid"/>
            </v:shape>
            <v:shape style="position:absolute;left:3910;top:392;width:103;height:2" coordorigin="3910,392" coordsize="103,0" path="m3910,392l3965,392m3945,392l4012,392e" filled="false" stroked="true" strokeweight="1.112pt" strokecolor="#00a2a0">
              <v:path arrowok="t"/>
              <v:stroke dashstyle="solid"/>
            </v:shape>
            <v:line style="position:absolute" from="4002,391" to="4035,382" stroked="true" strokeweight="1pt" strokecolor="#00a2a0">
              <v:stroke dashstyle="solid"/>
            </v:line>
            <v:line style="position:absolute" from="4025,383" to="4092,383" stroked="true" strokeweight="1.112pt" strokecolor="#00a2a0">
              <v:stroke dashstyle="solid"/>
            </v:line>
            <v:shape style="position:absolute;left:1018;top:1498;width:105;height:113" type="#_x0000_t75" stroked="false">
              <v:imagedata r:id="rId34" o:title=""/>
            </v:shape>
            <v:shape style="position:absolute;left:1018;top:446;width:87;height:794" coordorigin="1018,446" coordsize="87,794" path="m1018,710l1105,710m1018,1239l1105,1239m1018,446l1105,446m1018,975l1105,975e" filled="false" stroked="true" strokeweight=".5pt" strokecolor="#000000">
              <v:path arrowok="t"/>
              <v:stroke dashstyle="solid"/>
            </v:shape>
            <v:shape style="position:absolute;left:1270;top:436;width:967;height:254" type="#_x0000_t202" filled="false" stroked="false">
              <v:textbox inset="0,0,0,0">
                <w:txbxContent>
                  <w:p>
                    <w:pPr>
                      <w:spacing w:line="208" w:lineRule="auto" w:before="9"/>
                      <w:ind w:left="60" w:right="18" w:hanging="60"/>
                      <w:jc w:val="left"/>
                      <w:rPr>
                        <w:sz w:val="12"/>
                      </w:rPr>
                    </w:pPr>
                    <w:r>
                      <w:rPr>
                        <w:sz w:val="12"/>
                      </w:rPr>
                      <w:t>Secured on housing (left-hand scale)</w:t>
                    </w:r>
                  </w:p>
                </w:txbxContent>
              </v:textbox>
              <w10:wrap type="none"/>
            </v:shape>
            <v:shape style="position:absolute;left:1892;top:1104;width:930;height:254" type="#_x0000_t202" filled="false" stroked="false">
              <v:textbox inset="0,0,0,0">
                <w:txbxContent>
                  <w:p>
                    <w:pPr>
                      <w:spacing w:line="208" w:lineRule="auto" w:before="9"/>
                      <w:ind w:left="60" w:right="18" w:hanging="60"/>
                      <w:jc w:val="left"/>
                      <w:rPr>
                        <w:sz w:val="12"/>
                      </w:rPr>
                    </w:pPr>
                    <w:r>
                      <w:rPr>
                        <w:sz w:val="12"/>
                      </w:rPr>
                      <w:t>Consumer credit (right-hand scale)</w:t>
                    </w:r>
                  </w:p>
                </w:txbxContent>
              </v:textbox>
              <w10:wrap type="none"/>
            </v:shape>
            <w10:wrap type="none"/>
          </v:group>
        </w:pict>
      </w:r>
      <w:r>
        <w:rPr/>
        <w:pict>
          <v:line style="position:absolute;mso-position-horizontal-relative:page;mso-position-vertical-relative:paragraph;z-index:-22783488" from="50.917pt,9.086573pt" to="55.25pt,9.086573pt" stroked="true" strokeweight=".5pt" strokecolor="#000000">
            <v:stroke dashstyle="solid"/>
            <w10:wrap type="none"/>
          </v:line>
        </w:pict>
      </w:r>
      <w:r>
        <w:rPr>
          <w:position w:val="-7"/>
          <w:sz w:val="12"/>
        </w:rPr>
        <w:t>80 </w:t>
      </w:r>
      <w:r>
        <w:rPr>
          <w:sz w:val="12"/>
        </w:rPr>
        <w:t>Per cent of annual </w:t>
      </w:r>
      <w:r>
        <w:rPr>
          <w:spacing w:val="-3"/>
          <w:sz w:val="12"/>
        </w:rPr>
        <w:t>income </w:t>
      </w:r>
      <w:r>
        <w:rPr>
          <w:sz w:val="12"/>
        </w:rPr>
        <w:t>70</w:t>
      </w:r>
    </w:p>
    <w:p>
      <w:pPr>
        <w:spacing w:line="133" w:lineRule="exact" w:before="0"/>
        <w:ind w:left="222" w:right="0" w:firstLine="0"/>
        <w:jc w:val="left"/>
        <w:rPr>
          <w:sz w:val="12"/>
        </w:rPr>
      </w:pPr>
      <w:r>
        <w:rPr>
          <w:sz w:val="12"/>
        </w:rPr>
        <w:t>60</w:t>
      </w:r>
    </w:p>
    <w:p>
      <w:pPr>
        <w:pStyle w:val="BodyText"/>
        <w:spacing w:before="1"/>
        <w:rPr>
          <w:sz w:val="11"/>
        </w:rPr>
      </w:pPr>
    </w:p>
    <w:p>
      <w:pPr>
        <w:spacing w:before="0"/>
        <w:ind w:left="222" w:right="0" w:firstLine="0"/>
        <w:jc w:val="left"/>
        <w:rPr>
          <w:sz w:val="12"/>
        </w:rPr>
      </w:pPr>
      <w:r>
        <w:rPr>
          <w:sz w:val="12"/>
        </w:rPr>
        <w:t>50</w:t>
      </w:r>
    </w:p>
    <w:p>
      <w:pPr>
        <w:pStyle w:val="BodyText"/>
        <w:spacing w:before="6"/>
        <w:rPr>
          <w:sz w:val="10"/>
        </w:rPr>
      </w:pPr>
    </w:p>
    <w:p>
      <w:pPr>
        <w:spacing w:before="0"/>
        <w:ind w:left="222" w:right="0" w:firstLine="0"/>
        <w:jc w:val="left"/>
        <w:rPr>
          <w:sz w:val="12"/>
        </w:rPr>
      </w:pPr>
      <w:r>
        <w:rPr>
          <w:sz w:val="12"/>
        </w:rPr>
        <w:t>40</w:t>
      </w:r>
    </w:p>
    <w:p>
      <w:pPr>
        <w:pStyle w:val="BodyText"/>
        <w:spacing w:before="1"/>
        <w:rPr>
          <w:sz w:val="11"/>
        </w:rPr>
      </w:pPr>
    </w:p>
    <w:p>
      <w:pPr>
        <w:spacing w:line="118" w:lineRule="exact" w:before="0"/>
        <w:ind w:left="222" w:right="0" w:firstLine="0"/>
        <w:jc w:val="left"/>
        <w:rPr>
          <w:sz w:val="12"/>
        </w:rPr>
      </w:pPr>
      <w:r>
        <w:rPr>
          <w:sz w:val="12"/>
        </w:rPr>
        <w:t>30</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5"/>
        <w:rPr>
          <w:sz w:val="22"/>
        </w:rPr>
      </w:pPr>
    </w:p>
    <w:p>
      <w:pPr>
        <w:spacing w:before="0"/>
        <w:ind w:left="-11" w:right="0" w:firstLine="0"/>
        <w:jc w:val="left"/>
        <w:rPr>
          <w:sz w:val="12"/>
        </w:rPr>
      </w:pPr>
      <w:r>
        <w:rPr>
          <w:sz w:val="12"/>
        </w:rPr>
        <w:t>Per cent of annual income  </w:t>
      </w:r>
      <w:r>
        <w:rPr>
          <w:spacing w:val="17"/>
          <w:sz w:val="12"/>
        </w:rPr>
        <w:t> </w:t>
      </w:r>
      <w:r>
        <w:rPr>
          <w:position w:val="-6"/>
          <w:sz w:val="12"/>
        </w:rPr>
        <w:t>16</w:t>
      </w:r>
    </w:p>
    <w:p>
      <w:pPr>
        <w:spacing w:before="131"/>
        <w:ind w:left="0" w:right="38" w:firstLine="0"/>
        <w:jc w:val="right"/>
        <w:rPr>
          <w:sz w:val="12"/>
        </w:rPr>
      </w:pPr>
      <w:r>
        <w:rPr/>
        <w:pict>
          <v:line style="position:absolute;mso-position-horizontal-relative:page;mso-position-vertical-relative:paragraph;z-index:-22781952" from="208.417007pt,-2.361025pt" to="212.750007pt,-2.361025pt" stroked="true" strokeweight=".5pt" strokecolor="#000000">
            <v:stroke dashstyle="solid"/>
            <w10:wrap type="none"/>
          </v:line>
        </w:pict>
      </w:r>
      <w:r>
        <w:rPr/>
        <w:pict>
          <v:line style="position:absolute;mso-position-horizontal-relative:page;mso-position-vertical-relative:paragraph;z-index:15830016" from="208.417007pt,10.857975pt" to="212.750007pt,10.857975pt" stroked="true" strokeweight=".5pt" strokecolor="#000000">
            <v:stroke dashstyle="solid"/>
            <w10:wrap type="none"/>
          </v:line>
        </w:pict>
      </w:r>
      <w:r>
        <w:rPr>
          <w:sz w:val="12"/>
        </w:rPr>
        <w:t>14</w:t>
      </w:r>
    </w:p>
    <w:p>
      <w:pPr>
        <w:pStyle w:val="BodyText"/>
        <w:spacing w:before="3"/>
        <w:rPr>
          <w:sz w:val="10"/>
        </w:rPr>
      </w:pPr>
    </w:p>
    <w:p>
      <w:pPr>
        <w:spacing w:before="0"/>
        <w:ind w:left="0" w:right="38" w:firstLine="0"/>
        <w:jc w:val="right"/>
        <w:rPr>
          <w:sz w:val="12"/>
        </w:rPr>
      </w:pPr>
      <w:r>
        <w:rPr/>
        <w:pict>
          <v:line style="position:absolute;mso-position-horizontal-relative:page;mso-position-vertical-relative:paragraph;z-index:15828480" from="208.417007pt,4.701963pt" to="212.750007pt,4.701963pt" stroked="true" strokeweight=".5pt" strokecolor="#000000">
            <v:stroke dashstyle="solid"/>
            <w10:wrap type="none"/>
          </v:line>
        </w:pict>
      </w:r>
      <w:r>
        <w:rPr>
          <w:sz w:val="12"/>
        </w:rPr>
        <w:t>12</w:t>
      </w:r>
    </w:p>
    <w:p>
      <w:pPr>
        <w:pStyle w:val="BodyText"/>
        <w:spacing w:before="1"/>
        <w:rPr>
          <w:sz w:val="11"/>
        </w:rPr>
      </w:pPr>
    </w:p>
    <w:p>
      <w:pPr>
        <w:spacing w:before="0"/>
        <w:ind w:left="0" w:right="38" w:firstLine="0"/>
        <w:jc w:val="right"/>
        <w:rPr>
          <w:sz w:val="12"/>
        </w:rPr>
      </w:pPr>
      <w:r>
        <w:rPr/>
        <w:pict>
          <v:line style="position:absolute;mso-position-horizontal-relative:page;mso-position-vertical-relative:paragraph;z-index:15830528" from="208.417007pt,4.644938pt" to="212.750007pt,4.644938pt" stroked="true" strokeweight=".5pt" strokecolor="#000000">
            <v:stroke dashstyle="solid"/>
            <w10:wrap type="none"/>
          </v:line>
        </w:pict>
      </w:r>
      <w:r>
        <w:rPr>
          <w:sz w:val="12"/>
        </w:rPr>
        <w:t>10</w:t>
      </w:r>
    </w:p>
    <w:p>
      <w:pPr>
        <w:pStyle w:val="BodyText"/>
        <w:spacing w:before="6"/>
        <w:rPr>
          <w:sz w:val="10"/>
        </w:rPr>
      </w:pPr>
    </w:p>
    <w:p>
      <w:pPr>
        <w:spacing w:before="0"/>
        <w:ind w:left="0" w:right="38" w:firstLine="0"/>
        <w:jc w:val="right"/>
        <w:rPr>
          <w:sz w:val="12"/>
        </w:rPr>
      </w:pPr>
      <w:r>
        <w:rPr/>
        <w:pict>
          <v:line style="position:absolute;mso-position-horizontal-relative:page;mso-position-vertical-relative:paragraph;z-index:15828992" from="208.417007pt,4.926744pt" to="212.750007pt,4.926744pt" stroked="true" strokeweight=".5pt" strokecolor="#000000">
            <v:stroke dashstyle="solid"/>
            <w10:wrap type="none"/>
          </v:line>
        </w:pict>
      </w:r>
      <w:r>
        <w:rPr>
          <w:sz w:val="12"/>
        </w:rPr>
        <w:t>8</w:t>
      </w:r>
    </w:p>
    <w:p>
      <w:pPr>
        <w:pStyle w:val="BodyText"/>
        <w:spacing w:before="3"/>
        <w:rPr>
          <w:sz w:val="11"/>
        </w:rPr>
      </w:pPr>
    </w:p>
    <w:p>
      <w:pPr>
        <w:spacing w:line="120" w:lineRule="exact" w:before="0"/>
        <w:ind w:left="0" w:right="38" w:firstLine="0"/>
        <w:jc w:val="right"/>
        <w:rPr>
          <w:sz w:val="12"/>
        </w:rPr>
      </w:pPr>
      <w:r>
        <w:rPr/>
        <w:drawing>
          <wp:anchor distT="0" distB="0" distL="0" distR="0" allowOverlap="1" layoutInCell="1" locked="0" behindDoc="0" simplePos="0" relativeHeight="15827456">
            <wp:simplePos x="0" y="0"/>
            <wp:positionH relativeFrom="page">
              <wp:posOffset>2646895</wp:posOffset>
            </wp:positionH>
            <wp:positionV relativeFrom="paragraph">
              <wp:posOffset>56064</wp:posOffset>
            </wp:positionV>
            <wp:extent cx="66039" cy="72072"/>
            <wp:effectExtent l="0" t="0" r="0" b="0"/>
            <wp:wrapNone/>
            <wp:docPr id="1" name="image8.png"/>
            <wp:cNvGraphicFramePr>
              <a:graphicFrameLocks noChangeAspect="1"/>
            </wp:cNvGraphicFramePr>
            <a:graphic>
              <a:graphicData uri="http://schemas.openxmlformats.org/drawingml/2006/picture">
                <pic:pic>
                  <pic:nvPicPr>
                    <pic:cNvPr id="2" name="image8.png"/>
                    <pic:cNvPicPr/>
                  </pic:nvPicPr>
                  <pic:blipFill>
                    <a:blip r:embed="rId35" cstate="print"/>
                    <a:stretch>
                      <a:fillRect/>
                    </a:stretch>
                  </pic:blipFill>
                  <pic:spPr>
                    <a:xfrm>
                      <a:off x="0" y="0"/>
                      <a:ext cx="66039" cy="72072"/>
                    </a:xfrm>
                    <a:prstGeom prst="rect">
                      <a:avLst/>
                    </a:prstGeom>
                  </pic:spPr>
                </pic:pic>
              </a:graphicData>
            </a:graphic>
          </wp:anchor>
        </w:drawing>
      </w:r>
      <w:r>
        <w:rPr>
          <w:sz w:val="12"/>
        </w:rPr>
        <w:t>6</w:t>
      </w:r>
    </w:p>
    <w:p>
      <w:pPr>
        <w:pStyle w:val="Heading6"/>
        <w:spacing w:line="242" w:lineRule="auto" w:before="227"/>
        <w:ind w:left="155" w:right="239"/>
        <w:jc w:val="both"/>
      </w:pPr>
      <w:r>
        <w:rPr/>
        <w:br w:type="column"/>
      </w:r>
      <w:r>
        <w:rPr/>
        <w:t>MEW</w:t>
      </w:r>
      <w:r>
        <w:rPr>
          <w:spacing w:val="-8"/>
        </w:rPr>
        <w:t> </w:t>
      </w:r>
      <w:r>
        <w:rPr/>
        <w:t>together,</w:t>
      </w:r>
      <w:r>
        <w:rPr>
          <w:spacing w:val="-8"/>
        </w:rPr>
        <w:t> </w:t>
      </w:r>
      <w:r>
        <w:rPr/>
        <w:t>total</w:t>
      </w:r>
      <w:r>
        <w:rPr>
          <w:spacing w:val="-8"/>
        </w:rPr>
        <w:t> </w:t>
      </w:r>
      <w:r>
        <w:rPr/>
        <w:t>borrowing</w:t>
      </w:r>
      <w:r>
        <w:rPr>
          <w:spacing w:val="-8"/>
        </w:rPr>
        <w:t> </w:t>
      </w:r>
      <w:r>
        <w:rPr/>
        <w:t>for</w:t>
      </w:r>
      <w:r>
        <w:rPr>
          <w:spacing w:val="-8"/>
        </w:rPr>
        <w:t> </w:t>
      </w:r>
      <w:r>
        <w:rPr/>
        <w:t>consumption</w:t>
      </w:r>
      <w:r>
        <w:rPr>
          <w:spacing w:val="-7"/>
        </w:rPr>
        <w:t> </w:t>
      </w:r>
      <w:r>
        <w:rPr/>
        <w:t>in</w:t>
      </w:r>
      <w:r>
        <w:rPr>
          <w:spacing w:val="-8"/>
        </w:rPr>
        <w:t> </w:t>
      </w:r>
      <w:r>
        <w:rPr/>
        <w:t>1999 rose to its highest share in household disposable income since 1990 (see Chart</w:t>
      </w:r>
      <w:r>
        <w:rPr>
          <w:spacing w:val="-6"/>
        </w:rPr>
        <w:t> </w:t>
      </w:r>
      <w:r>
        <w:rPr/>
        <w:t>1.6).</w:t>
      </w:r>
    </w:p>
    <w:p>
      <w:pPr>
        <w:pStyle w:val="BodyText"/>
        <w:spacing w:before="2"/>
        <w:rPr>
          <w:sz w:val="28"/>
        </w:rPr>
      </w:pPr>
    </w:p>
    <w:p>
      <w:pPr>
        <w:spacing w:line="242" w:lineRule="auto" w:before="0"/>
        <w:ind w:left="155" w:right="164" w:firstLine="0"/>
        <w:jc w:val="left"/>
        <w:rPr>
          <w:sz w:val="24"/>
        </w:rPr>
      </w:pPr>
      <w:r>
        <w:rPr>
          <w:sz w:val="24"/>
        </w:rPr>
        <w:t>Strong borrowing growth over the past year has raised household debt to historic highs relative to income (see Chart 1.7). The ability of households to service this higher indebtedness and maintain future consumption</w:t>
      </w:r>
    </w:p>
    <w:p>
      <w:pPr>
        <w:spacing w:after="0" w:line="242" w:lineRule="auto"/>
        <w:jc w:val="left"/>
        <w:rPr>
          <w:sz w:val="24"/>
        </w:rPr>
        <w:sectPr>
          <w:type w:val="continuous"/>
          <w:pgSz w:w="11900" w:h="16840"/>
          <w:pgMar w:top="1220" w:bottom="280" w:left="640" w:right="620"/>
          <w:cols w:num="3" w:equalWidth="0">
            <w:col w:w="2333" w:space="40"/>
            <w:col w:w="1510" w:space="912"/>
            <w:col w:w="5845"/>
          </w:cols>
        </w:sectPr>
      </w:pPr>
    </w:p>
    <w:p>
      <w:pPr>
        <w:tabs>
          <w:tab w:pos="3782" w:val="left" w:leader="none"/>
        </w:tabs>
        <w:spacing w:line="89" w:lineRule="exact" w:before="0"/>
        <w:ind w:left="282" w:right="0" w:firstLine="0"/>
        <w:jc w:val="left"/>
        <w:rPr>
          <w:sz w:val="12"/>
        </w:rPr>
      </w:pPr>
      <w:r>
        <w:rPr>
          <w:sz w:val="12"/>
        </w:rPr>
        <w:t>0</w:t>
        <w:tab/>
        <w:t>0</w:t>
      </w:r>
    </w:p>
    <w:p>
      <w:pPr>
        <w:tabs>
          <w:tab w:pos="2361" w:val="left" w:leader="none"/>
        </w:tabs>
        <w:spacing w:line="372" w:lineRule="auto" w:before="66"/>
        <w:ind w:left="3662" w:right="38" w:hanging="3285"/>
        <w:jc w:val="right"/>
        <w:rPr>
          <w:sz w:val="12"/>
        </w:rPr>
      </w:pPr>
      <w:r>
        <w:rPr/>
        <w:pict>
          <v:group style="position:absolute;margin-left:50.917pt;margin-top:17.813744pt;width:153.75pt;height:48.7pt;mso-position-horizontal-relative:page;mso-position-vertical-relative:paragraph;z-index:-22796288" coordorigin="1018,356" coordsize="3075,974">
            <v:shape style="position:absolute;left:1180;top:985;width:328;height:126" coordorigin="1180,985" coordsize="328,126" path="m1180,1100l1215,1111m1215,1111l1263,1111m1263,1111l1298,1080m1298,1080l1345,1057m1345,1057l1380,1037m1380,1037l1428,1017m1428,1017l1463,1005m1463,1005l1508,985e" filled="false" stroked="true" strokeweight="1pt" strokecolor="#efa900">
              <v:path arrowok="t"/>
              <v:stroke dashstyle="solid"/>
            </v:shape>
            <v:line style="position:absolute" from="1498,986" to="1555,986" stroked="true" strokeweight="1.112pt" strokecolor="#efa900">
              <v:stroke dashstyle="solid"/>
            </v:line>
            <v:shape style="position:absolute;left:1545;top:953;width:128;height:32" coordorigin="1545,954" coordsize="128,32" path="m1545,985l1590,965m1590,965l1625,965m1625,965l1673,954e" filled="false" stroked="true" strokeweight="1pt" strokecolor="#efa900">
              <v:path arrowok="t"/>
              <v:stroke dashstyle="solid"/>
            </v:shape>
            <v:line style="position:absolute" from="1663,955" to="1718,955" stroked="true" strokeweight="1.112pt" strokecolor="#efa900">
              <v:stroke dashstyle="solid"/>
            </v:line>
            <v:shape style="position:absolute;left:1707;top:366;width:1963;height:630" coordorigin="1708,366" coordsize="1963,630" path="m1708,954l1755,942m1755,942l1790,911m1790,911l1838,891m1838,891l1873,879m1873,879l1920,859m1920,859l1955,839m1955,839l2003,807m2003,807l2085,733m2085,733l2120,693m2120,693l2155,639m2155,639l2203,546m2203,546l2238,452m2238,452l2285,409m2285,409l2320,389m2320,389l2368,366m2368,366l2403,398m2403,398l2448,452m2448,452l2485,515m2485,515l2530,546m2530,546l2565,576m2565,576l2613,607m2613,607l2648,650m2648,650l2695,670m2695,670l2730,693m2730,693l2778,713m2778,713l2813,765m2813,765l2860,816m2860,816l2895,848m2895,848l2943,870m2943,870l2978,870m2978,870l3025,879m3025,879l3060,891m3060,891l3108,902m3108,902l3143,902m3143,902l3178,911m3178,911l3225,922m3225,922l3260,942m3260,942l3305,954m3305,954l3343,974m3343,974l3388,985m3388,985l3423,996m3423,996l3505,996m3505,996l3553,974m3553,974l3588,965m3588,965l3635,954m3635,954l3670,942e" filled="false" stroked="true" strokeweight="1pt" strokecolor="#efa900">
              <v:path arrowok="t"/>
              <v:stroke dashstyle="solid"/>
            </v:shape>
            <v:shape style="position:absolute;left:3660;top:943;width:103;height:2" coordorigin="3660,943" coordsize="103,0" path="m3660,943l3727,943m3707,943l3762,943e" filled="false" stroked="true" strokeweight="1.113pt" strokecolor="#efa900">
              <v:path arrowok="t"/>
              <v:stroke dashstyle="solid"/>
            </v:shape>
            <v:shape style="position:absolute;left:3752;top:701;width:330;height:241" coordorigin="3752,702" coordsize="330,241" path="m3752,942l3800,902m3800,902l3835,839m3835,839l3882,816m3882,816l3917,807m3917,807l3965,787m3965,787l4000,756m4000,756l4047,724m4047,724l4082,702e" filled="false" stroked="true" strokeweight="1pt" strokecolor="#efa900">
              <v:path arrowok="t"/>
              <v:stroke dashstyle="solid"/>
            </v:shape>
            <v:shape style="position:absolute;left:1180;top:807;width:1633;height:513" coordorigin="1180,807" coordsize="1633,513" path="m1180,1320l1215,1320m1215,1320l1263,1289m1263,1289l1298,1266m1298,1266l1345,1246m1345,1246l1380,1206m1380,1206l1428,1226m1428,1226l1463,1206m1463,1206l1508,1163m1508,1163l1545,1226m1545,1226l1590,1194m1590,1194l1625,1152m1625,1152l1673,1143m1673,1143l1708,1174m1708,1174l1755,1163m1755,1163l1790,1120m1790,1120l1838,1026m1838,1026l1873,1037m1873,1037l1920,1100m1920,1100l1955,1037m1955,1037l2003,942m2003,942l2038,839m2038,839l2085,807m2085,807l2120,1026m2120,1026l2155,965m2155,965l2203,942m2203,942l2238,985m2238,985l2285,1037m2285,1037l2320,879m2320,879l2368,891m2368,891l2403,911m2403,911l2448,954m2448,954l2485,985m2485,985l2530,954m2530,954l2565,1089m2565,1089l2613,1068m2613,1068l2648,965m2648,965l2695,985m2695,985l2730,954m2730,954l2778,1017m2778,1017l2813,1037e" filled="false" stroked="true" strokeweight="1pt" strokecolor="#de0035">
              <v:path arrowok="t"/>
              <v:stroke dashstyle="solid"/>
            </v:shape>
            <v:line style="position:absolute" from="2803,1038" to="2870,1038" stroked="true" strokeweight="1.113pt" strokecolor="#de0035">
              <v:stroke dashstyle="solid"/>
            </v:line>
            <v:shape style="position:absolute;left:2860;top:701;width:693;height:336" coordorigin="2860,702" coordsize="693,336" path="m2860,1037l2895,1017m2895,1017l2943,954m2943,954l2978,933m2978,933l3025,902m3025,902l3060,848m3060,848l3108,765m3108,765l3143,828m3143,828l3178,870m3178,870l3225,870m3225,870l3260,859m3260,859l3305,848m3305,848l3343,828m3343,828l3388,776m3388,776l3423,744m3423,744l3470,733m3470,733l3505,724m3505,724l3553,702e" filled="false" stroked="true" strokeweight="1pt" strokecolor="#de0035">
              <v:path arrowok="t"/>
              <v:stroke dashstyle="solid"/>
            </v:shape>
            <v:line style="position:absolute" from="3543,703" to="3598,703" stroked="true" strokeweight="1.113pt" strokecolor="#de0035">
              <v:stroke dashstyle="solid"/>
            </v:line>
            <v:shape style="position:absolute;left:3587;top:388;width:213;height:313" coordorigin="3587,389" coordsize="213,313" path="m3587,702l3635,639m3635,639l3670,576m3670,576l3717,483m3717,483l3752,504m3752,504l3800,389e" filled="false" stroked="true" strokeweight="1pt" strokecolor="#de0035">
              <v:path arrowok="t"/>
              <v:stroke dashstyle="solid"/>
            </v:shape>
            <v:line style="position:absolute" from="3790,390" to="3845,390" stroked="true" strokeweight="1.112pt" strokecolor="#de0035">
              <v:stroke dashstyle="solid"/>
            </v:line>
            <v:shape style="position:absolute;left:3835;top:366;width:248;height:221" coordorigin="3835,366" coordsize="248,221" path="m3835,389l3882,587m3882,587l3917,441m3917,441l3965,366m3965,366l4000,389m4000,389l4047,524m4047,524l4082,389e" filled="false" stroked="true" strokeweight="1pt" strokecolor="#de0035">
              <v:path arrowok="t"/>
              <v:stroke dashstyle="solid"/>
            </v:shape>
            <v:shape style="position:absolute;left:1018;top:436;width:87;height:847" coordorigin="1018,436" coordsize="87,847" path="m1018,648l1105,648m1018,1071l1105,1071m1018,436l1105,436m1018,859l1105,859m1018,1283l1105,1283e" filled="false" stroked="true" strokeweight=".5pt" strokecolor="#000000">
              <v:path arrowok="t"/>
              <v:stroke dashstyle="solid"/>
            </v:shape>
            <v:shape style="position:absolute;left:1507;top:372;width:711;height:254" type="#_x0000_t202" filled="false" stroked="false">
              <v:textbox inset="0,0,0,0">
                <w:txbxContent>
                  <w:p>
                    <w:pPr>
                      <w:spacing w:line="208" w:lineRule="auto" w:before="9"/>
                      <w:ind w:left="60" w:right="0" w:hanging="60"/>
                      <w:jc w:val="left"/>
                      <w:rPr>
                        <w:sz w:val="12"/>
                      </w:rPr>
                    </w:pPr>
                    <w:r>
                      <w:rPr>
                        <w:sz w:val="12"/>
                      </w:rPr>
                      <w:t>Gross housing wealth</w:t>
                    </w:r>
                  </w:p>
                </w:txbxContent>
              </v:textbox>
              <w10:wrap type="none"/>
            </v:shape>
            <v:shape style="position:absolute;left:1922;top:1097;width:993;height:134" type="#_x0000_t202" filled="false" stroked="false">
              <v:textbox inset="0,0,0,0">
                <w:txbxContent>
                  <w:p>
                    <w:pPr>
                      <w:spacing w:line="133" w:lineRule="exact" w:before="0"/>
                      <w:ind w:left="0" w:right="0" w:firstLine="0"/>
                      <w:jc w:val="left"/>
                      <w:rPr>
                        <w:sz w:val="12"/>
                      </w:rPr>
                    </w:pPr>
                    <w:r>
                      <w:rPr>
                        <w:sz w:val="12"/>
                      </w:rPr>
                      <w:t>Net financial wealth</w:t>
                    </w:r>
                  </w:p>
                </w:txbxContent>
              </v:textbox>
              <w10:wrap type="none"/>
            </v:shape>
            <w10:wrap type="none"/>
          </v:group>
        </w:pict>
      </w:r>
      <w:r>
        <w:rPr/>
        <w:pict>
          <v:line style="position:absolute;mso-position-horizontal-relative:page;mso-position-vertical-relative:paragraph;z-index:-22785536" from="208.417007pt,21.849743pt" to="212.750007pt,21.849743pt" stroked="true" strokeweight=".5pt" strokecolor="#000000">
            <v:stroke dashstyle="solid"/>
            <w10:wrap type="none"/>
          </v:line>
        </w:pict>
      </w:r>
      <w:r>
        <w:rPr>
          <w:b/>
          <w:sz w:val="12"/>
          <w:u w:val="single"/>
        </w:rPr>
        <w:t>W</w:t>
      </w:r>
      <w:r>
        <w:rPr>
          <w:b/>
          <w:sz w:val="12"/>
        </w:rPr>
        <w:t>ealth</w:t>
        <w:tab/>
      </w:r>
      <w:r>
        <w:rPr>
          <w:sz w:val="12"/>
        </w:rPr>
        <w:t>Per cent of annual incom</w:t>
      </w:r>
      <w:r>
        <w:rPr>
          <w:sz w:val="12"/>
          <w:u w:val="single"/>
        </w:rPr>
        <w:t>e</w:t>
      </w:r>
      <w:r>
        <w:rPr>
          <w:spacing w:val="17"/>
          <w:sz w:val="12"/>
        </w:rPr>
        <w:t> </w:t>
      </w:r>
      <w:r>
        <w:rPr>
          <w:position w:val="-7"/>
          <w:sz w:val="12"/>
        </w:rPr>
        <w:t>400 </w:t>
      </w:r>
      <w:r>
        <w:rPr>
          <w:sz w:val="12"/>
        </w:rPr>
        <w:t>350</w:t>
      </w:r>
    </w:p>
    <w:p>
      <w:pPr>
        <w:spacing w:line="136" w:lineRule="exact" w:before="0"/>
        <w:ind w:left="0" w:right="38" w:firstLine="0"/>
        <w:jc w:val="right"/>
        <w:rPr>
          <w:sz w:val="12"/>
        </w:rPr>
      </w:pPr>
      <w:r>
        <w:rPr/>
        <w:pict>
          <v:line style="position:absolute;mso-position-horizontal-relative:page;mso-position-vertical-relative:paragraph;z-index:15824896" from="208.417007pt,3.84356pt" to="212.750007pt,3.84356pt" stroked="true" strokeweight=".5pt" strokecolor="#000000">
            <v:stroke dashstyle="solid"/>
            <w10:wrap type="none"/>
          </v:line>
        </w:pict>
      </w:r>
      <w:r>
        <w:rPr>
          <w:sz w:val="12"/>
        </w:rPr>
        <w:t>300</w:t>
      </w:r>
    </w:p>
    <w:p>
      <w:pPr>
        <w:spacing w:before="85"/>
        <w:ind w:left="3662" w:right="0" w:firstLine="0"/>
        <w:jc w:val="left"/>
        <w:rPr>
          <w:sz w:val="12"/>
        </w:rPr>
      </w:pPr>
      <w:r>
        <w:rPr/>
        <w:pict>
          <v:line style="position:absolute;mso-position-horizontal-relative:page;mso-position-vertical-relative:paragraph;z-index:15826432" from="208.417007pt,7.750939pt" to="212.750007pt,7.750939pt" stroked="true" strokeweight=".5pt" strokecolor="#000000">
            <v:stroke dashstyle="solid"/>
            <w10:wrap type="none"/>
          </v:line>
        </w:pict>
      </w:r>
      <w:r>
        <w:rPr>
          <w:sz w:val="12"/>
        </w:rPr>
        <w:t>250</w:t>
      </w:r>
    </w:p>
    <w:p>
      <w:pPr>
        <w:spacing w:before="67"/>
        <w:ind w:left="3662" w:right="0" w:firstLine="0"/>
        <w:jc w:val="left"/>
        <w:rPr>
          <w:sz w:val="12"/>
        </w:rPr>
      </w:pPr>
      <w:r>
        <w:rPr/>
        <w:pict>
          <v:line style="position:absolute;mso-position-horizontal-relative:page;mso-position-vertical-relative:paragraph;z-index:15825408" from="208.417007pt,7.294756pt" to="212.750007pt,7.294756pt" stroked="true" strokeweight=".5pt" strokecolor="#000000">
            <v:stroke dashstyle="solid"/>
            <w10:wrap type="none"/>
          </v:line>
        </w:pict>
      </w:r>
      <w:r>
        <w:rPr>
          <w:sz w:val="12"/>
        </w:rPr>
        <w:t>200</w:t>
      </w:r>
    </w:p>
    <w:p>
      <w:pPr>
        <w:spacing w:before="82"/>
        <w:ind w:left="3662" w:right="0" w:firstLine="0"/>
        <w:jc w:val="left"/>
        <w:rPr>
          <w:sz w:val="12"/>
        </w:rPr>
      </w:pPr>
      <w:r>
        <w:rPr/>
        <w:pict>
          <v:line style="position:absolute;mso-position-horizontal-relative:page;mso-position-vertical-relative:paragraph;z-index:15826944" from="208.417007pt,7.701793pt" to="212.750007pt,7.701793pt" stroked="true" strokeweight=".5pt" strokecolor="#000000">
            <v:stroke dashstyle="solid"/>
            <w10:wrap type="none"/>
          </v:line>
        </w:pict>
      </w:r>
      <w:r>
        <w:rPr>
          <w:sz w:val="12"/>
        </w:rPr>
        <w:t>150</w:t>
      </w:r>
    </w:p>
    <w:p>
      <w:pPr>
        <w:spacing w:line="127" w:lineRule="exact" w:before="71"/>
        <w:ind w:left="0" w:right="38" w:firstLine="0"/>
        <w:jc w:val="right"/>
        <w:rPr>
          <w:sz w:val="12"/>
        </w:rPr>
      </w:pPr>
      <w:r>
        <w:rPr/>
        <w:drawing>
          <wp:anchor distT="0" distB="0" distL="0" distR="0" allowOverlap="1" layoutInCell="1" locked="0" behindDoc="0" simplePos="0" relativeHeight="15823872">
            <wp:simplePos x="0" y="0"/>
            <wp:positionH relativeFrom="page">
              <wp:posOffset>2646895</wp:posOffset>
            </wp:positionH>
            <wp:positionV relativeFrom="paragraph">
              <wp:posOffset>90431</wp:posOffset>
            </wp:positionV>
            <wp:extent cx="66039" cy="72072"/>
            <wp:effectExtent l="0" t="0" r="0" b="0"/>
            <wp:wrapNone/>
            <wp:docPr id="3" name="image9.png"/>
            <wp:cNvGraphicFramePr>
              <a:graphicFrameLocks noChangeAspect="1"/>
            </wp:cNvGraphicFramePr>
            <a:graphic>
              <a:graphicData uri="http://schemas.openxmlformats.org/drawingml/2006/picture">
                <pic:pic>
                  <pic:nvPicPr>
                    <pic:cNvPr id="4" name="image9.png"/>
                    <pic:cNvPicPr/>
                  </pic:nvPicPr>
                  <pic:blipFill>
                    <a:blip r:embed="rId36" cstate="print"/>
                    <a:stretch>
                      <a:fillRect/>
                    </a:stretch>
                  </pic:blipFill>
                  <pic:spPr>
                    <a:xfrm>
                      <a:off x="0" y="0"/>
                      <a:ext cx="66039" cy="72072"/>
                    </a:xfrm>
                    <a:prstGeom prst="rect">
                      <a:avLst/>
                    </a:prstGeom>
                  </pic:spPr>
                </pic:pic>
              </a:graphicData>
            </a:graphic>
          </wp:anchor>
        </w:drawing>
      </w:r>
      <w:r>
        <w:rPr/>
        <w:pict>
          <v:shape style="position:absolute;margin-left:50.917pt;margin-top:7.449574pt;width:5pt;height:5.15pt;mso-position-horizontal-relative:page;mso-position-vertical-relative:paragraph;z-index:15824384" coordorigin="1018,149" coordsize="100,103" path="m1018,149l1105,149m1018,251l1105,251m1102,152l1102,171,1086,183,1118,193,1086,207,1118,219,1099,226,1099,248e" filled="false" stroked="true" strokeweight=".5pt" strokecolor="#000000">
            <v:path arrowok="t"/>
            <v:stroke dashstyle="solid"/>
            <w10:wrap type="none"/>
          </v:shape>
        </w:pict>
      </w:r>
      <w:r>
        <w:rPr>
          <w:sz w:val="12"/>
        </w:rPr>
        <w:t>100</w:t>
      </w:r>
    </w:p>
    <w:p>
      <w:pPr>
        <w:spacing w:line="127" w:lineRule="exact" w:before="0"/>
        <w:ind w:left="0" w:right="38" w:firstLine="0"/>
        <w:jc w:val="right"/>
        <w:rPr>
          <w:sz w:val="12"/>
        </w:rPr>
      </w:pPr>
      <w:r>
        <w:rPr>
          <w:sz w:val="12"/>
        </w:rPr>
        <w:t>0</w:t>
      </w:r>
    </w:p>
    <w:p>
      <w:pPr>
        <w:tabs>
          <w:tab w:pos="3225" w:val="left" w:leader="none"/>
        </w:tabs>
        <w:spacing w:before="25"/>
        <w:ind w:left="378" w:right="0" w:firstLine="0"/>
        <w:jc w:val="left"/>
        <w:rPr>
          <w:sz w:val="12"/>
        </w:rPr>
      </w:pPr>
      <w:r>
        <w:rPr>
          <w:b/>
          <w:sz w:val="12"/>
          <w:u w:val="single"/>
        </w:rPr>
        <w:t>C</w:t>
      </w:r>
      <w:r>
        <w:rPr>
          <w:b/>
          <w:sz w:val="12"/>
        </w:rPr>
        <w:t>apital gearing </w:t>
      </w:r>
      <w:r>
        <w:rPr>
          <w:sz w:val="12"/>
        </w:rPr>
        <w:t>(a)</w:t>
        <w:tab/>
        <w:t>Per ce</w:t>
      </w:r>
      <w:r>
        <w:rPr>
          <w:sz w:val="12"/>
          <w:u w:val="single"/>
        </w:rPr>
        <w:t>n</w:t>
      </w:r>
      <w:r>
        <w:rPr>
          <w:sz w:val="12"/>
        </w:rPr>
        <w:t>t  </w:t>
      </w:r>
      <w:r>
        <w:rPr>
          <w:spacing w:val="17"/>
          <w:sz w:val="12"/>
        </w:rPr>
        <w:t> </w:t>
      </w:r>
      <w:r>
        <w:rPr>
          <w:position w:val="-5"/>
          <w:sz w:val="12"/>
        </w:rPr>
        <w:t>20</w:t>
      </w:r>
    </w:p>
    <w:p>
      <w:pPr>
        <w:spacing w:before="38"/>
        <w:ind w:left="0" w:right="38" w:firstLine="0"/>
        <w:jc w:val="right"/>
        <w:rPr>
          <w:sz w:val="12"/>
        </w:rPr>
      </w:pPr>
      <w:r>
        <w:rPr/>
        <w:pict>
          <v:group style="position:absolute;margin-left:60.75pt;margin-top:2.276756pt;width:143.9pt;height:50.5pt;mso-position-horizontal-relative:page;mso-position-vertical-relative:paragraph;z-index:15815680" coordorigin="1215,46" coordsize="2878,1010">
            <v:shape style="position:absolute;left:1225;top:645;width:980;height:401" coordorigin="1225,645" coordsize="980,401" path="m1225,1046l1260,1010m1260,1010l1350,971m1343,974l1390,985m1390,985l1425,915m1425,915l1470,904m1470,904l1505,926m1505,926l1553,787m1553,787l1588,798m1588,798l1635,832m1635,832l1670,787m1670,787l1715,704m1715,704l1750,668m1750,668l1798,715m1798,715l1833,832m1833,832l1880,751m1880,751l1915,645m1915,645l1960,715m1960,715l1995,809m1995,809l2043,904m2043,904l2078,926m2078,926l2125,656m2125,656l2160,751m2160,751l2205,798e" filled="false" stroked="true" strokeweight="1pt" strokecolor="#835335">
              <v:path arrowok="t"/>
              <v:stroke dashstyle="solid"/>
            </v:shape>
            <v:line style="position:absolute" from="2195,799" to="2250,799" stroked="true" strokeweight="1.113pt" strokecolor="#835335">
              <v:stroke dashstyle="solid"/>
            </v:line>
            <v:shape style="position:absolute;left:2240;top:55;width:1028;height:837" coordorigin="2240,56" coordsize="1028,837" path="m2240,798l2288,751m2288,751l2323,893m2323,893l2370,879m2370,879l2405,809m2405,809l2450,668m2450,668l2485,526m2485,526l2533,515m2533,515l2568,292m2568,292l2615,256m2615,256l2650,362m2650,362l2695,292m2695,292l2730,314m2730,314l2778,209m2778,209l2813,114m2813,114l2860,56m2860,56l2895,67m2895,67l2940,186m2940,186l2975,233m2975,233l3023,278m3023,278l3058,350m3058,350l3105,479m3105,479l3140,373m3140,373l3185,292m3185,292l3220,256m3220,256l3268,220e" filled="false" stroked="true" strokeweight="1pt" strokecolor="#835335">
              <v:path arrowok="t"/>
              <v:stroke dashstyle="solid"/>
            </v:shape>
            <v:line style="position:absolute" from="3258,221" to="3313,221" stroked="true" strokeweight="1.113pt" strokecolor="#835335">
              <v:stroke dashstyle="solid"/>
            </v:line>
            <v:shape style="position:absolute;left:3302;top:219;width:780;height:801" coordorigin="3303,220" coordsize="780,801" path="m3303,220l3350,233m3350,233l3385,292m3385,292l3430,326m3430,326l3465,350m3465,350l3513,386m3513,386l3548,420m3548,420l3593,467m3593,467l3628,526m3628,526l3675,632m3675,632l3710,857m3710,857l3758,832m3758,832l3793,974m3793,974l3838,998m3838,998l3873,773m3873,773l3920,926m3920,926l3955,985m3955,985l4003,1010m4003,1010l4038,893m4038,893l4083,1021e" filled="false" stroked="true" strokeweight="1pt" strokecolor="#835335">
              <v:path arrowok="t"/>
              <v:stroke dashstyle="solid"/>
            </v:shape>
            <w10:wrap type="none"/>
          </v:group>
        </w:pict>
      </w:r>
      <w:r>
        <w:rPr/>
        <w:pict>
          <v:line style="position:absolute;mso-position-horizontal-relative:page;mso-position-vertical-relative:paragraph;z-index:15817728" from="50.917pt,6.366756pt" to="55.25pt,6.366756pt" stroked="true" strokeweight=".5pt" strokecolor="#000000">
            <v:stroke dashstyle="solid"/>
            <w10:wrap type="none"/>
          </v:line>
        </w:pict>
      </w:r>
      <w:r>
        <w:rPr/>
        <w:pict>
          <v:line style="position:absolute;mso-position-horizontal-relative:page;mso-position-vertical-relative:paragraph;z-index:15821824" from="208.417007pt,6.366756pt" to="212.750007pt,6.366756pt" stroked="true" strokeweight=".5pt" strokecolor="#000000">
            <v:stroke dashstyle="solid"/>
            <w10:wrap type="none"/>
          </v:line>
        </w:pict>
      </w:r>
      <w:r>
        <w:rPr>
          <w:sz w:val="12"/>
        </w:rPr>
        <w:t>19</w:t>
      </w:r>
    </w:p>
    <w:p>
      <w:pPr>
        <w:spacing w:before="38"/>
        <w:ind w:left="0" w:right="38" w:firstLine="0"/>
        <w:jc w:val="right"/>
        <w:rPr>
          <w:sz w:val="12"/>
        </w:rPr>
      </w:pPr>
      <w:r>
        <w:rPr/>
        <w:pict>
          <v:line style="position:absolute;mso-position-horizontal-relative:page;mso-position-vertical-relative:paragraph;z-index:15816192" from="50.917pt,6.480793pt" to="55.25pt,6.480793pt" stroked="true" strokeweight=".5pt" strokecolor="#000000">
            <v:stroke dashstyle="solid"/>
            <w10:wrap type="none"/>
          </v:line>
        </w:pict>
      </w:r>
      <w:r>
        <w:rPr/>
        <w:pict>
          <v:line style="position:absolute;mso-position-horizontal-relative:page;mso-position-vertical-relative:paragraph;z-index:15820288" from="208.417007pt,6.480793pt" to="212.750007pt,6.480793pt" stroked="true" strokeweight=".5pt" strokecolor="#000000">
            <v:stroke dashstyle="solid"/>
            <w10:wrap type="none"/>
          </v:line>
        </w:pict>
      </w:r>
      <w:r>
        <w:rPr>
          <w:sz w:val="12"/>
        </w:rPr>
        <w:t>18</w:t>
      </w:r>
    </w:p>
    <w:p>
      <w:pPr>
        <w:spacing w:before="40"/>
        <w:ind w:left="0" w:right="38" w:firstLine="0"/>
        <w:jc w:val="right"/>
        <w:rPr>
          <w:sz w:val="12"/>
        </w:rPr>
      </w:pPr>
      <w:r>
        <w:rPr/>
        <w:pict>
          <v:line style="position:absolute;mso-position-horizontal-relative:page;mso-position-vertical-relative:paragraph;z-index:15818240" from="50.917pt,6.581975pt" to="55.25pt,6.581975pt" stroked="true" strokeweight=".5pt" strokecolor="#000000">
            <v:stroke dashstyle="solid"/>
            <w10:wrap type="none"/>
          </v:line>
        </w:pict>
      </w:r>
      <w:r>
        <w:rPr/>
        <w:pict>
          <v:line style="position:absolute;mso-position-horizontal-relative:page;mso-position-vertical-relative:paragraph;z-index:15822336" from="208.417007pt,6.581975pt" to="212.750007pt,6.581975pt" stroked="true" strokeweight=".5pt" strokecolor="#000000">
            <v:stroke dashstyle="solid"/>
            <w10:wrap type="none"/>
          </v:line>
        </w:pict>
      </w:r>
      <w:r>
        <w:rPr>
          <w:sz w:val="12"/>
        </w:rPr>
        <w:t>17</w:t>
      </w:r>
    </w:p>
    <w:p>
      <w:pPr>
        <w:spacing w:before="51"/>
        <w:ind w:left="0" w:right="38" w:firstLine="0"/>
        <w:jc w:val="right"/>
        <w:rPr>
          <w:sz w:val="12"/>
        </w:rPr>
      </w:pPr>
      <w:r>
        <w:rPr/>
        <w:pict>
          <v:line style="position:absolute;mso-position-horizontal-relative:page;mso-position-vertical-relative:paragraph;z-index:15816704" from="50.917pt,6.569963pt" to="55.25pt,6.569963pt" stroked="true" strokeweight=".5pt" strokecolor="#000000">
            <v:stroke dashstyle="solid"/>
            <w10:wrap type="none"/>
          </v:line>
        </w:pict>
      </w:r>
      <w:r>
        <w:rPr/>
        <w:pict>
          <v:line style="position:absolute;mso-position-horizontal-relative:page;mso-position-vertical-relative:paragraph;z-index:15820800" from="208.417007pt,6.569963pt" to="212.750007pt,6.569963pt" stroked="true" strokeweight=".5pt" strokecolor="#000000">
            <v:stroke dashstyle="solid"/>
            <w10:wrap type="none"/>
          </v:line>
        </w:pict>
      </w:r>
      <w:r>
        <w:rPr>
          <w:sz w:val="12"/>
        </w:rPr>
        <w:t>16</w:t>
      </w:r>
    </w:p>
    <w:p>
      <w:pPr>
        <w:spacing w:before="37"/>
        <w:ind w:left="0" w:right="38" w:firstLine="0"/>
        <w:jc w:val="right"/>
        <w:rPr>
          <w:sz w:val="12"/>
        </w:rPr>
      </w:pPr>
      <w:r>
        <w:rPr/>
        <w:pict>
          <v:line style="position:absolute;mso-position-horizontal-relative:page;mso-position-vertical-relative:paragraph;z-index:15818752" from="50.917pt,5.983939pt" to="55.25pt,5.983939pt" stroked="true" strokeweight=".5pt" strokecolor="#000000">
            <v:stroke dashstyle="solid"/>
            <w10:wrap type="none"/>
          </v:line>
        </w:pict>
      </w:r>
      <w:r>
        <w:rPr/>
        <w:pict>
          <v:line style="position:absolute;mso-position-horizontal-relative:page;mso-position-vertical-relative:paragraph;z-index:15822848" from="208.417007pt,5.983939pt" to="212.750007pt,5.983939pt" stroked="true" strokeweight=".5pt" strokecolor="#000000">
            <v:stroke dashstyle="solid"/>
            <w10:wrap type="none"/>
          </v:line>
        </w:pict>
      </w:r>
      <w:r>
        <w:rPr>
          <w:sz w:val="12"/>
        </w:rPr>
        <w:t>15</w:t>
      </w:r>
    </w:p>
    <w:p>
      <w:pPr>
        <w:spacing w:before="42"/>
        <w:ind w:left="0" w:right="38" w:firstLine="0"/>
        <w:jc w:val="right"/>
        <w:rPr>
          <w:sz w:val="12"/>
        </w:rPr>
      </w:pPr>
      <w:r>
        <w:rPr/>
        <w:pict>
          <v:line style="position:absolute;mso-position-horizontal-relative:page;mso-position-vertical-relative:paragraph;z-index:15817216" from="50.917pt,6.122939pt" to="55.25pt,6.122939pt" stroked="true" strokeweight=".5pt" strokecolor="#000000">
            <v:stroke dashstyle="solid"/>
            <w10:wrap type="none"/>
          </v:line>
        </w:pict>
      </w:r>
      <w:r>
        <w:rPr/>
        <w:pict>
          <v:line style="position:absolute;mso-position-horizontal-relative:page;mso-position-vertical-relative:paragraph;z-index:15821312" from="208.417007pt,6.122939pt" to="212.750007pt,6.122939pt" stroked="true" strokeweight=".5pt" strokecolor="#000000">
            <v:stroke dashstyle="solid"/>
            <w10:wrap type="none"/>
          </v:line>
        </w:pict>
      </w:r>
      <w:r>
        <w:rPr>
          <w:sz w:val="12"/>
        </w:rPr>
        <w:t>14</w:t>
      </w:r>
    </w:p>
    <w:p>
      <w:pPr>
        <w:spacing w:before="35"/>
        <w:ind w:left="0" w:right="38" w:firstLine="0"/>
        <w:jc w:val="right"/>
        <w:rPr>
          <w:sz w:val="12"/>
        </w:rPr>
      </w:pPr>
      <w:r>
        <w:rPr/>
        <w:pict>
          <v:line style="position:absolute;mso-position-horizontal-relative:page;mso-position-vertical-relative:paragraph;z-index:15819776" from="50.917pt,5.999769pt" to="55.25pt,5.999769pt" stroked="true" strokeweight=".5pt" strokecolor="#000000">
            <v:stroke dashstyle="solid"/>
            <w10:wrap type="none"/>
          </v:line>
        </w:pict>
      </w:r>
      <w:r>
        <w:rPr/>
        <w:pict>
          <v:line style="position:absolute;mso-position-horizontal-relative:page;mso-position-vertical-relative:paragraph;z-index:15823360" from="208.417007pt,5.999769pt" to="212.750007pt,5.999769pt" stroked="true" strokeweight=".5pt" strokecolor="#000000">
            <v:stroke dashstyle="solid"/>
            <w10:wrap type="none"/>
          </v:line>
        </w:pict>
      </w:r>
      <w:r>
        <w:rPr>
          <w:sz w:val="12"/>
        </w:rPr>
        <w:t>13</w:t>
      </w:r>
    </w:p>
    <w:p>
      <w:pPr>
        <w:spacing w:line="128" w:lineRule="exact" w:before="40"/>
        <w:ind w:left="0" w:right="38" w:firstLine="0"/>
        <w:jc w:val="right"/>
        <w:rPr>
          <w:sz w:val="12"/>
        </w:rPr>
      </w:pPr>
      <w:r>
        <w:rPr/>
        <w:pict>
          <v:shape style="position:absolute;margin-left:50.917pt;margin-top:6.251562pt;width:162.450pt;height:5.45pt;mso-position-horizontal-relative:page;mso-position-vertical-relative:paragraph;z-index:-22792192" coordorigin="1018,125" coordsize="3249,109" path="m1018,125l1105,125m1018,233l1245,233m1182,233l4075,233m1179,173l1179,233m1506,173l1506,233m1832,173l1832,233m2158,173l2158,233m2648,173l2648,233m3138,173l3138,233m3464,173l3464,233m3954,173l3954,233m2485,173l2485,233m2975,173l2975,233m1342,173l1342,233m1669,173l1669,233m1995,173l1995,233m2322,173l2322,233m2811,173l2811,233m3301,173l3301,233m3627,173l3627,233m3791,173l3791,233m4168,125l4255,125m4251,130l4251,149,4235,161,4267,171,4235,185,4267,197,4249,204,4248,226m4018,233l4255,233m1102,129l1102,148,1086,160,1118,170,1086,184,1118,196,1103,206,1102,228e" filled="false" stroked="true" strokeweight=".5pt" strokecolor="#000000">
            <v:path arrowok="t"/>
            <v:stroke dashstyle="solid"/>
            <w10:wrap type="none"/>
          </v:shape>
        </w:pict>
      </w:r>
      <w:r>
        <w:rPr>
          <w:sz w:val="12"/>
        </w:rPr>
        <w:t>12</w:t>
      </w:r>
    </w:p>
    <w:p>
      <w:pPr>
        <w:tabs>
          <w:tab w:pos="1126" w:val="left" w:leader="none"/>
          <w:tab w:pos="1453" w:val="left" w:leader="none"/>
          <w:tab w:pos="1780" w:val="left" w:leader="none"/>
          <w:tab w:pos="2107" w:val="left" w:leader="none"/>
          <w:tab w:pos="2433" w:val="left" w:leader="none"/>
          <w:tab w:pos="2760" w:val="left" w:leader="none"/>
          <w:tab w:pos="3087" w:val="left" w:leader="none"/>
          <w:tab w:pos="3782" w:val="left" w:leader="none"/>
        </w:tabs>
        <w:spacing w:line="208" w:lineRule="exact" w:before="0"/>
        <w:ind w:left="424" w:right="0" w:firstLine="0"/>
        <w:jc w:val="left"/>
        <w:rPr>
          <w:sz w:val="12"/>
        </w:rPr>
      </w:pPr>
      <w:r>
        <w:rPr>
          <w:sz w:val="12"/>
        </w:rPr>
        <w:t>1982   </w:t>
      </w:r>
      <w:r>
        <w:rPr>
          <w:spacing w:val="15"/>
          <w:sz w:val="12"/>
        </w:rPr>
        <w:t> </w:t>
      </w:r>
      <w:r>
        <w:rPr>
          <w:sz w:val="12"/>
        </w:rPr>
        <w:t>84</w:t>
        <w:tab/>
        <w:t>86</w:t>
        <w:tab/>
        <w:t>88</w:t>
        <w:tab/>
        <w:t>90</w:t>
        <w:tab/>
        <w:t>92</w:t>
        <w:tab/>
        <w:t>94</w:t>
        <w:tab/>
        <w:t>96</w:t>
        <w:tab/>
        <w:t>98</w:t>
        <w:tab/>
      </w:r>
      <w:r>
        <w:rPr>
          <w:position w:val="8"/>
          <w:sz w:val="12"/>
        </w:rPr>
        <w:t>0</w:t>
      </w:r>
    </w:p>
    <w:p>
      <w:pPr>
        <w:spacing w:before="85"/>
        <w:ind w:left="165" w:right="0" w:firstLine="0"/>
        <w:jc w:val="left"/>
        <w:rPr>
          <w:sz w:val="12"/>
        </w:rPr>
      </w:pPr>
      <w:r>
        <w:rPr>
          <w:sz w:val="12"/>
        </w:rPr>
        <w:t>Sources: ONS and Bank of England.</w:t>
      </w:r>
    </w:p>
    <w:p>
      <w:pPr>
        <w:pStyle w:val="BodyText"/>
        <w:spacing w:before="1"/>
        <w:rPr>
          <w:sz w:val="10"/>
        </w:rPr>
      </w:pPr>
    </w:p>
    <w:p>
      <w:pPr>
        <w:spacing w:line="208" w:lineRule="auto" w:before="1"/>
        <w:ind w:left="405" w:right="145" w:hanging="240"/>
        <w:jc w:val="left"/>
        <w:rPr>
          <w:sz w:val="12"/>
        </w:rPr>
      </w:pPr>
      <w:r>
        <w:rPr>
          <w:sz w:val="12"/>
        </w:rPr>
        <w:t>(a) Defined as the stock of M4 lending to the household sector as a share of gross housing and net financial wealth.</w:t>
      </w:r>
    </w:p>
    <w:p>
      <w:pPr>
        <w:pStyle w:val="BodyText"/>
        <w:spacing w:before="1"/>
        <w:rPr>
          <w:sz w:val="17"/>
        </w:rPr>
      </w:pPr>
    </w:p>
    <w:p>
      <w:pPr>
        <w:spacing w:before="0"/>
        <w:ind w:left="185" w:right="0" w:firstLine="0"/>
        <w:jc w:val="left"/>
        <w:rPr>
          <w:b/>
          <w:sz w:val="20"/>
        </w:rPr>
      </w:pPr>
      <w:r>
        <w:rPr>
          <w:b/>
          <w:color w:val="0092C7"/>
          <w:sz w:val="20"/>
        </w:rPr>
        <w:t>Chart 1.8</w:t>
      </w:r>
    </w:p>
    <w:p>
      <w:pPr>
        <w:spacing w:before="10"/>
        <w:ind w:left="185" w:right="0" w:firstLine="0"/>
        <w:jc w:val="left"/>
        <w:rPr>
          <w:b/>
          <w:sz w:val="20"/>
        </w:rPr>
      </w:pPr>
      <w:r>
        <w:rPr>
          <w:b/>
          <w:color w:val="0092C7"/>
          <w:sz w:val="20"/>
        </w:rPr>
        <w:t>Household sector gross assets in 1999 Q4</w:t>
      </w:r>
    </w:p>
    <w:p>
      <w:pPr>
        <w:pStyle w:val="BodyText"/>
        <w:spacing w:before="7"/>
        <w:rPr>
          <w:b/>
          <w:sz w:val="13"/>
        </w:rPr>
      </w:pPr>
      <w:r>
        <w:rPr/>
        <w:pict>
          <v:group style="position:absolute;margin-left:57.964161pt;margin-top:9.782075pt;width:144.15pt;height:144.2pt;mso-position-horizontal-relative:page;mso-position-vertical-relative:paragraph;z-index:-15645184;mso-wrap-distance-left:0;mso-wrap-distance-right:0" coordorigin="1159,196" coordsize="2883,2884">
            <v:shape style="position:absolute;left:1164;top:200;width:1437;height:2487" coordorigin="1164,201" coordsize="1437,2487" path="m2601,201l2519,203,2439,209,2360,219,2283,234,2207,252,2134,275,2062,301,1991,332,1923,366,1856,405,1791,448,1728,494,1667,545,1607,599,1550,657,1500,715,1453,774,1409,834,1369,897,1333,961,1300,1026,1271,1093,1245,1160,1223,1229,1205,1298,1189,1368,1178,1439,1170,1509,1165,1580,1164,1652,1167,1723,1173,1794,1182,1864,1195,1934,1212,2004,1232,2073,1255,2140,1282,2207,1312,2273,1346,2337,1383,2400,1424,2461,1468,2521,1516,2578,1567,2634,1621,2688,2601,1637,2601,201xe" filled="true" fillcolor="#c0a2c7" stroked="false">
              <v:path arrowok="t"/>
              <v:fill type="solid"/>
            </v:shape>
            <v:shape style="position:absolute;left:1164;top:200;width:1437;height:2487" coordorigin="1164,201" coordsize="1437,2487" path="m2601,201l2519,203,2439,209,2360,219,2283,234,2207,252,2134,275,2062,301,1991,332,1923,366,1856,405,1791,448,1728,494,1667,545,1607,599,1550,657,1500,715,1453,774,1409,834,1369,897,1333,961,1300,1026,1271,1093,1245,1160,1223,1229,1205,1298,1189,1368,1178,1439,1170,1509,1165,1580,1164,1652,1167,1723,1173,1794,1182,1864,1195,1934,1212,2004,1232,2073,1255,2140,1282,2207,1312,2273,1346,2337,1383,2400,1424,2461,1468,2521,1516,2578,1567,2634,1621,2688,2601,1637,2601,201xe" filled="false" stroked="true" strokeweight=".5pt" strokecolor="#000000">
              <v:path arrowok="t"/>
              <v:stroke dashstyle="solid"/>
            </v:shape>
            <v:shape style="position:absolute;left:1620;top:1637;width:2346;height:1437" coordorigin="1621,1637" coordsize="2346,1437" path="m2601,1637l1621,2688,1682,2742,1744,2791,1806,2836,1871,2876,1937,2913,2007,2946,2080,2976,2157,3003,2230,3025,2303,3042,2377,3056,2450,3066,2524,3072,2597,3074,2669,3072,2741,3067,2813,3058,2883,3046,2953,3030,3022,3010,3090,2988,3156,2962,3221,2933,3284,2900,3346,2865,3406,2827,3464,2785,3520,2741,3574,2694,3625,2644,3675,2591,3721,2536,3765,2478,3807,2418,3845,2355,3880,2290,3912,2223,3941,2153,3967,2081,2601,1637xe" filled="true" fillcolor="#b3dabb" stroked="false">
              <v:path arrowok="t"/>
              <v:fill type="solid"/>
            </v:shape>
            <v:shape style="position:absolute;left:1620;top:1637;width:2346;height:1437" coordorigin="1621,1637" coordsize="2346,1437" path="m1621,2688l1682,2742,1744,2791,1806,2836,1871,2876,1937,2913,2007,2946,2080,2976,2157,3003,2230,3025,2303,3042,2377,3056,2450,3066,2524,3072,2597,3074,2669,3072,2741,3067,2813,3058,2883,3046,2953,3030,3022,3010,3090,2988,3156,2962,3221,2933,3284,2900,3346,2865,3406,2827,3464,2785,3520,2741,3574,2694,3625,2644,3675,2591,3721,2536,3765,2478,3807,2418,3845,2355,3880,2290,3912,2223,3941,2153,3967,2081,2601,1637,1621,2688xe" filled="false" stroked="true" strokeweight=".5pt" strokecolor="#000000">
              <v:path arrowok="t"/>
              <v:stroke dashstyle="solid"/>
            </v:shape>
            <v:shape style="position:absolute;left:2600;top:1637;width:1437;height:444" coordorigin="2601,1637" coordsize="1437,444" path="m4037,1637l2601,1637,3967,2081,3989,2007,4007,1934,4020,1862,4030,1789,4035,1715,4037,1637xe" filled="true" fillcolor="#cee7e8" stroked="false">
              <v:path arrowok="t"/>
              <v:fill type="solid"/>
            </v:shape>
            <v:shape style="position:absolute;left:2600;top:1637;width:1437;height:444" coordorigin="2601,1637" coordsize="1437,444" path="m3967,2081l3989,2007,4007,1934,4020,1862,4030,1789,4035,1715,4037,1637,2601,1637,3967,2081xe" filled="false" stroked="true" strokeweight=".5pt" strokecolor="#000000">
              <v:path arrowok="t"/>
              <v:stroke dashstyle="solid"/>
            </v:shape>
            <v:shape style="position:absolute;left:2600;top:713;width:1437;height:924" coordorigin="2601,714" coordsize="1437,924" path="m3701,714l2601,1637,4037,1637,4035,1557,4029,1479,4019,1402,4005,1327,3987,1253,3966,1180,3940,1109,3910,1040,3876,972,3838,905,3796,840,3751,776,3701,714xe" filled="true" fillcolor="#efa900" stroked="false">
              <v:path arrowok="t"/>
              <v:fill type="solid"/>
            </v:shape>
            <v:shape style="position:absolute;left:2600;top:713;width:1437;height:924" coordorigin="2601,714" coordsize="1437,924" path="m4037,1637l4035,1557,4029,1479,4019,1402,4005,1327,3987,1253,3966,1180,3940,1109,3910,1040,3876,972,3838,905,3796,840,3751,776,3701,714,2601,1637,4037,1637xe" filled="false" stroked="true" strokeweight=".5pt" strokecolor="#000000">
              <v:path arrowok="t"/>
              <v:stroke dashstyle="solid"/>
            </v:shape>
            <v:shape style="position:absolute;left:2600;top:200;width:1101;height:1437" coordorigin="2601,201" coordsize="1101,1437" path="m2601,201l2601,1637,3701,714,3646,652,3590,594,3531,540,3471,490,3409,444,3344,402,3278,364,3210,330,3140,299,3069,273,2995,251,2920,233,2843,219,2764,209,2683,203,2601,201xe" filled="true" fillcolor="#006caa" stroked="false">
              <v:path arrowok="t"/>
              <v:fill type="solid"/>
            </v:shape>
            <v:shape style="position:absolute;left:2600;top:200;width:1101;height:1437" coordorigin="2601,201" coordsize="1101,1437" path="m3701,714l3646,652,3590,594,3531,540,3471,490,3409,444,3344,402,3278,364,3210,330,3140,299,3069,273,2995,251,2920,233,2843,219,2764,209,2683,203,2601,201,2601,1637,3701,714xe" filled="false" stroked="true" strokeweight=".5pt" strokecolor="#000000">
              <v:path arrowok="t"/>
              <v:stroke dashstyle="solid"/>
            </v:shape>
            <v:rect style="position:absolute;left:3631;top:1675;width:314;height:275" filled="true" fillcolor="#ffffff" stroked="false">
              <v:fill type="solid"/>
            </v:rect>
            <v:shape style="position:absolute;left:2715;top:545;width:650;height:253" type="#_x0000_t202" filled="false" stroked="false">
              <v:textbox inset="0,0,0,0">
                <w:txbxContent>
                  <w:p>
                    <w:pPr>
                      <w:spacing w:line="208" w:lineRule="auto" w:before="9"/>
                      <w:ind w:left="54" w:right="1" w:hanging="55"/>
                      <w:jc w:val="left"/>
                      <w:rPr>
                        <w:sz w:val="12"/>
                      </w:rPr>
                    </w:pPr>
                    <w:r>
                      <w:rPr>
                        <w:sz w:val="12"/>
                        <w:shd w:fill="FFFFFF" w:color="auto" w:val="clear"/>
                      </w:rPr>
                      <w:t>Directly held</w:t>
                    </w:r>
                    <w:r>
                      <w:rPr>
                        <w:sz w:val="12"/>
                      </w:rPr>
                      <w:t> equity 14%</w:t>
                    </w:r>
                  </w:p>
                </w:txbxContent>
              </v:textbox>
              <w10:wrap type="none"/>
            </v:shape>
            <v:shape style="position:absolute;left:2257;top:2409;width:1043;height:275" type="#_x0000_t202" filled="true" fillcolor="#ffffff" stroked="false">
              <v:textbox inset="0,0,0,0">
                <w:txbxContent>
                  <w:p>
                    <w:pPr>
                      <w:spacing w:line="208" w:lineRule="auto" w:before="13"/>
                      <w:ind w:left="135" w:right="134" w:firstLine="48"/>
                      <w:jc w:val="left"/>
                      <w:rPr>
                        <w:sz w:val="12"/>
                      </w:rPr>
                    </w:pPr>
                    <w:r>
                      <w:rPr>
                        <w:sz w:val="12"/>
                      </w:rPr>
                      <w:t>Net equity in LAPFs (a) 32%</w:t>
                    </w:r>
                  </w:p>
                </w:txbxContent>
              </v:textbox>
              <v:fill type="solid"/>
              <w10:wrap type="none"/>
            </v:shape>
            <v:shape style="position:absolute;left:3631;top:1742;width:314;height:209" type="#_x0000_t202" filled="false" stroked="false">
              <v:textbox inset="0,0,0,0">
                <w:txbxContent>
                  <w:p>
                    <w:pPr>
                      <w:spacing w:line="64" w:lineRule="exact" w:before="0"/>
                      <w:ind w:left="16" w:right="0" w:firstLine="0"/>
                      <w:jc w:val="left"/>
                      <w:rPr>
                        <w:sz w:val="12"/>
                      </w:rPr>
                    </w:pPr>
                    <w:r>
                      <w:rPr>
                        <w:sz w:val="12"/>
                      </w:rPr>
                      <w:t>Other</w:t>
                    </w:r>
                  </w:p>
                  <w:p>
                    <w:pPr>
                      <w:spacing w:line="129" w:lineRule="exact" w:before="0"/>
                      <w:ind w:left="73" w:right="0" w:firstLine="0"/>
                      <w:jc w:val="left"/>
                      <w:rPr>
                        <w:sz w:val="12"/>
                      </w:rPr>
                    </w:pPr>
                    <w:r>
                      <w:rPr>
                        <w:sz w:val="12"/>
                      </w:rPr>
                      <w:t>5%</w:t>
                    </w:r>
                  </w:p>
                </w:txbxContent>
              </v:textbox>
              <w10:wrap type="none"/>
            </v:shape>
            <v:shape style="position:absolute;left:1437;top:1219;width:794;height:275" type="#_x0000_t202" filled="true" fillcolor="#ffffff" stroked="false">
              <v:textbox inset="0,0,0,0">
                <w:txbxContent>
                  <w:p>
                    <w:pPr>
                      <w:spacing w:line="208" w:lineRule="auto" w:before="16"/>
                      <w:ind w:left="290" w:right="-4" w:hanging="269"/>
                      <w:jc w:val="left"/>
                      <w:rPr>
                        <w:sz w:val="12"/>
                      </w:rPr>
                    </w:pPr>
                    <w:r>
                      <w:rPr>
                        <w:sz w:val="12"/>
                      </w:rPr>
                      <w:t>Housing wealth 38%</w:t>
                    </w:r>
                  </w:p>
                </w:txbxContent>
              </v:textbox>
              <v:fill type="solid"/>
              <w10:wrap type="none"/>
            </v:shape>
            <v:shape style="position:absolute;left:3220;top:1148;width:697;height:379" type="#_x0000_t202" filled="true" fillcolor="#ffffff" stroked="false">
              <v:textbox inset="0,0,0,0">
                <w:txbxContent>
                  <w:p>
                    <w:pPr>
                      <w:spacing w:line="208" w:lineRule="auto" w:before="7"/>
                      <w:ind w:left="38" w:right="39" w:firstLine="0"/>
                      <w:jc w:val="center"/>
                      <w:rPr>
                        <w:sz w:val="12"/>
                      </w:rPr>
                    </w:pPr>
                    <w:r>
                      <w:rPr>
                        <w:sz w:val="12"/>
                      </w:rPr>
                      <w:t>M4 currency and deposits 11%</w:t>
                    </w:r>
                  </w:p>
                </w:txbxContent>
              </v:textbox>
              <v:fill type="solid"/>
              <w10:wrap type="none"/>
            </v:shape>
            <w10:wrap type="topAndBottom"/>
          </v:group>
        </w:pict>
      </w:r>
    </w:p>
    <w:p>
      <w:pPr>
        <w:spacing w:before="136"/>
        <w:ind w:left="175" w:right="0" w:firstLine="0"/>
        <w:jc w:val="left"/>
        <w:rPr>
          <w:sz w:val="12"/>
        </w:rPr>
      </w:pPr>
      <w:r>
        <w:rPr>
          <w:sz w:val="12"/>
        </w:rPr>
        <w:t>Sources: ONS and Bank of England.</w:t>
      </w:r>
    </w:p>
    <w:p>
      <w:pPr>
        <w:spacing w:before="102"/>
        <w:ind w:left="175" w:right="0" w:firstLine="0"/>
        <w:jc w:val="left"/>
        <w:rPr>
          <w:sz w:val="12"/>
        </w:rPr>
      </w:pPr>
      <w:r>
        <w:rPr>
          <w:sz w:val="12"/>
        </w:rPr>
        <w:t>(a) Life assurance and pension funds.</w:t>
      </w:r>
    </w:p>
    <w:p>
      <w:pPr>
        <w:pStyle w:val="Heading6"/>
        <w:spacing w:line="242" w:lineRule="auto" w:before="5"/>
        <w:ind w:left="165" w:right="284"/>
      </w:pPr>
      <w:r>
        <w:rPr/>
        <w:br w:type="column"/>
      </w:r>
      <w:r>
        <w:rPr/>
        <w:t>plans partly depends on changes in the value of their assets. The largest components of total household wealth</w:t>
      </w:r>
      <w:r>
        <w:rPr>
          <w:spacing w:val="-6"/>
        </w:rPr>
        <w:t> </w:t>
      </w:r>
      <w:r>
        <w:rPr/>
        <w:t>are</w:t>
      </w:r>
      <w:r>
        <w:rPr>
          <w:spacing w:val="-6"/>
        </w:rPr>
        <w:t> </w:t>
      </w:r>
      <w:r>
        <w:rPr/>
        <w:t>housing,</w:t>
      </w:r>
      <w:r>
        <w:rPr>
          <w:spacing w:val="-6"/>
        </w:rPr>
        <w:t> </w:t>
      </w:r>
      <w:r>
        <w:rPr/>
        <w:t>equities</w:t>
      </w:r>
      <w:r>
        <w:rPr>
          <w:spacing w:val="-5"/>
        </w:rPr>
        <w:t> </w:t>
      </w:r>
      <w:r>
        <w:rPr/>
        <w:t>and</w:t>
      </w:r>
      <w:r>
        <w:rPr>
          <w:spacing w:val="-6"/>
        </w:rPr>
        <w:t> </w:t>
      </w:r>
      <w:r>
        <w:rPr/>
        <w:t>assets</w:t>
      </w:r>
      <w:r>
        <w:rPr>
          <w:spacing w:val="-6"/>
        </w:rPr>
        <w:t> </w:t>
      </w:r>
      <w:r>
        <w:rPr/>
        <w:t>held</w:t>
      </w:r>
      <w:r>
        <w:rPr>
          <w:spacing w:val="-6"/>
        </w:rPr>
        <w:t> </w:t>
      </w:r>
      <w:r>
        <w:rPr/>
        <w:t>indirectly</w:t>
      </w:r>
      <w:r>
        <w:rPr>
          <w:spacing w:val="-5"/>
        </w:rPr>
        <w:t> </w:t>
      </w:r>
      <w:r>
        <w:rPr/>
        <w:t>in life assurance and pension funds (LAPFs)</w:t>
      </w:r>
      <w:r>
        <w:rPr>
          <w:spacing w:val="-15"/>
        </w:rPr>
        <w:t> </w:t>
      </w:r>
      <w:r>
        <w:rPr/>
        <w:t>(see</w:t>
      </w:r>
    </w:p>
    <w:p>
      <w:pPr>
        <w:spacing w:line="242" w:lineRule="auto" w:before="5"/>
        <w:ind w:left="165" w:right="238" w:firstLine="0"/>
        <w:jc w:val="left"/>
        <w:rPr>
          <w:sz w:val="24"/>
        </w:rPr>
      </w:pPr>
      <w:r>
        <w:rPr>
          <w:sz w:val="24"/>
        </w:rPr>
        <w:t>Chart 1.8). In recent years, rising house and equity prices </w:t>
      </w:r>
      <w:r>
        <w:rPr>
          <w:spacing w:val="-3"/>
          <w:sz w:val="24"/>
        </w:rPr>
        <w:t>have </w:t>
      </w:r>
      <w:r>
        <w:rPr>
          <w:sz w:val="24"/>
        </w:rPr>
        <w:t>increased valuations of these components substantially, more than offsetting rising debt. In fact, as Chart 1.7 shows, the ratio of household sector debt to wealth—known as capital gearing—is lower than for many</w:t>
      </w:r>
      <w:r>
        <w:rPr>
          <w:spacing w:val="-1"/>
          <w:sz w:val="24"/>
        </w:rPr>
        <w:t> </w:t>
      </w:r>
      <w:r>
        <w:rPr>
          <w:sz w:val="24"/>
        </w:rPr>
        <w:t>years.</w:t>
      </w:r>
    </w:p>
    <w:p>
      <w:pPr>
        <w:pStyle w:val="BodyText"/>
        <w:spacing w:before="6"/>
        <w:rPr>
          <w:sz w:val="28"/>
        </w:rPr>
      </w:pPr>
    </w:p>
    <w:p>
      <w:pPr>
        <w:spacing w:line="242" w:lineRule="auto" w:before="0"/>
        <w:ind w:left="165" w:right="226" w:firstLine="0"/>
        <w:jc w:val="left"/>
        <w:rPr>
          <w:sz w:val="24"/>
        </w:rPr>
      </w:pPr>
      <w:r>
        <w:rPr>
          <w:sz w:val="24"/>
        </w:rPr>
        <w:t>Rising wealth might mean that households are willing to add to existing debt and that lenders are prepared to extend further credit. But </w:t>
      </w:r>
      <w:r>
        <w:rPr>
          <w:spacing w:val="-3"/>
          <w:sz w:val="24"/>
        </w:rPr>
        <w:t>several </w:t>
      </w:r>
      <w:r>
        <w:rPr>
          <w:sz w:val="24"/>
        </w:rPr>
        <w:t>factors might limit this effect.  One possibility is that those households who wish to take on more debt are not the same as those who </w:t>
      </w:r>
      <w:r>
        <w:rPr>
          <w:spacing w:val="-3"/>
          <w:sz w:val="24"/>
        </w:rPr>
        <w:t>have </w:t>
      </w:r>
      <w:r>
        <w:rPr>
          <w:sz w:val="24"/>
        </w:rPr>
        <w:t>seen rising asset values. Another is that as debt rises further relative to current income, borrowers (and lenders) might become more concerned about potential debt-servicing burdens should there be large changes in asset</w:t>
      </w:r>
      <w:r>
        <w:rPr>
          <w:spacing w:val="-2"/>
          <w:sz w:val="24"/>
        </w:rPr>
        <w:t> </w:t>
      </w:r>
      <w:r>
        <w:rPr>
          <w:sz w:val="24"/>
        </w:rPr>
        <w:t>values.</w:t>
      </w:r>
    </w:p>
    <w:p>
      <w:pPr>
        <w:pStyle w:val="BodyText"/>
        <w:spacing w:before="10"/>
        <w:rPr>
          <w:sz w:val="28"/>
        </w:rPr>
      </w:pPr>
    </w:p>
    <w:p>
      <w:pPr>
        <w:pStyle w:val="Heading7"/>
        <w:ind w:left="165"/>
        <w:rPr>
          <w:i/>
        </w:rPr>
      </w:pPr>
      <w:r>
        <w:rPr>
          <w:i/>
          <w:color w:val="009391"/>
        </w:rPr>
        <w:t>Private non-financial corporations</w:t>
      </w:r>
    </w:p>
    <w:p>
      <w:pPr>
        <w:spacing w:line="242" w:lineRule="auto" w:before="204"/>
        <w:ind w:left="165" w:right="482" w:firstLine="0"/>
        <w:jc w:val="left"/>
        <w:rPr>
          <w:sz w:val="24"/>
        </w:rPr>
      </w:pPr>
      <w:r>
        <w:rPr>
          <w:sz w:val="24"/>
        </w:rPr>
        <w:t>Annual growth in </w:t>
      </w:r>
      <w:r>
        <w:rPr>
          <w:spacing w:val="-3"/>
          <w:sz w:val="24"/>
        </w:rPr>
        <w:t>private </w:t>
      </w:r>
      <w:r>
        <w:rPr>
          <w:sz w:val="24"/>
        </w:rPr>
        <w:t>non-financial corporations’ (PNFCs’) M4 deposits slowed sharply to 2.4% in 2000 Q1 from 7.3% in the previous </w:t>
      </w:r>
      <w:r>
        <w:rPr>
          <w:spacing w:val="-3"/>
          <w:sz w:val="24"/>
        </w:rPr>
        <w:t>quarter. </w:t>
      </w:r>
      <w:r>
        <w:rPr>
          <w:sz w:val="24"/>
        </w:rPr>
        <w:t>One possible</w:t>
      </w:r>
      <w:r>
        <w:rPr>
          <w:spacing w:val="-8"/>
          <w:sz w:val="24"/>
        </w:rPr>
        <w:t> </w:t>
      </w:r>
      <w:r>
        <w:rPr>
          <w:sz w:val="24"/>
        </w:rPr>
        <w:t>explanation</w:t>
      </w:r>
      <w:r>
        <w:rPr>
          <w:spacing w:val="-7"/>
          <w:sz w:val="24"/>
        </w:rPr>
        <w:t> </w:t>
      </w:r>
      <w:r>
        <w:rPr>
          <w:sz w:val="24"/>
        </w:rPr>
        <w:t>is</w:t>
      </w:r>
      <w:r>
        <w:rPr>
          <w:spacing w:val="-8"/>
          <w:sz w:val="24"/>
        </w:rPr>
        <w:t> </w:t>
      </w:r>
      <w:r>
        <w:rPr>
          <w:sz w:val="24"/>
        </w:rPr>
        <w:t>that</w:t>
      </w:r>
      <w:r>
        <w:rPr>
          <w:spacing w:val="-7"/>
          <w:sz w:val="24"/>
        </w:rPr>
        <w:t> </w:t>
      </w:r>
      <w:r>
        <w:rPr>
          <w:sz w:val="24"/>
        </w:rPr>
        <w:t>deposit</w:t>
      </w:r>
      <w:r>
        <w:rPr>
          <w:spacing w:val="-8"/>
          <w:sz w:val="24"/>
        </w:rPr>
        <w:t> </w:t>
      </w:r>
      <w:r>
        <w:rPr>
          <w:sz w:val="24"/>
        </w:rPr>
        <w:t>flows</w:t>
      </w:r>
      <w:r>
        <w:rPr>
          <w:spacing w:val="-7"/>
          <w:sz w:val="24"/>
        </w:rPr>
        <w:t> </w:t>
      </w:r>
      <w:r>
        <w:rPr>
          <w:sz w:val="24"/>
        </w:rPr>
        <w:t>weakened</w:t>
      </w:r>
      <w:r>
        <w:rPr>
          <w:spacing w:val="-7"/>
          <w:sz w:val="24"/>
        </w:rPr>
        <w:t> </w:t>
      </w:r>
      <w:r>
        <w:rPr>
          <w:sz w:val="24"/>
        </w:rPr>
        <w:t>in</w:t>
      </w:r>
    </w:p>
    <w:p>
      <w:pPr>
        <w:spacing w:line="242" w:lineRule="auto" w:before="6"/>
        <w:ind w:left="165" w:right="284" w:firstLine="0"/>
        <w:jc w:val="left"/>
        <w:rPr>
          <w:sz w:val="24"/>
        </w:rPr>
      </w:pPr>
      <w:r>
        <w:rPr>
          <w:sz w:val="24"/>
        </w:rPr>
        <w:t>2000 Q1, as PNFCs unwound a precautionary build-up in liquidity in advance of the millennium date change. Bank and building society sterling lending to the sector picked up to 8.9% in 2000 Q1, its highest rate since 1996. PNFCs have also raised substantial funds from capital markets over the past year (see Chart 1.9).</w:t>
      </w:r>
    </w:p>
    <w:p>
      <w:pPr>
        <w:spacing w:line="242" w:lineRule="auto" w:before="7"/>
        <w:ind w:left="165" w:right="58" w:firstLine="0"/>
        <w:jc w:val="left"/>
        <w:rPr>
          <w:sz w:val="24"/>
        </w:rPr>
      </w:pPr>
      <w:r>
        <w:rPr>
          <w:sz w:val="24"/>
        </w:rPr>
        <w:t>Higher PNFCs’ borrowing and slower deposit growth are consistent with the rising financial deficit of the sector over the past year.</w:t>
      </w:r>
    </w:p>
    <w:p>
      <w:pPr>
        <w:pStyle w:val="BodyText"/>
        <w:spacing w:before="2"/>
        <w:rPr>
          <w:sz w:val="28"/>
        </w:rPr>
      </w:pPr>
    </w:p>
    <w:p>
      <w:pPr>
        <w:spacing w:line="242" w:lineRule="auto" w:before="0"/>
        <w:ind w:left="165" w:right="258" w:firstLine="0"/>
        <w:jc w:val="left"/>
        <w:rPr>
          <w:sz w:val="24"/>
        </w:rPr>
      </w:pPr>
      <w:r>
        <w:rPr>
          <w:sz w:val="24"/>
        </w:rPr>
        <w:t>The implications of rising PNFCs’ indebtedness for future activity depend on its cause. At an aggregate level, higher borrowing has been associated with strong investment relative to corporate profits. Sectoral data on bank lending also support this interpretation. For</w:t>
      </w:r>
    </w:p>
    <w:p>
      <w:pPr>
        <w:spacing w:after="0" w:line="242" w:lineRule="auto"/>
        <w:jc w:val="left"/>
        <w:rPr>
          <w:sz w:val="24"/>
        </w:rPr>
        <w:sectPr>
          <w:type w:val="continuous"/>
          <w:pgSz w:w="11900" w:h="16840"/>
          <w:pgMar w:top="1220" w:bottom="280" w:left="640" w:right="620"/>
          <w:cols w:num="2" w:equalWidth="0">
            <w:col w:w="3883" w:space="902"/>
            <w:col w:w="5855"/>
          </w:cols>
        </w:sectPr>
      </w:pPr>
    </w:p>
    <w:p>
      <w:pPr>
        <w:pStyle w:val="BodyText"/>
        <w:rPr>
          <w:sz w:val="20"/>
        </w:rPr>
      </w:pPr>
    </w:p>
    <w:p>
      <w:pPr>
        <w:spacing w:after="0"/>
        <w:rPr>
          <w:sz w:val="20"/>
        </w:rPr>
        <w:sectPr>
          <w:pgSz w:w="11900" w:h="16840"/>
          <w:pgMar w:header="586" w:footer="597" w:top="780" w:bottom="780" w:left="640" w:right="620"/>
        </w:sectPr>
      </w:pPr>
    </w:p>
    <w:p>
      <w:pPr>
        <w:pStyle w:val="BodyText"/>
        <w:spacing w:before="6"/>
        <w:rPr>
          <w:sz w:val="20"/>
        </w:rPr>
      </w:pPr>
    </w:p>
    <w:p>
      <w:pPr>
        <w:spacing w:before="0"/>
        <w:ind w:left="185" w:right="0" w:firstLine="0"/>
        <w:jc w:val="left"/>
        <w:rPr>
          <w:b/>
          <w:sz w:val="20"/>
        </w:rPr>
      </w:pPr>
      <w:bookmarkStart w:name="Other financial corporations" w:id="18"/>
      <w:bookmarkEnd w:id="18"/>
      <w:r>
        <w:rPr/>
      </w:r>
      <w:bookmarkStart w:name="Interest rates and asset prices" w:id="19"/>
      <w:bookmarkEnd w:id="19"/>
      <w:r>
        <w:rPr/>
      </w:r>
      <w:bookmarkStart w:name="Short-term interest rates" w:id="20"/>
      <w:bookmarkEnd w:id="20"/>
      <w:r>
        <w:rPr/>
      </w:r>
      <w:bookmarkStart w:name="_bookmark10" w:id="21"/>
      <w:bookmarkEnd w:id="21"/>
      <w:r>
        <w:rPr/>
      </w:r>
      <w:r>
        <w:rPr>
          <w:b/>
          <w:color w:val="0092C7"/>
          <w:sz w:val="20"/>
        </w:rPr>
        <w:t>Chart 1.9</w:t>
      </w:r>
    </w:p>
    <w:p>
      <w:pPr>
        <w:spacing w:before="10"/>
        <w:ind w:left="185" w:right="0" w:firstLine="0"/>
        <w:jc w:val="left"/>
        <w:rPr>
          <w:b/>
          <w:sz w:val="20"/>
        </w:rPr>
      </w:pPr>
      <w:r>
        <w:rPr>
          <w:b/>
          <w:color w:val="0092C7"/>
          <w:sz w:val="20"/>
        </w:rPr>
        <w:t>PNFCs’ external finance</w:t>
      </w:r>
    </w:p>
    <w:p>
      <w:pPr>
        <w:pStyle w:val="BodyText"/>
        <w:spacing w:before="5" w:after="40"/>
        <w:rPr>
          <w:b/>
          <w:sz w:val="15"/>
        </w:rPr>
      </w:pPr>
    </w:p>
    <w:p>
      <w:pPr>
        <w:pStyle w:val="BodyText"/>
        <w:spacing w:line="20" w:lineRule="exact"/>
        <w:ind w:left="25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b/>
          <w:sz w:val="20"/>
        </w:rPr>
      </w:pPr>
    </w:p>
    <w:p>
      <w:pPr>
        <w:pStyle w:val="BodyText"/>
        <w:spacing w:before="8"/>
        <w:rPr>
          <w:b/>
          <w:sz w:val="24"/>
        </w:rPr>
      </w:pPr>
      <w:r>
        <w:rPr/>
        <w:pict>
          <v:shape style="position:absolute;margin-left:45.196999pt;margin-top:16.421976pt;width:4.350pt;height:.1pt;mso-position-horizontal-relative:page;mso-position-vertical-relative:paragraph;z-index:-15625728;mso-wrap-distance-left:0;mso-wrap-distance-right:0" coordorigin="904,328" coordsize="87,0" path="m904,328l991,328e" filled="false" stroked="true" strokeweight=".5pt" strokecolor="#000000">
            <v:path arrowok="t"/>
            <v:stroke dashstyle="solid"/>
            <w10:wrap type="topAndBottom"/>
          </v:shape>
        </w:pict>
      </w:r>
    </w:p>
    <w:p>
      <w:pPr>
        <w:pStyle w:val="BodyText"/>
        <w:rPr>
          <w:b/>
          <w:sz w:val="20"/>
        </w:rPr>
      </w:pPr>
      <w:r>
        <w:rPr/>
        <w:br w:type="column"/>
      </w:r>
      <w:r>
        <w:rPr>
          <w:b/>
          <w:sz w:val="20"/>
        </w:rPr>
      </w:r>
    </w:p>
    <w:p>
      <w:pPr>
        <w:pStyle w:val="BodyText"/>
        <w:rPr>
          <w:b/>
          <w:sz w:val="20"/>
        </w:rPr>
      </w:pPr>
    </w:p>
    <w:p>
      <w:pPr>
        <w:pStyle w:val="BodyText"/>
        <w:spacing w:before="5"/>
        <w:rPr>
          <w:b/>
          <w:sz w:val="27"/>
        </w:rPr>
      </w:pPr>
    </w:p>
    <w:p>
      <w:pPr>
        <w:spacing w:before="0"/>
        <w:ind w:left="185" w:right="0" w:firstLine="0"/>
        <w:jc w:val="left"/>
        <w:rPr>
          <w:sz w:val="12"/>
        </w:rPr>
      </w:pPr>
      <w:r>
        <w:rPr/>
        <w:pict>
          <v:group style="position:absolute;margin-left:54.279999pt;margin-top:17.561897pt;width:160.85pt;height:117.15pt;mso-position-horizontal-relative:page;mso-position-vertical-relative:paragraph;z-index:-22766592" coordorigin="1086,351" coordsize="3217,2343">
            <v:shape style="position:absolute;left:1112;top:1331;width:933;height:1305" coordorigin="1112,1331" coordsize="933,1305" path="m1112,2429l1172,2126m1172,2126l1230,2031m1230,2031l1277,1999m1277,1999l1335,1714m1335,1714l1392,1729m1392,1729l1440,1841m1440,1841l1497,1696m1497,1696l1555,1714m1555,1714l1602,1586m1602,1586l1660,1331m1660,1331l1717,1729m1717,1729l1765,1776m1765,1776l1822,1856m1822,1856l1882,2159m1882,2159l1940,2031m1940,2031l1985,2144m1985,2144l2045,2636e" filled="false" stroked="true" strokeweight="1pt" strokecolor="#de0035">
              <v:path arrowok="t"/>
              <v:stroke dashstyle="solid"/>
            </v:shape>
            <v:shape style="position:absolute;left:2034;top:2291;width:775;height:403" type="#_x0000_t75" stroked="false">
              <v:imagedata r:id="rId37" o:title=""/>
            </v:shape>
            <v:shape style="position:absolute;left:2799;top:1601;width:1153;height:875" coordorigin="2800,1601" coordsize="1153,875" path="m2800,2301l2857,1761m2857,1761l2917,2206m2917,2206l2962,1999m2962,1999l3022,1809m3022,1809l3080,1729m3080,1729l3125,1921m3125,1921l3185,2476m3185,2476l3242,2046m3242,2046l3300,2446m3300,2446l3347,2079m3347,2079l3405,2334m3405,2334l3462,2319m3462,2319l3510,2031m3510,2031l3567,2144m3567,2144l3627,2096m3627,2096l3672,2174m3672,2174l3730,2254m3730,2254l3790,2271m3790,2271l3835,2111m3835,2111l3895,1841m3895,1841l3952,1601e" filled="false" stroked="true" strokeweight="1pt" strokecolor="#de0035">
              <v:path arrowok="t"/>
              <v:stroke dashstyle="solid"/>
            </v:shape>
            <v:shape style="position:absolute;left:1112;top:361;width:653;height:1258" coordorigin="1112,361" coordsize="653,1258" path="m1112,1619l1172,1124m1172,1124l1230,646m1230,646l1277,949m1277,949l1335,821m1335,821l1392,1029m1392,1029l1440,1269m1440,1269l1497,791m1497,791l1555,996m1555,996l1602,821m1602,821l1660,361m1660,361l1717,1251m1717,1251l1765,1029e" filled="false" stroked="true" strokeweight="1pt" strokecolor="#008360">
              <v:path arrowok="t"/>
              <v:stroke dashstyle="solid"/>
            </v:shape>
            <v:line style="position:absolute" from="1794,1019" to="1794,1629" stroked="true" strokeweight="3.875pt" strokecolor="#008360">
              <v:stroke dashstyle="solid"/>
            </v:line>
            <v:shape style="position:absolute;left:1822;top:1618;width:223;height:350" coordorigin="1822,1619" coordsize="223,350" path="m1822,1619l1882,1969m1882,1969l1940,1666m1940,1666l1985,1904m1985,1904l2045,1951e" filled="false" stroked="true" strokeweight="1pt" strokecolor="#008360">
              <v:path arrowok="t"/>
              <v:stroke dashstyle="solid"/>
            </v:shape>
            <v:line style="position:absolute" from="2035,1952" to="2112,1952" stroked="true" strokeweight="1.125pt" strokecolor="#008360">
              <v:stroke dashstyle="solid"/>
            </v:line>
            <v:shape style="position:absolute;left:2102;top:1823;width:698;height:368" coordorigin="2102,1824" coordsize="698,368" path="m2102,1951l2150,1824m2150,1824l2207,1856m2207,1856l2265,2031m2265,2031l2312,2144m2312,2144l2370,2174m2370,2174l2427,2126m2427,2126l2475,1904m2475,1904l2532,1871m2532,1871l2590,2174m2590,2174l2637,2191m2637,2191l2695,1984m2695,1984l2755,2159m2755,2159l2800,1841e" filled="false" stroked="true" strokeweight="1pt" strokecolor="#008360">
              <v:path arrowok="t"/>
              <v:stroke dashstyle="solid"/>
            </v:shape>
            <v:line style="position:absolute" from="2829,1146" to="2829,1851" stroked="true" strokeweight="3.875pt" strokecolor="#008360">
              <v:stroke dashstyle="solid"/>
            </v:line>
            <v:line style="position:absolute" from="2857,1156" to="2917,2064" stroked="true" strokeweight="1pt" strokecolor="#008360">
              <v:stroke dashstyle="solid"/>
            </v:line>
            <v:line style="position:absolute" from="2940,1609" to="2940,2074" stroked="true" strokeweight="3.25pt" strokecolor="#008360">
              <v:stroke dashstyle="solid"/>
            </v:line>
            <v:shape style="position:absolute;left:2962;top:1236;width:163;height:508" coordorigin="2962,1236" coordsize="163,508" path="m2962,1619l3022,1236m3022,1236l3080,1331m3080,1331l3125,1744e" filled="false" stroked="true" strokeweight="1pt" strokecolor="#008360">
              <v:path arrowok="t"/>
              <v:stroke dashstyle="solid"/>
            </v:shape>
            <v:shape style="position:absolute;left:3114;top:1208;width:625;height:690" type="#_x0000_t75" stroked="false">
              <v:imagedata r:id="rId38" o:title=""/>
            </v:shape>
            <v:line style="position:absolute" from="3760,429" to="3760,1229" stroked="true" strokeweight="4pt" strokecolor="#008360">
              <v:stroke dashstyle="solid"/>
            </v:line>
            <v:shape style="position:absolute;left:3789;top:438;width:163;height:845" coordorigin="3790,439" coordsize="163,845" path="m3790,439l3835,1284m3835,1284l3895,774m3895,774l3952,631e" filled="false" stroked="true" strokeweight="1pt" strokecolor="#008360">
              <v:path arrowok="t"/>
              <v:stroke dashstyle="solid"/>
            </v:shape>
            <v:shape style="position:absolute;left:1704;top:404;width:1470;height:134" type="#_x0000_t202" filled="false" stroked="false">
              <v:textbox inset="0,0,0,0">
                <w:txbxContent>
                  <w:p>
                    <w:pPr>
                      <w:spacing w:line="133" w:lineRule="exact" w:before="0"/>
                      <w:ind w:left="0" w:right="0" w:firstLine="0"/>
                      <w:jc w:val="left"/>
                      <w:rPr>
                        <w:sz w:val="12"/>
                      </w:rPr>
                    </w:pPr>
                    <w:r>
                      <w:rPr>
                        <w:sz w:val="12"/>
                      </w:rPr>
                      <w:t>Broader external financing (a)</w:t>
                    </w:r>
                  </w:p>
                </w:txbxContent>
              </v:textbox>
              <w10:wrap type="none"/>
            </v:shape>
            <v:shape style="position:absolute;left:4162;top:644;width:140;height:133" type="#_x0000_t202" filled="false" stroked="false">
              <v:textbox inset="0,0,0,0">
                <w:txbxContent>
                  <w:p>
                    <w:pPr>
                      <w:spacing w:line="133" w:lineRule="exact" w:before="0"/>
                      <w:ind w:left="0" w:right="0" w:firstLine="0"/>
                      <w:jc w:val="left"/>
                      <w:rPr>
                        <w:sz w:val="12"/>
                      </w:rPr>
                    </w:pPr>
                    <w:r>
                      <w:rPr>
                        <w:sz w:val="12"/>
                      </w:rPr>
                      <w:t>15</w:t>
                    </w:r>
                  </w:p>
                </w:txbxContent>
              </v:textbox>
              <w10:wrap type="none"/>
            </v:shape>
            <v:shape style="position:absolute;left:4162;top:1217;width:140;height:133" type="#_x0000_t202" filled="false" stroked="false">
              <v:textbox inset="0,0,0,0">
                <w:txbxContent>
                  <w:p>
                    <w:pPr>
                      <w:spacing w:line="133" w:lineRule="exact" w:before="0"/>
                      <w:ind w:left="0" w:right="0" w:firstLine="0"/>
                      <w:jc w:val="left"/>
                      <w:rPr>
                        <w:sz w:val="12"/>
                      </w:rPr>
                    </w:pPr>
                    <w:r>
                      <w:rPr>
                        <w:sz w:val="12"/>
                      </w:rPr>
                      <w:t>10</w:t>
                    </w:r>
                  </w:p>
                </w:txbxContent>
              </v:textbox>
              <w10:wrap type="none"/>
            </v:shape>
            <v:shape style="position:absolute;left:4222;top:1790;width:80;height:133" type="#_x0000_t202" filled="false" stroked="false">
              <v:textbox inset="0,0,0,0">
                <w:txbxContent>
                  <w:p>
                    <w:pPr>
                      <w:spacing w:line="133" w:lineRule="exact" w:before="0"/>
                      <w:ind w:left="0" w:right="0" w:firstLine="0"/>
                      <w:jc w:val="left"/>
                      <w:rPr>
                        <w:sz w:val="12"/>
                      </w:rPr>
                    </w:pPr>
                    <w:r>
                      <w:rPr>
                        <w:sz w:val="12"/>
                      </w:rPr>
                      <w:t>5</w:t>
                    </w:r>
                  </w:p>
                </w:txbxContent>
              </v:textbox>
              <w10:wrap type="none"/>
            </v:shape>
            <v:shape style="position:absolute;left:1259;top:2213;width:717;height:134" type="#_x0000_t202" filled="false" stroked="false">
              <v:textbox inset="0,0,0,0">
                <w:txbxContent>
                  <w:p>
                    <w:pPr>
                      <w:spacing w:line="133" w:lineRule="exact" w:before="0"/>
                      <w:ind w:left="0" w:right="0" w:firstLine="0"/>
                      <w:jc w:val="left"/>
                      <w:rPr>
                        <w:sz w:val="12"/>
                      </w:rPr>
                    </w:pPr>
                    <w:r>
                      <w:rPr>
                        <w:sz w:val="12"/>
                      </w:rPr>
                      <w:t>M4 borrowing</w:t>
                    </w:r>
                  </w:p>
                </w:txbxContent>
              </v:textbox>
              <w10:wrap type="none"/>
            </v:shape>
            <v:shape style="position:absolute;left:4113;top:2135;width:111;height:178" type="#_x0000_t202" filled="false" stroked="false">
              <v:textbox inset="0,0,0,0">
                <w:txbxContent>
                  <w:p>
                    <w:pPr>
                      <w:spacing w:line="177" w:lineRule="exact" w:before="0"/>
                      <w:ind w:left="0" w:right="0" w:firstLine="0"/>
                      <w:jc w:val="left"/>
                      <w:rPr>
                        <w:sz w:val="16"/>
                      </w:rPr>
                    </w:pPr>
                    <w:r>
                      <w:rPr>
                        <w:sz w:val="16"/>
                      </w:rPr>
                      <w:t>+</w:t>
                    </w:r>
                  </w:p>
                </w:txbxContent>
              </v:textbox>
              <w10:wrap type="none"/>
            </v:shape>
            <v:shape style="position:absolute;left:1085;top:2363;width:3217;height:321" type="#_x0000_t202" filled="false" stroked="false">
              <v:textbox inset="0,0,0,0">
                <w:txbxContent>
                  <w:p>
                    <w:pPr>
                      <w:tabs>
                        <w:tab w:pos="3037" w:val="left" w:leader="none"/>
                      </w:tabs>
                      <w:spacing w:line="133" w:lineRule="exact" w:before="0"/>
                      <w:ind w:left="0" w:right="0" w:firstLine="0"/>
                      <w:jc w:val="left"/>
                      <w:rPr>
                        <w:sz w:val="12"/>
                      </w:rPr>
                    </w:pPr>
                    <w:r>
                      <w:rPr>
                        <w:sz w:val="12"/>
                        <w:u w:val="single"/>
                      </w:rPr>
                      <w:t> </w:t>
                      <w:tab/>
                    </w:r>
                    <w:r>
                      <w:rPr>
                        <w:sz w:val="12"/>
                      </w:rPr>
                      <w:t>  </w:t>
                    </w:r>
                    <w:r>
                      <w:rPr>
                        <w:spacing w:val="9"/>
                        <w:sz w:val="12"/>
                      </w:rPr>
                      <w:t> </w:t>
                    </w:r>
                    <w:r>
                      <w:rPr>
                        <w:sz w:val="12"/>
                      </w:rPr>
                      <w:t>0</w:t>
                    </w:r>
                  </w:p>
                  <w:p>
                    <w:pPr>
                      <w:spacing w:before="3"/>
                      <w:ind w:left="0" w:right="96" w:firstLine="0"/>
                      <w:jc w:val="right"/>
                      <w:rPr>
                        <w:sz w:val="16"/>
                      </w:rPr>
                    </w:pPr>
                    <w:r>
                      <w:rPr>
                        <w:sz w:val="16"/>
                      </w:rPr>
                      <w:t>_</w:t>
                    </w:r>
                  </w:p>
                </w:txbxContent>
              </v:textbox>
              <w10:wrap type="none"/>
            </v:shape>
            <w10:wrap type="none"/>
          </v:group>
        </w:pict>
      </w:r>
      <w:r>
        <w:rPr>
          <w:sz w:val="12"/>
        </w:rPr>
        <w:t>£ billio</w:t>
      </w:r>
      <w:r>
        <w:rPr>
          <w:sz w:val="12"/>
          <w:u w:val="single"/>
        </w:rPr>
        <w:t>ns</w:t>
      </w:r>
      <w:r>
        <w:rPr>
          <w:sz w:val="12"/>
        </w:rPr>
        <w:t> </w:t>
      </w:r>
      <w:r>
        <w:rPr>
          <w:position w:val="-6"/>
          <w:sz w:val="12"/>
        </w:rPr>
        <w:t>20</w:t>
      </w:r>
    </w:p>
    <w:p>
      <w:pPr>
        <w:pStyle w:val="BodyText"/>
        <w:rPr>
          <w:sz w:val="20"/>
        </w:rPr>
      </w:pPr>
    </w:p>
    <w:p>
      <w:pPr>
        <w:pStyle w:val="BodyText"/>
        <w:spacing w:before="1"/>
        <w:rPr>
          <w:sz w:val="21"/>
        </w:rPr>
      </w:pPr>
      <w:r>
        <w:rPr/>
        <w:pict>
          <v:shape style="position:absolute;margin-left:201.822006pt;margin-top:14.369342pt;width:4.350pt;height:.1pt;mso-position-horizontal-relative:page;mso-position-vertical-relative:paragraph;z-index:-15625216;mso-wrap-distance-left:0;mso-wrap-distance-right:0" coordorigin="4036,287" coordsize="87,0" path="m4036,287l4123,287e" filled="false" stroked="true" strokeweight=".5pt" strokecolor="#000000">
            <v:path arrowok="t"/>
            <v:stroke dashstyle="solid"/>
            <w10:wrap type="topAndBottom"/>
          </v:shape>
        </w:pict>
      </w:r>
    </w:p>
    <w:p>
      <w:pPr>
        <w:pStyle w:val="Heading6"/>
        <w:spacing w:line="242" w:lineRule="auto" w:before="207"/>
        <w:ind w:left="185" w:right="248"/>
        <w:rPr>
          <w:sz w:val="16"/>
        </w:rPr>
      </w:pPr>
      <w:r>
        <w:rPr/>
        <w:br w:type="column"/>
      </w:r>
      <w:r>
        <w:rPr/>
        <w:t>example, the recent strength of sterling lending to the service sector and the weakness of manufacturing borrowing from banks (see Chart 1.10) are consistent with the relative investment trends in these sectors, </w:t>
      </w:r>
      <w:hyperlink w:history="true" w:anchor="_bookmark18">
        <w:r>
          <w:rPr/>
          <w:t>discussed in Section 2.</w:t>
        </w:r>
        <w:r>
          <w:rPr>
            <w:position w:val="5"/>
            <w:sz w:val="16"/>
          </w:rPr>
          <w:t>(1)</w:t>
        </w:r>
      </w:hyperlink>
    </w:p>
    <w:p>
      <w:pPr>
        <w:spacing w:after="0" w:line="242" w:lineRule="auto"/>
        <w:rPr>
          <w:sz w:val="16"/>
        </w:rPr>
        <w:sectPr>
          <w:type w:val="continuous"/>
          <w:pgSz w:w="11900" w:h="16840"/>
          <w:pgMar w:top="1220" w:bottom="280" w:left="640" w:right="620"/>
          <w:cols w:num="3" w:equalWidth="0">
            <w:col w:w="2325" w:space="522"/>
            <w:col w:w="835" w:space="1112"/>
            <w:col w:w="5846"/>
          </w:cols>
        </w:sectPr>
      </w:pPr>
    </w:p>
    <w:p>
      <w:pPr>
        <w:pStyle w:val="BodyText"/>
        <w:spacing w:before="1"/>
        <w:rPr>
          <w:sz w:val="17"/>
        </w:rPr>
      </w:pPr>
    </w:p>
    <w:p>
      <w:pPr>
        <w:spacing w:after="0"/>
        <w:rPr>
          <w:sz w:val="17"/>
        </w:rPr>
        <w:sectPr>
          <w:type w:val="continuous"/>
          <w:pgSz w:w="11900" w:h="16840"/>
          <w:pgMar w:top="1220" w:bottom="280" w:left="640" w:right="620"/>
        </w:sectPr>
      </w:pPr>
    </w:p>
    <w:p>
      <w:pPr>
        <w:pStyle w:val="BodyText"/>
        <w:spacing w:before="8"/>
        <w:rPr>
          <w:sz w:val="23"/>
        </w:rPr>
      </w:pPr>
    </w:p>
    <w:p>
      <w:pPr>
        <w:pStyle w:val="BodyText"/>
        <w:spacing w:line="20" w:lineRule="exact"/>
        <w:ind w:left="25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8"/>
        <w:rPr>
          <w:sz w:val="24"/>
        </w:rPr>
      </w:pPr>
      <w:r>
        <w:rPr/>
        <w:pict>
          <v:shape style="position:absolute;margin-left:45.196999pt;margin-top:16.421976pt;width:4.350pt;height:.1pt;mso-position-horizontal-relative:page;mso-position-vertical-relative:paragraph;z-index:-15624192;mso-wrap-distance-left:0;mso-wrap-distance-right:0" coordorigin="904,328" coordsize="87,0" path="m904,328l991,328e" filled="false" stroked="true" strokeweight=".5pt" strokecolor="#000000">
            <v:path arrowok="t"/>
            <v:stroke dashstyle="solid"/>
            <w10:wrap type="topAndBottom"/>
          </v:shape>
        </w:pict>
      </w:r>
    </w:p>
    <w:p>
      <w:pPr>
        <w:pStyle w:val="BodyText"/>
        <w:rPr>
          <w:sz w:val="20"/>
        </w:rPr>
      </w:pPr>
    </w:p>
    <w:p>
      <w:pPr>
        <w:pStyle w:val="BodyText"/>
        <w:rPr>
          <w:sz w:val="23"/>
        </w:rPr>
      </w:pPr>
      <w:r>
        <w:rPr/>
        <w:pict>
          <v:shape style="position:absolute;margin-left:45.196999pt;margin-top:15.471976pt;width:4.350pt;height:.1pt;mso-position-horizontal-relative:page;mso-position-vertical-relative:paragraph;z-index:-15623680;mso-wrap-distance-left:0;mso-wrap-distance-right:0" coordorigin="904,309" coordsize="87,0" path="m904,309l991,309e" filled="false" stroked="true" strokeweight=".5pt" strokecolor="#000000">
            <v:path arrowok="t"/>
            <v:stroke dashstyle="solid"/>
            <w10:wrap type="topAndBottom"/>
          </v:shape>
        </w:pict>
      </w:r>
    </w:p>
    <w:p>
      <w:pPr>
        <w:pStyle w:val="BodyText"/>
        <w:rPr>
          <w:sz w:val="20"/>
        </w:rPr>
      </w:pPr>
    </w:p>
    <w:p>
      <w:pPr>
        <w:pStyle w:val="BodyText"/>
        <w:rPr>
          <w:sz w:val="23"/>
        </w:rPr>
      </w:pPr>
      <w:r>
        <w:rPr/>
        <w:pict>
          <v:shape style="position:absolute;margin-left:45.196999pt;margin-top:15.471976pt;width:4.350pt;height:.1pt;mso-position-horizontal-relative:page;mso-position-vertical-relative:paragraph;z-index:-15623168;mso-wrap-distance-left:0;mso-wrap-distance-right:0" coordorigin="904,309" coordsize="87,0" path="m904,309l991,309e" filled="false" stroked="true" strokeweight=".5pt" strokecolor="#000000">
            <v:path arrowok="t"/>
            <v:stroke dashstyle="solid"/>
            <w10:wrap type="topAndBottom"/>
          </v:shape>
        </w:pict>
      </w:r>
    </w:p>
    <w:p>
      <w:pPr>
        <w:tabs>
          <w:tab w:pos="942" w:val="left" w:leader="none"/>
        </w:tabs>
        <w:spacing w:before="0"/>
        <w:ind w:left="417" w:right="0" w:firstLine="0"/>
        <w:jc w:val="left"/>
        <w:rPr>
          <w:sz w:val="12"/>
        </w:rPr>
      </w:pPr>
      <w:r>
        <w:rPr>
          <w:sz w:val="12"/>
        </w:rPr>
        <w:t>1987</w:t>
        <w:tab/>
      </w:r>
      <w:r>
        <w:rPr>
          <w:spacing w:val="-10"/>
          <w:sz w:val="12"/>
        </w:rPr>
        <w:t>89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712" w:val="left" w:leader="none"/>
        </w:tabs>
        <w:spacing w:before="73"/>
        <w:ind w:left="272" w:right="0" w:firstLine="0"/>
        <w:jc w:val="left"/>
        <w:rPr>
          <w:sz w:val="12"/>
        </w:rPr>
      </w:pPr>
      <w:r>
        <w:rPr>
          <w:sz w:val="12"/>
        </w:rPr>
        <w:t>91</w:t>
        <w:tab/>
      </w:r>
      <w:r>
        <w:rPr>
          <w:spacing w:val="-10"/>
          <w:sz w:val="12"/>
        </w:rPr>
        <w:t>93</w:t>
      </w:r>
    </w:p>
    <w:p>
      <w:pPr>
        <w:pStyle w:val="BodyText"/>
        <w:spacing w:before="3" w:after="39"/>
        <w:rPr>
          <w:sz w:val="20"/>
        </w:rPr>
      </w:pPr>
      <w:r>
        <w:rPr/>
        <w:br w:type="column"/>
      </w:r>
      <w:r>
        <w:rPr>
          <w:sz w:val="20"/>
        </w:rPr>
      </w:r>
    </w:p>
    <w:p>
      <w:pPr>
        <w:pStyle w:val="BodyText"/>
        <w:spacing w:line="20" w:lineRule="exact"/>
        <w:ind w:left="1416"/>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8"/>
        <w:rPr>
          <w:sz w:val="24"/>
        </w:rPr>
      </w:pPr>
      <w:r>
        <w:rPr/>
        <w:pict>
          <v:shape style="position:absolute;margin-left:201.822006pt;margin-top:16.421976pt;width:4.350pt;height:.1pt;mso-position-horizontal-relative:page;mso-position-vertical-relative:paragraph;z-index:-15622144;mso-wrap-distance-left:0;mso-wrap-distance-right:0" coordorigin="4036,328" coordsize="87,0" path="m4036,328l4123,328e" filled="false" stroked="true" strokeweight=".5pt" strokecolor="#000000">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7"/>
        </w:rPr>
      </w:pPr>
    </w:p>
    <w:p>
      <w:pPr>
        <w:spacing w:line="116" w:lineRule="exact" w:before="0"/>
        <w:ind w:left="1607" w:right="0" w:firstLine="0"/>
        <w:jc w:val="left"/>
        <w:rPr>
          <w:sz w:val="12"/>
        </w:rPr>
      </w:pPr>
      <w:r>
        <w:rPr/>
        <w:pict>
          <v:shape style="position:absolute;margin-left:54.404999pt;margin-top:1.02857pt;width:151.75pt;height:3.4pt;mso-position-horizontal-relative:page;mso-position-vertical-relative:paragraph;z-index:15845376" coordorigin="1088,21" coordsize="3035,68" path="m4036,87l4123,87m1091,88l3979,88m1088,21l1088,88m1305,21l1305,88m1740,21l1740,88m2175,21l2175,88m2609,21l2609,88m3044,21l3044,88m3478,21l3478,88m3913,21l3913,88m3261,21l3261,88m3696,21l3696,88m1523,21l1523,88m1957,21l1957,88m2392,21l2392,88m2826,21l2826,88e" filled="false" stroked="true" strokeweight=".5pt" strokecolor="#000000">
            <v:path arrowok="t"/>
            <v:stroke dashstyle="solid"/>
            <w10:wrap type="none"/>
          </v:shape>
        </w:pict>
      </w:r>
      <w:r>
        <w:rPr>
          <w:sz w:val="12"/>
        </w:rPr>
        <w:t>5</w:t>
      </w:r>
    </w:p>
    <w:p>
      <w:pPr>
        <w:tabs>
          <w:tab w:pos="712" w:val="left" w:leader="none"/>
          <w:tab w:pos="1144" w:val="left" w:leader="none"/>
        </w:tabs>
        <w:spacing w:line="116" w:lineRule="exact" w:before="0"/>
        <w:ind w:left="272" w:right="0" w:firstLine="0"/>
        <w:jc w:val="left"/>
        <w:rPr>
          <w:sz w:val="12"/>
        </w:rPr>
      </w:pPr>
      <w:r>
        <w:rPr>
          <w:sz w:val="12"/>
        </w:rPr>
        <w:t>95</w:t>
        <w:tab/>
        <w:t>97</w:t>
        <w:tab/>
        <w:t>99</w:t>
      </w:r>
    </w:p>
    <w:p>
      <w:pPr>
        <w:pStyle w:val="Heading7"/>
        <w:spacing w:before="90"/>
        <w:ind w:left="417"/>
        <w:rPr>
          <w:i/>
        </w:rPr>
      </w:pPr>
      <w:r>
        <w:rPr>
          <w:i w:val="0"/>
        </w:rPr>
        <w:br w:type="column"/>
      </w:r>
      <w:r>
        <w:rPr>
          <w:i/>
          <w:color w:val="009391"/>
        </w:rPr>
        <w:t>Other financial corporations</w:t>
      </w:r>
    </w:p>
    <w:p>
      <w:pPr>
        <w:spacing w:line="242" w:lineRule="auto" w:before="164"/>
        <w:ind w:left="417" w:right="160" w:firstLine="0"/>
        <w:jc w:val="left"/>
        <w:rPr>
          <w:sz w:val="24"/>
        </w:rPr>
      </w:pPr>
      <w:r>
        <w:rPr>
          <w:sz w:val="24"/>
        </w:rPr>
        <w:t>M4 deposits held at banks and building societies by OFCs rose by 4.4% in the year to 2000 Q1, reversing the weakness of these deposits in recent quarters. Rising deposit growth was matched by higher growth in OFCs’ M4 borrowing, which increased to 14.2% in the year to 2000 Q1. The OFC sector comprises insurance</w:t>
      </w:r>
    </w:p>
    <w:p>
      <w:pPr>
        <w:spacing w:after="0" w:line="242" w:lineRule="auto"/>
        <w:jc w:val="left"/>
        <w:rPr>
          <w:sz w:val="24"/>
        </w:rPr>
        <w:sectPr>
          <w:type w:val="continuous"/>
          <w:pgSz w:w="11900" w:h="16840"/>
          <w:pgMar w:top="1220" w:bottom="280" w:left="640" w:right="620"/>
          <w:cols w:num="4" w:equalWidth="0">
            <w:col w:w="1063" w:space="40"/>
            <w:col w:w="833" w:space="39"/>
            <w:col w:w="1708" w:space="880"/>
            <w:col w:w="6077"/>
          </w:cols>
        </w:sectPr>
      </w:pPr>
    </w:p>
    <w:p>
      <w:pPr>
        <w:spacing w:before="21"/>
        <w:ind w:left="190" w:right="0" w:firstLine="0"/>
        <w:jc w:val="left"/>
        <w:rPr>
          <w:sz w:val="12"/>
        </w:rPr>
      </w:pPr>
      <w:r>
        <w:rPr>
          <w:sz w:val="12"/>
        </w:rPr>
        <w:t>Source: Bank of England.</w:t>
      </w:r>
    </w:p>
    <w:p>
      <w:pPr>
        <w:pStyle w:val="BodyText"/>
        <w:spacing w:before="1"/>
        <w:rPr>
          <w:sz w:val="10"/>
        </w:rPr>
      </w:pPr>
    </w:p>
    <w:p>
      <w:pPr>
        <w:spacing w:line="208" w:lineRule="auto" w:before="0"/>
        <w:ind w:left="430" w:right="0" w:hanging="240"/>
        <w:jc w:val="left"/>
        <w:rPr>
          <w:sz w:val="12"/>
        </w:rPr>
      </w:pPr>
      <w:r>
        <w:rPr>
          <w:sz w:val="12"/>
        </w:rPr>
        <w:t>(a) M4 borrowing plus capital issues and foreign currency borrowing from banks and building societies.</w:t>
      </w:r>
    </w:p>
    <w:p>
      <w:pPr>
        <w:pStyle w:val="BodyText"/>
        <w:spacing w:before="8"/>
        <w:rPr>
          <w:sz w:val="9"/>
        </w:rPr>
      </w:pPr>
    </w:p>
    <w:p>
      <w:pPr>
        <w:spacing w:before="0"/>
        <w:ind w:left="180" w:right="0" w:firstLine="0"/>
        <w:jc w:val="left"/>
        <w:rPr>
          <w:b/>
          <w:sz w:val="20"/>
        </w:rPr>
      </w:pPr>
      <w:r>
        <w:rPr>
          <w:b/>
          <w:color w:val="0092C7"/>
          <w:sz w:val="20"/>
        </w:rPr>
        <w:t>Chart 1.10</w:t>
      </w:r>
    </w:p>
    <w:p>
      <w:pPr>
        <w:spacing w:before="10"/>
        <w:ind w:left="180" w:right="0" w:firstLine="0"/>
        <w:jc w:val="left"/>
        <w:rPr>
          <w:sz w:val="12"/>
        </w:rPr>
      </w:pPr>
      <w:r>
        <w:rPr/>
        <w:drawing>
          <wp:anchor distT="0" distB="0" distL="0" distR="0" allowOverlap="1" layoutInCell="1" locked="0" behindDoc="0" simplePos="0" relativeHeight="15846912">
            <wp:simplePos x="0" y="0"/>
            <wp:positionH relativeFrom="page">
              <wp:posOffset>1169454</wp:posOffset>
            </wp:positionH>
            <wp:positionV relativeFrom="paragraph">
              <wp:posOffset>221627</wp:posOffset>
            </wp:positionV>
            <wp:extent cx="112179" cy="219862"/>
            <wp:effectExtent l="0" t="0" r="0" b="0"/>
            <wp:wrapNone/>
            <wp:docPr id="5" name="image12.png"/>
            <wp:cNvGraphicFramePr>
              <a:graphicFrameLocks noChangeAspect="1"/>
            </wp:cNvGraphicFramePr>
            <a:graphic>
              <a:graphicData uri="http://schemas.openxmlformats.org/drawingml/2006/picture">
                <pic:pic>
                  <pic:nvPicPr>
                    <pic:cNvPr id="6" name="image12.png"/>
                    <pic:cNvPicPr/>
                  </pic:nvPicPr>
                  <pic:blipFill>
                    <a:blip r:embed="rId39" cstate="print"/>
                    <a:stretch>
                      <a:fillRect/>
                    </a:stretch>
                  </pic:blipFill>
                  <pic:spPr>
                    <a:xfrm>
                      <a:off x="0" y="0"/>
                      <a:ext cx="112179" cy="219862"/>
                    </a:xfrm>
                    <a:prstGeom prst="rect">
                      <a:avLst/>
                    </a:prstGeom>
                  </pic:spPr>
                </pic:pic>
              </a:graphicData>
            </a:graphic>
          </wp:anchor>
        </w:drawing>
      </w:r>
      <w:r>
        <w:rPr>
          <w:b/>
          <w:color w:val="0092C7"/>
          <w:sz w:val="20"/>
        </w:rPr>
        <w:t>Industrial breakdown of bank lending</w:t>
      </w:r>
      <w:r>
        <w:rPr>
          <w:position w:val="4"/>
          <w:sz w:val="12"/>
        </w:rPr>
        <w:t>(a)</w:t>
      </w:r>
    </w:p>
    <w:p>
      <w:pPr>
        <w:spacing w:line="242" w:lineRule="auto" w:before="8"/>
        <w:ind w:left="180" w:right="227" w:firstLine="0"/>
        <w:jc w:val="left"/>
        <w:rPr>
          <w:sz w:val="24"/>
        </w:rPr>
      </w:pPr>
      <w:r>
        <w:rPr/>
        <w:br w:type="column"/>
      </w:r>
      <w:r>
        <w:rPr>
          <w:sz w:val="24"/>
        </w:rPr>
        <w:t>companies and pension funds (ICPFs) and other financial institutions and financial auxiliaries (OFIFAs), such as securities dealers. Much of the bounceback in OFCs’ M4 deposits in the first quarter reflected sharply</w:t>
      </w:r>
    </w:p>
    <w:p>
      <w:pPr>
        <w:spacing w:after="0" w:line="242" w:lineRule="auto"/>
        <w:jc w:val="left"/>
        <w:rPr>
          <w:sz w:val="24"/>
        </w:rPr>
        <w:sectPr>
          <w:type w:val="continuous"/>
          <w:pgSz w:w="11900" w:h="16840"/>
          <w:pgMar w:top="1220" w:bottom="280" w:left="640" w:right="620"/>
          <w:cols w:num="2" w:equalWidth="0">
            <w:col w:w="3622" w:space="1178"/>
            <w:col w:w="5840"/>
          </w:cols>
        </w:sectPr>
      </w:pPr>
    </w:p>
    <w:p>
      <w:pPr>
        <w:spacing w:line="324" w:lineRule="auto" w:before="86"/>
        <w:ind w:left="477" w:right="-19" w:firstLine="0"/>
        <w:jc w:val="left"/>
        <w:rPr>
          <w:sz w:val="12"/>
        </w:rPr>
      </w:pPr>
      <w:r>
        <w:rPr/>
        <w:drawing>
          <wp:anchor distT="0" distB="0" distL="0" distR="0" allowOverlap="1" layoutInCell="1" locked="0" behindDoc="0" simplePos="0" relativeHeight="15846400">
            <wp:simplePos x="0" y="0"/>
            <wp:positionH relativeFrom="page">
              <wp:posOffset>573620</wp:posOffset>
            </wp:positionH>
            <wp:positionV relativeFrom="paragraph">
              <wp:posOffset>52477</wp:posOffset>
            </wp:positionV>
            <wp:extent cx="112179" cy="219862"/>
            <wp:effectExtent l="0" t="0" r="0" b="0"/>
            <wp:wrapNone/>
            <wp:docPr id="7" name="image13.png"/>
            <wp:cNvGraphicFramePr>
              <a:graphicFrameLocks noChangeAspect="1"/>
            </wp:cNvGraphicFramePr>
            <a:graphic>
              <a:graphicData uri="http://schemas.openxmlformats.org/drawingml/2006/picture">
                <pic:pic>
                  <pic:nvPicPr>
                    <pic:cNvPr id="8" name="image13.png"/>
                    <pic:cNvPicPr/>
                  </pic:nvPicPr>
                  <pic:blipFill>
                    <a:blip r:embed="rId40" cstate="print"/>
                    <a:stretch>
                      <a:fillRect/>
                    </a:stretch>
                  </pic:blipFill>
                  <pic:spPr>
                    <a:xfrm>
                      <a:off x="0" y="0"/>
                      <a:ext cx="112179" cy="219862"/>
                    </a:xfrm>
                    <a:prstGeom prst="rect">
                      <a:avLst/>
                    </a:prstGeom>
                  </pic:spPr>
                </pic:pic>
              </a:graphicData>
            </a:graphic>
          </wp:anchor>
        </w:drawing>
      </w:r>
      <w:r>
        <w:rPr>
          <w:sz w:val="12"/>
        </w:rPr>
        <w:t>Agriculture Construction</w:t>
      </w:r>
    </w:p>
    <w:p>
      <w:pPr>
        <w:pStyle w:val="BodyText"/>
        <w:spacing w:before="4" w:after="39"/>
        <w:rPr>
          <w:sz w:val="16"/>
        </w:rPr>
      </w:pPr>
    </w:p>
    <w:p>
      <w:pPr>
        <w:pStyle w:val="BodyText"/>
        <w:spacing w:line="20" w:lineRule="exact"/>
        <w:ind w:left="285"/>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4"/>
        <w:rPr>
          <w:sz w:val="19"/>
        </w:rPr>
      </w:pPr>
      <w:r>
        <w:rPr/>
        <w:pict>
          <v:shape style="position:absolute;margin-left:46.5pt;margin-top:13.364pt;width:4.350pt;height:.1pt;mso-position-horizontal-relative:page;mso-position-vertical-relative:paragraph;z-index:-15621120;mso-wrap-distance-left:0;mso-wrap-distance-right:0" coordorigin="930,267" coordsize="87,0" path="m930,267l1017,267e" filled="false" stroked="true" strokeweight=".5pt" strokecolor="#000000">
            <v:path arrowok="t"/>
            <v:stroke dashstyle="solid"/>
            <w10:wrap type="topAndBottom"/>
          </v:shape>
        </w:pict>
      </w:r>
      <w:r>
        <w:rPr/>
        <w:pict>
          <v:shape style="position:absolute;margin-left:46.5pt;margin-top:27.771pt;width:4.350pt;height:.1pt;mso-position-horizontal-relative:page;mso-position-vertical-relative:paragraph;z-index:-15620608;mso-wrap-distance-left:0;mso-wrap-distance-right:0" coordorigin="930,555" coordsize="87,0" path="m930,555l1017,555e" filled="false" stroked="true" strokeweight=".5pt" strokecolor="#000000">
            <v:path arrowok="t"/>
            <v:stroke dashstyle="solid"/>
            <w10:wrap type="topAndBottom"/>
          </v:shape>
        </w:pict>
      </w:r>
      <w:r>
        <w:rPr/>
        <w:pict>
          <v:shape style="position:absolute;margin-left:46.5pt;margin-top:41.477001pt;width:4.350pt;height:.1pt;mso-position-horizontal-relative:page;mso-position-vertical-relative:paragraph;z-index:-15620096;mso-wrap-distance-left:0;mso-wrap-distance-right:0" coordorigin="930,830" coordsize="87,0" path="m930,830l1017,830e" filled="false" stroked="true" strokeweight=".5pt" strokecolor="#000000">
            <v:path arrowok="t"/>
            <v:stroke dashstyle="solid"/>
            <w10:wrap type="topAndBottom"/>
          </v:shape>
        </w:pict>
      </w:r>
      <w:r>
        <w:rPr/>
        <w:pict>
          <v:shape style="position:absolute;margin-left:46.5pt;margin-top:56.591pt;width:4.350pt;height:.1pt;mso-position-horizontal-relative:page;mso-position-vertical-relative:paragraph;z-index:-15619584;mso-wrap-distance-left:0;mso-wrap-distance-right:0" coordorigin="930,1132" coordsize="87,0" path="m930,1132l1017,1132e" filled="false" stroked="true" strokeweight=".5pt" strokecolor="#000000">
            <v:path arrowok="t"/>
            <v:stroke dashstyle="solid"/>
            <w10:wrap type="topAndBottom"/>
          </v:shape>
        </w:pict>
      </w:r>
      <w:r>
        <w:rPr/>
        <w:pict>
          <v:shape style="position:absolute;margin-left:46.5pt;margin-top:69.704002pt;width:4.350pt;height:.1pt;mso-position-horizontal-relative:page;mso-position-vertical-relative:paragraph;z-index:-15619072;mso-wrap-distance-left:0;mso-wrap-distance-right:0" coordorigin="930,1394" coordsize="87,0" path="m930,1394l1017,1394e" filled="false" stroked="true" strokeweight=".5pt" strokecolor="#000000">
            <v:path arrowok="t"/>
            <v:stroke dashstyle="solid"/>
            <w10:wrap type="topAndBottom"/>
          </v:shape>
        </w:pict>
      </w:r>
      <w:r>
        <w:rPr/>
        <w:pict>
          <v:shape style="position:absolute;margin-left:46.5pt;margin-top:84.817001pt;width:4.350pt;height:.1pt;mso-position-horizontal-relative:page;mso-position-vertical-relative:paragraph;z-index:-15618560;mso-wrap-distance-left:0;mso-wrap-distance-right:0" coordorigin="930,1696" coordsize="87,0" path="m930,1696l1017,1696e" filled="false" stroked="true" strokeweight=".5pt" strokecolor="#000000">
            <v:path arrowok="t"/>
            <v:stroke dashstyle="solid"/>
            <w10:wrap type="topAndBottom"/>
          </v:shape>
        </w:pict>
      </w:r>
      <w:r>
        <w:rPr/>
        <w:pict>
          <v:shape style="position:absolute;margin-left:46.5pt;margin-top:98.931pt;width:4.350pt;height:.1pt;mso-position-horizontal-relative:page;mso-position-vertical-relative:paragraph;z-index:-15618048;mso-wrap-distance-left:0;mso-wrap-distance-right:0" coordorigin="930,1979" coordsize="87,0" path="m930,1979l1017,1979e" filled="false" stroked="true" strokeweight=".5pt" strokecolor="#000000">
            <v:path arrowok="t"/>
            <v:stroke dashstyle="solid"/>
            <w10:wrap type="topAndBottom"/>
          </v:shape>
        </w:pict>
      </w:r>
      <w:r>
        <w:rPr/>
        <w:pict>
          <v:shape style="position:absolute;margin-left:46.5pt;margin-top:113.370003pt;width:4.350pt;height:.1pt;mso-position-horizontal-relative:page;mso-position-vertical-relative:paragraph;z-index:-15617536;mso-wrap-distance-left:0;mso-wrap-distance-right:0" coordorigin="930,2267" coordsize="87,0" path="m930,2267l1017,2267e" filled="false" stroked="true" strokeweight=".5pt" strokecolor="#000000">
            <v:path arrowok="t"/>
            <v:stroke dashstyle="solid"/>
            <w10:wrap type="topAndBottom"/>
          </v:shape>
        </w:pict>
      </w:r>
    </w:p>
    <w:p>
      <w:pPr>
        <w:pStyle w:val="BodyText"/>
        <w:spacing w:before="3"/>
      </w:pPr>
    </w:p>
    <w:p>
      <w:pPr>
        <w:pStyle w:val="BodyText"/>
        <w:rPr>
          <w:sz w:val="17"/>
        </w:rPr>
      </w:pPr>
    </w:p>
    <w:p>
      <w:pPr>
        <w:pStyle w:val="BodyText"/>
        <w:spacing w:before="5"/>
        <w:rPr>
          <w:sz w:val="19"/>
        </w:rPr>
      </w:pPr>
    </w:p>
    <w:p>
      <w:pPr>
        <w:pStyle w:val="BodyText"/>
        <w:rPr>
          <w:sz w:val="16"/>
        </w:rPr>
      </w:pPr>
    </w:p>
    <w:p>
      <w:pPr>
        <w:pStyle w:val="BodyText"/>
        <w:spacing w:before="5"/>
        <w:rPr>
          <w:sz w:val="19"/>
        </w:rPr>
      </w:pPr>
    </w:p>
    <w:p>
      <w:pPr>
        <w:pStyle w:val="BodyText"/>
        <w:spacing w:before="8"/>
        <w:rPr>
          <w:sz w:val="17"/>
        </w:rPr>
      </w:pPr>
    </w:p>
    <w:p>
      <w:pPr>
        <w:pStyle w:val="BodyText"/>
        <w:spacing w:before="3"/>
      </w:pPr>
    </w:p>
    <w:p>
      <w:pPr>
        <w:spacing w:line="324" w:lineRule="auto" w:before="86"/>
        <w:ind w:left="286" w:right="20" w:firstLine="0"/>
        <w:jc w:val="left"/>
        <w:rPr>
          <w:sz w:val="12"/>
        </w:rPr>
      </w:pPr>
      <w:r>
        <w:rPr/>
        <w:br w:type="column"/>
      </w:r>
      <w:r>
        <w:rPr>
          <w:sz w:val="12"/>
        </w:rPr>
        <w:t>Services Manufacturing</w:t>
      </w:r>
    </w:p>
    <w:p>
      <w:pPr>
        <w:pStyle w:val="BodyText"/>
        <w:rPr>
          <w:sz w:val="12"/>
        </w:rPr>
      </w:pPr>
      <w:r>
        <w:rPr/>
        <w:br w:type="column"/>
      </w:r>
      <w:r>
        <w:rPr>
          <w:sz w:val="12"/>
        </w:rPr>
      </w:r>
    </w:p>
    <w:p>
      <w:pPr>
        <w:pStyle w:val="BodyText"/>
        <w:rPr>
          <w:sz w:val="12"/>
        </w:rPr>
      </w:pPr>
    </w:p>
    <w:p>
      <w:pPr>
        <w:pStyle w:val="BodyText"/>
        <w:rPr>
          <w:sz w:val="12"/>
        </w:rPr>
      </w:pPr>
    </w:p>
    <w:p>
      <w:pPr>
        <w:spacing w:line="124" w:lineRule="exact" w:before="85"/>
        <w:ind w:left="263" w:right="0" w:firstLine="0"/>
        <w:jc w:val="left"/>
        <w:rPr>
          <w:sz w:val="12"/>
        </w:rPr>
      </w:pPr>
      <w:r>
        <w:rPr>
          <w:sz w:val="12"/>
        </w:rPr>
        <w:t>£ billions</w:t>
      </w:r>
    </w:p>
    <w:p>
      <w:pPr>
        <w:spacing w:line="124" w:lineRule="exact" w:before="0"/>
        <w:ind w:left="830" w:right="0" w:firstLine="0"/>
        <w:jc w:val="left"/>
        <w:rPr>
          <w:sz w:val="12"/>
        </w:rPr>
      </w:pPr>
      <w:r>
        <w:rPr/>
        <w:pict>
          <v:line style="position:absolute;mso-position-horizontal-relative:page;mso-position-vertical-relative:paragraph;z-index:15852032" from="206.667007pt,2.879726pt" to="211.000007pt,2.879726pt" stroked="true" strokeweight=".5pt" strokecolor="#000000">
            <v:stroke dashstyle="solid"/>
            <w10:wrap type="none"/>
          </v:line>
        </w:pict>
      </w:r>
      <w:r>
        <w:rPr>
          <w:sz w:val="12"/>
        </w:rPr>
        <w:t>8</w:t>
      </w:r>
    </w:p>
    <w:p>
      <w:pPr>
        <w:pStyle w:val="BodyText"/>
        <w:rPr>
          <w:sz w:val="13"/>
        </w:rPr>
      </w:pPr>
    </w:p>
    <w:p>
      <w:pPr>
        <w:spacing w:before="0"/>
        <w:ind w:left="0" w:right="38" w:firstLine="0"/>
        <w:jc w:val="right"/>
        <w:rPr>
          <w:sz w:val="12"/>
        </w:rPr>
      </w:pPr>
      <w:r>
        <w:rPr/>
        <w:pict>
          <v:group style="position:absolute;margin-left:56.384998pt;margin-top:6.600952pt;width:146.25pt;height:107.9pt;mso-position-horizontal-relative:page;mso-position-vertical-relative:paragraph;z-index:15845888" coordorigin="1128,132" coordsize="2925,2158">
            <v:rect style="position:absolute;left:1272;top:2074;width:300;height:158" filled="true" fillcolor="#006caa" stroked="false">
              <v:fill type="solid"/>
            </v:rect>
            <v:rect style="position:absolute;left:1272;top:2072;width:300;height:160" filled="false" stroked="true" strokeweight=".5pt" strokecolor="#000000">
              <v:stroke dashstyle="solid"/>
            </v:rect>
            <v:rect style="position:absolute;left:1272;top:1274;width:300;height:800" filled="true" fillcolor="#f6bd61" stroked="false">
              <v:fill type="solid"/>
            </v:rect>
            <v:rect style="position:absolute;left:1272;top:1274;width:300;height:800" filled="false" stroked="true" strokeweight=".5pt" strokecolor="#000000">
              <v:stroke dashstyle="solid"/>
            </v:rect>
            <v:rect style="position:absolute;left:1272;top:1079;width:300;height:198" filled="true" fillcolor="#835335" stroked="false">
              <v:fill type="solid"/>
            </v:rect>
            <v:rect style="position:absolute;left:1272;top:1079;width:300;height:198" filled="false" stroked="true" strokeweight=".5pt" strokecolor="#000000">
              <v:stroke dashstyle="solid"/>
            </v:rect>
            <v:rect style="position:absolute;left:1272;top:1052;width:300;height:30" filled="true" fillcolor="#b3dabb" stroked="false">
              <v:fill type="solid"/>
            </v:rect>
            <v:rect style="position:absolute;left:1272;top:1052;width:300;height:30" filled="false" stroked="true" strokeweight=".5pt" strokecolor="#000000">
              <v:stroke dashstyle="solid"/>
            </v:rect>
            <v:rect style="position:absolute;left:1857;top:1942;width:290;height:130" filled="true" fillcolor="#006caa" stroked="false">
              <v:fill type="solid"/>
            </v:rect>
            <v:rect style="position:absolute;left:1857;top:1942;width:290;height:133" filled="false" stroked="true" strokeweight=".5pt" strokecolor="#000000">
              <v:stroke dashstyle="solid"/>
            </v:rect>
            <v:rect style="position:absolute;left:1857;top:2072;width:290;height:123" filled="true" fillcolor="#f6bd61" stroked="false">
              <v:fill type="solid"/>
            </v:rect>
            <v:rect style="position:absolute;left:1857;top:2072;width:290;height:123" filled="false" stroked="true" strokeweight=".5pt" strokecolor="#000000">
              <v:stroke dashstyle="solid"/>
            </v:rect>
            <v:rect style="position:absolute;left:1857;top:2192;width:290;height:80" filled="true" fillcolor="#835335" stroked="false">
              <v:fill type="solid"/>
            </v:rect>
            <v:rect style="position:absolute;left:1857;top:2192;width:290;height:80" filled="false" stroked="true" strokeweight=".5pt" strokecolor="#000000">
              <v:stroke dashstyle="solid"/>
            </v:rect>
            <v:rect style="position:absolute;left:1857;top:1877;width:290;height:68" filled="true" fillcolor="#b3dabb" stroked="false">
              <v:fill type="solid"/>
            </v:rect>
            <v:rect style="position:absolute;left:1857;top:1877;width:290;height:68" filled="false" stroked="true" strokeweight=".5pt" strokecolor="#000000">
              <v:stroke dashstyle="solid"/>
            </v:rect>
            <v:rect style="position:absolute;left:2432;top:2074;width:300;height:210" filled="true" fillcolor="#006caa" stroked="false">
              <v:fill type="solid"/>
            </v:rect>
            <v:rect style="position:absolute;left:2432;top:2072;width:300;height:213" filled="false" stroked="true" strokeweight=".5pt" strokecolor="#000000">
              <v:stroke dashstyle="solid"/>
            </v:rect>
            <v:rect style="position:absolute;left:2432;top:1577;width:300;height:498" filled="true" fillcolor="#f6bd61" stroked="false">
              <v:fill type="solid"/>
            </v:rect>
            <v:rect style="position:absolute;left:2432;top:1577;width:300;height:498" filled="false" stroked="true" strokeweight=".5pt" strokecolor="#000000">
              <v:stroke dashstyle="solid"/>
            </v:rect>
            <v:rect style="position:absolute;left:2432;top:1514;width:300;height:65" filled="true" fillcolor="#835335" stroked="false">
              <v:fill type="solid"/>
            </v:rect>
            <v:rect style="position:absolute;left:2432;top:1512;width:300;height:68" filled="false" stroked="true" strokeweight=".5pt" strokecolor="#000000">
              <v:stroke dashstyle="solid"/>
            </v:rect>
            <v:rect style="position:absolute;left:2432;top:1407;width:300;height:108" filled="true" fillcolor="#b3dabb" stroked="false">
              <v:fill type="solid"/>
            </v:rect>
            <v:rect style="position:absolute;left:2432;top:1407;width:300;height:108" filled="false" stroked="true" strokeweight=".5pt" strokecolor="#000000">
              <v:stroke dashstyle="solid"/>
            </v:rect>
            <v:rect style="position:absolute;left:3017;top:1879;width:288;height:195" filled="true" fillcolor="#006caa" stroked="false">
              <v:fill type="solid"/>
            </v:rect>
            <v:rect style="position:absolute;left:3017;top:1877;width:288;height:198" filled="false" stroked="true" strokeweight=".5pt" strokecolor="#000000">
              <v:stroke dashstyle="solid"/>
            </v:rect>
            <v:rect style="position:absolute;left:3017;top:909;width:288;height:970" filled="true" fillcolor="#f6bd61" stroked="false">
              <v:fill type="solid"/>
            </v:rect>
            <v:rect style="position:absolute;left:3017;top:909;width:288;height:970" filled="false" stroked="true" strokeweight=".5pt" strokecolor="#000000">
              <v:stroke dashstyle="solid"/>
            </v:rect>
            <v:rect style="position:absolute;left:3017;top:2072;width:288;height:43" filled="true" fillcolor="#835335" stroked="false">
              <v:fill type="solid"/>
            </v:rect>
            <v:rect style="position:absolute;left:3017;top:2072;width:288;height:43" filled="false" stroked="true" strokeweight=".5pt" strokecolor="#000000">
              <v:stroke dashstyle="solid"/>
            </v:rect>
            <v:rect style="position:absolute;left:3017;top:2112;width:288;height:55" filled="true" fillcolor="#b3dabb" stroked="false">
              <v:fill type="solid"/>
            </v:rect>
            <v:rect style="position:absolute;left:3017;top:2112;width:288;height:55" filled="false" stroked="true" strokeweight=".5pt" strokecolor="#000000">
              <v:stroke dashstyle="solid"/>
            </v:rect>
            <v:rect style="position:absolute;left:3590;top:2074;width:300;height:145" filled="true" fillcolor="#006caa" stroked="false">
              <v:fill type="solid"/>
            </v:rect>
            <v:rect style="position:absolute;left:3590;top:2072;width:300;height:148" filled="false" stroked="true" strokeweight=".5pt" strokecolor="#000000">
              <v:stroke dashstyle="solid"/>
            </v:rect>
            <v:rect style="position:absolute;left:3590;top:517;width:300;height:1558" filled="true" fillcolor="#f6bd61" stroked="false">
              <v:fill type="solid"/>
            </v:rect>
            <v:rect style="position:absolute;left:3590;top:517;width:300;height:1558" filled="false" stroked="true" strokeweight=".5pt" strokecolor="#000000">
              <v:stroke dashstyle="solid"/>
            </v:rect>
            <v:rect style="position:absolute;left:3590;top:152;width:300;height:368" filled="true" fillcolor="#835335" stroked="false">
              <v:fill type="solid"/>
            </v:rect>
            <v:rect style="position:absolute;left:3590;top:152;width:300;height:368" filled="false" stroked="true" strokeweight=".5pt" strokecolor="#000000">
              <v:stroke dashstyle="solid"/>
            </v:rect>
            <v:rect style="position:absolute;left:3590;top:137;width:300;height:18" filled="true" fillcolor="#b3dabb" stroked="false">
              <v:fill type="solid"/>
            </v:rect>
            <v:shape style="position:absolute;left:1127;top:137;width:2925;height:1928" coordorigin="1128,137" coordsize="2925,1928" path="m3590,137l3890,137,3890,155,3590,155,3590,137xm1128,2065l4052,2065e" filled="false" stroked="true" strokeweight=".5pt" strokecolor="#000000">
              <v:path arrowok="t"/>
              <v:stroke dashstyle="solid"/>
            </v:shape>
            <w10:wrap type="none"/>
          </v:group>
        </w:pict>
      </w:r>
      <w:r>
        <w:rPr/>
        <w:pict>
          <v:line style="position:absolute;mso-position-horizontal-relative:page;mso-position-vertical-relative:paragraph;z-index:15848960" from="206.667007pt,3.318952pt" to="211.000007pt,3.318952pt" stroked="true" strokeweight=".5pt" strokecolor="#000000">
            <v:stroke dashstyle="solid"/>
            <w10:wrap type="none"/>
          </v:line>
        </w:pict>
      </w:r>
      <w:r>
        <w:rPr>
          <w:sz w:val="12"/>
        </w:rPr>
        <w:t>7</w:t>
      </w: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5854080" from="206.667007pt,3.975769pt" to="211.000007pt,3.975769pt" stroked="true" strokeweight=".5pt" strokecolor="#000000">
            <v:stroke dashstyle="solid"/>
            <w10:wrap type="none"/>
          </v:line>
        </w:pict>
      </w:r>
      <w:r>
        <w:rPr>
          <w:sz w:val="12"/>
        </w:rPr>
        <w:t>6</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852544" from="206.667007pt,3.306952pt" to="211.000007pt,3.306952pt" stroked="true" strokeweight=".5pt" strokecolor="#000000">
            <v:stroke dashstyle="solid"/>
            <w10:wrap type="none"/>
          </v:line>
        </w:pict>
      </w:r>
      <w:r>
        <w:rPr>
          <w:sz w:val="12"/>
        </w:rPr>
        <w:t>5</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849472" from="206.667007pt,4.046166pt" to="211.000007pt,4.046166pt" stroked="true" strokeweight=".5pt" strokecolor="#000000">
            <v:stroke dashstyle="solid"/>
            <w10:wrap type="none"/>
          </v:line>
        </w:pict>
      </w:r>
      <w:r>
        <w:rPr>
          <w:sz w:val="12"/>
        </w:rPr>
        <w:t>4</w:t>
      </w:r>
    </w:p>
    <w:p>
      <w:pPr>
        <w:pStyle w:val="BodyText"/>
        <w:spacing w:before="11"/>
        <w:rPr>
          <w:sz w:val="11"/>
        </w:rPr>
      </w:pPr>
    </w:p>
    <w:p>
      <w:pPr>
        <w:spacing w:before="0"/>
        <w:ind w:left="0" w:right="38" w:firstLine="0"/>
        <w:jc w:val="right"/>
        <w:rPr>
          <w:sz w:val="12"/>
        </w:rPr>
      </w:pPr>
      <w:r>
        <w:rPr/>
        <w:pict>
          <v:line style="position:absolute;mso-position-horizontal-relative:page;mso-position-vertical-relative:paragraph;z-index:15853568" from="206.667007pt,3.408952pt" to="211.000007pt,3.408952pt" stroked="true" strokeweight=".5pt" strokecolor="#000000">
            <v:stroke dashstyle="solid"/>
            <w10:wrap type="none"/>
          </v:line>
        </w:pict>
      </w:r>
      <w:r>
        <w:rPr>
          <w:sz w:val="12"/>
        </w:rPr>
        <w:t>3</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5849984" from="206.667007pt,4.147166pt" to="211.000007pt,4.147166pt" stroked="true" strokeweight=".5pt" strokecolor="#000000">
            <v:stroke dashstyle="solid"/>
            <w10:wrap type="none"/>
          </v:line>
        </w:pict>
      </w:r>
      <w:r>
        <w:rPr>
          <w:sz w:val="12"/>
        </w:rPr>
        <w:t>2</w:t>
      </w:r>
    </w:p>
    <w:p>
      <w:pPr>
        <w:pStyle w:val="BodyText"/>
        <w:rPr>
          <w:sz w:val="13"/>
        </w:rPr>
      </w:pPr>
    </w:p>
    <w:p>
      <w:pPr>
        <w:spacing w:line="132" w:lineRule="exact" w:before="0"/>
        <w:ind w:left="830" w:right="0" w:firstLine="0"/>
        <w:jc w:val="left"/>
        <w:rPr>
          <w:sz w:val="12"/>
        </w:rPr>
      </w:pPr>
      <w:r>
        <w:rPr/>
        <w:pict>
          <v:line style="position:absolute;mso-position-horizontal-relative:page;mso-position-vertical-relative:paragraph;z-index:15853056" from="206.667007pt,3.886349pt" to="211.000007pt,3.886349pt" stroked="true" strokeweight=".5pt" strokecolor="#000000">
            <v:stroke dashstyle="solid"/>
            <w10:wrap type="none"/>
          </v:line>
        </w:pict>
      </w:r>
      <w:r>
        <w:rPr>
          <w:sz w:val="12"/>
        </w:rPr>
        <w:t>1</w:t>
      </w:r>
    </w:p>
    <w:p>
      <w:pPr>
        <w:spacing w:line="167" w:lineRule="exact" w:before="0"/>
        <w:ind w:left="730" w:right="0" w:firstLine="0"/>
        <w:jc w:val="left"/>
        <w:rPr>
          <w:sz w:val="16"/>
        </w:rPr>
      </w:pPr>
      <w:r>
        <w:rPr>
          <w:sz w:val="16"/>
        </w:rPr>
        <w:t>+</w:t>
      </w:r>
    </w:p>
    <w:p>
      <w:pPr>
        <w:spacing w:line="112" w:lineRule="auto" w:before="21"/>
        <w:ind w:left="730" w:right="0" w:firstLine="0"/>
        <w:jc w:val="left"/>
        <w:rPr>
          <w:sz w:val="12"/>
        </w:rPr>
      </w:pPr>
      <w:r>
        <w:rPr/>
        <w:pict>
          <v:line style="position:absolute;mso-position-horizontal-relative:page;mso-position-vertical-relative:paragraph;z-index:15851008" from="206.667007pt,3.427125pt" to="211.000007pt,3.427125pt" stroked="true" strokeweight=".5pt" strokecolor="#000000">
            <v:stroke dashstyle="solid"/>
            <w10:wrap type="none"/>
          </v:line>
        </w:pict>
      </w:r>
      <w:r>
        <w:rPr>
          <w:position w:val="-8"/>
          <w:sz w:val="16"/>
        </w:rPr>
        <w:t>_ </w:t>
      </w:r>
      <w:r>
        <w:rPr>
          <w:sz w:val="12"/>
        </w:rPr>
        <w:t>0</w:t>
      </w:r>
    </w:p>
    <w:p>
      <w:pPr>
        <w:pStyle w:val="Heading6"/>
        <w:spacing w:before="5"/>
        <w:ind w:left="263"/>
      </w:pPr>
      <w:r>
        <w:rPr/>
        <w:br w:type="column"/>
      </w:r>
      <w:r>
        <w:rPr/>
        <w:t>higher deposits placed at banks by OFIFAs (see</w:t>
      </w:r>
    </w:p>
    <w:p>
      <w:pPr>
        <w:spacing w:line="242" w:lineRule="auto" w:before="4"/>
        <w:ind w:left="263" w:right="275" w:firstLine="0"/>
        <w:jc w:val="left"/>
        <w:rPr>
          <w:sz w:val="24"/>
        </w:rPr>
      </w:pPr>
      <w:r>
        <w:rPr>
          <w:sz w:val="24"/>
        </w:rPr>
        <w:t>Chart 1.11), particularly securities dealers. Movements in securities dealers’ deposits tend to be a by-product of their financial intermediation business and have no obvious implications for nominal spending.</w:t>
      </w:r>
    </w:p>
    <w:p>
      <w:pPr>
        <w:pStyle w:val="BodyText"/>
        <w:spacing w:before="5"/>
        <w:rPr>
          <w:sz w:val="28"/>
        </w:rPr>
      </w:pPr>
    </w:p>
    <w:p>
      <w:pPr>
        <w:pStyle w:val="Heading3"/>
        <w:numPr>
          <w:ilvl w:val="1"/>
          <w:numId w:val="2"/>
        </w:numPr>
        <w:tabs>
          <w:tab w:pos="2003" w:val="left" w:leader="none"/>
          <w:tab w:pos="2004" w:val="left" w:leader="none"/>
        </w:tabs>
        <w:spacing w:line="240" w:lineRule="auto" w:before="0" w:after="0"/>
        <w:ind w:left="2003" w:right="0" w:hanging="1741"/>
        <w:jc w:val="left"/>
        <w:rPr>
          <w:color w:val="009391"/>
        </w:rPr>
      </w:pPr>
      <w:r>
        <w:rPr>
          <w:color w:val="009391"/>
        </w:rPr>
        <w:t>Interest rates and asset</w:t>
      </w:r>
      <w:r>
        <w:rPr>
          <w:color w:val="009391"/>
          <w:spacing w:val="-15"/>
        </w:rPr>
        <w:t> </w:t>
      </w:r>
      <w:r>
        <w:rPr>
          <w:color w:val="009391"/>
        </w:rPr>
        <w:t>prices</w:t>
      </w:r>
    </w:p>
    <w:p>
      <w:pPr>
        <w:pStyle w:val="BodyText"/>
        <w:spacing w:line="40" w:lineRule="exact"/>
        <w:ind w:left="243"/>
        <w:rPr>
          <w:sz w:val="4"/>
        </w:rPr>
      </w:pPr>
      <w:r>
        <w:rPr>
          <w:position w:val="0"/>
          <w:sz w:val="4"/>
        </w:rPr>
        <w:pict>
          <v:group style="width:275pt;height:2pt;mso-position-horizontal-relative:char;mso-position-vertical-relative:line" coordorigin="0,0" coordsize="5500,40">
            <v:line style="position:absolute" from="0,20" to="5500,20" stroked="true" strokeweight="2pt" strokecolor="#0092c7">
              <v:stroke dashstyle="solid"/>
            </v:line>
          </v:group>
        </w:pict>
      </w:r>
      <w:r>
        <w:rPr>
          <w:position w:val="0"/>
          <w:sz w:val="4"/>
        </w:rPr>
      </w:r>
    </w:p>
    <w:p>
      <w:pPr>
        <w:pStyle w:val="Heading7"/>
        <w:spacing w:before="236"/>
        <w:ind w:left="263"/>
        <w:rPr>
          <w:i/>
        </w:rPr>
      </w:pPr>
      <w:r>
        <w:rPr>
          <w:i/>
          <w:color w:val="009391"/>
        </w:rPr>
        <w:t>Short-term interest rates</w:t>
      </w:r>
    </w:p>
    <w:p>
      <w:pPr>
        <w:spacing w:before="164"/>
        <w:ind w:left="263" w:right="0" w:firstLine="0"/>
        <w:jc w:val="left"/>
        <w:rPr>
          <w:sz w:val="24"/>
        </w:rPr>
      </w:pPr>
      <w:r>
        <w:rPr>
          <w:sz w:val="24"/>
        </w:rPr>
        <w:t>The Bank of England official repo rate stands at 6%,</w:t>
      </w:r>
    </w:p>
    <w:p>
      <w:pPr>
        <w:spacing w:after="0"/>
        <w:jc w:val="left"/>
        <w:rPr>
          <w:sz w:val="24"/>
        </w:rPr>
        <w:sectPr>
          <w:type w:val="continuous"/>
          <w:pgSz w:w="11900" w:h="16840"/>
          <w:pgMar w:top="1220" w:bottom="280" w:left="640" w:right="620"/>
          <w:cols w:num="4" w:equalWidth="0">
            <w:col w:w="1098" w:space="40"/>
            <w:col w:w="1040" w:space="686"/>
            <w:col w:w="931" w:space="921"/>
            <w:col w:w="5924"/>
          </w:cols>
        </w:sectPr>
      </w:pPr>
    </w:p>
    <w:p>
      <w:pPr>
        <w:spacing w:before="104"/>
        <w:ind w:left="0" w:right="38" w:firstLine="0"/>
        <w:jc w:val="right"/>
        <w:rPr>
          <w:sz w:val="12"/>
        </w:rPr>
      </w:pPr>
      <w:r>
        <w:rPr/>
        <w:pict>
          <v:line style="position:absolute;mso-position-horizontal-relative:page;mso-position-vertical-relative:paragraph;z-index:15847936" from="46.5pt,9.688349pt" to="50.833pt,9.688349pt" stroked="true" strokeweight=".5pt" strokecolor="#000000">
            <v:stroke dashstyle="solid"/>
            <w10:wrap type="none"/>
          </v:line>
        </w:pict>
      </w:r>
      <w:r>
        <w:rPr/>
        <w:pict>
          <v:line style="position:absolute;mso-position-horizontal-relative:page;mso-position-vertical-relative:paragraph;z-index:15850496" from="206.667007pt,9.188349pt" to="211.000007pt,9.188349pt" stroked="true" strokeweight=".5pt" strokecolor="#000000">
            <v:stroke dashstyle="solid"/>
            <w10:wrap type="none"/>
          </v:line>
        </w:pict>
      </w:r>
      <w:r>
        <w:rPr>
          <w:sz w:val="12"/>
        </w:rPr>
        <w:t>1</w:t>
      </w:r>
    </w:p>
    <w:p>
      <w:pPr>
        <w:pStyle w:val="BodyText"/>
        <w:rPr>
          <w:sz w:val="13"/>
        </w:rPr>
      </w:pPr>
    </w:p>
    <w:p>
      <w:pPr>
        <w:spacing w:before="0"/>
        <w:ind w:left="0" w:right="38" w:firstLine="0"/>
        <w:jc w:val="right"/>
        <w:rPr>
          <w:sz w:val="12"/>
        </w:rPr>
      </w:pPr>
      <w:r>
        <w:rPr/>
        <w:pict>
          <v:shape style="position:absolute;margin-left:55.583pt;margin-top:.424563pt;width:146.450pt;height:5.35pt;mso-position-horizontal-relative:page;mso-position-vertical-relative:paragraph;z-index:15847424" coordorigin="1112,8" coordsize="2929,107" path="m1114,115l4039,115m1112,8l1112,115m1697,48l1697,115m3454,8l3454,115m2283,48l2283,115m4040,48l4040,115m2869,48l2869,115e" filled="false" stroked="true" strokeweight=".5pt" strokecolor="#000000">
            <v:path arrowok="t"/>
            <v:stroke dashstyle="solid"/>
            <w10:wrap type="none"/>
          </v:shape>
        </w:pict>
      </w:r>
      <w:r>
        <w:rPr/>
        <w:pict>
          <v:line style="position:absolute;mso-position-horizontal-relative:page;mso-position-vertical-relative:paragraph;z-index:15848448" from="46.5pt,5.226563pt" to="50.833pt,5.226563pt" stroked="true" strokeweight=".5pt" strokecolor="#000000">
            <v:stroke dashstyle="solid"/>
            <w10:wrap type="none"/>
          </v:line>
        </w:pict>
      </w:r>
      <w:r>
        <w:rPr/>
        <w:pict>
          <v:line style="position:absolute;mso-position-horizontal-relative:page;mso-position-vertical-relative:paragraph;z-index:15851520" from="206.667007pt,4.726563pt" to="211.000007pt,4.726563pt" stroked="true" strokeweight=".5pt" strokecolor="#000000">
            <v:stroke dashstyle="solid"/>
            <w10:wrap type="none"/>
          </v:line>
        </w:pict>
      </w:r>
      <w:r>
        <w:rPr>
          <w:sz w:val="12"/>
        </w:rPr>
        <w:t>2</w:t>
      </w:r>
    </w:p>
    <w:p>
      <w:pPr>
        <w:tabs>
          <w:tab w:pos="1237" w:val="left" w:leader="none"/>
          <w:tab w:pos="1819" w:val="left" w:leader="none"/>
          <w:tab w:pos="2394" w:val="left" w:leader="none"/>
          <w:tab w:pos="2979" w:val="left" w:leader="none"/>
        </w:tabs>
        <w:spacing w:before="30"/>
        <w:ind w:left="652" w:right="0" w:firstLine="0"/>
        <w:jc w:val="left"/>
        <w:rPr>
          <w:sz w:val="12"/>
        </w:rPr>
      </w:pPr>
      <w:r>
        <w:rPr>
          <w:sz w:val="12"/>
        </w:rPr>
        <w:t>Q1</w:t>
        <w:tab/>
        <w:t>Q2</w:t>
        <w:tab/>
        <w:t>Q3</w:t>
        <w:tab/>
        <w:t>Q4</w:t>
        <w:tab/>
        <w:t>Q1</w:t>
      </w:r>
    </w:p>
    <w:p>
      <w:pPr>
        <w:tabs>
          <w:tab w:pos="2987" w:val="left" w:leader="none"/>
        </w:tabs>
        <w:spacing w:before="104"/>
        <w:ind w:left="1040" w:right="0" w:firstLine="0"/>
        <w:jc w:val="left"/>
        <w:rPr>
          <w:sz w:val="12"/>
        </w:rPr>
      </w:pPr>
      <w:r>
        <w:rPr>
          <w:sz w:val="12"/>
        </w:rPr>
        <w:t>1999</w:t>
        <w:tab/>
        <w:t>2000</w:t>
      </w:r>
    </w:p>
    <w:p>
      <w:pPr>
        <w:spacing w:before="48"/>
        <w:ind w:left="180" w:right="0" w:firstLine="0"/>
        <w:jc w:val="left"/>
        <w:rPr>
          <w:sz w:val="12"/>
        </w:rPr>
      </w:pPr>
      <w:r>
        <w:rPr>
          <w:sz w:val="12"/>
        </w:rPr>
        <w:t>(a) Not seasonally adjusted.</w:t>
      </w:r>
    </w:p>
    <w:p>
      <w:pPr>
        <w:pStyle w:val="BodyText"/>
        <w:rPr>
          <w:sz w:val="12"/>
        </w:rPr>
      </w:pPr>
    </w:p>
    <w:p>
      <w:pPr>
        <w:spacing w:before="76"/>
        <w:ind w:left="169" w:right="0" w:firstLine="0"/>
        <w:jc w:val="left"/>
        <w:rPr>
          <w:b/>
          <w:sz w:val="20"/>
        </w:rPr>
      </w:pPr>
      <w:r>
        <w:rPr>
          <w:b/>
          <w:color w:val="0092C7"/>
          <w:sz w:val="20"/>
        </w:rPr>
        <w:t>Chart 1.11</w:t>
      </w:r>
    </w:p>
    <w:p>
      <w:pPr>
        <w:spacing w:before="10"/>
        <w:ind w:left="169" w:right="0" w:firstLine="0"/>
        <w:jc w:val="left"/>
        <w:rPr>
          <w:sz w:val="12"/>
        </w:rPr>
      </w:pPr>
      <w:r>
        <w:rPr>
          <w:b/>
          <w:color w:val="0092C7"/>
          <w:sz w:val="20"/>
        </w:rPr>
        <w:t>Quarterly OFCs’ bank deposit flows</w:t>
      </w:r>
      <w:r>
        <w:rPr>
          <w:position w:val="4"/>
          <w:sz w:val="12"/>
        </w:rPr>
        <w:t>(a)</w:t>
      </w:r>
    </w:p>
    <w:p>
      <w:pPr>
        <w:spacing w:line="190" w:lineRule="atLeast" w:before="75"/>
        <w:ind w:left="524" w:right="2688" w:firstLine="0"/>
        <w:jc w:val="left"/>
        <w:rPr>
          <w:sz w:val="12"/>
        </w:rPr>
      </w:pPr>
      <w:r>
        <w:rPr/>
        <w:drawing>
          <wp:anchor distT="0" distB="0" distL="0" distR="0" allowOverlap="1" layoutInCell="1" locked="0" behindDoc="0" simplePos="0" relativeHeight="15855616">
            <wp:simplePos x="0" y="0"/>
            <wp:positionH relativeFrom="page">
              <wp:posOffset>568871</wp:posOffset>
            </wp:positionH>
            <wp:positionV relativeFrom="paragraph">
              <wp:posOffset>75070</wp:posOffset>
            </wp:positionV>
            <wp:extent cx="112179" cy="219862"/>
            <wp:effectExtent l="0" t="0" r="0" b="0"/>
            <wp:wrapNone/>
            <wp:docPr id="9" name="image14.png"/>
            <wp:cNvGraphicFramePr>
              <a:graphicFrameLocks noChangeAspect="1"/>
            </wp:cNvGraphicFramePr>
            <a:graphic>
              <a:graphicData uri="http://schemas.openxmlformats.org/drawingml/2006/picture">
                <pic:pic>
                  <pic:nvPicPr>
                    <pic:cNvPr id="10" name="image14.png"/>
                    <pic:cNvPicPr/>
                  </pic:nvPicPr>
                  <pic:blipFill>
                    <a:blip r:embed="rId41" cstate="print"/>
                    <a:stretch>
                      <a:fillRect/>
                    </a:stretch>
                  </pic:blipFill>
                  <pic:spPr>
                    <a:xfrm>
                      <a:off x="0" y="0"/>
                      <a:ext cx="112179" cy="219862"/>
                    </a:xfrm>
                    <a:prstGeom prst="rect">
                      <a:avLst/>
                    </a:prstGeom>
                  </pic:spPr>
                </pic:pic>
              </a:graphicData>
            </a:graphic>
          </wp:anchor>
        </w:drawing>
      </w:r>
      <w:r>
        <w:rPr>
          <w:sz w:val="12"/>
        </w:rPr>
        <w:t>OFIFAs (b) ICPFs (c)</w:t>
      </w:r>
    </w:p>
    <w:p>
      <w:pPr>
        <w:spacing w:line="104" w:lineRule="exact" w:before="0"/>
        <w:ind w:left="3091" w:right="0" w:firstLine="0"/>
        <w:jc w:val="left"/>
        <w:rPr>
          <w:sz w:val="12"/>
        </w:rPr>
      </w:pPr>
      <w:r>
        <w:rPr>
          <w:sz w:val="12"/>
        </w:rPr>
        <w:t>£ billions</w:t>
      </w:r>
    </w:p>
    <w:p>
      <w:pPr>
        <w:spacing w:line="124" w:lineRule="exact" w:before="0"/>
        <w:ind w:left="3634" w:right="0" w:firstLine="0"/>
        <w:jc w:val="left"/>
        <w:rPr>
          <w:sz w:val="12"/>
        </w:rPr>
      </w:pPr>
      <w:r>
        <w:rPr/>
        <w:pict>
          <v:line style="position:absolute;mso-position-horizontal-relative:page;mso-position-vertical-relative:paragraph;z-index:15859712" from="44.876999pt,2.401855pt" to="49.209999pt,2.401855pt" stroked="true" strokeweight=".5pt" strokecolor="#000000">
            <v:stroke dashstyle="solid"/>
            <w10:wrap type="none"/>
          </v:line>
        </w:pict>
      </w:r>
      <w:r>
        <w:rPr/>
        <w:pict>
          <v:line style="position:absolute;mso-position-horizontal-relative:page;mso-position-vertical-relative:paragraph;z-index:15863808" from="204.085007pt,2.901855pt" to="208.418007pt,2.901855pt" stroked="true" strokeweight=".5pt" strokecolor="#000000">
            <v:stroke dashstyle="solid"/>
            <w10:wrap type="none"/>
          </v:line>
        </w:pict>
      </w:r>
      <w:r>
        <w:rPr>
          <w:sz w:val="12"/>
        </w:rPr>
        <w:t>25</w:t>
      </w:r>
    </w:p>
    <w:p>
      <w:pPr>
        <w:pStyle w:val="BodyText"/>
        <w:rPr>
          <w:sz w:val="12"/>
        </w:rPr>
      </w:pPr>
    </w:p>
    <w:p>
      <w:pPr>
        <w:pStyle w:val="BodyText"/>
        <w:spacing w:before="8"/>
        <w:rPr>
          <w:sz w:val="11"/>
        </w:rPr>
      </w:pPr>
    </w:p>
    <w:p>
      <w:pPr>
        <w:spacing w:before="0"/>
        <w:ind w:left="0" w:right="38" w:firstLine="0"/>
        <w:jc w:val="right"/>
        <w:rPr>
          <w:sz w:val="12"/>
        </w:rPr>
      </w:pPr>
      <w:r>
        <w:rPr/>
        <w:pict>
          <v:group style="position:absolute;margin-left:53.383999pt;margin-top:-6.148438pt;width:142.25pt;height:132.4pt;mso-position-horizontal-relative:page;mso-position-vertical-relative:paragraph;z-index:15855104" coordorigin="1068,-123" coordsize="2845,2648">
            <v:rect style="position:absolute;left:1136;top:1497;width:185;height:198" filled="true" fillcolor="#006caa" stroked="false">
              <v:fill type="solid"/>
            </v:rect>
            <v:rect style="position:absolute;left:1136;top:1494;width:185;height:200" filled="false" stroked="true" strokeweight=".5pt" strokecolor="#000000">
              <v:stroke dashstyle="solid"/>
            </v:rect>
            <v:rect style="position:absolute;left:1136;top:647;width:185;height:850" filled="true" fillcolor="#f6bd61" stroked="false">
              <v:fill type="solid"/>
            </v:rect>
            <v:rect style="position:absolute;left:1136;top:647;width:185;height:850" filled="false" stroked="true" strokeweight=".5pt" strokecolor="#000000">
              <v:stroke dashstyle="solid"/>
            </v:rect>
            <v:rect style="position:absolute;left:1459;top:1464;width:185;height:230" filled="true" fillcolor="#f6bd61" stroked="false">
              <v:fill type="solid"/>
            </v:rect>
            <v:rect style="position:absolute;left:1459;top:1464;width:185;height:230" filled="false" stroked="true" strokeweight=".5pt" strokecolor="#000000">
              <v:stroke dashstyle="solid"/>
            </v:rect>
            <v:line style="position:absolute" from="1234,647" to="1557,1465" stroked="true" strokeweight="1pt" strokecolor="#de0035">
              <v:stroke dashstyle="solid"/>
            </v:line>
            <v:rect style="position:absolute;left:1781;top:1409;width:188;height:285" filled="true" fillcolor="#006caa" stroked="false">
              <v:fill type="solid"/>
            </v:rect>
            <v:rect style="position:absolute;left:1781;top:1409;width:188;height:285" filled="false" stroked="true" strokeweight=".5pt" strokecolor="#000000">
              <v:stroke dashstyle="solid"/>
            </v:rect>
            <v:rect style="position:absolute;left:1781;top:1114;width:188;height:298" filled="true" fillcolor="#f6bd61" stroked="false">
              <v:fill type="solid"/>
            </v:rect>
            <v:rect style="position:absolute;left:1781;top:1114;width:188;height:298" filled="false" stroked="true" strokeweight=".5pt" strokecolor="#000000">
              <v:stroke dashstyle="solid"/>
            </v:rect>
            <v:line style="position:absolute" from="1557,1465" to="1879,1115" stroked="true" strokeweight="1pt" strokecolor="#de0035">
              <v:stroke dashstyle="solid"/>
            </v:line>
            <v:rect style="position:absolute;left:2106;top:1692;width:185;height:28" filled="true" fillcolor="#006caa" stroked="false">
              <v:fill type="solid"/>
            </v:rect>
            <v:shape style="position:absolute;left:2101;top:1703;width:195;height:20" coordorigin="2102,1703" coordsize="195,20" path="m2102,1723l2297,1723m2102,1703l2297,1703e" filled="false" stroked="true" strokeweight=".375pt" strokecolor="#000000">
              <v:path arrowok="t"/>
              <v:stroke dashstyle="solid"/>
            </v:shape>
            <v:rect style="position:absolute;left:2106;top:1719;width:185;height:285" filled="true" fillcolor="#f6bd61" stroked="false">
              <v:fill type="solid"/>
            </v:rect>
            <v:rect style="position:absolute;left:2106;top:1719;width:185;height:285" filled="false" stroked="true" strokeweight=".5pt" strokecolor="#000000">
              <v:stroke dashstyle="solid"/>
            </v:rect>
            <v:line style="position:absolute" from="1879,1115" to="2204,2002" stroked="true" strokeweight="1pt" strokecolor="#de0035">
              <v:stroke dashstyle="solid"/>
            </v:line>
            <v:rect style="position:absolute;left:2429;top:1694;width:175;height:155" filled="true" fillcolor="#006caa" stroked="false">
              <v:fill type="solid"/>
            </v:rect>
            <v:rect style="position:absolute;left:2429;top:1692;width:175;height:158" filled="false" stroked="true" strokeweight=".5pt" strokecolor="#000000">
              <v:stroke dashstyle="solid"/>
            </v:rect>
            <v:rect style="position:absolute;left:2429;top:1579;width:175;height:115" filled="true" fillcolor="#f6bd61" stroked="false">
              <v:fill type="solid"/>
            </v:rect>
            <v:rect style="position:absolute;left:2429;top:1579;width:175;height:115" filled="false" stroked="true" strokeweight=".5pt" strokecolor="#000000">
              <v:stroke dashstyle="solid"/>
            </v:rect>
            <v:line style="position:absolute" from="2204,2002" to="2527,1735" stroked="true" strokeweight="1pt" strokecolor="#de0035">
              <v:stroke dashstyle="solid"/>
            </v:line>
            <v:rect style="position:absolute;left:2741;top:1579;width:185;height:113" filled="true" fillcolor="#006caa" stroked="false">
              <v:fill type="solid"/>
            </v:rect>
            <v:rect style="position:absolute;left:2741;top:1579;width:185;height:115" filled="false" stroked="true" strokeweight=".5pt" strokecolor="#000000">
              <v:stroke dashstyle="solid"/>
            </v:rect>
            <v:rect style="position:absolute;left:2741;top:1692;width:185;height:355" filled="true" fillcolor="#f6bd61" stroked="false">
              <v:fill type="solid"/>
            </v:rect>
            <v:rect style="position:absolute;left:2741;top:1692;width:185;height:355" filled="false" stroked="true" strokeweight=".5pt" strokecolor="#000000">
              <v:stroke dashstyle="solid"/>
            </v:rect>
            <v:line style="position:absolute" from="2527,1735" to="2839,1917" stroked="true" strokeweight="1pt" strokecolor="#de0035">
              <v:stroke dashstyle="solid"/>
            </v:line>
            <v:rect style="position:absolute;left:3064;top:1692;width:188;height:383" filled="true" fillcolor="#006caa" stroked="false">
              <v:fill type="solid"/>
            </v:rect>
            <v:rect style="position:absolute;left:3064;top:1692;width:188;height:383" filled="false" stroked="true" strokeweight=".5pt" strokecolor="#000000">
              <v:stroke dashstyle="solid"/>
            </v:rect>
            <v:rect style="position:absolute;left:3064;top:2072;width:188;height:340" filled="true" fillcolor="#f6bd61" stroked="false">
              <v:fill type="solid"/>
            </v:rect>
            <v:rect style="position:absolute;left:3064;top:2072;width:188;height:340" filled="false" stroked="true" strokeweight=".5pt" strokecolor="#000000">
              <v:stroke dashstyle="solid"/>
            </v:rect>
            <v:line style="position:absolute" from="2839,1917" to="3162,2410" stroked="true" strokeweight="1pt" strokecolor="#de0035">
              <v:stroke dashstyle="solid"/>
            </v:line>
            <v:rect style="position:absolute;left:3389;top:1692;width:185;height:140" filled="true" fillcolor="#006caa" stroked="false">
              <v:fill type="solid"/>
            </v:rect>
            <v:rect style="position:absolute;left:3389;top:1692;width:185;height:143" filled="false" stroked="true" strokeweight=".5pt" strokecolor="#000000">
              <v:stroke dashstyle="solid"/>
            </v:rect>
            <v:rect style="position:absolute;left:3389;top:1832;width:185;height:228" filled="true" fillcolor="#f6bd61" stroked="false">
              <v:fill type="solid"/>
            </v:rect>
            <v:rect style="position:absolute;left:3389;top:1832;width:185;height:228" filled="false" stroked="true" strokeweight=".5pt" strokecolor="#000000">
              <v:stroke dashstyle="solid"/>
            </v:rect>
            <v:line style="position:absolute" from="3162,2410" to="3487,2057" stroked="true" strokeweight="1pt" strokecolor="#de0035">
              <v:stroke dashstyle="solid"/>
            </v:line>
            <v:rect style="position:absolute;left:3711;top:1367;width:185;height:328" filled="true" fillcolor="#006caa" stroked="false">
              <v:fill type="solid"/>
            </v:rect>
            <v:rect style="position:absolute;left:3711;top:1367;width:185;height:328" filled="false" stroked="true" strokeweight=".5pt" strokecolor="#000000">
              <v:stroke dashstyle="solid"/>
            </v:rect>
            <v:rect style="position:absolute;left:3711;top:-113;width:185;height:1483" filled="true" fillcolor="#f6bd61" stroked="false">
              <v:fill type="solid"/>
            </v:rect>
            <v:rect style="position:absolute;left:3711;top:-113;width:185;height:1483" filled="false" stroked="true" strokeweight=".5pt" strokecolor="#000000">
              <v:stroke dashstyle="solid"/>
            </v:rect>
            <v:line style="position:absolute" from="3487,2057" to="3809,-113" stroked="true" strokeweight="1pt" strokecolor="#de0035">
              <v:stroke dashstyle="solid"/>
            </v:line>
            <v:shape style="position:absolute;left:1072;top:1692;width:2840;height:828" coordorigin="1073,1692" coordsize="2840,828" path="m1075,2519l3910,2519m1073,2452l1073,2519m2368,2452l2368,2519m3664,2452l3664,2519m1077,1692l3912,1692e" filled="false" stroked="true" strokeweight=".5pt" strokecolor="#000000">
              <v:path arrowok="t"/>
              <v:stroke dashstyle="solid"/>
            </v:shape>
            <v:shape style="position:absolute;left:2864;top:855;width:737;height:273" type="#_x0000_t202" filled="false" stroked="false">
              <v:textbox inset="0,0,0,0">
                <w:txbxContent>
                  <w:p>
                    <w:pPr>
                      <w:spacing w:line="242" w:lineRule="auto" w:before="0"/>
                      <w:ind w:left="60" w:right="0" w:hanging="60"/>
                      <w:jc w:val="left"/>
                      <w:rPr>
                        <w:sz w:val="12"/>
                      </w:rPr>
                    </w:pPr>
                    <w:r>
                      <w:rPr>
                        <w:sz w:val="12"/>
                      </w:rPr>
                      <w:t>Total OFCs’ bank deposits</w:t>
                    </w:r>
                  </w:p>
                </w:txbxContent>
              </v:textbox>
              <w10:wrap type="none"/>
            </v:shape>
            <w10:wrap type="none"/>
          </v:group>
        </w:pict>
      </w:r>
      <w:r>
        <w:rPr/>
        <w:pict>
          <v:line style="position:absolute;mso-position-horizontal-relative:page;mso-position-vertical-relative:paragraph;z-index:15856128" from="44.876999pt,2.387563pt" to="49.209999pt,2.387563pt" stroked="true" strokeweight=".5pt" strokecolor="#000000">
            <v:stroke dashstyle="solid"/>
            <w10:wrap type="none"/>
          </v:line>
        </w:pict>
      </w:r>
      <w:r>
        <w:rPr/>
        <w:pict>
          <v:line style="position:absolute;mso-position-horizontal-relative:page;mso-position-vertical-relative:paragraph;z-index:15860224" from="204.085007pt,2.887563pt" to="208.418007pt,2.887563pt" stroked="true" strokeweight=".5pt" strokecolor="#000000">
            <v:stroke dashstyle="solid"/>
            <w10:wrap type="none"/>
          </v:line>
        </w:pict>
      </w:r>
      <w:r>
        <w:rPr>
          <w:sz w:val="12"/>
        </w:rPr>
        <w:t>20</w:t>
      </w:r>
    </w:p>
    <w:p>
      <w:pPr>
        <w:pStyle w:val="BodyText"/>
        <w:rPr>
          <w:sz w:val="12"/>
        </w:rPr>
      </w:pPr>
    </w:p>
    <w:p>
      <w:pPr>
        <w:pStyle w:val="BodyText"/>
        <w:spacing w:before="5"/>
        <w:rPr>
          <w:sz w:val="11"/>
        </w:rPr>
      </w:pPr>
    </w:p>
    <w:p>
      <w:pPr>
        <w:spacing w:before="0"/>
        <w:ind w:left="0" w:right="38" w:firstLine="0"/>
        <w:jc w:val="right"/>
        <w:rPr>
          <w:sz w:val="12"/>
        </w:rPr>
      </w:pPr>
      <w:r>
        <w:rPr/>
        <w:pict>
          <v:line style="position:absolute;mso-position-horizontal-relative:page;mso-position-vertical-relative:paragraph;z-index:15856640" from="44.876999pt,2.798761pt" to="49.209999pt,2.798761pt" stroked="true" strokeweight=".5pt" strokecolor="#000000">
            <v:stroke dashstyle="solid"/>
            <w10:wrap type="none"/>
          </v:line>
        </w:pict>
      </w:r>
      <w:r>
        <w:rPr/>
        <w:pict>
          <v:line style="position:absolute;mso-position-horizontal-relative:page;mso-position-vertical-relative:paragraph;z-index:15860736" from="204.085007pt,3.298761pt" to="208.418007pt,3.298761pt" stroked="true" strokeweight=".5pt" strokecolor="#000000">
            <v:stroke dashstyle="solid"/>
            <w10:wrap type="none"/>
          </v:line>
        </w:pict>
      </w:r>
      <w:r>
        <w:rPr>
          <w:sz w:val="12"/>
        </w:rPr>
        <w:t>15</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5857152" from="44.876999pt,3.083563pt" to="49.209999pt,3.083563pt" stroked="true" strokeweight=".5pt" strokecolor="#000000">
            <v:stroke dashstyle="solid"/>
            <w10:wrap type="none"/>
          </v:line>
        </w:pict>
      </w:r>
      <w:r>
        <w:rPr/>
        <w:pict>
          <v:line style="position:absolute;mso-position-horizontal-relative:page;mso-position-vertical-relative:paragraph;z-index:15861248" from="204.085007pt,3.583563pt" to="208.418007pt,3.583563pt" stroked="true" strokeweight=".5pt" strokecolor="#000000">
            <v:stroke dashstyle="solid"/>
            <w10:wrap type="none"/>
          </v:line>
        </w:pict>
      </w:r>
      <w:r>
        <w:rPr>
          <w:sz w:val="12"/>
        </w:rPr>
        <w:t>10</w:t>
      </w:r>
    </w:p>
    <w:p>
      <w:pPr>
        <w:pStyle w:val="BodyText"/>
        <w:rPr>
          <w:sz w:val="12"/>
        </w:rPr>
      </w:pPr>
    </w:p>
    <w:p>
      <w:pPr>
        <w:pStyle w:val="BodyText"/>
        <w:spacing w:before="4"/>
        <w:rPr>
          <w:sz w:val="10"/>
        </w:rPr>
      </w:pPr>
    </w:p>
    <w:p>
      <w:pPr>
        <w:spacing w:before="0"/>
        <w:ind w:left="0" w:right="38" w:firstLine="0"/>
        <w:jc w:val="right"/>
        <w:rPr>
          <w:sz w:val="12"/>
        </w:rPr>
      </w:pPr>
      <w:r>
        <w:rPr/>
        <w:pict>
          <v:line style="position:absolute;mso-position-horizontal-relative:page;mso-position-vertical-relative:paragraph;z-index:15857664" from="44.876999pt,3.119364pt" to="49.209999pt,3.119364pt" stroked="true" strokeweight=".5pt" strokecolor="#000000">
            <v:stroke dashstyle="solid"/>
            <w10:wrap type="none"/>
          </v:line>
        </w:pict>
      </w:r>
      <w:r>
        <w:rPr/>
        <w:pict>
          <v:line style="position:absolute;mso-position-horizontal-relative:page;mso-position-vertical-relative:paragraph;z-index:15861760" from="204.085007pt,3.619364pt" to="208.418007pt,3.619364pt" stroked="true" strokeweight=".5pt" strokecolor="#000000">
            <v:stroke dashstyle="solid"/>
            <w10:wrap type="none"/>
          </v:line>
        </w:pict>
      </w:r>
      <w:r>
        <w:rPr>
          <w:sz w:val="12"/>
        </w:rPr>
        <w:t>5</w:t>
      </w:r>
    </w:p>
    <w:p>
      <w:pPr>
        <w:spacing w:before="65"/>
        <w:ind w:left="3534" w:right="0" w:firstLine="0"/>
        <w:jc w:val="left"/>
        <w:rPr>
          <w:sz w:val="16"/>
        </w:rPr>
      </w:pPr>
      <w:r>
        <w:rPr>
          <w:sz w:val="16"/>
        </w:rPr>
        <w:t>+</w:t>
      </w:r>
    </w:p>
    <w:p>
      <w:pPr>
        <w:spacing w:before="21"/>
        <w:ind w:left="3544" w:right="0" w:firstLine="0"/>
        <w:jc w:val="left"/>
        <w:rPr>
          <w:sz w:val="12"/>
        </w:rPr>
      </w:pPr>
      <w:r>
        <w:rPr/>
        <w:pict>
          <v:line style="position:absolute;mso-position-horizontal-relative:page;mso-position-vertical-relative:paragraph;z-index:15858688" from="44.876999pt,4.580563pt" to="49.209999pt,4.580563pt" stroked="true" strokeweight=".5pt" strokecolor="#000000">
            <v:stroke dashstyle="solid"/>
            <w10:wrap type="none"/>
          </v:line>
        </w:pict>
      </w:r>
      <w:r>
        <w:rPr/>
        <w:pict>
          <v:line style="position:absolute;mso-position-horizontal-relative:page;mso-position-vertical-relative:paragraph;z-index:15862784" from="204.085007pt,5.080563pt" to="208.418007pt,5.080563pt" stroked="true" strokeweight=".5pt" strokecolor="#000000">
            <v:stroke dashstyle="solid"/>
            <w10:wrap type="none"/>
          </v:line>
        </w:pict>
      </w:r>
      <w:r>
        <w:rPr>
          <w:position w:val="-9"/>
          <w:sz w:val="16"/>
        </w:rPr>
        <w:t>_</w:t>
      </w:r>
      <w:r>
        <w:rPr>
          <w:spacing w:val="29"/>
          <w:position w:val="-9"/>
          <w:sz w:val="16"/>
        </w:rPr>
        <w:t> </w:t>
      </w:r>
      <w:r>
        <w:rPr>
          <w:sz w:val="12"/>
        </w:rPr>
        <w:t>0</w:t>
      </w:r>
    </w:p>
    <w:p>
      <w:pPr>
        <w:spacing w:before="163"/>
        <w:ind w:left="0" w:right="38" w:firstLine="0"/>
        <w:jc w:val="right"/>
        <w:rPr>
          <w:sz w:val="12"/>
        </w:rPr>
      </w:pPr>
      <w:r>
        <w:rPr/>
        <w:pict>
          <v:line style="position:absolute;mso-position-horizontal-relative:page;mso-position-vertical-relative:paragraph;z-index:15858176" from="44.876999pt,10.965364pt" to="49.209999pt,10.965364pt" stroked="true" strokeweight=".5pt" strokecolor="#000000">
            <v:stroke dashstyle="solid"/>
            <w10:wrap type="none"/>
          </v:line>
        </w:pict>
      </w:r>
      <w:r>
        <w:rPr/>
        <w:pict>
          <v:line style="position:absolute;mso-position-horizontal-relative:page;mso-position-vertical-relative:paragraph;z-index:15862272" from="204.085007pt,11.465364pt" to="208.418007pt,11.465364pt" stroked="true" strokeweight=".5pt" strokecolor="#000000">
            <v:stroke dashstyle="solid"/>
            <w10:wrap type="none"/>
          </v:line>
        </w:pict>
      </w:r>
      <w:r>
        <w:rPr>
          <w:sz w:val="12"/>
        </w:rPr>
        <w:t>5</w:t>
      </w:r>
    </w:p>
    <w:p>
      <w:pPr>
        <w:pStyle w:val="BodyText"/>
        <w:rPr>
          <w:sz w:val="12"/>
        </w:rPr>
      </w:pPr>
    </w:p>
    <w:p>
      <w:pPr>
        <w:pStyle w:val="BodyText"/>
        <w:spacing w:before="5"/>
        <w:rPr>
          <w:sz w:val="11"/>
        </w:rPr>
      </w:pPr>
    </w:p>
    <w:p>
      <w:pPr>
        <w:spacing w:before="0"/>
        <w:ind w:left="0" w:right="38" w:firstLine="0"/>
        <w:jc w:val="right"/>
        <w:rPr>
          <w:sz w:val="12"/>
        </w:rPr>
      </w:pPr>
      <w:r>
        <w:rPr/>
        <w:pict>
          <v:line style="position:absolute;mso-position-horizontal-relative:page;mso-position-vertical-relative:paragraph;z-index:15859200" from="44.876999pt,3.226563pt" to="49.209999pt,3.226563pt" stroked="true" strokeweight=".5pt" strokecolor="#000000">
            <v:stroke dashstyle="solid"/>
            <w10:wrap type="none"/>
          </v:line>
        </w:pict>
      </w:r>
      <w:r>
        <w:rPr/>
        <w:pict>
          <v:line style="position:absolute;mso-position-horizontal-relative:page;mso-position-vertical-relative:paragraph;z-index:15863296" from="204.085007pt,3.726563pt" to="208.418007pt,3.726563pt" stroked="true" strokeweight=".5pt" strokecolor="#000000">
            <v:stroke dashstyle="solid"/>
            <w10:wrap type="none"/>
          </v:line>
        </w:pict>
      </w:r>
      <w:r>
        <w:rPr>
          <w:sz w:val="12"/>
        </w:rPr>
        <w:t>10</w:t>
      </w:r>
    </w:p>
    <w:p>
      <w:pPr>
        <w:pStyle w:val="Heading6"/>
        <w:spacing w:line="242" w:lineRule="auto"/>
        <w:ind w:left="168"/>
      </w:pPr>
      <w:r>
        <w:rPr/>
        <w:br w:type="column"/>
      </w:r>
      <w:r>
        <w:rPr/>
        <w:t>unchanged from its level at the time of the February </w:t>
      </w:r>
      <w:r>
        <w:rPr>
          <w:i/>
        </w:rPr>
        <w:t>Report</w:t>
      </w:r>
      <w:r>
        <w:rPr/>
        <w:t>. Official rates overseas have risen further. The European Central Bank has increased its official rate on two separate occasions by a total of 50 basis points to 3.75%. And the US Federal Open Market Committee raised the federal funds target rate by 25 basis points to 6.0% on 21 March.</w:t>
      </w:r>
    </w:p>
    <w:p>
      <w:pPr>
        <w:pStyle w:val="BodyText"/>
        <w:spacing w:before="3"/>
        <w:rPr>
          <w:sz w:val="24"/>
        </w:rPr>
      </w:pPr>
    </w:p>
    <w:p>
      <w:pPr>
        <w:spacing w:line="242" w:lineRule="auto" w:before="0"/>
        <w:ind w:left="168" w:right="168" w:firstLine="0"/>
        <w:jc w:val="left"/>
        <w:rPr>
          <w:sz w:val="24"/>
        </w:rPr>
      </w:pPr>
      <w:r>
        <w:rPr>
          <w:sz w:val="24"/>
        </w:rPr>
        <w:t>Market expectations of official rates </w:t>
      </w:r>
      <w:r>
        <w:rPr>
          <w:spacing w:val="-3"/>
          <w:sz w:val="24"/>
        </w:rPr>
        <w:t>over </w:t>
      </w:r>
      <w:r>
        <w:rPr>
          <w:sz w:val="24"/>
        </w:rPr>
        <w:t>the coming year </w:t>
      </w:r>
      <w:r>
        <w:rPr>
          <w:spacing w:val="-3"/>
          <w:sz w:val="24"/>
        </w:rPr>
        <w:t>have </w:t>
      </w:r>
      <w:r>
        <w:rPr>
          <w:sz w:val="24"/>
        </w:rPr>
        <w:t>risen somewhat in the euro area and the United States since the February </w:t>
      </w:r>
      <w:r>
        <w:rPr>
          <w:i/>
          <w:sz w:val="24"/>
        </w:rPr>
        <w:t>Report</w:t>
      </w:r>
      <w:r>
        <w:rPr>
          <w:sz w:val="24"/>
        </w:rPr>
        <w:t>. In the United Kingdom, markets still expect official rates to rise in the near term but </w:t>
      </w:r>
      <w:r>
        <w:rPr>
          <w:spacing w:val="-3"/>
          <w:sz w:val="24"/>
        </w:rPr>
        <w:t>now </w:t>
      </w:r>
      <w:r>
        <w:rPr>
          <w:sz w:val="24"/>
        </w:rPr>
        <w:t>anticipate that rates will peak at a lower </w:t>
      </w:r>
      <w:r>
        <w:rPr>
          <w:spacing w:val="-3"/>
          <w:sz w:val="24"/>
        </w:rPr>
        <w:t>level </w:t>
      </w:r>
      <w:r>
        <w:rPr>
          <w:sz w:val="24"/>
        </w:rPr>
        <w:t>than thought in </w:t>
      </w:r>
      <w:r>
        <w:rPr>
          <w:spacing w:val="-3"/>
          <w:sz w:val="24"/>
        </w:rPr>
        <w:t>February. </w:t>
      </w:r>
      <w:r>
        <w:rPr>
          <w:sz w:val="24"/>
        </w:rPr>
        <w:t>Chart 1.12 shows two-week forward interest rates derived from the prices of government bonds and gilt repo rates on 9 February and 3 </w:t>
      </w:r>
      <w:r>
        <w:rPr>
          <w:spacing w:val="-5"/>
          <w:sz w:val="24"/>
        </w:rPr>
        <w:t>May.  </w:t>
      </w:r>
      <w:r>
        <w:rPr>
          <w:sz w:val="24"/>
        </w:rPr>
        <w:t>Expected rates </w:t>
      </w:r>
      <w:r>
        <w:rPr>
          <w:spacing w:val="-3"/>
          <w:sz w:val="24"/>
        </w:rPr>
        <w:t>over </w:t>
      </w:r>
      <w:r>
        <w:rPr>
          <w:sz w:val="24"/>
        </w:rPr>
        <w:t>the next three years  </w:t>
      </w:r>
      <w:r>
        <w:rPr>
          <w:spacing w:val="-3"/>
          <w:sz w:val="24"/>
        </w:rPr>
        <w:t>have </w:t>
      </w:r>
      <w:r>
        <w:rPr>
          <w:sz w:val="24"/>
        </w:rPr>
        <w:t>fallen by around 50 basis points since the previous </w:t>
      </w:r>
      <w:r>
        <w:rPr>
          <w:i/>
          <w:sz w:val="24"/>
        </w:rPr>
        <w:t>Report</w:t>
      </w:r>
      <w:r>
        <w:rPr>
          <w:sz w:val="24"/>
        </w:rPr>
        <w:t>. The market expects gilt repo rates to peak</w:t>
      </w:r>
      <w:r>
        <w:rPr>
          <w:spacing w:val="-43"/>
          <w:sz w:val="24"/>
        </w:rPr>
        <w:t> </w:t>
      </w:r>
      <w:r>
        <w:rPr>
          <w:sz w:val="24"/>
        </w:rPr>
        <w:t>early</w:t>
      </w:r>
    </w:p>
    <w:p>
      <w:pPr>
        <w:spacing w:after="0" w:line="242" w:lineRule="auto"/>
        <w:jc w:val="left"/>
        <w:rPr>
          <w:sz w:val="24"/>
        </w:rPr>
        <w:sectPr>
          <w:type w:val="continuous"/>
          <w:pgSz w:w="11900" w:h="16840"/>
          <w:pgMar w:top="1220" w:bottom="280" w:left="640" w:right="620"/>
          <w:cols w:num="2" w:equalWidth="0">
            <w:col w:w="3796" w:space="1015"/>
            <w:col w:w="5829"/>
          </w:cols>
        </w:sectPr>
      </w:pPr>
    </w:p>
    <w:p>
      <w:pPr>
        <w:tabs>
          <w:tab w:pos="2436" w:val="left" w:leader="none"/>
          <w:tab w:pos="3071" w:val="left" w:leader="none"/>
        </w:tabs>
        <w:spacing w:before="10"/>
        <w:ind w:left="711" w:right="0" w:firstLine="0"/>
        <w:jc w:val="left"/>
        <w:rPr>
          <w:sz w:val="12"/>
        </w:rPr>
      </w:pPr>
      <w:r>
        <w:rPr>
          <w:sz w:val="12"/>
        </w:rPr>
        <w:t>1998</w:t>
        <w:tab/>
        <w:t>99</w:t>
        <w:tab/>
        <w:t>2000</w:t>
      </w:r>
    </w:p>
    <w:p>
      <w:pPr>
        <w:spacing w:before="71"/>
        <w:ind w:left="180" w:right="0" w:firstLine="0"/>
        <w:jc w:val="left"/>
        <w:rPr>
          <w:sz w:val="12"/>
        </w:rPr>
      </w:pPr>
      <w:r>
        <w:rPr>
          <w:sz w:val="12"/>
        </w:rPr>
        <w:t>Source: Bank of England.</w:t>
      </w:r>
    </w:p>
    <w:p>
      <w:pPr>
        <w:pStyle w:val="ListParagraph"/>
        <w:numPr>
          <w:ilvl w:val="0"/>
          <w:numId w:val="5"/>
        </w:numPr>
        <w:tabs>
          <w:tab w:pos="420" w:val="left" w:leader="none"/>
        </w:tabs>
        <w:spacing w:line="129" w:lineRule="exact" w:before="102" w:after="0"/>
        <w:ind w:left="419" w:right="0" w:hanging="240"/>
        <w:jc w:val="left"/>
        <w:rPr>
          <w:sz w:val="12"/>
        </w:rPr>
      </w:pPr>
      <w:r>
        <w:rPr>
          <w:sz w:val="12"/>
        </w:rPr>
        <w:t>Not seasonally</w:t>
      </w:r>
      <w:r>
        <w:rPr>
          <w:spacing w:val="-3"/>
          <w:sz w:val="12"/>
        </w:rPr>
        <w:t> </w:t>
      </w:r>
      <w:r>
        <w:rPr>
          <w:sz w:val="12"/>
        </w:rPr>
        <w:t>adjusted.</w:t>
      </w:r>
    </w:p>
    <w:p>
      <w:pPr>
        <w:pStyle w:val="ListParagraph"/>
        <w:numPr>
          <w:ilvl w:val="0"/>
          <w:numId w:val="5"/>
        </w:numPr>
        <w:tabs>
          <w:tab w:pos="421" w:val="left" w:leader="none"/>
        </w:tabs>
        <w:spacing w:line="120" w:lineRule="exact" w:before="0" w:after="0"/>
        <w:ind w:left="420" w:right="0" w:hanging="241"/>
        <w:jc w:val="left"/>
        <w:rPr>
          <w:sz w:val="12"/>
        </w:rPr>
      </w:pPr>
      <w:r>
        <w:rPr>
          <w:sz w:val="12"/>
        </w:rPr>
        <w:t>Other financial institutions and financial</w:t>
      </w:r>
      <w:r>
        <w:rPr>
          <w:spacing w:val="-16"/>
          <w:sz w:val="12"/>
        </w:rPr>
        <w:t> </w:t>
      </w:r>
      <w:r>
        <w:rPr>
          <w:sz w:val="12"/>
        </w:rPr>
        <w:t>auxiliaries.</w:t>
      </w:r>
    </w:p>
    <w:p>
      <w:pPr>
        <w:pStyle w:val="ListParagraph"/>
        <w:numPr>
          <w:ilvl w:val="0"/>
          <w:numId w:val="5"/>
        </w:numPr>
        <w:tabs>
          <w:tab w:pos="420" w:val="left" w:leader="none"/>
        </w:tabs>
        <w:spacing w:line="129" w:lineRule="exact" w:before="0" w:after="0"/>
        <w:ind w:left="419" w:right="0" w:hanging="240"/>
        <w:jc w:val="left"/>
        <w:rPr>
          <w:sz w:val="12"/>
        </w:rPr>
      </w:pPr>
      <w:r>
        <w:rPr>
          <w:sz w:val="12"/>
        </w:rPr>
        <w:t>Insurance companies and pension</w:t>
      </w:r>
      <w:r>
        <w:rPr>
          <w:spacing w:val="-8"/>
          <w:sz w:val="12"/>
        </w:rPr>
        <w:t> </w:t>
      </w:r>
      <w:r>
        <w:rPr>
          <w:sz w:val="12"/>
        </w:rPr>
        <w:t>funds.</w:t>
      </w:r>
    </w:p>
    <w:p>
      <w:pPr>
        <w:pStyle w:val="BodyText"/>
        <w:spacing w:before="2" w:after="39"/>
        <w:rPr>
          <w:sz w:val="16"/>
        </w:rPr>
      </w:pPr>
      <w:r>
        <w:rPr/>
        <w:br w:type="column"/>
      </w:r>
      <w:r>
        <w:rPr>
          <w:sz w:val="16"/>
        </w:rPr>
      </w:r>
    </w:p>
    <w:p>
      <w:pPr>
        <w:pStyle w:val="BodyText"/>
        <w:spacing w:line="20" w:lineRule="exact"/>
        <w:ind w:left="158"/>
        <w:rPr>
          <w:sz w:val="2"/>
        </w:rPr>
      </w:pPr>
      <w:r>
        <w:rPr>
          <w:sz w:val="2"/>
        </w:rPr>
        <w:pict>
          <v:group style="width:275pt;height:.15pt;mso-position-horizontal-relative:char;mso-position-vertical-relative:line" coordorigin="0,0" coordsize="5500,3">
            <v:line style="position:absolute" from="0,1" to="5500,1" stroked="true" strokeweight=".125pt" strokecolor="#000000">
              <v:stroke dashstyle="solid"/>
            </v:line>
          </v:group>
        </w:pict>
      </w:r>
      <w:r>
        <w:rPr>
          <w:sz w:val="2"/>
        </w:rPr>
      </w:r>
    </w:p>
    <w:p>
      <w:pPr>
        <w:spacing w:line="208" w:lineRule="auto" w:before="4"/>
        <w:ind w:left="419" w:right="717" w:hanging="240"/>
        <w:jc w:val="left"/>
        <w:rPr>
          <w:sz w:val="16"/>
        </w:rPr>
      </w:pPr>
      <w:r>
        <w:rPr>
          <w:sz w:val="16"/>
        </w:rPr>
        <w:t>(1) For a discussion of possible relationships between PNFCs’ investment and their borrowing from banks and building societies, see Brigden, A, Chrystal, A and Mizen, P, ‘Money, lending and spending: a study of the UK non-financial corporate sector and households’, </w:t>
      </w:r>
      <w:r>
        <w:rPr>
          <w:i/>
          <w:sz w:val="16"/>
        </w:rPr>
        <w:t>Bank of England </w:t>
      </w:r>
      <w:r>
        <w:rPr>
          <w:i/>
          <w:sz w:val="16"/>
        </w:rPr>
        <w:t>Quarterly Bulletin</w:t>
      </w:r>
      <w:r>
        <w:rPr>
          <w:sz w:val="16"/>
        </w:rPr>
        <w:t>, May 2000, pages 159–67.</w:t>
      </w:r>
    </w:p>
    <w:p>
      <w:pPr>
        <w:spacing w:after="0" w:line="208" w:lineRule="auto"/>
        <w:jc w:val="left"/>
        <w:rPr>
          <w:sz w:val="16"/>
        </w:rPr>
        <w:sectPr>
          <w:type w:val="continuous"/>
          <w:pgSz w:w="11900" w:h="16840"/>
          <w:pgMar w:top="1220" w:bottom="280" w:left="640" w:right="620"/>
          <w:cols w:num="2" w:equalWidth="0">
            <w:col w:w="3352" w:space="1448"/>
            <w:col w:w="5840"/>
          </w:cols>
        </w:sectPr>
      </w:pPr>
    </w:p>
    <w:p>
      <w:pPr>
        <w:pStyle w:val="BodyText"/>
        <w:rPr>
          <w:sz w:val="20"/>
        </w:rPr>
      </w:pPr>
    </w:p>
    <w:p>
      <w:pPr>
        <w:spacing w:after="0"/>
        <w:rPr>
          <w:sz w:val="20"/>
        </w:rPr>
        <w:sectPr>
          <w:headerReference w:type="default" r:id="rId42"/>
          <w:headerReference w:type="even" r:id="rId43"/>
          <w:footerReference w:type="default" r:id="rId44"/>
          <w:footerReference w:type="even" r:id="rId45"/>
          <w:pgSz w:w="11900" w:h="16840"/>
          <w:pgMar w:header="586" w:footer="617" w:top="780" w:bottom="800" w:left="640" w:right="620"/>
          <w:pgNumType w:start="9"/>
        </w:sectPr>
      </w:pPr>
    </w:p>
    <w:p>
      <w:pPr>
        <w:pStyle w:val="BodyText"/>
        <w:spacing w:before="10"/>
        <w:rPr>
          <w:sz w:val="19"/>
        </w:rPr>
      </w:pPr>
    </w:p>
    <w:p>
      <w:pPr>
        <w:spacing w:before="0"/>
        <w:ind w:left="165" w:right="0" w:firstLine="0"/>
        <w:jc w:val="left"/>
        <w:rPr>
          <w:b/>
          <w:sz w:val="20"/>
        </w:rPr>
      </w:pPr>
      <w:bookmarkStart w:name="Long-term interest rates" w:id="22"/>
      <w:bookmarkEnd w:id="22"/>
      <w:r>
        <w:rPr/>
      </w:r>
      <w:bookmarkStart w:name="_bookmark11" w:id="23"/>
      <w:bookmarkEnd w:id="23"/>
      <w:r>
        <w:rPr/>
      </w:r>
      <w:r>
        <w:rPr>
          <w:b/>
          <w:color w:val="0092C7"/>
          <w:sz w:val="20"/>
        </w:rPr>
        <w:t>Chart 1.12</w:t>
      </w:r>
    </w:p>
    <w:p>
      <w:pPr>
        <w:spacing w:before="10"/>
        <w:ind w:left="165" w:right="0" w:firstLine="0"/>
        <w:jc w:val="left"/>
        <w:rPr>
          <w:b/>
          <w:sz w:val="20"/>
        </w:rPr>
      </w:pPr>
      <w:r>
        <w:rPr>
          <w:b/>
          <w:color w:val="0092C7"/>
          <w:sz w:val="20"/>
        </w:rPr>
        <w:t>Two-week forward rates</w:t>
      </w:r>
    </w:p>
    <w:p>
      <w:pPr>
        <w:pStyle w:val="BodyText"/>
        <w:spacing w:before="10"/>
        <w:rPr>
          <w:b/>
          <w:sz w:val="20"/>
        </w:rPr>
      </w:pPr>
      <w:r>
        <w:rPr/>
        <w:drawing>
          <wp:anchor distT="0" distB="0" distL="0" distR="0" allowOverlap="1" layoutInCell="1" locked="0" behindDoc="0" simplePos="0" relativeHeight="265">
            <wp:simplePos x="0" y="0"/>
            <wp:positionH relativeFrom="page">
              <wp:posOffset>531494</wp:posOffset>
            </wp:positionH>
            <wp:positionV relativeFrom="paragraph">
              <wp:posOffset>177741</wp:posOffset>
            </wp:positionV>
            <wp:extent cx="55304" cy="6381"/>
            <wp:effectExtent l="0" t="0" r="0" b="0"/>
            <wp:wrapTopAndBottom/>
            <wp:docPr id="11" name="image15.png"/>
            <wp:cNvGraphicFramePr>
              <a:graphicFrameLocks noChangeAspect="1"/>
            </wp:cNvGraphicFramePr>
            <a:graphic>
              <a:graphicData uri="http://schemas.openxmlformats.org/drawingml/2006/picture">
                <pic:pic>
                  <pic:nvPicPr>
                    <pic:cNvPr id="12" name="image15.png"/>
                    <pic:cNvPicPr/>
                  </pic:nvPicPr>
                  <pic:blipFill>
                    <a:blip r:embed="rId46" cstate="print"/>
                    <a:stretch>
                      <a:fillRect/>
                    </a:stretch>
                  </pic:blipFill>
                  <pic:spPr>
                    <a:xfrm>
                      <a:off x="0" y="0"/>
                      <a:ext cx="55304" cy="6381"/>
                    </a:xfrm>
                    <a:prstGeom prst="rect">
                      <a:avLst/>
                    </a:prstGeom>
                  </pic:spPr>
                </pic:pic>
              </a:graphicData>
            </a:graphic>
          </wp:anchor>
        </w:drawing>
      </w:r>
    </w:p>
    <w:p>
      <w:pPr>
        <w:pStyle w:val="BodyText"/>
        <w:spacing w:before="5"/>
        <w:rPr>
          <w:b/>
          <w:sz w:val="17"/>
        </w:rPr>
      </w:pPr>
    </w:p>
    <w:p>
      <w:pPr>
        <w:tabs>
          <w:tab w:pos="2176" w:val="left" w:leader="none"/>
        </w:tabs>
        <w:spacing w:before="0"/>
        <w:ind w:left="1584" w:right="0" w:firstLine="0"/>
        <w:jc w:val="left"/>
        <w:rPr>
          <w:sz w:val="12"/>
        </w:rPr>
      </w:pPr>
      <w:r>
        <w:rPr/>
        <w:pict>
          <v:group style="position:absolute;margin-left:50.599998pt;margin-top:5.101311pt;width:76.150pt;height:121.5pt;mso-position-horizontal-relative:page;mso-position-vertical-relative:paragraph;z-index:15876096" coordorigin="1012,102" coordsize="1523,2430">
            <v:shape style="position:absolute;left:1012;top:102;width:1233;height:2430" type="#_x0000_t75" stroked="false">
              <v:imagedata r:id="rId47" o:title=""/>
            </v:shape>
            <v:shape style="position:absolute;left:2214;top:485;width:320;height:376" type="#_x0000_t202" filled="false" stroked="false">
              <v:textbox inset="0,0,0,0">
                <w:txbxContent>
                  <w:p>
                    <w:pPr>
                      <w:tabs>
                        <w:tab w:pos="299" w:val="left" w:leader="none"/>
                      </w:tabs>
                      <w:spacing w:line="133" w:lineRule="exact" w:before="0"/>
                      <w:ind w:left="0" w:right="0" w:firstLine="0"/>
                      <w:jc w:val="left"/>
                      <w:rPr>
                        <w:sz w:val="12"/>
                      </w:rPr>
                    </w:pPr>
                    <w:r>
                      <w:rPr>
                        <w:sz w:val="12"/>
                        <w:u w:val="thick" w:color="DE0035"/>
                      </w:rPr>
                      <w:t> </w:t>
                      <w:tab/>
                    </w:r>
                  </w:p>
                  <w:p>
                    <w:pPr>
                      <w:spacing w:before="104"/>
                      <w:ind w:left="90" w:right="0" w:firstLine="0"/>
                      <w:jc w:val="left"/>
                      <w:rPr>
                        <w:sz w:val="12"/>
                      </w:rPr>
                    </w:pPr>
                    <w:r>
                      <w:rPr>
                        <w:sz w:val="12"/>
                      </w:rPr>
                      <w:t>3</w:t>
                    </w:r>
                  </w:p>
                </w:txbxContent>
              </v:textbox>
              <w10:wrap type="none"/>
            </v:shape>
            <v:shape style="position:absolute;left:1257;top:2244;width:1183;height:134" type="#_x0000_t202" filled="false" stroked="false">
              <v:textbox inset="0,0,0,0">
                <w:txbxContent>
                  <w:p>
                    <w:pPr>
                      <w:spacing w:line="133" w:lineRule="exact" w:before="0"/>
                      <w:ind w:left="0" w:right="0" w:firstLine="0"/>
                      <w:jc w:val="left"/>
                      <w:rPr>
                        <w:sz w:val="12"/>
                      </w:rPr>
                    </w:pPr>
                    <w:r>
                      <w:rPr>
                        <w:sz w:val="12"/>
                      </w:rPr>
                      <w:t>Two-week GC repo rate</w:t>
                    </w:r>
                  </w:p>
                </w:txbxContent>
              </v:textbox>
              <w10:wrap type="none"/>
            </v:shape>
            <w10:wrap type="none"/>
          </v:group>
        </w:pict>
      </w:r>
      <w:r>
        <w:rPr/>
        <w:pict>
          <v:group style="position:absolute;margin-left:119.725403pt;margin-top:30.976311pt;width:76.5pt;height:36.4pt;mso-position-horizontal-relative:page;mso-position-vertical-relative:paragraph;z-index:15877120" coordorigin="2395,620" coordsize="1530,728">
            <v:shape style="position:absolute;left:2412;top:619;width:1513;height:728" type="#_x0000_t75" stroked="false">
              <v:imagedata r:id="rId48" o:title=""/>
            </v:shape>
            <v:shape style="position:absolute;left:2394;top:727;width:240;height:133" type="#_x0000_t202" filled="false" stroked="false">
              <v:textbox inset="0,0,0,0">
                <w:txbxContent>
                  <w:p>
                    <w:pPr>
                      <w:spacing w:line="133" w:lineRule="exact" w:before="0"/>
                      <w:ind w:left="0" w:right="0" w:firstLine="0"/>
                      <w:jc w:val="left"/>
                      <w:rPr>
                        <w:sz w:val="12"/>
                      </w:rPr>
                    </w:pPr>
                    <w:r>
                      <w:rPr>
                        <w:sz w:val="12"/>
                      </w:rPr>
                      <w:t>May</w:t>
                    </w:r>
                  </w:p>
                </w:txbxContent>
              </v:textbox>
              <w10:wrap type="none"/>
            </v:shape>
            <w10:wrap type="none"/>
          </v:group>
        </w:pict>
      </w:r>
      <w:r>
        <w:rPr/>
        <w:drawing>
          <wp:anchor distT="0" distB="0" distL="0" distR="0" allowOverlap="1" layoutInCell="1" locked="0" behindDoc="0" simplePos="0" relativeHeight="15877632">
            <wp:simplePos x="0" y="0"/>
            <wp:positionH relativeFrom="page">
              <wp:posOffset>1776095</wp:posOffset>
            </wp:positionH>
            <wp:positionV relativeFrom="paragraph">
              <wp:posOffset>64786</wp:posOffset>
            </wp:positionV>
            <wp:extent cx="709612" cy="260350"/>
            <wp:effectExtent l="0" t="0" r="0" b="0"/>
            <wp:wrapNone/>
            <wp:docPr id="13" name="image18.png"/>
            <wp:cNvGraphicFramePr>
              <a:graphicFrameLocks noChangeAspect="1"/>
            </wp:cNvGraphicFramePr>
            <a:graphic>
              <a:graphicData uri="http://schemas.openxmlformats.org/drawingml/2006/picture">
                <pic:pic>
                  <pic:nvPicPr>
                    <pic:cNvPr id="14" name="image18.png"/>
                    <pic:cNvPicPr/>
                  </pic:nvPicPr>
                  <pic:blipFill>
                    <a:blip r:embed="rId49" cstate="print"/>
                    <a:stretch>
                      <a:fillRect/>
                    </a:stretch>
                  </pic:blipFill>
                  <pic:spPr>
                    <a:xfrm>
                      <a:off x="0" y="0"/>
                      <a:ext cx="709612" cy="260350"/>
                    </a:xfrm>
                    <a:prstGeom prst="rect">
                      <a:avLst/>
                    </a:prstGeom>
                  </pic:spPr>
                </pic:pic>
              </a:graphicData>
            </a:graphic>
          </wp:anchor>
        </w:drawing>
      </w:r>
      <w:r>
        <w:rPr>
          <w:sz w:val="12"/>
          <w:u w:val="thick" w:color="006CAA"/>
        </w:rPr>
        <w:t> </w:t>
        <w:tab/>
      </w:r>
      <w:r>
        <w:rPr>
          <w:sz w:val="12"/>
        </w:rPr>
        <w:t>    </w:t>
      </w:r>
      <w:r>
        <w:rPr>
          <w:spacing w:val="-8"/>
          <w:sz w:val="12"/>
        </w:rPr>
        <w:t> </w:t>
      </w:r>
      <w:r>
        <w:rPr>
          <w:sz w:val="12"/>
        </w:rPr>
        <w:t>9 February</w:t>
      </w:r>
    </w:p>
    <w:p>
      <w:pPr>
        <w:pStyle w:val="BodyText"/>
        <w:spacing w:before="8" w:after="39"/>
        <w:rPr>
          <w:sz w:val="9"/>
        </w:rPr>
      </w:pPr>
    </w:p>
    <w:p>
      <w:pPr>
        <w:pStyle w:val="BodyText"/>
        <w:spacing w:line="20" w:lineRule="exact"/>
        <w:ind w:left="197"/>
        <w:rPr>
          <w:sz w:val="2"/>
        </w:rPr>
      </w:pPr>
      <w:r>
        <w:rPr>
          <w:sz w:val="2"/>
        </w:rPr>
        <w:drawing>
          <wp:inline distT="0" distB="0" distL="0" distR="0">
            <wp:extent cx="55304" cy="6381"/>
            <wp:effectExtent l="0" t="0" r="0" b="0"/>
            <wp:docPr id="15" name="image15.png"/>
            <wp:cNvGraphicFramePr>
              <a:graphicFrameLocks noChangeAspect="1"/>
            </wp:cNvGraphicFramePr>
            <a:graphic>
              <a:graphicData uri="http://schemas.openxmlformats.org/drawingml/2006/picture">
                <pic:pic>
                  <pic:nvPicPr>
                    <pic:cNvPr id="16" name="image15.png"/>
                    <pic:cNvPicPr/>
                  </pic:nvPicPr>
                  <pic:blipFill>
                    <a:blip r:embed="rId46" cstate="print"/>
                    <a:stretch>
                      <a:fillRect/>
                    </a:stretch>
                  </pic:blipFill>
                  <pic:spPr>
                    <a:xfrm>
                      <a:off x="0" y="0"/>
                      <a:ext cx="55304" cy="6381"/>
                    </a:xfrm>
                    <a:prstGeom prst="rect">
                      <a:avLst/>
                    </a:prstGeom>
                  </pic:spPr>
                </pic:pic>
              </a:graphicData>
            </a:graphic>
          </wp:inline>
        </w:drawing>
      </w:r>
      <w:r>
        <w:rPr>
          <w:sz w:val="2"/>
        </w:rPr>
      </w:r>
    </w:p>
    <w:p>
      <w:pPr>
        <w:pStyle w:val="BodyText"/>
        <w:spacing w:before="9"/>
        <w:rPr>
          <w:sz w:val="17"/>
        </w:rPr>
      </w:pPr>
      <w:r>
        <w:rPr/>
        <w:drawing>
          <wp:anchor distT="0" distB="0" distL="0" distR="0" allowOverlap="1" layoutInCell="1" locked="0" behindDoc="0" simplePos="0" relativeHeight="266">
            <wp:simplePos x="0" y="0"/>
            <wp:positionH relativeFrom="page">
              <wp:posOffset>531494</wp:posOffset>
            </wp:positionH>
            <wp:positionV relativeFrom="paragraph">
              <wp:posOffset>155092</wp:posOffset>
            </wp:positionV>
            <wp:extent cx="54478" cy="6286"/>
            <wp:effectExtent l="0" t="0" r="0" b="0"/>
            <wp:wrapTopAndBottom/>
            <wp:docPr id="17" name="image19.png"/>
            <wp:cNvGraphicFramePr>
              <a:graphicFrameLocks noChangeAspect="1"/>
            </wp:cNvGraphicFramePr>
            <a:graphic>
              <a:graphicData uri="http://schemas.openxmlformats.org/drawingml/2006/picture">
                <pic:pic>
                  <pic:nvPicPr>
                    <pic:cNvPr id="18"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267">
            <wp:simplePos x="0" y="0"/>
            <wp:positionH relativeFrom="page">
              <wp:posOffset>531494</wp:posOffset>
            </wp:positionH>
            <wp:positionV relativeFrom="paragraph">
              <wp:posOffset>322884</wp:posOffset>
            </wp:positionV>
            <wp:extent cx="55304" cy="6381"/>
            <wp:effectExtent l="0" t="0" r="0" b="0"/>
            <wp:wrapTopAndBottom/>
            <wp:docPr id="19" name="image15.png"/>
            <wp:cNvGraphicFramePr>
              <a:graphicFrameLocks noChangeAspect="1"/>
            </wp:cNvGraphicFramePr>
            <a:graphic>
              <a:graphicData uri="http://schemas.openxmlformats.org/drawingml/2006/picture">
                <pic:pic>
                  <pic:nvPicPr>
                    <pic:cNvPr id="20"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68">
            <wp:simplePos x="0" y="0"/>
            <wp:positionH relativeFrom="page">
              <wp:posOffset>531494</wp:posOffset>
            </wp:positionH>
            <wp:positionV relativeFrom="paragraph">
              <wp:posOffset>503377</wp:posOffset>
            </wp:positionV>
            <wp:extent cx="54478" cy="6286"/>
            <wp:effectExtent l="0" t="0" r="0" b="0"/>
            <wp:wrapTopAndBottom/>
            <wp:docPr id="21" name="image19.png"/>
            <wp:cNvGraphicFramePr>
              <a:graphicFrameLocks noChangeAspect="1"/>
            </wp:cNvGraphicFramePr>
            <a:graphic>
              <a:graphicData uri="http://schemas.openxmlformats.org/drawingml/2006/picture">
                <pic:pic>
                  <pic:nvPicPr>
                    <pic:cNvPr id="22"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269">
            <wp:simplePos x="0" y="0"/>
            <wp:positionH relativeFrom="page">
              <wp:posOffset>531494</wp:posOffset>
            </wp:positionH>
            <wp:positionV relativeFrom="paragraph">
              <wp:posOffset>658482</wp:posOffset>
            </wp:positionV>
            <wp:extent cx="55304" cy="6381"/>
            <wp:effectExtent l="0" t="0" r="0" b="0"/>
            <wp:wrapTopAndBottom/>
            <wp:docPr id="23" name="image15.png"/>
            <wp:cNvGraphicFramePr>
              <a:graphicFrameLocks noChangeAspect="1"/>
            </wp:cNvGraphicFramePr>
            <a:graphic>
              <a:graphicData uri="http://schemas.openxmlformats.org/drawingml/2006/picture">
                <pic:pic>
                  <pic:nvPicPr>
                    <pic:cNvPr id="24"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70">
            <wp:simplePos x="0" y="0"/>
            <wp:positionH relativeFrom="page">
              <wp:posOffset>531494</wp:posOffset>
            </wp:positionH>
            <wp:positionV relativeFrom="paragraph">
              <wp:posOffset>826274</wp:posOffset>
            </wp:positionV>
            <wp:extent cx="54478" cy="6286"/>
            <wp:effectExtent l="0" t="0" r="0" b="0"/>
            <wp:wrapTopAndBottom/>
            <wp:docPr id="25" name="image19.png"/>
            <wp:cNvGraphicFramePr>
              <a:graphicFrameLocks noChangeAspect="1"/>
            </wp:cNvGraphicFramePr>
            <a:graphic>
              <a:graphicData uri="http://schemas.openxmlformats.org/drawingml/2006/picture">
                <pic:pic>
                  <pic:nvPicPr>
                    <pic:cNvPr id="26"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271">
            <wp:simplePos x="0" y="0"/>
            <wp:positionH relativeFrom="page">
              <wp:posOffset>531494</wp:posOffset>
            </wp:positionH>
            <wp:positionV relativeFrom="paragraph">
              <wp:posOffset>994067</wp:posOffset>
            </wp:positionV>
            <wp:extent cx="54478" cy="6286"/>
            <wp:effectExtent l="0" t="0" r="0" b="0"/>
            <wp:wrapTopAndBottom/>
            <wp:docPr id="27" name="image19.png"/>
            <wp:cNvGraphicFramePr>
              <a:graphicFrameLocks noChangeAspect="1"/>
            </wp:cNvGraphicFramePr>
            <a:graphic>
              <a:graphicData uri="http://schemas.openxmlformats.org/drawingml/2006/picture">
                <pic:pic>
                  <pic:nvPicPr>
                    <pic:cNvPr id="28"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272">
            <wp:simplePos x="0" y="0"/>
            <wp:positionH relativeFrom="page">
              <wp:posOffset>531494</wp:posOffset>
            </wp:positionH>
            <wp:positionV relativeFrom="paragraph">
              <wp:posOffset>1161859</wp:posOffset>
            </wp:positionV>
            <wp:extent cx="55304" cy="6381"/>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73">
            <wp:simplePos x="0" y="0"/>
            <wp:positionH relativeFrom="page">
              <wp:posOffset>531494</wp:posOffset>
            </wp:positionH>
            <wp:positionV relativeFrom="paragraph">
              <wp:posOffset>1329651</wp:posOffset>
            </wp:positionV>
            <wp:extent cx="55304" cy="6381"/>
            <wp:effectExtent l="0" t="0" r="0" b="0"/>
            <wp:wrapTopAndBottom/>
            <wp:docPr id="31" name="image15.png"/>
            <wp:cNvGraphicFramePr>
              <a:graphicFrameLocks noChangeAspect="1"/>
            </wp:cNvGraphicFramePr>
            <a:graphic>
              <a:graphicData uri="http://schemas.openxmlformats.org/drawingml/2006/picture">
                <pic:pic>
                  <pic:nvPicPr>
                    <pic:cNvPr id="32" name="image15.png"/>
                    <pic:cNvPicPr/>
                  </pic:nvPicPr>
                  <pic:blipFill>
                    <a:blip r:embed="rId46" cstate="print"/>
                    <a:stretch>
                      <a:fillRect/>
                    </a:stretch>
                  </pic:blipFill>
                  <pic:spPr>
                    <a:xfrm>
                      <a:off x="0" y="0"/>
                      <a:ext cx="55304" cy="6381"/>
                    </a:xfrm>
                    <a:prstGeom prst="rect">
                      <a:avLst/>
                    </a:prstGeom>
                  </pic:spPr>
                </pic:pic>
              </a:graphicData>
            </a:graphic>
          </wp:anchor>
        </w:drawing>
      </w:r>
    </w:p>
    <w:p>
      <w:pPr>
        <w:pStyle w:val="BodyText"/>
        <w:spacing w:before="2"/>
        <w:rPr>
          <w:sz w:val="16"/>
        </w:rPr>
      </w:pPr>
    </w:p>
    <w:p>
      <w:pPr>
        <w:pStyle w:val="BodyText"/>
        <w:spacing w:before="10"/>
        <w:rPr>
          <w:sz w:val="17"/>
        </w:rPr>
      </w:pPr>
    </w:p>
    <w:p>
      <w:pPr>
        <w:pStyle w:val="BodyText"/>
        <w:spacing w:before="5"/>
        <w:rPr>
          <w:sz w:val="14"/>
        </w:rPr>
      </w:pPr>
    </w:p>
    <w:p>
      <w:pPr>
        <w:pStyle w:val="BodyText"/>
        <w:spacing w:before="2"/>
        <w:rPr>
          <w:sz w:val="16"/>
        </w:rPr>
      </w:pPr>
    </w:p>
    <w:p>
      <w:pPr>
        <w:pStyle w:val="BodyText"/>
        <w:spacing w:before="2"/>
        <w:rPr>
          <w:sz w:val="16"/>
        </w:rPr>
      </w:pPr>
    </w:p>
    <w:p>
      <w:pPr>
        <w:pStyle w:val="BodyText"/>
        <w:spacing w:before="2"/>
        <w:rPr>
          <w:sz w:val="16"/>
        </w:rPr>
      </w:pPr>
    </w:p>
    <w:p>
      <w:pPr>
        <w:pStyle w:val="BodyText"/>
        <w:spacing w:before="2"/>
        <w:rPr>
          <w:sz w:val="16"/>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before="98"/>
        <w:ind w:left="165" w:right="0" w:firstLine="0"/>
        <w:jc w:val="left"/>
        <w:rPr>
          <w:sz w:val="12"/>
        </w:rPr>
      </w:pPr>
      <w:r>
        <w:rPr>
          <w:sz w:val="12"/>
        </w:rPr>
        <w:t>Per cent</w:t>
      </w:r>
    </w:p>
    <w:p>
      <w:pPr>
        <w:pStyle w:val="BodyText"/>
        <w:spacing w:before="6"/>
        <w:rPr>
          <w:sz w:val="4"/>
        </w:rPr>
      </w:pPr>
    </w:p>
    <w:p>
      <w:pPr>
        <w:pStyle w:val="BodyText"/>
        <w:spacing w:line="20" w:lineRule="exact"/>
        <w:ind w:left="438" w:right="-15"/>
        <w:rPr>
          <w:sz w:val="2"/>
        </w:rPr>
      </w:pPr>
      <w:r>
        <w:rPr>
          <w:sz w:val="2"/>
        </w:rPr>
        <w:drawing>
          <wp:inline distT="0" distB="0" distL="0" distR="0">
            <wp:extent cx="55304" cy="6381"/>
            <wp:effectExtent l="0" t="0" r="0" b="0"/>
            <wp:docPr id="33" name="image20.png"/>
            <wp:cNvGraphicFramePr>
              <a:graphicFrameLocks noChangeAspect="1"/>
            </wp:cNvGraphicFramePr>
            <a:graphic>
              <a:graphicData uri="http://schemas.openxmlformats.org/drawingml/2006/picture">
                <pic:pic>
                  <pic:nvPicPr>
                    <pic:cNvPr id="34" name="image20.png"/>
                    <pic:cNvPicPr/>
                  </pic:nvPicPr>
                  <pic:blipFill>
                    <a:blip r:embed="rId51" cstate="print"/>
                    <a:stretch>
                      <a:fillRect/>
                    </a:stretch>
                  </pic:blipFill>
                  <pic:spPr>
                    <a:xfrm>
                      <a:off x="0" y="0"/>
                      <a:ext cx="55304" cy="6381"/>
                    </a:xfrm>
                    <a:prstGeom prst="rect">
                      <a:avLst/>
                    </a:prstGeom>
                  </pic:spPr>
                </pic:pic>
              </a:graphicData>
            </a:graphic>
          </wp:inline>
        </w:drawing>
      </w:r>
      <w:r>
        <w:rPr>
          <w:sz w:val="2"/>
        </w:rPr>
      </w:r>
    </w:p>
    <w:p>
      <w:pPr>
        <w:pStyle w:val="BodyText"/>
        <w:rPr>
          <w:sz w:val="20"/>
        </w:rPr>
      </w:pPr>
    </w:p>
    <w:p>
      <w:pPr>
        <w:pStyle w:val="BodyText"/>
        <w:spacing w:before="9"/>
        <w:rPr>
          <w:sz w:val="20"/>
        </w:rPr>
      </w:pPr>
      <w:r>
        <w:rPr/>
        <w:drawing>
          <wp:anchor distT="0" distB="0" distL="0" distR="0" allowOverlap="1" layoutInCell="1" locked="0" behindDoc="0" simplePos="0" relativeHeight="274">
            <wp:simplePos x="0" y="0"/>
            <wp:positionH relativeFrom="page">
              <wp:posOffset>2571965</wp:posOffset>
            </wp:positionH>
            <wp:positionV relativeFrom="paragraph">
              <wp:posOffset>177116</wp:posOffset>
            </wp:positionV>
            <wp:extent cx="55304" cy="6381"/>
            <wp:effectExtent l="0" t="0" r="0" b="0"/>
            <wp:wrapTopAndBottom/>
            <wp:docPr id="35" name="image20.png"/>
            <wp:cNvGraphicFramePr>
              <a:graphicFrameLocks noChangeAspect="1"/>
            </wp:cNvGraphicFramePr>
            <a:graphic>
              <a:graphicData uri="http://schemas.openxmlformats.org/drawingml/2006/picture">
                <pic:pic>
                  <pic:nvPicPr>
                    <pic:cNvPr id="36"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75">
            <wp:simplePos x="0" y="0"/>
            <wp:positionH relativeFrom="page">
              <wp:posOffset>2571965</wp:posOffset>
            </wp:positionH>
            <wp:positionV relativeFrom="paragraph">
              <wp:posOffset>344909</wp:posOffset>
            </wp:positionV>
            <wp:extent cx="54478" cy="6286"/>
            <wp:effectExtent l="0" t="0" r="0" b="0"/>
            <wp:wrapTopAndBottom/>
            <wp:docPr id="37" name="image21.png"/>
            <wp:cNvGraphicFramePr>
              <a:graphicFrameLocks noChangeAspect="1"/>
            </wp:cNvGraphicFramePr>
            <a:graphic>
              <a:graphicData uri="http://schemas.openxmlformats.org/drawingml/2006/picture">
                <pic:pic>
                  <pic:nvPicPr>
                    <pic:cNvPr id="38" name="image21.png"/>
                    <pic:cNvPicPr/>
                  </pic:nvPicPr>
                  <pic:blipFill>
                    <a:blip r:embed="rId52"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276">
            <wp:simplePos x="0" y="0"/>
            <wp:positionH relativeFrom="page">
              <wp:posOffset>2571965</wp:posOffset>
            </wp:positionH>
            <wp:positionV relativeFrom="paragraph">
              <wp:posOffset>512701</wp:posOffset>
            </wp:positionV>
            <wp:extent cx="55304" cy="6381"/>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77">
            <wp:simplePos x="0" y="0"/>
            <wp:positionH relativeFrom="page">
              <wp:posOffset>2571965</wp:posOffset>
            </wp:positionH>
            <wp:positionV relativeFrom="paragraph">
              <wp:posOffset>693193</wp:posOffset>
            </wp:positionV>
            <wp:extent cx="54478" cy="6286"/>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52"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278">
            <wp:simplePos x="0" y="0"/>
            <wp:positionH relativeFrom="page">
              <wp:posOffset>2571965</wp:posOffset>
            </wp:positionH>
            <wp:positionV relativeFrom="paragraph">
              <wp:posOffset>848298</wp:posOffset>
            </wp:positionV>
            <wp:extent cx="55304" cy="6381"/>
            <wp:effectExtent l="0" t="0" r="0" b="0"/>
            <wp:wrapTopAndBottom/>
            <wp:docPr id="43" name="image20.png"/>
            <wp:cNvGraphicFramePr>
              <a:graphicFrameLocks noChangeAspect="1"/>
            </wp:cNvGraphicFramePr>
            <a:graphic>
              <a:graphicData uri="http://schemas.openxmlformats.org/drawingml/2006/picture">
                <pic:pic>
                  <pic:nvPicPr>
                    <pic:cNvPr id="44"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79">
            <wp:simplePos x="0" y="0"/>
            <wp:positionH relativeFrom="page">
              <wp:posOffset>2571965</wp:posOffset>
            </wp:positionH>
            <wp:positionV relativeFrom="paragraph">
              <wp:posOffset>1016091</wp:posOffset>
            </wp:positionV>
            <wp:extent cx="54478" cy="6286"/>
            <wp:effectExtent l="0" t="0" r="0" b="0"/>
            <wp:wrapTopAndBottom/>
            <wp:docPr id="45" name="image21.png"/>
            <wp:cNvGraphicFramePr>
              <a:graphicFrameLocks noChangeAspect="1"/>
            </wp:cNvGraphicFramePr>
            <a:graphic>
              <a:graphicData uri="http://schemas.openxmlformats.org/drawingml/2006/picture">
                <pic:pic>
                  <pic:nvPicPr>
                    <pic:cNvPr id="46" name="image21.png"/>
                    <pic:cNvPicPr/>
                  </pic:nvPicPr>
                  <pic:blipFill>
                    <a:blip r:embed="rId52"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280">
            <wp:simplePos x="0" y="0"/>
            <wp:positionH relativeFrom="page">
              <wp:posOffset>2571965</wp:posOffset>
            </wp:positionH>
            <wp:positionV relativeFrom="paragraph">
              <wp:posOffset>1183883</wp:posOffset>
            </wp:positionV>
            <wp:extent cx="54478" cy="6286"/>
            <wp:effectExtent l="0" t="0" r="0" b="0"/>
            <wp:wrapTopAndBottom/>
            <wp:docPr id="47" name="image21.png"/>
            <wp:cNvGraphicFramePr>
              <a:graphicFrameLocks noChangeAspect="1"/>
            </wp:cNvGraphicFramePr>
            <a:graphic>
              <a:graphicData uri="http://schemas.openxmlformats.org/drawingml/2006/picture">
                <pic:pic>
                  <pic:nvPicPr>
                    <pic:cNvPr id="48" name="image21.png"/>
                    <pic:cNvPicPr/>
                  </pic:nvPicPr>
                  <pic:blipFill>
                    <a:blip r:embed="rId52"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281">
            <wp:simplePos x="0" y="0"/>
            <wp:positionH relativeFrom="page">
              <wp:posOffset>2571965</wp:posOffset>
            </wp:positionH>
            <wp:positionV relativeFrom="paragraph">
              <wp:posOffset>1351676</wp:posOffset>
            </wp:positionV>
            <wp:extent cx="55304" cy="6381"/>
            <wp:effectExtent l="0" t="0" r="0" b="0"/>
            <wp:wrapTopAndBottom/>
            <wp:docPr id="49" name="image20.png"/>
            <wp:cNvGraphicFramePr>
              <a:graphicFrameLocks noChangeAspect="1"/>
            </wp:cNvGraphicFramePr>
            <a:graphic>
              <a:graphicData uri="http://schemas.openxmlformats.org/drawingml/2006/picture">
                <pic:pic>
                  <pic:nvPicPr>
                    <pic:cNvPr id="50"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82">
            <wp:simplePos x="0" y="0"/>
            <wp:positionH relativeFrom="page">
              <wp:posOffset>2571965</wp:posOffset>
            </wp:positionH>
            <wp:positionV relativeFrom="paragraph">
              <wp:posOffset>1519468</wp:posOffset>
            </wp:positionV>
            <wp:extent cx="55304" cy="6381"/>
            <wp:effectExtent l="0" t="0" r="0" b="0"/>
            <wp:wrapTopAndBottom/>
            <wp:docPr id="51" name="image20.png"/>
            <wp:cNvGraphicFramePr>
              <a:graphicFrameLocks noChangeAspect="1"/>
            </wp:cNvGraphicFramePr>
            <a:graphic>
              <a:graphicData uri="http://schemas.openxmlformats.org/drawingml/2006/picture">
                <pic:pic>
                  <pic:nvPicPr>
                    <pic:cNvPr id="52" name="image20.png"/>
                    <pic:cNvPicPr/>
                  </pic:nvPicPr>
                  <pic:blipFill>
                    <a:blip r:embed="rId51" cstate="print"/>
                    <a:stretch>
                      <a:fillRect/>
                    </a:stretch>
                  </pic:blipFill>
                  <pic:spPr>
                    <a:xfrm>
                      <a:off x="0" y="0"/>
                      <a:ext cx="55304" cy="6381"/>
                    </a:xfrm>
                    <a:prstGeom prst="rect">
                      <a:avLst/>
                    </a:prstGeom>
                  </pic:spPr>
                </pic:pic>
              </a:graphicData>
            </a:graphic>
          </wp:anchor>
        </w:drawing>
      </w:r>
    </w:p>
    <w:p>
      <w:pPr>
        <w:pStyle w:val="BodyText"/>
        <w:spacing w:before="2"/>
        <w:rPr>
          <w:sz w:val="16"/>
        </w:rPr>
      </w:pPr>
    </w:p>
    <w:p>
      <w:pPr>
        <w:pStyle w:val="BodyText"/>
        <w:spacing w:before="2"/>
        <w:rPr>
          <w:sz w:val="16"/>
        </w:rPr>
      </w:pPr>
    </w:p>
    <w:p>
      <w:pPr>
        <w:pStyle w:val="BodyText"/>
        <w:spacing w:before="10"/>
        <w:rPr>
          <w:sz w:val="17"/>
        </w:rPr>
      </w:pPr>
    </w:p>
    <w:p>
      <w:pPr>
        <w:pStyle w:val="BodyText"/>
        <w:spacing w:before="5"/>
        <w:rPr>
          <w:sz w:val="14"/>
        </w:rPr>
      </w:pPr>
    </w:p>
    <w:p>
      <w:pPr>
        <w:pStyle w:val="BodyText"/>
        <w:spacing w:before="2"/>
        <w:rPr>
          <w:sz w:val="16"/>
        </w:rPr>
      </w:pPr>
    </w:p>
    <w:p>
      <w:pPr>
        <w:pStyle w:val="BodyText"/>
        <w:spacing w:before="2"/>
        <w:rPr>
          <w:sz w:val="16"/>
        </w:rPr>
      </w:pPr>
    </w:p>
    <w:p>
      <w:pPr>
        <w:pStyle w:val="BodyText"/>
        <w:spacing w:before="2"/>
        <w:rPr>
          <w:sz w:val="16"/>
        </w:rPr>
      </w:pPr>
    </w:p>
    <w:p>
      <w:pPr>
        <w:pStyle w:val="BodyText"/>
        <w:spacing w:before="2"/>
        <w:rPr>
          <w:sz w:val="16"/>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7"/>
        <w:ind w:left="37" w:right="0" w:firstLine="0"/>
        <w:jc w:val="left"/>
        <w:rPr>
          <w:sz w:val="12"/>
        </w:rPr>
      </w:pPr>
      <w:r>
        <w:rPr>
          <w:sz w:val="12"/>
        </w:rPr>
        <w:t>6.8</w:t>
      </w:r>
    </w:p>
    <w:p>
      <w:pPr>
        <w:pStyle w:val="BodyText"/>
        <w:spacing w:before="1"/>
        <w:rPr>
          <w:sz w:val="11"/>
        </w:rPr>
      </w:pPr>
    </w:p>
    <w:p>
      <w:pPr>
        <w:spacing w:before="0"/>
        <w:ind w:left="37" w:right="0" w:firstLine="0"/>
        <w:jc w:val="left"/>
        <w:rPr>
          <w:sz w:val="12"/>
        </w:rPr>
      </w:pPr>
      <w:r>
        <w:rPr>
          <w:sz w:val="12"/>
        </w:rPr>
        <w:t>6.6</w:t>
      </w:r>
    </w:p>
    <w:p>
      <w:pPr>
        <w:pStyle w:val="BodyText"/>
        <w:spacing w:before="11"/>
        <w:rPr>
          <w:sz w:val="9"/>
        </w:rPr>
      </w:pPr>
    </w:p>
    <w:p>
      <w:pPr>
        <w:spacing w:before="0"/>
        <w:ind w:left="37" w:right="0" w:firstLine="0"/>
        <w:jc w:val="left"/>
        <w:rPr>
          <w:sz w:val="12"/>
        </w:rPr>
      </w:pPr>
      <w:r>
        <w:rPr>
          <w:sz w:val="12"/>
        </w:rPr>
        <w:t>6.4</w:t>
      </w:r>
    </w:p>
    <w:p>
      <w:pPr>
        <w:pStyle w:val="BodyText"/>
        <w:rPr>
          <w:sz w:val="11"/>
        </w:rPr>
      </w:pPr>
    </w:p>
    <w:p>
      <w:pPr>
        <w:spacing w:before="0"/>
        <w:ind w:left="37" w:right="0" w:firstLine="0"/>
        <w:jc w:val="left"/>
        <w:rPr>
          <w:sz w:val="12"/>
        </w:rPr>
      </w:pPr>
      <w:r>
        <w:rPr>
          <w:sz w:val="12"/>
        </w:rPr>
        <w:t>6.2</w:t>
      </w:r>
    </w:p>
    <w:p>
      <w:pPr>
        <w:pStyle w:val="BodyText"/>
        <w:spacing w:before="3"/>
        <w:rPr>
          <w:sz w:val="11"/>
        </w:rPr>
      </w:pPr>
    </w:p>
    <w:p>
      <w:pPr>
        <w:spacing w:before="0"/>
        <w:ind w:left="37" w:right="0" w:firstLine="0"/>
        <w:jc w:val="left"/>
        <w:rPr>
          <w:sz w:val="12"/>
        </w:rPr>
      </w:pPr>
      <w:r>
        <w:rPr>
          <w:sz w:val="12"/>
        </w:rPr>
        <w:t>6.0</w:t>
      </w:r>
    </w:p>
    <w:p>
      <w:pPr>
        <w:pStyle w:val="BodyText"/>
        <w:spacing w:before="1"/>
        <w:rPr>
          <w:sz w:val="11"/>
        </w:rPr>
      </w:pPr>
    </w:p>
    <w:p>
      <w:pPr>
        <w:spacing w:before="0"/>
        <w:ind w:left="37" w:right="0" w:firstLine="0"/>
        <w:jc w:val="left"/>
        <w:rPr>
          <w:sz w:val="12"/>
        </w:rPr>
      </w:pPr>
      <w:r>
        <w:rPr>
          <w:sz w:val="12"/>
        </w:rPr>
        <w:t>5.8</w:t>
      </w:r>
    </w:p>
    <w:p>
      <w:pPr>
        <w:pStyle w:val="BodyText"/>
        <w:spacing w:before="11"/>
        <w:rPr>
          <w:sz w:val="9"/>
        </w:rPr>
      </w:pPr>
    </w:p>
    <w:p>
      <w:pPr>
        <w:spacing w:before="0"/>
        <w:ind w:left="37" w:right="0" w:firstLine="0"/>
        <w:jc w:val="left"/>
        <w:rPr>
          <w:sz w:val="12"/>
        </w:rPr>
      </w:pPr>
      <w:r>
        <w:rPr>
          <w:sz w:val="12"/>
        </w:rPr>
        <w:t>5.6</w:t>
      </w:r>
    </w:p>
    <w:p>
      <w:pPr>
        <w:pStyle w:val="BodyText"/>
        <w:rPr>
          <w:sz w:val="11"/>
        </w:rPr>
      </w:pPr>
    </w:p>
    <w:p>
      <w:pPr>
        <w:spacing w:before="0"/>
        <w:ind w:left="37" w:right="0" w:firstLine="0"/>
        <w:jc w:val="left"/>
        <w:rPr>
          <w:sz w:val="12"/>
        </w:rPr>
      </w:pPr>
      <w:r>
        <w:rPr>
          <w:sz w:val="12"/>
        </w:rPr>
        <w:t>5.4</w:t>
      </w:r>
    </w:p>
    <w:p>
      <w:pPr>
        <w:pStyle w:val="BodyText"/>
        <w:spacing w:before="1"/>
        <w:rPr>
          <w:sz w:val="11"/>
        </w:rPr>
      </w:pPr>
    </w:p>
    <w:p>
      <w:pPr>
        <w:spacing w:before="0"/>
        <w:ind w:left="37" w:right="0" w:firstLine="0"/>
        <w:jc w:val="left"/>
        <w:rPr>
          <w:sz w:val="12"/>
        </w:rPr>
      </w:pPr>
      <w:r>
        <w:rPr>
          <w:sz w:val="12"/>
        </w:rPr>
        <w:t>5.2</w:t>
      </w:r>
    </w:p>
    <w:p>
      <w:pPr>
        <w:pStyle w:val="BodyText"/>
        <w:spacing w:before="3"/>
        <w:rPr>
          <w:sz w:val="11"/>
        </w:rPr>
      </w:pPr>
    </w:p>
    <w:p>
      <w:pPr>
        <w:spacing w:before="0"/>
        <w:ind w:left="37" w:right="0" w:firstLine="0"/>
        <w:jc w:val="left"/>
        <w:rPr>
          <w:sz w:val="12"/>
        </w:rPr>
      </w:pPr>
      <w:r>
        <w:rPr>
          <w:sz w:val="12"/>
        </w:rPr>
        <w:t>5.0</w:t>
      </w:r>
    </w:p>
    <w:p>
      <w:pPr>
        <w:pStyle w:val="BodyText"/>
        <w:spacing w:before="8"/>
        <w:rPr>
          <w:sz w:val="9"/>
        </w:rPr>
      </w:pPr>
    </w:p>
    <w:p>
      <w:pPr>
        <w:spacing w:before="0"/>
        <w:ind w:left="37" w:right="0" w:firstLine="0"/>
        <w:jc w:val="left"/>
        <w:rPr>
          <w:sz w:val="12"/>
        </w:rPr>
      </w:pPr>
      <w:r>
        <w:rPr>
          <w:sz w:val="12"/>
        </w:rPr>
        <w:t>4.8</w:t>
      </w:r>
    </w:p>
    <w:p>
      <w:pPr>
        <w:pStyle w:val="BodyText"/>
        <w:spacing w:before="3"/>
        <w:rPr>
          <w:sz w:val="11"/>
        </w:rPr>
      </w:pPr>
    </w:p>
    <w:p>
      <w:pPr>
        <w:spacing w:before="0"/>
        <w:ind w:left="37" w:right="0" w:firstLine="0"/>
        <w:jc w:val="left"/>
        <w:rPr>
          <w:sz w:val="12"/>
        </w:rPr>
      </w:pPr>
      <w:r>
        <w:rPr>
          <w:sz w:val="12"/>
        </w:rPr>
        <w:t>4.6</w:t>
      </w:r>
    </w:p>
    <w:p>
      <w:pPr>
        <w:spacing w:before="40"/>
        <w:ind w:left="37" w:right="0" w:firstLine="0"/>
        <w:jc w:val="left"/>
        <w:rPr>
          <w:sz w:val="12"/>
        </w:rPr>
      </w:pPr>
      <w:r>
        <w:rPr>
          <w:sz w:val="12"/>
        </w:rPr>
        <w:t>0.0</w:t>
      </w:r>
    </w:p>
    <w:p>
      <w:pPr>
        <w:pStyle w:val="Heading6"/>
        <w:spacing w:line="242" w:lineRule="auto" w:before="227"/>
        <w:ind w:left="165" w:right="153"/>
        <w:rPr>
          <w:sz w:val="16"/>
        </w:rPr>
      </w:pPr>
      <w:r>
        <w:rPr/>
        <w:br w:type="column"/>
      </w:r>
      <w:r>
        <w:rPr/>
        <w:t>next year, with an implied peak in official rates of between 6</w:t>
      </w:r>
      <w:r>
        <w:rPr>
          <w:position w:val="8"/>
          <w:sz w:val="12"/>
        </w:rPr>
        <w:t>1</w:t>
      </w:r>
      <w:r>
        <w:rPr/>
        <w:t>/</w:t>
      </w:r>
      <w:r>
        <w:rPr>
          <w:sz w:val="12"/>
        </w:rPr>
        <w:t>4</w:t>
      </w:r>
      <w:r>
        <w:rPr/>
        <w:t>% and 6</w:t>
      </w:r>
      <w:r>
        <w:rPr>
          <w:position w:val="8"/>
          <w:sz w:val="12"/>
        </w:rPr>
        <w:t>1</w:t>
      </w:r>
      <w:r>
        <w:rPr/>
        <w:t>/</w:t>
      </w:r>
      <w:r>
        <w:rPr>
          <w:sz w:val="12"/>
        </w:rPr>
        <w:t>2</w:t>
      </w:r>
      <w:r>
        <w:rPr/>
        <w:t>%.</w:t>
      </w:r>
      <w:r>
        <w:rPr>
          <w:position w:val="5"/>
          <w:sz w:val="16"/>
        </w:rPr>
        <w:t>(1)</w:t>
      </w:r>
    </w:p>
    <w:p>
      <w:pPr>
        <w:pStyle w:val="BodyText"/>
        <w:spacing w:before="6"/>
        <w:rPr>
          <w:sz w:val="24"/>
        </w:rPr>
      </w:pPr>
    </w:p>
    <w:p>
      <w:pPr>
        <w:spacing w:line="242" w:lineRule="auto" w:before="1"/>
        <w:ind w:left="165" w:right="153" w:firstLine="0"/>
        <w:jc w:val="left"/>
        <w:rPr>
          <w:sz w:val="24"/>
        </w:rPr>
      </w:pPr>
      <w:r>
        <w:rPr>
          <w:sz w:val="24"/>
        </w:rPr>
        <w:t>The impact on the economy of changes to market interest rates will partly depend on whether they reflect changes in expected real interest rates, inflation expectations and/or inflation risk premia. Estimates of real interest rates can be derived directly from the prices of</w:t>
      </w:r>
    </w:p>
    <w:p>
      <w:pPr>
        <w:spacing w:line="242" w:lineRule="auto" w:before="6"/>
        <w:ind w:left="165" w:right="206" w:firstLine="0"/>
        <w:jc w:val="left"/>
        <w:rPr>
          <w:sz w:val="24"/>
        </w:rPr>
      </w:pPr>
      <w:r>
        <w:rPr>
          <w:sz w:val="24"/>
        </w:rPr>
        <w:t>index-linked gilts. An alternative approach is to compare market nominal interest rates with survey evidence on inflation expectations. Chart 1.13 compares two-year real interest rates </w:t>
      </w:r>
      <w:r>
        <w:rPr>
          <w:spacing w:val="-3"/>
          <w:sz w:val="24"/>
        </w:rPr>
        <w:t>derived </w:t>
      </w:r>
      <w:r>
        <w:rPr>
          <w:sz w:val="24"/>
        </w:rPr>
        <w:t>from index-linked gilt prices with measures estimated from market nominal interest rates and survey-based inflation expectations.</w:t>
      </w:r>
      <w:r>
        <w:rPr>
          <w:spacing w:val="36"/>
          <w:sz w:val="24"/>
        </w:rPr>
        <w:t> </w:t>
      </w:r>
      <w:r>
        <w:rPr>
          <w:sz w:val="24"/>
        </w:rPr>
        <w:t>Both</w:t>
      </w:r>
    </w:p>
    <w:p>
      <w:pPr>
        <w:spacing w:after="0" w:line="242" w:lineRule="auto"/>
        <w:jc w:val="left"/>
        <w:rPr>
          <w:sz w:val="24"/>
        </w:rPr>
        <w:sectPr>
          <w:type w:val="continuous"/>
          <w:pgSz w:w="11900" w:h="16840"/>
          <w:pgMar w:top="1220" w:bottom="280" w:left="640" w:right="620"/>
          <w:cols w:num="4" w:equalWidth="0">
            <w:col w:w="2883" w:space="88"/>
            <w:col w:w="556" w:space="40"/>
            <w:col w:w="228" w:space="989"/>
            <w:col w:w="5856"/>
          </w:cols>
        </w:sectPr>
      </w:pPr>
    </w:p>
    <w:p>
      <w:pPr>
        <w:spacing w:line="129" w:lineRule="exact" w:before="0"/>
        <w:ind w:left="384" w:right="0" w:firstLine="0"/>
        <w:jc w:val="left"/>
        <w:rPr>
          <w:sz w:val="12"/>
        </w:rPr>
      </w:pPr>
      <w:r>
        <w:rPr/>
        <w:drawing>
          <wp:anchor distT="0" distB="0" distL="0" distR="0" allowOverlap="1" layoutInCell="1" locked="0" behindDoc="0" simplePos="0" relativeHeight="15878144">
            <wp:simplePos x="0" y="0"/>
            <wp:positionH relativeFrom="page">
              <wp:posOffset>527265</wp:posOffset>
            </wp:positionH>
            <wp:positionV relativeFrom="paragraph">
              <wp:posOffset>-174332</wp:posOffset>
            </wp:positionV>
            <wp:extent cx="2121954" cy="102146"/>
            <wp:effectExtent l="0" t="0" r="0" b="0"/>
            <wp:wrapNone/>
            <wp:docPr id="53" name="image22.png"/>
            <wp:cNvGraphicFramePr>
              <a:graphicFrameLocks noChangeAspect="1"/>
            </wp:cNvGraphicFramePr>
            <a:graphic>
              <a:graphicData uri="http://schemas.openxmlformats.org/drawingml/2006/picture">
                <pic:pic>
                  <pic:nvPicPr>
                    <pic:cNvPr id="54" name="image22.png"/>
                    <pic:cNvPicPr/>
                  </pic:nvPicPr>
                  <pic:blipFill>
                    <a:blip r:embed="rId53" cstate="print"/>
                    <a:stretch>
                      <a:fillRect/>
                    </a:stretch>
                  </pic:blipFill>
                  <pic:spPr>
                    <a:xfrm>
                      <a:off x="0" y="0"/>
                      <a:ext cx="2121954" cy="102146"/>
                    </a:xfrm>
                    <a:prstGeom prst="rect">
                      <a:avLst/>
                    </a:prstGeom>
                  </pic:spPr>
                </pic:pic>
              </a:graphicData>
            </a:graphic>
          </wp:anchor>
        </w:drawing>
      </w:r>
      <w:r>
        <w:rPr>
          <w:sz w:val="12"/>
        </w:rPr>
        <w:t>1999</w:t>
      </w:r>
    </w:p>
    <w:p>
      <w:pPr>
        <w:tabs>
          <w:tab w:pos="1229" w:val="left" w:leader="none"/>
          <w:tab w:pos="2059" w:val="left" w:leader="none"/>
          <w:tab w:pos="2522" w:val="left" w:leader="none"/>
        </w:tabs>
        <w:spacing w:line="129" w:lineRule="exact" w:before="0"/>
        <w:ind w:left="322" w:right="0" w:firstLine="0"/>
        <w:jc w:val="left"/>
        <w:rPr>
          <w:sz w:val="12"/>
        </w:rPr>
      </w:pPr>
      <w:r>
        <w:rPr/>
        <w:br w:type="column"/>
      </w:r>
      <w:r>
        <w:rPr>
          <w:sz w:val="12"/>
        </w:rPr>
        <w:t>2000</w:t>
        <w:tab/>
        <w:t>01</w:t>
        <w:tab/>
        <w:t>02</w:t>
        <w:tab/>
        <w:t>03</w:t>
      </w:r>
    </w:p>
    <w:p>
      <w:pPr>
        <w:pStyle w:val="Heading6"/>
        <w:spacing w:line="203" w:lineRule="exact" w:before="8"/>
        <w:ind w:left="384"/>
      </w:pPr>
      <w:r>
        <w:rPr/>
        <w:br w:type="column"/>
      </w:r>
      <w:r>
        <w:rPr/>
        <w:t>measures suggest that most of the rise in two-year</w:t>
      </w:r>
    </w:p>
    <w:p>
      <w:pPr>
        <w:spacing w:after="0" w:line="203" w:lineRule="exact"/>
        <w:sectPr>
          <w:type w:val="continuous"/>
          <w:pgSz w:w="11900" w:h="16840"/>
          <w:pgMar w:top="1220" w:bottom="280" w:left="640" w:right="620"/>
          <w:cols w:num="3" w:equalWidth="0">
            <w:col w:w="625" w:space="40"/>
            <w:col w:w="2683" w:space="1217"/>
            <w:col w:w="6075"/>
          </w:cols>
        </w:sectPr>
      </w:pPr>
    </w:p>
    <w:p>
      <w:pPr>
        <w:spacing w:line="133" w:lineRule="exact" w:before="0"/>
        <w:ind w:left="160" w:right="0" w:firstLine="0"/>
        <w:jc w:val="left"/>
        <w:rPr>
          <w:sz w:val="12"/>
        </w:rPr>
      </w:pPr>
      <w:r>
        <w:rPr>
          <w:sz w:val="12"/>
        </w:rPr>
        <w:t>Source: Bank of England.</w:t>
      </w:r>
    </w:p>
    <w:p>
      <w:pPr>
        <w:pStyle w:val="BodyText"/>
        <w:rPr>
          <w:sz w:val="12"/>
        </w:rPr>
      </w:pPr>
    </w:p>
    <w:p>
      <w:pPr>
        <w:pStyle w:val="BodyText"/>
        <w:rPr>
          <w:sz w:val="12"/>
        </w:rPr>
      </w:pPr>
    </w:p>
    <w:p>
      <w:pPr>
        <w:spacing w:before="77"/>
        <w:ind w:left="171" w:right="0" w:firstLine="0"/>
        <w:jc w:val="left"/>
        <w:rPr>
          <w:b/>
          <w:sz w:val="20"/>
        </w:rPr>
      </w:pPr>
      <w:r>
        <w:rPr>
          <w:b/>
          <w:color w:val="0092C7"/>
          <w:sz w:val="20"/>
        </w:rPr>
        <w:t>Chart 1.13</w:t>
      </w:r>
    </w:p>
    <w:p>
      <w:pPr>
        <w:spacing w:line="249" w:lineRule="auto" w:before="10"/>
        <w:ind w:left="171" w:right="20" w:firstLine="0"/>
        <w:jc w:val="left"/>
        <w:rPr>
          <w:b/>
          <w:sz w:val="20"/>
        </w:rPr>
      </w:pPr>
      <w:r>
        <w:rPr>
          <w:b/>
          <w:color w:val="0092C7"/>
          <w:sz w:val="20"/>
        </w:rPr>
        <w:t>Market and survey-based two-year spot real interest rates</w:t>
      </w:r>
    </w:p>
    <w:p>
      <w:pPr>
        <w:spacing w:line="242" w:lineRule="auto" w:before="77"/>
        <w:ind w:left="160" w:right="485" w:firstLine="0"/>
        <w:jc w:val="left"/>
        <w:rPr>
          <w:sz w:val="24"/>
        </w:rPr>
      </w:pPr>
      <w:r>
        <w:rPr/>
        <w:br w:type="column"/>
      </w:r>
      <w:r>
        <w:rPr>
          <w:sz w:val="24"/>
        </w:rPr>
        <w:t>nominal interest rates since last autumn has reflected increases in real interest rates, rather than a pick-up in inflation expectations over this period.</w:t>
      </w:r>
    </w:p>
    <w:p>
      <w:pPr>
        <w:spacing w:after="0" w:line="242" w:lineRule="auto"/>
        <w:jc w:val="left"/>
        <w:rPr>
          <w:sz w:val="24"/>
        </w:rPr>
        <w:sectPr>
          <w:type w:val="continuous"/>
          <w:pgSz w:w="11900" w:h="16840"/>
          <w:pgMar w:top="1220" w:bottom="280" w:left="640" w:right="620"/>
          <w:cols w:num="2" w:equalWidth="0">
            <w:col w:w="3611" w:space="1179"/>
            <w:col w:w="5850"/>
          </w:cols>
        </w:sectPr>
      </w:pPr>
    </w:p>
    <w:p>
      <w:pPr>
        <w:spacing w:before="38"/>
        <w:ind w:left="0" w:right="0" w:firstLine="0"/>
        <w:jc w:val="right"/>
        <w:rPr>
          <w:sz w:val="12"/>
        </w:rPr>
      </w:pPr>
      <w:r>
        <w:rPr/>
        <w:pict>
          <v:group style="position:absolute;margin-left:54.805199pt;margin-top:30.793341pt;width:142.25pt;height:114.65pt;mso-position-horizontal-relative:page;mso-position-vertical-relative:paragraph;z-index:15880192" coordorigin="1096,616" coordsize="2845,2293">
            <v:shape style="position:absolute;left:1098;top:615;width:2843;height:2293" type="#_x0000_t75" stroked="false">
              <v:imagedata r:id="rId54" o:title=""/>
            </v:shape>
            <v:shape style="position:absolute;left:1905;top:768;width:457;height:133" type="#_x0000_t202" filled="false" stroked="false">
              <v:textbox inset="0,0,0,0">
                <w:txbxContent>
                  <w:p>
                    <w:pPr>
                      <w:spacing w:line="133" w:lineRule="exact" w:before="0"/>
                      <w:ind w:left="0" w:right="0" w:firstLine="0"/>
                      <w:jc w:val="left"/>
                      <w:rPr>
                        <w:sz w:val="12"/>
                      </w:rPr>
                    </w:pPr>
                    <w:r>
                      <w:rPr>
                        <w:sz w:val="12"/>
                      </w:rPr>
                      <w:t>Basix (a)</w:t>
                    </w:r>
                  </w:p>
                </w:txbxContent>
              </v:textbox>
              <w10:wrap type="none"/>
            </v:shape>
            <v:shape style="position:absolute;left:2691;top:1013;width:720;height:251" type="#_x0000_t202" filled="false" stroked="false">
              <v:textbox inset="0,0,0,0">
                <w:txbxContent>
                  <w:p>
                    <w:pPr>
                      <w:spacing w:line="204" w:lineRule="auto" w:before="12"/>
                      <w:ind w:left="110" w:right="0" w:hanging="110"/>
                      <w:jc w:val="left"/>
                      <w:rPr>
                        <w:sz w:val="12"/>
                      </w:rPr>
                    </w:pPr>
                    <w:r>
                      <w:rPr>
                        <w:sz w:val="12"/>
                      </w:rPr>
                      <w:t>Consensus forecasts (a)</w:t>
                    </w:r>
                  </w:p>
                </w:txbxContent>
              </v:textbox>
              <w10:wrap type="none"/>
            </v:shape>
            <v:shape style="position:absolute;left:1096;top:2221;width:1147;height:284" type="#_x0000_t202" filled="false" stroked="false">
              <v:textbox inset="0,0,0,0">
                <w:txbxContent>
                  <w:p>
                    <w:pPr>
                      <w:spacing w:line="133" w:lineRule="exact" w:before="0"/>
                      <w:ind w:left="0" w:right="0" w:firstLine="0"/>
                      <w:jc w:val="left"/>
                      <w:rPr>
                        <w:sz w:val="12"/>
                      </w:rPr>
                    </w:pPr>
                    <w:r>
                      <w:rPr>
                        <w:sz w:val="12"/>
                      </w:rPr>
                      <w:t>Implied market</w:t>
                    </w:r>
                  </w:p>
                  <w:p>
                    <w:pPr>
                      <w:spacing w:before="12"/>
                      <w:ind w:left="50" w:right="0" w:firstLine="0"/>
                      <w:jc w:val="left"/>
                      <w:rPr>
                        <w:sz w:val="12"/>
                      </w:rPr>
                    </w:pPr>
                    <w:r>
                      <w:rPr>
                        <w:sz w:val="12"/>
                      </w:rPr>
                      <w:t>two-year real spot rate</w:t>
                    </w:r>
                  </w:p>
                </w:txbxContent>
              </v:textbox>
              <w10:wrap type="none"/>
            </v:shape>
            <w10:wrap type="none"/>
          </v:group>
        </w:pict>
      </w:r>
      <w:r>
        <w:rPr/>
        <w:drawing>
          <wp:anchor distT="0" distB="0" distL="0" distR="0" allowOverlap="1" layoutInCell="1" locked="0" behindDoc="0" simplePos="0" relativeHeight="15880704">
            <wp:simplePos x="0" y="0"/>
            <wp:positionH relativeFrom="page">
              <wp:posOffset>538861</wp:posOffset>
            </wp:positionH>
            <wp:positionV relativeFrom="paragraph">
              <wp:posOffset>465865</wp:posOffset>
            </wp:positionV>
            <wp:extent cx="55304" cy="6381"/>
            <wp:effectExtent l="0" t="0" r="0" b="0"/>
            <wp:wrapNone/>
            <wp:docPr id="55" name="image20.png"/>
            <wp:cNvGraphicFramePr>
              <a:graphicFrameLocks noChangeAspect="1"/>
            </wp:cNvGraphicFramePr>
            <a:graphic>
              <a:graphicData uri="http://schemas.openxmlformats.org/drawingml/2006/picture">
                <pic:pic>
                  <pic:nvPicPr>
                    <pic:cNvPr id="56"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1216">
            <wp:simplePos x="0" y="0"/>
            <wp:positionH relativeFrom="page">
              <wp:posOffset>538861</wp:posOffset>
            </wp:positionH>
            <wp:positionV relativeFrom="paragraph">
              <wp:posOffset>769992</wp:posOffset>
            </wp:positionV>
            <wp:extent cx="55304" cy="6381"/>
            <wp:effectExtent l="0" t="0" r="0" b="0"/>
            <wp:wrapNone/>
            <wp:docPr id="57" name="image20.png"/>
            <wp:cNvGraphicFramePr>
              <a:graphicFrameLocks noChangeAspect="1"/>
            </wp:cNvGraphicFramePr>
            <a:graphic>
              <a:graphicData uri="http://schemas.openxmlformats.org/drawingml/2006/picture">
                <pic:pic>
                  <pic:nvPicPr>
                    <pic:cNvPr id="58"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1728">
            <wp:simplePos x="0" y="0"/>
            <wp:positionH relativeFrom="page">
              <wp:posOffset>538861</wp:posOffset>
            </wp:positionH>
            <wp:positionV relativeFrom="paragraph">
              <wp:posOffset>1074119</wp:posOffset>
            </wp:positionV>
            <wp:extent cx="54478" cy="6286"/>
            <wp:effectExtent l="0" t="0" r="0" b="0"/>
            <wp:wrapNone/>
            <wp:docPr id="59" name="image21.png"/>
            <wp:cNvGraphicFramePr>
              <a:graphicFrameLocks noChangeAspect="1"/>
            </wp:cNvGraphicFramePr>
            <a:graphic>
              <a:graphicData uri="http://schemas.openxmlformats.org/drawingml/2006/picture">
                <pic:pic>
                  <pic:nvPicPr>
                    <pic:cNvPr id="60" name="image21.png"/>
                    <pic:cNvPicPr/>
                  </pic:nvPicPr>
                  <pic:blipFill>
                    <a:blip r:embed="rId52"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84800">
            <wp:simplePos x="0" y="0"/>
            <wp:positionH relativeFrom="page">
              <wp:posOffset>538861</wp:posOffset>
            </wp:positionH>
            <wp:positionV relativeFrom="paragraph">
              <wp:posOffset>617922</wp:posOffset>
            </wp:positionV>
            <wp:extent cx="55304" cy="6381"/>
            <wp:effectExtent l="0" t="0" r="0" b="0"/>
            <wp:wrapNone/>
            <wp:docPr id="61" name="image20.png"/>
            <wp:cNvGraphicFramePr>
              <a:graphicFrameLocks noChangeAspect="1"/>
            </wp:cNvGraphicFramePr>
            <a:graphic>
              <a:graphicData uri="http://schemas.openxmlformats.org/drawingml/2006/picture">
                <pic:pic>
                  <pic:nvPicPr>
                    <pic:cNvPr id="62"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5312">
            <wp:simplePos x="0" y="0"/>
            <wp:positionH relativeFrom="page">
              <wp:posOffset>538861</wp:posOffset>
            </wp:positionH>
            <wp:positionV relativeFrom="paragraph">
              <wp:posOffset>922062</wp:posOffset>
            </wp:positionV>
            <wp:extent cx="54478" cy="6286"/>
            <wp:effectExtent l="0" t="0" r="0" b="0"/>
            <wp:wrapNone/>
            <wp:docPr id="63" name="image21.png"/>
            <wp:cNvGraphicFramePr>
              <a:graphicFrameLocks noChangeAspect="1"/>
            </wp:cNvGraphicFramePr>
            <a:graphic>
              <a:graphicData uri="http://schemas.openxmlformats.org/drawingml/2006/picture">
                <pic:pic>
                  <pic:nvPicPr>
                    <pic:cNvPr id="64" name="image21.png"/>
                    <pic:cNvPicPr/>
                  </pic:nvPicPr>
                  <pic:blipFill>
                    <a:blip r:embed="rId52"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86336">
            <wp:simplePos x="0" y="0"/>
            <wp:positionH relativeFrom="page">
              <wp:posOffset>2597848</wp:posOffset>
            </wp:positionH>
            <wp:positionV relativeFrom="paragraph">
              <wp:posOffset>460150</wp:posOffset>
            </wp:positionV>
            <wp:extent cx="55304" cy="6381"/>
            <wp:effectExtent l="0" t="0" r="0" b="0"/>
            <wp:wrapNone/>
            <wp:docPr id="65" name="image20.png"/>
            <wp:cNvGraphicFramePr>
              <a:graphicFrameLocks noChangeAspect="1"/>
            </wp:cNvGraphicFramePr>
            <a:graphic>
              <a:graphicData uri="http://schemas.openxmlformats.org/drawingml/2006/picture">
                <pic:pic>
                  <pic:nvPicPr>
                    <pic:cNvPr id="66"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6848">
            <wp:simplePos x="0" y="0"/>
            <wp:positionH relativeFrom="page">
              <wp:posOffset>2597848</wp:posOffset>
            </wp:positionH>
            <wp:positionV relativeFrom="paragraph">
              <wp:posOffset>764277</wp:posOffset>
            </wp:positionV>
            <wp:extent cx="54478" cy="6286"/>
            <wp:effectExtent l="0" t="0" r="0" b="0"/>
            <wp:wrapNone/>
            <wp:docPr id="67" name="image21.png"/>
            <wp:cNvGraphicFramePr>
              <a:graphicFrameLocks noChangeAspect="1"/>
            </wp:cNvGraphicFramePr>
            <a:graphic>
              <a:graphicData uri="http://schemas.openxmlformats.org/drawingml/2006/picture">
                <pic:pic>
                  <pic:nvPicPr>
                    <pic:cNvPr id="68" name="image21.png"/>
                    <pic:cNvPicPr/>
                  </pic:nvPicPr>
                  <pic:blipFill>
                    <a:blip r:embed="rId52"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90432">
            <wp:simplePos x="0" y="0"/>
            <wp:positionH relativeFrom="page">
              <wp:posOffset>2597848</wp:posOffset>
            </wp:positionH>
            <wp:positionV relativeFrom="paragraph">
              <wp:posOffset>612207</wp:posOffset>
            </wp:positionV>
            <wp:extent cx="54478" cy="6286"/>
            <wp:effectExtent l="0" t="0" r="0" b="0"/>
            <wp:wrapNone/>
            <wp:docPr id="69" name="image21.png"/>
            <wp:cNvGraphicFramePr>
              <a:graphicFrameLocks noChangeAspect="1"/>
            </wp:cNvGraphicFramePr>
            <a:graphic>
              <a:graphicData uri="http://schemas.openxmlformats.org/drawingml/2006/picture">
                <pic:pic>
                  <pic:nvPicPr>
                    <pic:cNvPr id="70" name="image21.png"/>
                    <pic:cNvPicPr/>
                  </pic:nvPicPr>
                  <pic:blipFill>
                    <a:blip r:embed="rId52"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90944">
            <wp:simplePos x="0" y="0"/>
            <wp:positionH relativeFrom="page">
              <wp:posOffset>2597848</wp:posOffset>
            </wp:positionH>
            <wp:positionV relativeFrom="paragraph">
              <wp:posOffset>916347</wp:posOffset>
            </wp:positionV>
            <wp:extent cx="54478" cy="6286"/>
            <wp:effectExtent l="0" t="0" r="0" b="0"/>
            <wp:wrapNone/>
            <wp:docPr id="71" name="image21.png"/>
            <wp:cNvGraphicFramePr>
              <a:graphicFrameLocks noChangeAspect="1"/>
            </wp:cNvGraphicFramePr>
            <a:graphic>
              <a:graphicData uri="http://schemas.openxmlformats.org/drawingml/2006/picture">
                <pic:pic>
                  <pic:nvPicPr>
                    <pic:cNvPr id="72" name="image21.png"/>
                    <pic:cNvPicPr/>
                  </pic:nvPicPr>
                  <pic:blipFill>
                    <a:blip r:embed="rId52" cstate="print"/>
                    <a:stretch>
                      <a:fillRect/>
                    </a:stretch>
                  </pic:blipFill>
                  <pic:spPr>
                    <a:xfrm>
                      <a:off x="0" y="0"/>
                      <a:ext cx="54478" cy="6286"/>
                    </a:xfrm>
                    <a:prstGeom prst="rect">
                      <a:avLst/>
                    </a:prstGeom>
                  </pic:spPr>
                </pic:pic>
              </a:graphicData>
            </a:graphic>
          </wp:anchor>
        </w:drawing>
      </w:r>
      <w:r>
        <w:rPr>
          <w:sz w:val="12"/>
        </w:rPr>
        <w:t>Per cent</w:t>
      </w:r>
    </w:p>
    <w:p>
      <w:pPr>
        <w:pStyle w:val="BodyText"/>
        <w:spacing w:before="4"/>
        <w:rPr>
          <w:sz w:val="4"/>
        </w:rPr>
      </w:pPr>
    </w:p>
    <w:p>
      <w:pPr>
        <w:tabs>
          <w:tab w:pos="3451" w:val="left" w:leader="none"/>
        </w:tabs>
        <w:spacing w:line="20" w:lineRule="exact"/>
        <w:ind w:left="208" w:right="-29" w:firstLine="0"/>
        <w:rPr>
          <w:sz w:val="2"/>
        </w:rPr>
      </w:pPr>
      <w:r>
        <w:rPr>
          <w:sz w:val="2"/>
        </w:rPr>
        <w:drawing>
          <wp:inline distT="0" distB="0" distL="0" distR="0">
            <wp:extent cx="54478" cy="6286"/>
            <wp:effectExtent l="0" t="0" r="0" b="0"/>
            <wp:docPr id="73" name="image21.png"/>
            <wp:cNvGraphicFramePr>
              <a:graphicFrameLocks noChangeAspect="1"/>
            </wp:cNvGraphicFramePr>
            <a:graphic>
              <a:graphicData uri="http://schemas.openxmlformats.org/drawingml/2006/picture">
                <pic:pic>
                  <pic:nvPicPr>
                    <pic:cNvPr id="74" name="image21.png"/>
                    <pic:cNvPicPr/>
                  </pic:nvPicPr>
                  <pic:blipFill>
                    <a:blip r:embed="rId52" cstate="print"/>
                    <a:stretch>
                      <a:fillRect/>
                    </a:stretch>
                  </pic:blipFill>
                  <pic:spPr>
                    <a:xfrm>
                      <a:off x="0" y="0"/>
                      <a:ext cx="54478" cy="6286"/>
                    </a:xfrm>
                    <a:prstGeom prst="rect">
                      <a:avLst/>
                    </a:prstGeom>
                  </pic:spPr>
                </pic:pic>
              </a:graphicData>
            </a:graphic>
          </wp:inline>
        </w:drawing>
      </w:r>
      <w:r>
        <w:rPr>
          <w:sz w:val="2"/>
        </w:rPr>
      </w:r>
      <w:r>
        <w:rPr>
          <w:sz w:val="2"/>
        </w:rPr>
        <w:tab/>
      </w:r>
      <w:r>
        <w:rPr>
          <w:position w:val="1"/>
          <w:sz w:val="2"/>
        </w:rPr>
        <w:drawing>
          <wp:inline distT="0" distB="0" distL="0" distR="0">
            <wp:extent cx="55304" cy="6381"/>
            <wp:effectExtent l="0" t="0" r="0" b="0"/>
            <wp:docPr id="75" name="image20.png"/>
            <wp:cNvGraphicFramePr>
              <a:graphicFrameLocks noChangeAspect="1"/>
            </wp:cNvGraphicFramePr>
            <a:graphic>
              <a:graphicData uri="http://schemas.openxmlformats.org/drawingml/2006/picture">
                <pic:pic>
                  <pic:nvPicPr>
                    <pic:cNvPr id="76" name="image20.png"/>
                    <pic:cNvPicPr/>
                  </pic:nvPicPr>
                  <pic:blipFill>
                    <a:blip r:embed="rId51" cstate="print"/>
                    <a:stretch>
                      <a:fillRect/>
                    </a:stretch>
                  </pic:blipFill>
                  <pic:spPr>
                    <a:xfrm>
                      <a:off x="0" y="0"/>
                      <a:ext cx="55304" cy="6381"/>
                    </a:xfrm>
                    <a:prstGeom prst="rect">
                      <a:avLst/>
                    </a:prstGeom>
                  </pic:spPr>
                </pic:pic>
              </a:graphicData>
            </a:graphic>
          </wp:inline>
        </w:drawing>
      </w:r>
      <w:r>
        <w:rPr>
          <w:position w:val="1"/>
          <w:sz w:val="2"/>
        </w:rPr>
      </w:r>
    </w:p>
    <w:p>
      <w:pPr>
        <w:pStyle w:val="BodyText"/>
        <w:spacing w:before="5"/>
        <w:rPr>
          <w:sz w:val="17"/>
        </w:rPr>
      </w:pPr>
      <w:r>
        <w:rPr/>
        <w:drawing>
          <wp:anchor distT="0" distB="0" distL="0" distR="0" allowOverlap="1" layoutInCell="1" locked="0" behindDoc="0" simplePos="0" relativeHeight="283">
            <wp:simplePos x="0" y="0"/>
            <wp:positionH relativeFrom="page">
              <wp:posOffset>538861</wp:posOffset>
            </wp:positionH>
            <wp:positionV relativeFrom="paragraph">
              <wp:posOffset>157951</wp:posOffset>
            </wp:positionV>
            <wp:extent cx="55304" cy="6381"/>
            <wp:effectExtent l="0" t="0" r="0" b="0"/>
            <wp:wrapTopAndBottom/>
            <wp:docPr id="77" name="image20.png"/>
            <wp:cNvGraphicFramePr>
              <a:graphicFrameLocks noChangeAspect="1"/>
            </wp:cNvGraphicFramePr>
            <a:graphic>
              <a:graphicData uri="http://schemas.openxmlformats.org/drawingml/2006/picture">
                <pic:pic>
                  <pic:nvPicPr>
                    <pic:cNvPr id="78"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284">
            <wp:simplePos x="0" y="0"/>
            <wp:positionH relativeFrom="page">
              <wp:posOffset>2597848</wp:posOffset>
            </wp:positionH>
            <wp:positionV relativeFrom="paragraph">
              <wp:posOffset>152236</wp:posOffset>
            </wp:positionV>
            <wp:extent cx="55304" cy="6381"/>
            <wp:effectExtent l="0" t="0" r="0" b="0"/>
            <wp:wrapTopAndBottom/>
            <wp:docPr id="79" name="image20.png"/>
            <wp:cNvGraphicFramePr>
              <a:graphicFrameLocks noChangeAspect="1"/>
            </wp:cNvGraphicFramePr>
            <a:graphic>
              <a:graphicData uri="http://schemas.openxmlformats.org/drawingml/2006/picture">
                <pic:pic>
                  <pic:nvPicPr>
                    <pic:cNvPr id="80" name="image20.png"/>
                    <pic:cNvPicPr/>
                  </pic:nvPicPr>
                  <pic:blipFill>
                    <a:blip r:embed="rId51" cstate="print"/>
                    <a:stretch>
                      <a:fillRect/>
                    </a:stretch>
                  </pic:blipFill>
                  <pic:spPr>
                    <a:xfrm>
                      <a:off x="0" y="0"/>
                      <a:ext cx="55304" cy="6381"/>
                    </a:xfrm>
                    <a:prstGeom prst="rect">
                      <a:avLst/>
                    </a:prstGeom>
                  </pic:spPr>
                </pic:pic>
              </a:graphicData>
            </a:graphic>
          </wp:anchor>
        </w:drawing>
      </w:r>
    </w:p>
    <w:p>
      <w:pPr>
        <w:pStyle w:val="BodyText"/>
        <w:spacing w:before="11"/>
        <w:rPr>
          <w:sz w:val="12"/>
        </w:rPr>
      </w:pPr>
      <w:r>
        <w:rPr/>
        <w:br w:type="column"/>
      </w:r>
      <w:r>
        <w:rPr>
          <w:sz w:val="12"/>
        </w:rPr>
      </w:r>
    </w:p>
    <w:p>
      <w:pPr>
        <w:spacing w:before="0"/>
        <w:ind w:left="91" w:right="0" w:firstLine="0"/>
        <w:jc w:val="left"/>
        <w:rPr>
          <w:sz w:val="12"/>
        </w:rPr>
      </w:pPr>
      <w:r>
        <w:rPr>
          <w:sz w:val="12"/>
        </w:rPr>
        <w:t>4.6</w:t>
      </w:r>
    </w:p>
    <w:p>
      <w:pPr>
        <w:spacing w:before="100"/>
        <w:ind w:left="91" w:right="0" w:firstLine="0"/>
        <w:jc w:val="left"/>
        <w:rPr>
          <w:sz w:val="12"/>
        </w:rPr>
      </w:pPr>
      <w:r>
        <w:rPr>
          <w:sz w:val="12"/>
        </w:rPr>
        <w:t>4.4</w:t>
      </w:r>
    </w:p>
    <w:p>
      <w:pPr>
        <w:pStyle w:val="BodyText"/>
        <w:spacing w:before="8"/>
        <w:rPr>
          <w:sz w:val="9"/>
        </w:rPr>
      </w:pPr>
    </w:p>
    <w:p>
      <w:pPr>
        <w:spacing w:before="0"/>
        <w:ind w:left="91" w:right="0" w:firstLine="0"/>
        <w:jc w:val="left"/>
        <w:rPr>
          <w:sz w:val="12"/>
        </w:rPr>
      </w:pPr>
      <w:r>
        <w:rPr>
          <w:sz w:val="12"/>
        </w:rPr>
        <w:t>4.2</w:t>
      </w:r>
    </w:p>
    <w:p>
      <w:pPr>
        <w:spacing w:before="100"/>
        <w:ind w:left="91" w:right="0" w:firstLine="0"/>
        <w:jc w:val="left"/>
        <w:rPr>
          <w:sz w:val="12"/>
        </w:rPr>
      </w:pPr>
      <w:r>
        <w:rPr>
          <w:sz w:val="12"/>
        </w:rPr>
        <w:t>4.0</w:t>
      </w:r>
    </w:p>
    <w:p>
      <w:pPr>
        <w:pStyle w:val="BodyText"/>
        <w:spacing w:before="8"/>
        <w:rPr>
          <w:sz w:val="9"/>
        </w:rPr>
      </w:pPr>
    </w:p>
    <w:p>
      <w:pPr>
        <w:spacing w:before="0"/>
        <w:ind w:left="91" w:right="0" w:firstLine="0"/>
        <w:jc w:val="left"/>
        <w:rPr>
          <w:sz w:val="12"/>
        </w:rPr>
      </w:pPr>
      <w:r>
        <w:rPr>
          <w:sz w:val="12"/>
        </w:rPr>
        <w:t>3.8</w:t>
      </w:r>
    </w:p>
    <w:p>
      <w:pPr>
        <w:spacing w:before="95"/>
        <w:ind w:left="91" w:right="0" w:firstLine="0"/>
        <w:jc w:val="left"/>
        <w:rPr>
          <w:sz w:val="12"/>
        </w:rPr>
      </w:pPr>
      <w:r>
        <w:rPr>
          <w:sz w:val="12"/>
        </w:rPr>
        <w:t>3.6</w:t>
      </w:r>
    </w:p>
    <w:p>
      <w:pPr>
        <w:spacing w:before="102"/>
        <w:ind w:left="91" w:right="0" w:firstLine="0"/>
        <w:jc w:val="left"/>
        <w:rPr>
          <w:sz w:val="12"/>
        </w:rPr>
      </w:pPr>
      <w:r>
        <w:rPr>
          <w:sz w:val="12"/>
        </w:rPr>
        <w:t>3.4</w:t>
      </w:r>
    </w:p>
    <w:p>
      <w:pPr>
        <w:pStyle w:val="BodyText"/>
        <w:spacing w:before="8"/>
        <w:rPr>
          <w:sz w:val="9"/>
        </w:rPr>
      </w:pPr>
    </w:p>
    <w:p>
      <w:pPr>
        <w:spacing w:before="0"/>
        <w:ind w:left="91" w:right="0" w:firstLine="0"/>
        <w:jc w:val="left"/>
        <w:rPr>
          <w:sz w:val="12"/>
        </w:rPr>
      </w:pPr>
      <w:r>
        <w:rPr>
          <w:sz w:val="12"/>
        </w:rPr>
        <w:t>3.2</w:t>
      </w:r>
    </w:p>
    <w:p>
      <w:pPr>
        <w:spacing w:before="100"/>
        <w:ind w:left="91" w:right="0" w:firstLine="0"/>
        <w:jc w:val="left"/>
        <w:rPr>
          <w:sz w:val="12"/>
        </w:rPr>
      </w:pPr>
      <w:r>
        <w:rPr>
          <w:sz w:val="12"/>
        </w:rPr>
        <w:t>3.0</w:t>
      </w:r>
    </w:p>
    <w:p>
      <w:pPr>
        <w:pStyle w:val="BodyText"/>
        <w:spacing w:before="6"/>
        <w:rPr>
          <w:sz w:val="9"/>
        </w:rPr>
      </w:pPr>
    </w:p>
    <w:p>
      <w:pPr>
        <w:spacing w:before="0"/>
        <w:ind w:left="91" w:right="0" w:firstLine="0"/>
        <w:jc w:val="left"/>
        <w:rPr>
          <w:sz w:val="12"/>
        </w:rPr>
      </w:pPr>
      <w:r>
        <w:rPr>
          <w:sz w:val="12"/>
        </w:rPr>
        <w:t>2.8</w:t>
      </w:r>
    </w:p>
    <w:p>
      <w:pPr>
        <w:spacing w:before="107"/>
        <w:ind w:left="91" w:right="0" w:firstLine="0"/>
        <w:jc w:val="left"/>
        <w:rPr>
          <w:sz w:val="12"/>
        </w:rPr>
      </w:pPr>
      <w:r>
        <w:rPr>
          <w:sz w:val="12"/>
        </w:rPr>
        <w:t>2.6</w:t>
      </w:r>
    </w:p>
    <w:p>
      <w:pPr>
        <w:pStyle w:val="BodyText"/>
        <w:spacing w:before="6"/>
        <w:rPr>
          <w:sz w:val="9"/>
        </w:rPr>
      </w:pPr>
    </w:p>
    <w:p>
      <w:pPr>
        <w:spacing w:before="0"/>
        <w:ind w:left="91" w:right="0" w:firstLine="0"/>
        <w:jc w:val="left"/>
        <w:rPr>
          <w:sz w:val="12"/>
        </w:rPr>
      </w:pPr>
      <w:r>
        <w:rPr>
          <w:sz w:val="12"/>
        </w:rPr>
        <w:t>2.4</w:t>
      </w:r>
    </w:p>
    <w:p>
      <w:pPr>
        <w:spacing w:before="97"/>
        <w:ind w:left="91" w:right="0" w:firstLine="0"/>
        <w:jc w:val="left"/>
        <w:rPr>
          <w:sz w:val="12"/>
        </w:rPr>
      </w:pPr>
      <w:r>
        <w:rPr>
          <w:sz w:val="12"/>
        </w:rPr>
        <w:t>2.2</w:t>
      </w:r>
    </w:p>
    <w:p>
      <w:pPr>
        <w:pStyle w:val="Heading7"/>
        <w:spacing w:line="269" w:lineRule="exact"/>
        <w:ind w:left="208"/>
        <w:rPr>
          <w:i/>
        </w:rPr>
      </w:pPr>
      <w:r>
        <w:rPr>
          <w:i w:val="0"/>
        </w:rPr>
        <w:br w:type="column"/>
      </w:r>
      <w:r>
        <w:rPr>
          <w:i/>
          <w:color w:val="009391"/>
        </w:rPr>
        <w:t>Long-term interest rates</w:t>
      </w:r>
    </w:p>
    <w:p>
      <w:pPr>
        <w:spacing w:line="242" w:lineRule="auto" w:before="164"/>
        <w:ind w:left="208" w:right="239" w:firstLine="0"/>
        <w:jc w:val="left"/>
        <w:rPr>
          <w:sz w:val="24"/>
        </w:rPr>
      </w:pPr>
      <w:r>
        <w:rPr/>
        <w:drawing>
          <wp:anchor distT="0" distB="0" distL="0" distR="0" allowOverlap="1" layoutInCell="1" locked="0" behindDoc="0" simplePos="0" relativeHeight="15887360">
            <wp:simplePos x="0" y="0"/>
            <wp:positionH relativeFrom="page">
              <wp:posOffset>2597848</wp:posOffset>
            </wp:positionH>
            <wp:positionV relativeFrom="paragraph">
              <wp:posOffset>898097</wp:posOffset>
            </wp:positionV>
            <wp:extent cx="54478" cy="6286"/>
            <wp:effectExtent l="0" t="0" r="0" b="0"/>
            <wp:wrapNone/>
            <wp:docPr id="81" name="image21.png"/>
            <wp:cNvGraphicFramePr>
              <a:graphicFrameLocks noChangeAspect="1"/>
            </wp:cNvGraphicFramePr>
            <a:graphic>
              <a:graphicData uri="http://schemas.openxmlformats.org/drawingml/2006/picture">
                <pic:pic>
                  <pic:nvPicPr>
                    <pic:cNvPr id="82" name="image21.png"/>
                    <pic:cNvPicPr/>
                  </pic:nvPicPr>
                  <pic:blipFill>
                    <a:blip r:embed="rId52" cstate="print"/>
                    <a:stretch>
                      <a:fillRect/>
                    </a:stretch>
                  </pic:blipFill>
                  <pic:spPr>
                    <a:xfrm>
                      <a:off x="0" y="0"/>
                      <a:ext cx="54478" cy="6286"/>
                    </a:xfrm>
                    <a:prstGeom prst="rect">
                      <a:avLst/>
                    </a:prstGeom>
                  </pic:spPr>
                </pic:pic>
              </a:graphicData>
            </a:graphic>
          </wp:anchor>
        </w:drawing>
      </w:r>
      <w:r>
        <w:rPr>
          <w:spacing w:val="-3"/>
          <w:sz w:val="24"/>
        </w:rPr>
        <w:t>Ten-year </w:t>
      </w:r>
      <w:r>
        <w:rPr>
          <w:sz w:val="24"/>
        </w:rPr>
        <w:t>nominal bond yields in the United Kingdom were 5.1% on 3 </w:t>
      </w:r>
      <w:r>
        <w:rPr>
          <w:spacing w:val="-5"/>
          <w:sz w:val="24"/>
        </w:rPr>
        <w:t>May, </w:t>
      </w:r>
      <w:r>
        <w:rPr>
          <w:sz w:val="24"/>
        </w:rPr>
        <w:t>about 40 basis points lower than in February (see </w:t>
      </w:r>
      <w:r>
        <w:rPr>
          <w:spacing w:val="-5"/>
          <w:sz w:val="24"/>
        </w:rPr>
        <w:t>Table </w:t>
      </w:r>
      <w:r>
        <w:rPr>
          <w:sz w:val="24"/>
        </w:rPr>
        <w:t>1.B). Part of this fall in spot rates reflects the reductions in UK short-term interest rate expectations discussed above. But part appears to be an international phenomenon, with government bond yields overseas also falling since the previous </w:t>
      </w:r>
      <w:r>
        <w:rPr>
          <w:i/>
          <w:sz w:val="24"/>
        </w:rPr>
        <w:t>Report </w:t>
      </w:r>
      <w:r>
        <w:rPr>
          <w:sz w:val="24"/>
        </w:rPr>
        <w:t>(see Chart 1.14).  </w:t>
      </w:r>
      <w:r>
        <w:rPr>
          <w:spacing w:val="-5"/>
          <w:sz w:val="24"/>
        </w:rPr>
        <w:t>Table </w:t>
      </w:r>
      <w:r>
        <w:rPr>
          <w:sz w:val="24"/>
        </w:rPr>
        <w:t>1.B also shows that UK 25-year bond yields are broadly unchanged since</w:t>
      </w:r>
      <w:r>
        <w:rPr>
          <w:spacing w:val="-15"/>
          <w:sz w:val="24"/>
        </w:rPr>
        <w:t> </w:t>
      </w:r>
      <w:r>
        <w:rPr>
          <w:spacing w:val="-3"/>
          <w:sz w:val="24"/>
        </w:rPr>
        <w:t>February.</w:t>
      </w:r>
    </w:p>
    <w:p>
      <w:pPr>
        <w:spacing w:before="11"/>
        <w:ind w:left="208" w:right="0" w:firstLine="0"/>
        <w:jc w:val="left"/>
        <w:rPr>
          <w:sz w:val="24"/>
        </w:rPr>
      </w:pPr>
      <w:r>
        <w:rPr>
          <w:sz w:val="24"/>
        </w:rPr>
        <w:t>This differential movement of longer-term rates might</w:t>
      </w:r>
    </w:p>
    <w:p>
      <w:pPr>
        <w:spacing w:after="0"/>
        <w:jc w:val="left"/>
        <w:rPr>
          <w:sz w:val="24"/>
        </w:rPr>
        <w:sectPr>
          <w:type w:val="continuous"/>
          <w:pgSz w:w="11900" w:h="16840"/>
          <w:pgMar w:top="1220" w:bottom="280" w:left="640" w:right="620"/>
          <w:cols w:num="3" w:equalWidth="0">
            <w:col w:w="3560" w:space="40"/>
            <w:col w:w="282" w:space="859"/>
            <w:col w:w="5899"/>
          </w:cols>
        </w:sectPr>
      </w:pPr>
    </w:p>
    <w:p>
      <w:pPr>
        <w:pStyle w:val="BodyText"/>
        <w:rPr>
          <w:sz w:val="10"/>
        </w:rPr>
      </w:pPr>
    </w:p>
    <w:p>
      <w:pPr>
        <w:spacing w:before="0"/>
        <w:ind w:left="0" w:right="38" w:firstLine="0"/>
        <w:jc w:val="right"/>
        <w:rPr>
          <w:sz w:val="12"/>
        </w:rPr>
      </w:pPr>
      <w:r>
        <w:rPr/>
        <w:drawing>
          <wp:anchor distT="0" distB="0" distL="0" distR="0" allowOverlap="1" layoutInCell="1" locked="0" behindDoc="0" simplePos="0" relativeHeight="15882240">
            <wp:simplePos x="0" y="0"/>
            <wp:positionH relativeFrom="page">
              <wp:posOffset>538861</wp:posOffset>
            </wp:positionH>
            <wp:positionV relativeFrom="paragraph">
              <wp:posOffset>-896626</wp:posOffset>
            </wp:positionV>
            <wp:extent cx="54478" cy="6286"/>
            <wp:effectExtent l="0" t="0" r="0" b="0"/>
            <wp:wrapNone/>
            <wp:docPr id="83" name="image21.png"/>
            <wp:cNvGraphicFramePr>
              <a:graphicFrameLocks noChangeAspect="1"/>
            </wp:cNvGraphicFramePr>
            <a:graphic>
              <a:graphicData uri="http://schemas.openxmlformats.org/drawingml/2006/picture">
                <pic:pic>
                  <pic:nvPicPr>
                    <pic:cNvPr id="84" name="image21.png"/>
                    <pic:cNvPicPr/>
                  </pic:nvPicPr>
                  <pic:blipFill>
                    <a:blip r:embed="rId52"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82752">
            <wp:simplePos x="0" y="0"/>
            <wp:positionH relativeFrom="page">
              <wp:posOffset>538861</wp:posOffset>
            </wp:positionH>
            <wp:positionV relativeFrom="paragraph">
              <wp:posOffset>-744569</wp:posOffset>
            </wp:positionV>
            <wp:extent cx="54478" cy="6286"/>
            <wp:effectExtent l="0" t="0" r="0" b="0"/>
            <wp:wrapNone/>
            <wp:docPr id="85" name="image21.png"/>
            <wp:cNvGraphicFramePr>
              <a:graphicFrameLocks noChangeAspect="1"/>
            </wp:cNvGraphicFramePr>
            <a:graphic>
              <a:graphicData uri="http://schemas.openxmlformats.org/drawingml/2006/picture">
                <pic:pic>
                  <pic:nvPicPr>
                    <pic:cNvPr id="86" name="image21.png"/>
                    <pic:cNvPicPr/>
                  </pic:nvPicPr>
                  <pic:blipFill>
                    <a:blip r:embed="rId52"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883264">
            <wp:simplePos x="0" y="0"/>
            <wp:positionH relativeFrom="page">
              <wp:posOffset>538861</wp:posOffset>
            </wp:positionH>
            <wp:positionV relativeFrom="paragraph">
              <wp:posOffset>-579799</wp:posOffset>
            </wp:positionV>
            <wp:extent cx="55304" cy="6381"/>
            <wp:effectExtent l="0" t="0" r="0" b="0"/>
            <wp:wrapNone/>
            <wp:docPr id="87" name="image20.png"/>
            <wp:cNvGraphicFramePr>
              <a:graphicFrameLocks noChangeAspect="1"/>
            </wp:cNvGraphicFramePr>
            <a:graphic>
              <a:graphicData uri="http://schemas.openxmlformats.org/drawingml/2006/picture">
                <pic:pic>
                  <pic:nvPicPr>
                    <pic:cNvPr id="88"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3776">
            <wp:simplePos x="0" y="0"/>
            <wp:positionH relativeFrom="page">
              <wp:posOffset>538861</wp:posOffset>
            </wp:positionH>
            <wp:positionV relativeFrom="paragraph">
              <wp:posOffset>-427729</wp:posOffset>
            </wp:positionV>
            <wp:extent cx="55304" cy="6381"/>
            <wp:effectExtent l="0" t="0" r="0" b="0"/>
            <wp:wrapNone/>
            <wp:docPr id="89" name="image20.png"/>
            <wp:cNvGraphicFramePr>
              <a:graphicFrameLocks noChangeAspect="1"/>
            </wp:cNvGraphicFramePr>
            <a:graphic>
              <a:graphicData uri="http://schemas.openxmlformats.org/drawingml/2006/picture">
                <pic:pic>
                  <pic:nvPicPr>
                    <pic:cNvPr id="90"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4288">
            <wp:simplePos x="0" y="0"/>
            <wp:positionH relativeFrom="page">
              <wp:posOffset>538861</wp:posOffset>
            </wp:positionH>
            <wp:positionV relativeFrom="paragraph">
              <wp:posOffset>-275672</wp:posOffset>
            </wp:positionV>
            <wp:extent cx="55304" cy="6381"/>
            <wp:effectExtent l="0" t="0" r="0" b="0"/>
            <wp:wrapNone/>
            <wp:docPr id="91" name="image20.png"/>
            <wp:cNvGraphicFramePr>
              <a:graphicFrameLocks noChangeAspect="1"/>
            </wp:cNvGraphicFramePr>
            <a:graphic>
              <a:graphicData uri="http://schemas.openxmlformats.org/drawingml/2006/picture">
                <pic:pic>
                  <pic:nvPicPr>
                    <pic:cNvPr id="92"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7872">
            <wp:simplePos x="0" y="0"/>
            <wp:positionH relativeFrom="page">
              <wp:posOffset>2597848</wp:posOffset>
            </wp:positionH>
            <wp:positionV relativeFrom="paragraph">
              <wp:posOffset>-902341</wp:posOffset>
            </wp:positionV>
            <wp:extent cx="55304" cy="6381"/>
            <wp:effectExtent l="0" t="0" r="0" b="0"/>
            <wp:wrapNone/>
            <wp:docPr id="93" name="image20.png"/>
            <wp:cNvGraphicFramePr>
              <a:graphicFrameLocks noChangeAspect="1"/>
            </wp:cNvGraphicFramePr>
            <a:graphic>
              <a:graphicData uri="http://schemas.openxmlformats.org/drawingml/2006/picture">
                <pic:pic>
                  <pic:nvPicPr>
                    <pic:cNvPr id="94"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8384">
            <wp:simplePos x="0" y="0"/>
            <wp:positionH relativeFrom="page">
              <wp:posOffset>2597848</wp:posOffset>
            </wp:positionH>
            <wp:positionV relativeFrom="paragraph">
              <wp:posOffset>-750284</wp:posOffset>
            </wp:positionV>
            <wp:extent cx="55304" cy="6381"/>
            <wp:effectExtent l="0" t="0" r="0" b="0"/>
            <wp:wrapNone/>
            <wp:docPr id="95" name="image20.png"/>
            <wp:cNvGraphicFramePr>
              <a:graphicFrameLocks noChangeAspect="1"/>
            </wp:cNvGraphicFramePr>
            <a:graphic>
              <a:graphicData uri="http://schemas.openxmlformats.org/drawingml/2006/picture">
                <pic:pic>
                  <pic:nvPicPr>
                    <pic:cNvPr id="96"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8896">
            <wp:simplePos x="0" y="0"/>
            <wp:positionH relativeFrom="page">
              <wp:posOffset>2597848</wp:posOffset>
            </wp:positionH>
            <wp:positionV relativeFrom="paragraph">
              <wp:posOffset>-585514</wp:posOffset>
            </wp:positionV>
            <wp:extent cx="55304" cy="6381"/>
            <wp:effectExtent l="0" t="0" r="0" b="0"/>
            <wp:wrapNone/>
            <wp:docPr id="97" name="image20.png"/>
            <wp:cNvGraphicFramePr>
              <a:graphicFrameLocks noChangeAspect="1"/>
            </wp:cNvGraphicFramePr>
            <a:graphic>
              <a:graphicData uri="http://schemas.openxmlformats.org/drawingml/2006/picture">
                <pic:pic>
                  <pic:nvPicPr>
                    <pic:cNvPr id="98"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9408">
            <wp:simplePos x="0" y="0"/>
            <wp:positionH relativeFrom="page">
              <wp:posOffset>2597848</wp:posOffset>
            </wp:positionH>
            <wp:positionV relativeFrom="paragraph">
              <wp:posOffset>-433444</wp:posOffset>
            </wp:positionV>
            <wp:extent cx="55304" cy="6381"/>
            <wp:effectExtent l="0" t="0" r="0" b="0"/>
            <wp:wrapNone/>
            <wp:docPr id="99" name="image20.png"/>
            <wp:cNvGraphicFramePr>
              <a:graphicFrameLocks noChangeAspect="1"/>
            </wp:cNvGraphicFramePr>
            <a:graphic>
              <a:graphicData uri="http://schemas.openxmlformats.org/drawingml/2006/picture">
                <pic:pic>
                  <pic:nvPicPr>
                    <pic:cNvPr id="100"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889920">
            <wp:simplePos x="0" y="0"/>
            <wp:positionH relativeFrom="page">
              <wp:posOffset>2597848</wp:posOffset>
            </wp:positionH>
            <wp:positionV relativeFrom="paragraph">
              <wp:posOffset>-281387</wp:posOffset>
            </wp:positionV>
            <wp:extent cx="55304" cy="6381"/>
            <wp:effectExtent l="0" t="0" r="0" b="0"/>
            <wp:wrapNone/>
            <wp:docPr id="101" name="image20.png"/>
            <wp:cNvGraphicFramePr>
              <a:graphicFrameLocks noChangeAspect="1"/>
            </wp:cNvGraphicFramePr>
            <a:graphic>
              <a:graphicData uri="http://schemas.openxmlformats.org/drawingml/2006/picture">
                <pic:pic>
                  <pic:nvPicPr>
                    <pic:cNvPr id="102" name="image20.png"/>
                    <pic:cNvPicPr/>
                  </pic:nvPicPr>
                  <pic:blipFill>
                    <a:blip r:embed="rId51" cstate="print"/>
                    <a:stretch>
                      <a:fillRect/>
                    </a:stretch>
                  </pic:blipFill>
                  <pic:spPr>
                    <a:xfrm>
                      <a:off x="0" y="0"/>
                      <a:ext cx="55304" cy="6381"/>
                    </a:xfrm>
                    <a:prstGeom prst="rect">
                      <a:avLst/>
                    </a:prstGeom>
                  </pic:spPr>
                </pic:pic>
              </a:graphicData>
            </a:graphic>
          </wp:anchor>
        </w:drawing>
      </w:r>
      <w:r>
        <w:rPr>
          <w:sz w:val="12"/>
        </w:rPr>
        <w:t>1997</w:t>
      </w:r>
    </w:p>
    <w:p>
      <w:pPr>
        <w:spacing w:line="126" w:lineRule="exact" w:before="1"/>
        <w:ind w:left="2732" w:right="0" w:firstLine="0"/>
        <w:jc w:val="left"/>
        <w:rPr>
          <w:sz w:val="12"/>
        </w:rPr>
      </w:pPr>
      <w:r>
        <w:rPr/>
        <w:br w:type="column"/>
      </w:r>
      <w:r>
        <w:rPr>
          <w:sz w:val="12"/>
        </w:rPr>
        <w:t>0.0</w:t>
      </w:r>
    </w:p>
    <w:p>
      <w:pPr>
        <w:tabs>
          <w:tab w:pos="1538" w:val="left" w:leader="none"/>
          <w:tab w:pos="2111" w:val="left" w:leader="none"/>
        </w:tabs>
        <w:spacing w:line="126" w:lineRule="exact" w:before="0"/>
        <w:ind w:left="584" w:right="0" w:firstLine="0"/>
        <w:jc w:val="left"/>
        <w:rPr>
          <w:sz w:val="12"/>
        </w:rPr>
      </w:pPr>
      <w:r>
        <w:rPr/>
        <w:drawing>
          <wp:anchor distT="0" distB="0" distL="0" distR="0" allowOverlap="1" layoutInCell="1" locked="0" behindDoc="0" simplePos="0" relativeHeight="15885824">
            <wp:simplePos x="0" y="0"/>
            <wp:positionH relativeFrom="page">
              <wp:posOffset>532511</wp:posOffset>
            </wp:positionH>
            <wp:positionV relativeFrom="paragraph">
              <wp:posOffset>-136877</wp:posOffset>
            </wp:positionV>
            <wp:extent cx="2138286" cy="101892"/>
            <wp:effectExtent l="0" t="0" r="0" b="0"/>
            <wp:wrapNone/>
            <wp:docPr id="103" name="image24.png"/>
            <wp:cNvGraphicFramePr>
              <a:graphicFrameLocks noChangeAspect="1"/>
            </wp:cNvGraphicFramePr>
            <a:graphic>
              <a:graphicData uri="http://schemas.openxmlformats.org/drawingml/2006/picture">
                <pic:pic>
                  <pic:nvPicPr>
                    <pic:cNvPr id="104" name="image24.png"/>
                    <pic:cNvPicPr/>
                  </pic:nvPicPr>
                  <pic:blipFill>
                    <a:blip r:embed="rId55" cstate="print"/>
                    <a:stretch>
                      <a:fillRect/>
                    </a:stretch>
                  </pic:blipFill>
                  <pic:spPr>
                    <a:xfrm>
                      <a:off x="0" y="0"/>
                      <a:ext cx="2138286" cy="101892"/>
                    </a:xfrm>
                    <a:prstGeom prst="rect">
                      <a:avLst/>
                    </a:prstGeom>
                  </pic:spPr>
                </pic:pic>
              </a:graphicData>
            </a:graphic>
          </wp:anchor>
        </w:drawing>
      </w:r>
      <w:r>
        <w:rPr>
          <w:sz w:val="12"/>
        </w:rPr>
        <w:t>98</w:t>
        <w:tab/>
        <w:t>99</w:t>
        <w:tab/>
        <w:t>2000</w:t>
      </w:r>
    </w:p>
    <w:p>
      <w:pPr>
        <w:pStyle w:val="Heading6"/>
        <w:spacing w:before="4"/>
        <w:ind w:left="584"/>
      </w:pPr>
      <w:r>
        <w:rPr/>
        <w:br w:type="column"/>
      </w:r>
      <w:r>
        <w:rPr/>
        <w:t>partly reflect the impact on long gilt prices of</w:t>
      </w:r>
    </w:p>
    <w:p>
      <w:pPr>
        <w:spacing w:after="0"/>
        <w:sectPr>
          <w:type w:val="continuous"/>
          <w:pgSz w:w="11900" w:h="16840"/>
          <w:pgMar w:top="1220" w:bottom="280" w:left="640" w:right="620"/>
          <w:cols w:num="3" w:equalWidth="0">
            <w:col w:w="865" w:space="93"/>
            <w:col w:w="2923" w:space="484"/>
            <w:col w:w="6275"/>
          </w:cols>
        </w:sectPr>
      </w:pPr>
    </w:p>
    <w:p>
      <w:pPr>
        <w:spacing w:before="2"/>
        <w:ind w:left="160" w:right="0" w:firstLine="0"/>
        <w:jc w:val="left"/>
        <w:rPr>
          <w:sz w:val="12"/>
        </w:rPr>
      </w:pPr>
      <w:r>
        <w:rPr>
          <w:sz w:val="12"/>
        </w:rPr>
        <w:t>Sources: Barclays Bank and Consensus Economics.</w:t>
      </w:r>
    </w:p>
    <w:p>
      <w:pPr>
        <w:pStyle w:val="BodyText"/>
        <w:spacing w:before="1"/>
        <w:rPr>
          <w:sz w:val="10"/>
        </w:rPr>
      </w:pPr>
    </w:p>
    <w:p>
      <w:pPr>
        <w:spacing w:line="208" w:lineRule="auto" w:before="1"/>
        <w:ind w:left="400" w:right="203" w:hanging="240"/>
        <w:jc w:val="left"/>
        <w:rPr>
          <w:sz w:val="12"/>
        </w:rPr>
      </w:pPr>
      <w:r>
        <w:rPr>
          <w:sz w:val="12"/>
        </w:rPr>
        <w:t>(a) Derived as the difference between two-year spot nominal interest rates and</w:t>
      </w:r>
      <w:r>
        <w:rPr>
          <w:spacing w:val="-5"/>
          <w:sz w:val="12"/>
        </w:rPr>
        <w:t> </w:t>
      </w:r>
      <w:r>
        <w:rPr>
          <w:sz w:val="12"/>
        </w:rPr>
        <w:t>derived</w:t>
      </w:r>
      <w:r>
        <w:rPr>
          <w:spacing w:val="-5"/>
          <w:sz w:val="12"/>
        </w:rPr>
        <w:t> </w:t>
      </w:r>
      <w:r>
        <w:rPr>
          <w:sz w:val="12"/>
        </w:rPr>
        <w:t>two</w:t>
      </w:r>
      <w:r>
        <w:rPr>
          <w:spacing w:val="-4"/>
          <w:sz w:val="12"/>
        </w:rPr>
        <w:t> </w:t>
      </w:r>
      <w:r>
        <w:rPr>
          <w:sz w:val="12"/>
        </w:rPr>
        <w:t>year</w:t>
      </w:r>
      <w:r>
        <w:rPr>
          <w:spacing w:val="-5"/>
          <w:sz w:val="12"/>
        </w:rPr>
        <w:t> </w:t>
      </w:r>
      <w:r>
        <w:rPr>
          <w:sz w:val="12"/>
        </w:rPr>
        <w:t>spot</w:t>
      </w:r>
      <w:r>
        <w:rPr>
          <w:spacing w:val="-4"/>
          <w:sz w:val="12"/>
        </w:rPr>
        <w:t> </w:t>
      </w:r>
      <w:r>
        <w:rPr>
          <w:sz w:val="12"/>
        </w:rPr>
        <w:t>inflation</w:t>
      </w:r>
      <w:r>
        <w:rPr>
          <w:spacing w:val="-5"/>
          <w:sz w:val="12"/>
        </w:rPr>
        <w:t> </w:t>
      </w:r>
      <w:r>
        <w:rPr>
          <w:sz w:val="12"/>
        </w:rPr>
        <w:t>rates</w:t>
      </w:r>
      <w:r>
        <w:rPr>
          <w:spacing w:val="-4"/>
          <w:sz w:val="12"/>
        </w:rPr>
        <w:t> </w:t>
      </w:r>
      <w:r>
        <w:rPr>
          <w:sz w:val="12"/>
        </w:rPr>
        <w:t>from</w:t>
      </w:r>
      <w:r>
        <w:rPr>
          <w:spacing w:val="-5"/>
          <w:sz w:val="12"/>
        </w:rPr>
        <w:t> </w:t>
      </w:r>
      <w:r>
        <w:rPr>
          <w:sz w:val="12"/>
        </w:rPr>
        <w:t>each</w:t>
      </w:r>
      <w:r>
        <w:rPr>
          <w:spacing w:val="-4"/>
          <w:sz w:val="12"/>
        </w:rPr>
        <w:t> </w:t>
      </w:r>
      <w:r>
        <w:rPr>
          <w:sz w:val="12"/>
        </w:rPr>
        <w:t>survey.</w:t>
      </w:r>
      <w:r>
        <w:rPr>
          <w:spacing w:val="22"/>
          <w:sz w:val="12"/>
        </w:rPr>
        <w:t> </w:t>
      </w:r>
      <w:r>
        <w:rPr>
          <w:sz w:val="12"/>
        </w:rPr>
        <w:t>Basix</w:t>
      </w:r>
      <w:r>
        <w:rPr>
          <w:spacing w:val="-5"/>
          <w:sz w:val="12"/>
        </w:rPr>
        <w:t> </w:t>
      </w:r>
      <w:r>
        <w:rPr>
          <w:sz w:val="12"/>
        </w:rPr>
        <w:t>survey</w:t>
      </w:r>
    </w:p>
    <w:p>
      <w:pPr>
        <w:spacing w:line="123" w:lineRule="exact" w:before="0"/>
        <w:ind w:left="400" w:right="0" w:firstLine="0"/>
        <w:jc w:val="left"/>
        <w:rPr>
          <w:sz w:val="12"/>
        </w:rPr>
      </w:pPr>
      <w:r>
        <w:rPr>
          <w:sz w:val="12"/>
        </w:rPr>
        <w:t>inflation expectations are an average of all groups except the general public.</w:t>
      </w:r>
    </w:p>
    <w:p>
      <w:pPr>
        <w:pStyle w:val="BodyText"/>
        <w:rPr>
          <w:sz w:val="12"/>
        </w:rPr>
      </w:pPr>
    </w:p>
    <w:p>
      <w:pPr>
        <w:pStyle w:val="BodyText"/>
        <w:rPr>
          <w:sz w:val="12"/>
        </w:rPr>
      </w:pPr>
    </w:p>
    <w:p>
      <w:pPr>
        <w:pStyle w:val="BodyText"/>
        <w:rPr>
          <w:sz w:val="12"/>
        </w:rPr>
      </w:pPr>
    </w:p>
    <w:p>
      <w:pPr>
        <w:pStyle w:val="BodyText"/>
        <w:rPr>
          <w:sz w:val="12"/>
        </w:rPr>
      </w:pPr>
    </w:p>
    <w:p>
      <w:pPr>
        <w:spacing w:before="81"/>
        <w:ind w:left="160" w:right="0" w:firstLine="0"/>
        <w:jc w:val="left"/>
        <w:rPr>
          <w:b/>
          <w:sz w:val="20"/>
        </w:rPr>
      </w:pPr>
      <w:r>
        <w:rPr>
          <w:b/>
          <w:color w:val="0092C7"/>
          <w:sz w:val="20"/>
        </w:rPr>
        <w:t>Table 1.B</w:t>
      </w:r>
    </w:p>
    <w:p>
      <w:pPr>
        <w:spacing w:before="10"/>
        <w:ind w:left="160" w:right="0" w:firstLine="0"/>
        <w:jc w:val="left"/>
        <w:rPr>
          <w:b/>
          <w:sz w:val="20"/>
        </w:rPr>
      </w:pPr>
      <w:r>
        <w:rPr>
          <w:b/>
          <w:color w:val="0092C7"/>
          <w:sz w:val="20"/>
        </w:rPr>
        <w:t>Selected sterling nominal spot bond yields</w:t>
      </w:r>
    </w:p>
    <w:p>
      <w:pPr>
        <w:spacing w:line="145" w:lineRule="exact" w:before="106"/>
        <w:ind w:left="160" w:right="0" w:firstLine="0"/>
        <w:jc w:val="left"/>
        <w:rPr>
          <w:sz w:val="14"/>
        </w:rPr>
      </w:pPr>
      <w:r>
        <w:rPr>
          <w:sz w:val="14"/>
        </w:rPr>
        <w:t>Per cent</w:t>
      </w:r>
    </w:p>
    <w:p>
      <w:pPr>
        <w:pStyle w:val="Heading6"/>
        <w:spacing w:line="242" w:lineRule="auto" w:before="4"/>
        <w:ind w:left="160" w:right="199"/>
        <w:rPr>
          <w:sz w:val="16"/>
        </w:rPr>
      </w:pPr>
      <w:r>
        <w:rPr/>
        <w:br w:type="column"/>
      </w:r>
      <w:r>
        <w:rPr/>
        <w:t>higher-than-anticipated supply: on 21 March the Debt Management </w:t>
      </w:r>
      <w:r>
        <w:rPr>
          <w:spacing w:val="-3"/>
        </w:rPr>
        <w:t>Office </w:t>
      </w:r>
      <w:r>
        <w:rPr/>
        <w:t>announced that future gilt issuance is</w:t>
      </w:r>
      <w:r>
        <w:rPr>
          <w:spacing w:val="-6"/>
        </w:rPr>
        <w:t> </w:t>
      </w:r>
      <w:r>
        <w:rPr/>
        <w:t>to</w:t>
      </w:r>
      <w:r>
        <w:rPr>
          <w:spacing w:val="-6"/>
        </w:rPr>
        <w:t> </w:t>
      </w:r>
      <w:r>
        <w:rPr/>
        <w:t>be</w:t>
      </w:r>
      <w:r>
        <w:rPr>
          <w:spacing w:val="-6"/>
        </w:rPr>
        <w:t> </w:t>
      </w:r>
      <w:r>
        <w:rPr/>
        <w:t>more</w:t>
      </w:r>
      <w:r>
        <w:rPr>
          <w:spacing w:val="-6"/>
        </w:rPr>
        <w:t> </w:t>
      </w:r>
      <w:r>
        <w:rPr/>
        <w:t>heavily</w:t>
      </w:r>
      <w:r>
        <w:rPr>
          <w:spacing w:val="-6"/>
        </w:rPr>
        <w:t> </w:t>
      </w:r>
      <w:r>
        <w:rPr/>
        <w:t>weighted</w:t>
      </w:r>
      <w:r>
        <w:rPr>
          <w:spacing w:val="-5"/>
        </w:rPr>
        <w:t> </w:t>
      </w:r>
      <w:r>
        <w:rPr/>
        <w:t>towards</w:t>
      </w:r>
      <w:r>
        <w:rPr>
          <w:spacing w:val="-6"/>
        </w:rPr>
        <w:t> </w:t>
      </w:r>
      <w:r>
        <w:rPr/>
        <w:t>medium</w:t>
      </w:r>
      <w:r>
        <w:rPr>
          <w:spacing w:val="-6"/>
        </w:rPr>
        <w:t> </w:t>
      </w:r>
      <w:r>
        <w:rPr/>
        <w:t>and</w:t>
      </w:r>
      <w:r>
        <w:rPr>
          <w:spacing w:val="-6"/>
        </w:rPr>
        <w:t> </w:t>
      </w:r>
      <w:r>
        <w:rPr/>
        <w:t>long maturities than previously</w:t>
      </w:r>
      <w:r>
        <w:rPr>
          <w:spacing w:val="-7"/>
        </w:rPr>
        <w:t> </w:t>
      </w:r>
      <w:r>
        <w:rPr/>
        <w:t>expected.</w:t>
      </w:r>
      <w:r>
        <w:rPr>
          <w:position w:val="5"/>
          <w:sz w:val="16"/>
        </w:rPr>
        <w:t>(2)</w:t>
      </w:r>
    </w:p>
    <w:p>
      <w:pPr>
        <w:pStyle w:val="BodyText"/>
        <w:spacing w:before="9"/>
        <w:rPr>
          <w:sz w:val="24"/>
        </w:rPr>
      </w:pPr>
    </w:p>
    <w:p>
      <w:pPr>
        <w:spacing w:line="242" w:lineRule="auto" w:before="0"/>
        <w:ind w:left="160" w:right="138" w:firstLine="0"/>
        <w:jc w:val="left"/>
        <w:rPr>
          <w:sz w:val="24"/>
        </w:rPr>
      </w:pPr>
      <w:r>
        <w:rPr>
          <w:sz w:val="24"/>
        </w:rPr>
        <w:t>Table 1.B also shows that ten-year corporate bond rates have fallen by slightly less than government bond yields</w:t>
      </w:r>
    </w:p>
    <w:p>
      <w:pPr>
        <w:spacing w:after="0" w:line="242" w:lineRule="auto"/>
        <w:jc w:val="left"/>
        <w:rPr>
          <w:sz w:val="24"/>
        </w:rPr>
        <w:sectPr>
          <w:type w:val="continuous"/>
          <w:pgSz w:w="11900" w:h="16840"/>
          <w:pgMar w:top="1220" w:bottom="280" w:left="640" w:right="620"/>
          <w:cols w:num="2" w:equalWidth="0">
            <w:col w:w="4098" w:space="692"/>
            <w:col w:w="5850"/>
          </w:cols>
        </w:sectPr>
      </w:pPr>
    </w:p>
    <w:p>
      <w:pPr>
        <w:tabs>
          <w:tab w:pos="2669" w:val="left" w:leader="none"/>
        </w:tabs>
        <w:spacing w:line="145" w:lineRule="exact" w:before="135"/>
        <w:ind w:left="1618" w:right="0" w:firstLine="0"/>
        <w:jc w:val="left"/>
        <w:rPr>
          <w:sz w:val="14"/>
        </w:rPr>
      </w:pPr>
      <w:r>
        <w:rPr>
          <w:sz w:val="14"/>
          <w:u w:val="single"/>
        </w:rPr>
        <w:t>2000</w:t>
        <w:tab/>
      </w:r>
    </w:p>
    <w:p>
      <w:pPr>
        <w:spacing w:line="208" w:lineRule="auto" w:before="12"/>
        <w:ind w:left="163" w:right="-20" w:firstLine="0"/>
        <w:jc w:val="left"/>
        <w:rPr>
          <w:sz w:val="14"/>
        </w:rPr>
      </w:pPr>
      <w:r>
        <w:rPr/>
        <w:br w:type="column"/>
      </w:r>
      <w:r>
        <w:rPr>
          <w:sz w:val="14"/>
        </w:rPr>
        <w:t>Basis points change since</w:t>
      </w:r>
    </w:p>
    <w:p>
      <w:pPr>
        <w:pStyle w:val="Heading6"/>
        <w:spacing w:line="266" w:lineRule="exact"/>
        <w:ind w:left="1292" w:right="875"/>
        <w:jc w:val="center"/>
      </w:pPr>
      <w:r>
        <w:rPr/>
        <w:br w:type="column"/>
      </w:r>
      <w:r>
        <w:rPr/>
        <w:t>over the past three months, suggesting a moderate</w:t>
      </w:r>
    </w:p>
    <w:p>
      <w:pPr>
        <w:spacing w:after="0" w:line="266" w:lineRule="exact"/>
        <w:jc w:val="center"/>
        <w:sectPr>
          <w:type w:val="continuous"/>
          <w:pgSz w:w="11900" w:h="16840"/>
          <w:pgMar w:top="1220" w:bottom="280" w:left="640" w:right="620"/>
          <w:cols w:num="3" w:equalWidth="0">
            <w:col w:w="2671" w:space="40"/>
            <w:col w:w="883" w:space="39"/>
            <w:col w:w="7007"/>
          </w:cols>
        </w:sectPr>
      </w:pPr>
    </w:p>
    <w:p>
      <w:pPr>
        <w:pStyle w:val="BodyText"/>
        <w:rPr>
          <w:sz w:val="16"/>
        </w:rPr>
      </w:pPr>
    </w:p>
    <w:p>
      <w:pPr>
        <w:spacing w:line="146" w:lineRule="exact" w:before="119"/>
        <w:ind w:left="160" w:right="0" w:firstLine="0"/>
        <w:jc w:val="left"/>
        <w:rPr>
          <w:b/>
          <w:sz w:val="14"/>
        </w:rPr>
      </w:pPr>
      <w:r>
        <w:rPr>
          <w:b/>
          <w:sz w:val="14"/>
        </w:rPr>
        <w:t>Spot nominal</w:t>
      </w:r>
    </w:p>
    <w:p>
      <w:pPr>
        <w:tabs>
          <w:tab w:pos="2171" w:val="left" w:leader="none"/>
        </w:tabs>
        <w:spacing w:before="23"/>
        <w:ind w:left="160" w:right="0" w:firstLine="0"/>
        <w:jc w:val="left"/>
        <w:rPr>
          <w:sz w:val="14"/>
        </w:rPr>
      </w:pPr>
      <w:r>
        <w:rPr/>
        <w:br w:type="column"/>
      </w:r>
      <w:r>
        <w:rPr>
          <w:sz w:val="14"/>
          <w:u w:val="single"/>
        </w:rPr>
        <w:t>9 Feb.  </w:t>
      </w:r>
      <w:r>
        <w:rPr>
          <w:sz w:val="14"/>
        </w:rPr>
        <w:t>     </w:t>
      </w:r>
      <w:r>
        <w:rPr>
          <w:sz w:val="14"/>
          <w:u w:val="single"/>
        </w:rPr>
        <w:t>3 May   </w:t>
      </w:r>
      <w:r>
        <w:rPr>
          <w:sz w:val="14"/>
        </w:rPr>
        <w:t>      </w:t>
      </w:r>
      <w:r>
        <w:rPr>
          <w:sz w:val="14"/>
          <w:u w:val="single"/>
        </w:rPr>
        <w:t>9</w:t>
      </w:r>
      <w:r>
        <w:rPr>
          <w:spacing w:val="-16"/>
          <w:sz w:val="14"/>
          <w:u w:val="single"/>
        </w:rPr>
        <w:t> </w:t>
      </w:r>
      <w:r>
        <w:rPr>
          <w:sz w:val="14"/>
          <w:u w:val="single"/>
        </w:rPr>
        <w:t>Feb.</w:t>
        <w:tab/>
      </w:r>
    </w:p>
    <w:p>
      <w:pPr>
        <w:pStyle w:val="Heading6"/>
        <w:spacing w:line="254" w:lineRule="exact"/>
        <w:ind w:left="160"/>
      </w:pPr>
      <w:r>
        <w:rPr/>
        <w:br w:type="column"/>
      </w:r>
      <w:r>
        <w:rPr/>
        <w:t>widening in spreads. In part, this might reflect higher</w:t>
      </w:r>
    </w:p>
    <w:p>
      <w:pPr>
        <w:spacing w:line="191" w:lineRule="exact" w:before="4"/>
        <w:ind w:left="160" w:right="0" w:firstLine="0"/>
        <w:jc w:val="left"/>
        <w:rPr>
          <w:sz w:val="24"/>
        </w:rPr>
      </w:pPr>
      <w:r>
        <w:rPr>
          <w:sz w:val="24"/>
        </w:rPr>
        <w:t>corporate issuance in the recent past. In coming months,</w:t>
      </w:r>
    </w:p>
    <w:p>
      <w:pPr>
        <w:spacing w:after="0" w:line="191" w:lineRule="exact"/>
        <w:jc w:val="left"/>
        <w:rPr>
          <w:sz w:val="24"/>
        </w:rPr>
        <w:sectPr>
          <w:type w:val="continuous"/>
          <w:pgSz w:w="11900" w:h="16840"/>
          <w:pgMar w:top="1220" w:bottom="280" w:left="640" w:right="620"/>
          <w:cols w:num="3" w:equalWidth="0">
            <w:col w:w="998" w:space="460"/>
            <w:col w:w="2212" w:space="1120"/>
            <w:col w:w="5850"/>
          </w:cols>
        </w:sectPr>
      </w:pPr>
    </w:p>
    <w:p>
      <w:pPr>
        <w:spacing w:line="145" w:lineRule="exact" w:before="0"/>
        <w:ind w:left="230" w:right="0" w:firstLine="0"/>
        <w:jc w:val="left"/>
        <w:rPr>
          <w:b/>
          <w:sz w:val="14"/>
        </w:rPr>
      </w:pPr>
      <w:r>
        <w:rPr>
          <w:b/>
          <w:sz w:val="14"/>
        </w:rPr>
        <w:t>government bond yields</w:t>
      </w:r>
    </w:p>
    <w:p>
      <w:pPr>
        <w:tabs>
          <w:tab w:pos="1744" w:val="left" w:leader="none"/>
          <w:tab w:pos="2414" w:val="left" w:leader="none"/>
          <w:tab w:pos="3203" w:val="left" w:leader="none"/>
        </w:tabs>
        <w:spacing w:line="140" w:lineRule="exact" w:before="0"/>
        <w:ind w:left="230" w:right="0" w:firstLine="0"/>
        <w:jc w:val="left"/>
        <w:rPr>
          <w:sz w:val="14"/>
        </w:rPr>
      </w:pPr>
      <w:r>
        <w:rPr>
          <w:sz w:val="14"/>
        </w:rPr>
        <w:t>3</w:t>
      </w:r>
      <w:r>
        <w:rPr>
          <w:spacing w:val="-2"/>
          <w:sz w:val="14"/>
        </w:rPr>
        <w:t> </w:t>
      </w:r>
      <w:r>
        <w:rPr>
          <w:sz w:val="14"/>
        </w:rPr>
        <w:t>year</w:t>
        <w:tab/>
        <w:t>6.42</w:t>
        <w:tab/>
        <w:t>5.96</w:t>
        <w:tab/>
        <w:t>-46</w:t>
      </w:r>
    </w:p>
    <w:p>
      <w:pPr>
        <w:tabs>
          <w:tab w:pos="1744" w:val="left" w:leader="none"/>
          <w:tab w:pos="2414" w:val="left" w:leader="none"/>
          <w:tab w:pos="3203" w:val="left" w:leader="none"/>
        </w:tabs>
        <w:spacing w:line="140" w:lineRule="exact" w:before="0"/>
        <w:ind w:left="230" w:right="0" w:firstLine="0"/>
        <w:jc w:val="left"/>
        <w:rPr>
          <w:sz w:val="14"/>
        </w:rPr>
      </w:pPr>
      <w:r>
        <w:rPr>
          <w:sz w:val="14"/>
        </w:rPr>
        <w:t>5</w:t>
      </w:r>
      <w:r>
        <w:rPr>
          <w:spacing w:val="-2"/>
          <w:sz w:val="14"/>
        </w:rPr>
        <w:t> </w:t>
      </w:r>
      <w:r>
        <w:rPr>
          <w:sz w:val="14"/>
        </w:rPr>
        <w:t>year</w:t>
        <w:tab/>
        <w:t>6.24</w:t>
        <w:tab/>
        <w:t>5.71</w:t>
        <w:tab/>
        <w:t>-53</w:t>
      </w:r>
    </w:p>
    <w:p>
      <w:pPr>
        <w:tabs>
          <w:tab w:pos="1744" w:val="left" w:leader="none"/>
          <w:tab w:pos="2414" w:val="left" w:leader="none"/>
          <w:tab w:pos="3203" w:val="left" w:leader="none"/>
        </w:tabs>
        <w:spacing w:line="140" w:lineRule="exact" w:before="0"/>
        <w:ind w:left="160" w:right="0" w:firstLine="0"/>
        <w:jc w:val="left"/>
        <w:rPr>
          <w:sz w:val="14"/>
        </w:rPr>
      </w:pPr>
      <w:r>
        <w:rPr>
          <w:sz w:val="14"/>
        </w:rPr>
        <w:t>10</w:t>
      </w:r>
      <w:r>
        <w:rPr>
          <w:spacing w:val="-3"/>
          <w:sz w:val="14"/>
        </w:rPr>
        <w:t> </w:t>
      </w:r>
      <w:r>
        <w:rPr>
          <w:sz w:val="14"/>
        </w:rPr>
        <w:t>year</w:t>
        <w:tab/>
        <w:t>5.52</w:t>
        <w:tab/>
        <w:t>5.14</w:t>
        <w:tab/>
        <w:t>-38</w:t>
      </w:r>
    </w:p>
    <w:p>
      <w:pPr>
        <w:tabs>
          <w:tab w:pos="1744" w:val="left" w:leader="none"/>
          <w:tab w:pos="2414" w:val="left" w:leader="none"/>
          <w:tab w:pos="3273" w:val="left" w:leader="none"/>
        </w:tabs>
        <w:spacing w:line="150" w:lineRule="exact" w:before="0"/>
        <w:ind w:left="160" w:right="0" w:firstLine="0"/>
        <w:jc w:val="left"/>
        <w:rPr>
          <w:sz w:val="14"/>
        </w:rPr>
      </w:pPr>
      <w:r>
        <w:rPr>
          <w:sz w:val="14"/>
        </w:rPr>
        <w:t>25</w:t>
      </w:r>
      <w:r>
        <w:rPr>
          <w:spacing w:val="-3"/>
          <w:sz w:val="14"/>
        </w:rPr>
        <w:t> </w:t>
      </w:r>
      <w:r>
        <w:rPr>
          <w:sz w:val="14"/>
        </w:rPr>
        <w:t>year</w:t>
        <w:tab/>
        <w:t>4.24</w:t>
        <w:tab/>
        <w:t>4.19</w:t>
        <w:tab/>
        <w:t>-5</w:t>
      </w:r>
    </w:p>
    <w:p>
      <w:pPr>
        <w:spacing w:line="208" w:lineRule="auto" w:before="136"/>
        <w:ind w:left="230" w:right="1834" w:hanging="70"/>
        <w:jc w:val="left"/>
        <w:rPr>
          <w:b/>
          <w:sz w:val="14"/>
        </w:rPr>
      </w:pPr>
      <w:r>
        <w:rPr>
          <w:b/>
          <w:sz w:val="14"/>
        </w:rPr>
        <w:t>Spot nominal corporate bond yields (A-rated)</w:t>
      </w:r>
    </w:p>
    <w:p>
      <w:pPr>
        <w:tabs>
          <w:tab w:pos="1744" w:val="left" w:leader="none"/>
          <w:tab w:pos="2414" w:val="left" w:leader="none"/>
          <w:tab w:pos="3203" w:val="left" w:leader="none"/>
        </w:tabs>
        <w:spacing w:line="133" w:lineRule="exact" w:before="0"/>
        <w:ind w:left="230" w:right="0" w:firstLine="0"/>
        <w:jc w:val="left"/>
        <w:rPr>
          <w:sz w:val="14"/>
        </w:rPr>
      </w:pPr>
      <w:r>
        <w:rPr>
          <w:sz w:val="14"/>
        </w:rPr>
        <w:t>5</w:t>
      </w:r>
      <w:r>
        <w:rPr>
          <w:spacing w:val="-2"/>
          <w:sz w:val="14"/>
        </w:rPr>
        <w:t> </w:t>
      </w:r>
      <w:r>
        <w:rPr>
          <w:sz w:val="14"/>
        </w:rPr>
        <w:t>year</w:t>
        <w:tab/>
        <w:t>7.43</w:t>
        <w:tab/>
        <w:t>6.99</w:t>
        <w:tab/>
        <w:t>-44</w:t>
      </w:r>
    </w:p>
    <w:p>
      <w:pPr>
        <w:tabs>
          <w:tab w:pos="1744" w:val="left" w:leader="none"/>
          <w:tab w:pos="2414" w:val="left" w:leader="none"/>
          <w:tab w:pos="3203" w:val="left" w:leader="none"/>
        </w:tabs>
        <w:spacing w:line="140" w:lineRule="exact" w:before="0"/>
        <w:ind w:left="160" w:right="0" w:firstLine="0"/>
        <w:jc w:val="left"/>
        <w:rPr>
          <w:sz w:val="14"/>
        </w:rPr>
      </w:pPr>
      <w:r>
        <w:rPr>
          <w:sz w:val="14"/>
        </w:rPr>
        <w:t>10</w:t>
      </w:r>
      <w:r>
        <w:rPr>
          <w:spacing w:val="-3"/>
          <w:sz w:val="14"/>
        </w:rPr>
        <w:t> </w:t>
      </w:r>
      <w:r>
        <w:rPr>
          <w:sz w:val="14"/>
        </w:rPr>
        <w:t>year</w:t>
        <w:tab/>
        <w:t>7.13</w:t>
        <w:tab/>
        <w:t>6.88</w:t>
        <w:tab/>
        <w:t>-25</w:t>
      </w:r>
    </w:p>
    <w:p>
      <w:pPr>
        <w:tabs>
          <w:tab w:pos="1744" w:val="left" w:leader="none"/>
          <w:tab w:pos="2414" w:val="left" w:leader="none"/>
          <w:tab w:pos="3273" w:val="left" w:leader="none"/>
        </w:tabs>
        <w:spacing w:line="150" w:lineRule="exact" w:before="0"/>
        <w:ind w:left="160" w:right="0" w:firstLine="0"/>
        <w:jc w:val="left"/>
        <w:rPr>
          <w:sz w:val="14"/>
        </w:rPr>
      </w:pPr>
      <w:r>
        <w:rPr>
          <w:sz w:val="14"/>
        </w:rPr>
        <w:t>25</w:t>
      </w:r>
      <w:r>
        <w:rPr>
          <w:spacing w:val="-3"/>
          <w:sz w:val="14"/>
        </w:rPr>
        <w:t> </w:t>
      </w:r>
      <w:r>
        <w:rPr>
          <w:sz w:val="14"/>
        </w:rPr>
        <w:t>year</w:t>
        <w:tab/>
        <w:t>6.55</w:t>
        <w:tab/>
        <w:t>6.54</w:t>
        <w:tab/>
        <w:t>-1</w:t>
      </w:r>
    </w:p>
    <w:p>
      <w:pPr>
        <w:spacing w:before="92"/>
        <w:ind w:left="160" w:right="0" w:firstLine="0"/>
        <w:jc w:val="left"/>
        <w:rPr>
          <w:sz w:val="12"/>
        </w:rPr>
      </w:pPr>
      <w:r>
        <w:rPr>
          <w:sz w:val="12"/>
        </w:rPr>
        <w:t>Sources: Bloomberg and Bank of England.</w:t>
      </w:r>
    </w:p>
    <w:p>
      <w:pPr>
        <w:pStyle w:val="Heading6"/>
        <w:spacing w:line="242" w:lineRule="auto" w:before="88"/>
        <w:ind w:left="160" w:right="138"/>
      </w:pPr>
      <w:r>
        <w:rPr/>
        <w:br w:type="column"/>
      </w:r>
      <w:r>
        <w:rPr/>
        <w:t>issuance may rise further as companies raise finance for third generation mobile phone licences, as discussed in </w:t>
      </w:r>
      <w:hyperlink w:history="true" w:anchor="_bookmark13">
        <w:r>
          <w:rPr/>
          <w:t>the box on page 10.</w:t>
        </w:r>
      </w:hyperlink>
    </w:p>
    <w:p>
      <w:pPr>
        <w:pStyle w:val="BodyText"/>
        <w:rPr>
          <w:sz w:val="20"/>
        </w:rPr>
      </w:pPr>
    </w:p>
    <w:p>
      <w:pPr>
        <w:pStyle w:val="BodyText"/>
        <w:rPr>
          <w:sz w:val="20"/>
        </w:rPr>
      </w:pPr>
    </w:p>
    <w:p>
      <w:pPr>
        <w:pStyle w:val="BodyText"/>
        <w:spacing w:before="8"/>
        <w:rPr>
          <w:sz w:val="14"/>
        </w:rPr>
      </w:pPr>
      <w:r>
        <w:rPr/>
        <w:pict>
          <v:shape style="position:absolute;margin-left:278.75pt;margin-top:10.540965pt;width:276.5pt;height:.1pt;mso-position-horizontal-relative:page;mso-position-vertical-relative:paragraph;z-index:-15582720;mso-wrap-distance-left:0;mso-wrap-distance-right:0" coordorigin="5575,211" coordsize="5530,0" path="m5575,211l11105,211e" filled="false" stroked="true" strokeweight=".125pt" strokecolor="#000000">
            <v:path arrowok="t"/>
            <v:stroke dashstyle="solid"/>
            <w10:wrap type="topAndBottom"/>
          </v:shape>
        </w:pict>
      </w:r>
    </w:p>
    <w:p>
      <w:pPr>
        <w:pStyle w:val="ListParagraph"/>
        <w:numPr>
          <w:ilvl w:val="0"/>
          <w:numId w:val="6"/>
        </w:numPr>
        <w:tabs>
          <w:tab w:pos="411" w:val="left" w:leader="none"/>
        </w:tabs>
        <w:spacing w:line="208" w:lineRule="auto" w:before="0" w:after="0"/>
        <w:ind w:left="410" w:right="681" w:hanging="240"/>
        <w:jc w:val="left"/>
        <w:rPr>
          <w:sz w:val="16"/>
        </w:rPr>
      </w:pPr>
      <w:hyperlink w:history="true" w:anchor="_bookmark39">
        <w:r>
          <w:rPr>
            <w:sz w:val="16"/>
          </w:rPr>
          <w:t>Market gilt repo rates tend to be lower than official repo rates due to technical factors. These rates, with an appropriate upward adjustment, are used to construct the inflation and GDP projections based on market interest rate expectations shown in Section</w:t>
        </w:r>
        <w:r>
          <w:rPr>
            <w:spacing w:val="-10"/>
            <w:sz w:val="16"/>
          </w:rPr>
          <w:t> </w:t>
        </w:r>
        <w:r>
          <w:rPr>
            <w:sz w:val="16"/>
          </w:rPr>
          <w:t>6.</w:t>
        </w:r>
      </w:hyperlink>
    </w:p>
    <w:p>
      <w:pPr>
        <w:pStyle w:val="ListParagraph"/>
        <w:numPr>
          <w:ilvl w:val="0"/>
          <w:numId w:val="6"/>
        </w:numPr>
        <w:tabs>
          <w:tab w:pos="411" w:val="left" w:leader="none"/>
        </w:tabs>
        <w:spacing w:line="208" w:lineRule="auto" w:before="0" w:after="0"/>
        <w:ind w:left="410" w:right="720" w:hanging="240"/>
        <w:jc w:val="left"/>
        <w:rPr>
          <w:sz w:val="16"/>
        </w:rPr>
      </w:pPr>
      <w:r>
        <w:rPr>
          <w:sz w:val="16"/>
        </w:rPr>
        <w:t>The</w:t>
      </w:r>
      <w:r>
        <w:rPr>
          <w:spacing w:val="-5"/>
          <w:sz w:val="16"/>
        </w:rPr>
        <w:t> </w:t>
      </w:r>
      <w:r>
        <w:rPr>
          <w:sz w:val="16"/>
        </w:rPr>
        <w:t>impact</w:t>
      </w:r>
      <w:r>
        <w:rPr>
          <w:spacing w:val="-4"/>
          <w:sz w:val="16"/>
        </w:rPr>
        <w:t> </w:t>
      </w:r>
      <w:r>
        <w:rPr>
          <w:sz w:val="16"/>
        </w:rPr>
        <w:t>of</w:t>
      </w:r>
      <w:r>
        <w:rPr>
          <w:spacing w:val="-5"/>
          <w:sz w:val="16"/>
        </w:rPr>
        <w:t> </w:t>
      </w:r>
      <w:r>
        <w:rPr>
          <w:sz w:val="16"/>
        </w:rPr>
        <w:t>the</w:t>
      </w:r>
      <w:r>
        <w:rPr>
          <w:spacing w:val="-4"/>
          <w:sz w:val="16"/>
        </w:rPr>
        <w:t> </w:t>
      </w:r>
      <w:r>
        <w:rPr>
          <w:sz w:val="16"/>
        </w:rPr>
        <w:t>Debt</w:t>
      </w:r>
      <w:r>
        <w:rPr>
          <w:spacing w:val="-5"/>
          <w:sz w:val="16"/>
        </w:rPr>
        <w:t> </w:t>
      </w:r>
      <w:r>
        <w:rPr>
          <w:sz w:val="16"/>
        </w:rPr>
        <w:t>Management</w:t>
      </w:r>
      <w:r>
        <w:rPr>
          <w:spacing w:val="-4"/>
          <w:sz w:val="16"/>
        </w:rPr>
        <w:t> </w:t>
      </w:r>
      <w:r>
        <w:rPr>
          <w:sz w:val="16"/>
        </w:rPr>
        <w:t>Review</w:t>
      </w:r>
      <w:r>
        <w:rPr>
          <w:spacing w:val="-5"/>
          <w:sz w:val="16"/>
        </w:rPr>
        <w:t> </w:t>
      </w:r>
      <w:r>
        <w:rPr>
          <w:sz w:val="16"/>
        </w:rPr>
        <w:t>on</w:t>
      </w:r>
      <w:r>
        <w:rPr>
          <w:spacing w:val="-4"/>
          <w:sz w:val="16"/>
        </w:rPr>
        <w:t> </w:t>
      </w:r>
      <w:r>
        <w:rPr>
          <w:sz w:val="16"/>
        </w:rPr>
        <w:t>gilt</w:t>
      </w:r>
      <w:r>
        <w:rPr>
          <w:spacing w:val="-5"/>
          <w:sz w:val="16"/>
        </w:rPr>
        <w:t> </w:t>
      </w:r>
      <w:r>
        <w:rPr>
          <w:sz w:val="16"/>
        </w:rPr>
        <w:t>yields</w:t>
      </w:r>
      <w:r>
        <w:rPr>
          <w:spacing w:val="-4"/>
          <w:sz w:val="16"/>
        </w:rPr>
        <w:t> </w:t>
      </w:r>
      <w:r>
        <w:rPr>
          <w:sz w:val="16"/>
        </w:rPr>
        <w:t>is</w:t>
      </w:r>
      <w:r>
        <w:rPr>
          <w:spacing w:val="-5"/>
          <w:sz w:val="16"/>
        </w:rPr>
        <w:t> </w:t>
      </w:r>
      <w:r>
        <w:rPr>
          <w:sz w:val="16"/>
        </w:rPr>
        <w:t>discussed</w:t>
      </w:r>
      <w:r>
        <w:rPr>
          <w:spacing w:val="-4"/>
          <w:sz w:val="16"/>
        </w:rPr>
        <w:t> </w:t>
      </w:r>
      <w:r>
        <w:rPr>
          <w:sz w:val="16"/>
        </w:rPr>
        <w:t>at greater length in the ‘Market and operations’ article, </w:t>
      </w:r>
      <w:r>
        <w:rPr>
          <w:i/>
          <w:sz w:val="16"/>
        </w:rPr>
        <w:t>Bank of England </w:t>
      </w:r>
      <w:r>
        <w:rPr>
          <w:i/>
          <w:sz w:val="16"/>
        </w:rPr>
        <w:t>Quarterly Bulletin</w:t>
      </w:r>
      <w:r>
        <w:rPr>
          <w:sz w:val="16"/>
        </w:rPr>
        <w:t>, May 2000, pages</w:t>
      </w:r>
      <w:r>
        <w:rPr>
          <w:spacing w:val="-8"/>
          <w:sz w:val="16"/>
        </w:rPr>
        <w:t> </w:t>
      </w:r>
      <w:r>
        <w:rPr>
          <w:sz w:val="16"/>
        </w:rPr>
        <w:t>117–34.</w:t>
      </w:r>
    </w:p>
    <w:p>
      <w:pPr>
        <w:spacing w:after="0" w:line="208" w:lineRule="auto"/>
        <w:jc w:val="left"/>
        <w:rPr>
          <w:sz w:val="16"/>
        </w:rPr>
        <w:sectPr>
          <w:type w:val="continuous"/>
          <w:pgSz w:w="11900" w:h="16840"/>
          <w:pgMar w:top="1220" w:bottom="280" w:left="640" w:right="620"/>
          <w:cols w:num="2" w:equalWidth="0">
            <w:col w:w="3430" w:space="1360"/>
            <w:col w:w="5850"/>
          </w:cols>
        </w:sectPr>
      </w:pPr>
    </w:p>
    <w:p>
      <w:pPr>
        <w:pStyle w:val="BodyText"/>
        <w:spacing w:before="6"/>
        <w:rPr>
          <w:sz w:val="29"/>
        </w:rPr>
      </w:pPr>
    </w:p>
    <w:p>
      <w:pPr>
        <w:pStyle w:val="Heading3"/>
        <w:spacing w:line="249" w:lineRule="auto" w:before="88"/>
        <w:ind w:left="3327" w:right="1322" w:hanging="1373"/>
      </w:pPr>
      <w:bookmarkStart w:name="Implications for monetary policy of the " w:id="24"/>
      <w:bookmarkEnd w:id="24"/>
      <w:r>
        <w:rPr>
          <w:b w:val="0"/>
        </w:rPr>
      </w:r>
      <w:bookmarkStart w:name="_bookmark12" w:id="25"/>
      <w:bookmarkEnd w:id="25"/>
      <w:r>
        <w:rPr>
          <w:b w:val="0"/>
        </w:rPr>
      </w:r>
      <w:bookmarkStart w:name="_bookmark13" w:id="26"/>
      <w:bookmarkEnd w:id="26"/>
      <w:r>
        <w:rPr>
          <w:b w:val="0"/>
        </w:rPr>
      </w:r>
      <w:r>
        <w:rPr>
          <w:color w:val="009391"/>
        </w:rPr>
        <w:t>Implications for monetary policy of the third generation mobile spectrum licence auctions</w:t>
      </w:r>
    </w:p>
    <w:p>
      <w:pPr>
        <w:spacing w:after="0" w:line="249" w:lineRule="auto"/>
        <w:sectPr>
          <w:pgSz w:w="11900" w:h="16840"/>
          <w:pgMar w:header="586" w:footer="597" w:top="780" w:bottom="780" w:left="640" w:right="620"/>
        </w:sectPr>
      </w:pPr>
    </w:p>
    <w:p>
      <w:pPr>
        <w:pStyle w:val="Heading9"/>
        <w:spacing w:before="167"/>
        <w:ind w:left="410" w:right="39"/>
      </w:pPr>
      <w:r>
        <w:rPr/>
        <w:t>The UK Government has allocated the limited spectrum for third generation mobile telecommunications licences (3G) for a 21-year period by means of an auction. The five licences have been sold for a total of around £22.5 billion. It is likely that this will be paid in the current financial year. This box addresses the possible implications for UK monetary policy of this windfall to Government finances.</w:t>
      </w:r>
    </w:p>
    <w:p>
      <w:pPr>
        <w:pStyle w:val="BodyText"/>
        <w:rPr>
          <w:sz w:val="20"/>
        </w:rPr>
      </w:pPr>
    </w:p>
    <w:p>
      <w:pPr>
        <w:spacing w:line="237" w:lineRule="auto" w:before="0"/>
        <w:ind w:left="410" w:right="23" w:firstLine="0"/>
        <w:jc w:val="left"/>
        <w:rPr>
          <w:sz w:val="16"/>
        </w:rPr>
      </w:pPr>
      <w:r>
        <w:rPr>
          <w:sz w:val="21"/>
        </w:rPr>
        <w:t>Although the auction revenue will </w:t>
      </w:r>
      <w:r>
        <w:rPr>
          <w:spacing w:val="-3"/>
          <w:sz w:val="21"/>
        </w:rPr>
        <w:t>have </w:t>
      </w:r>
      <w:r>
        <w:rPr>
          <w:sz w:val="21"/>
        </w:rPr>
        <w:t>a substantial impact on the public sector net cash requirement (PSNCR) for the financial year 2000/01, it will </w:t>
      </w:r>
      <w:r>
        <w:rPr>
          <w:spacing w:val="-3"/>
          <w:sz w:val="21"/>
        </w:rPr>
        <w:t>have </w:t>
      </w:r>
      <w:r>
        <w:rPr>
          <w:sz w:val="21"/>
        </w:rPr>
        <w:t>a much smaller effect on public sector net borrowing (PSNB), the </w:t>
      </w:r>
      <w:r>
        <w:rPr>
          <w:spacing w:val="-3"/>
          <w:sz w:val="21"/>
        </w:rPr>
        <w:t>Government’s </w:t>
      </w:r>
      <w:r>
        <w:rPr>
          <w:sz w:val="21"/>
        </w:rPr>
        <w:t>preferred measure of the stance of fiscal </w:t>
      </w:r>
      <w:r>
        <w:rPr>
          <w:spacing w:val="-3"/>
          <w:sz w:val="21"/>
        </w:rPr>
        <w:t>policy. </w:t>
      </w:r>
      <w:r>
        <w:rPr>
          <w:sz w:val="21"/>
        </w:rPr>
        <w:t>The PSNB is the difference between current spending plus net investment and total revenues, in which the licence revenue is spread </w:t>
      </w:r>
      <w:r>
        <w:rPr>
          <w:spacing w:val="-3"/>
          <w:sz w:val="21"/>
        </w:rPr>
        <w:t>over </w:t>
      </w:r>
      <w:r>
        <w:rPr>
          <w:sz w:val="21"/>
        </w:rPr>
        <w:t>the full 21-year licence period, while the PSNCR records the actual cash flows. Relative to the Budget assumptions, the Chancellor has indicated that the extra funds are likely to be used to reduce the </w:t>
      </w:r>
      <w:r>
        <w:rPr>
          <w:spacing w:val="-3"/>
          <w:sz w:val="21"/>
        </w:rPr>
        <w:t>level </w:t>
      </w:r>
      <w:r>
        <w:rPr>
          <w:sz w:val="21"/>
        </w:rPr>
        <w:t>of public sector net debt. Debt management issues arise from this decision, but these can largely be separated from monetary </w:t>
      </w:r>
      <w:r>
        <w:rPr>
          <w:spacing w:val="-4"/>
          <w:sz w:val="21"/>
        </w:rPr>
        <w:t>policy, </w:t>
      </w:r>
      <w:r>
        <w:rPr>
          <w:sz w:val="21"/>
        </w:rPr>
        <w:t>and they are primarily issues for the Debt Management </w:t>
      </w:r>
      <w:r>
        <w:rPr>
          <w:spacing w:val="-3"/>
          <w:sz w:val="21"/>
        </w:rPr>
        <w:t>Office </w:t>
      </w:r>
      <w:r>
        <w:rPr>
          <w:sz w:val="21"/>
        </w:rPr>
        <w:t>(DMO) and the </w:t>
      </w:r>
      <w:r>
        <w:rPr>
          <w:spacing w:val="-3"/>
          <w:sz w:val="21"/>
        </w:rPr>
        <w:t>Treasury.</w:t>
      </w:r>
      <w:r>
        <w:rPr>
          <w:spacing w:val="-3"/>
          <w:position w:val="5"/>
          <w:sz w:val="16"/>
        </w:rPr>
        <w:t>(1)</w:t>
      </w:r>
    </w:p>
    <w:p>
      <w:pPr>
        <w:pStyle w:val="BodyText"/>
        <w:spacing w:before="9"/>
        <w:rPr>
          <w:sz w:val="21"/>
        </w:rPr>
      </w:pPr>
    </w:p>
    <w:p>
      <w:pPr>
        <w:spacing w:before="0"/>
        <w:ind w:left="410" w:right="43" w:firstLine="0"/>
        <w:jc w:val="left"/>
        <w:rPr>
          <w:sz w:val="21"/>
        </w:rPr>
      </w:pPr>
      <w:r>
        <w:rPr>
          <w:sz w:val="21"/>
        </w:rPr>
        <w:t>There will be some continuing impact on Government finances of the lower net debt level, reflecting the fall in interest costs. This will be of the order of a little over £1 billion per annum in a full year. To leave the Government finances in a similar position as before, either taxes could be slightly lower than otherwise or public spending could be slightly higher. But the effects are small relative to the size of total Government current spending of a little over</w:t>
      </w:r>
    </w:p>
    <w:p>
      <w:pPr>
        <w:spacing w:line="237" w:lineRule="auto" w:before="0"/>
        <w:ind w:left="410" w:right="0" w:firstLine="0"/>
        <w:jc w:val="left"/>
        <w:rPr>
          <w:sz w:val="21"/>
        </w:rPr>
      </w:pPr>
      <w:r>
        <w:rPr>
          <w:sz w:val="21"/>
        </w:rPr>
        <w:t>£300 billion. And as plans have already been announced, there will be no change in fiscal policy in the near term. As the Government’s debt-servicing requirements fall, the prospective position for present and future taxpayers is equivalently slightly improved. Given higher prospective lifetime after-tax incomes, consumer spending could rise a little, but the scale of the effects will be too small and uncertain to have a significant effect on prospects for GDP growth or inflation.</w:t>
      </w:r>
    </w:p>
    <w:p>
      <w:pPr>
        <w:pStyle w:val="BodyText"/>
        <w:spacing w:before="6"/>
        <w:rPr>
          <w:sz w:val="20"/>
        </w:rPr>
      </w:pPr>
    </w:p>
    <w:p>
      <w:pPr>
        <w:spacing w:before="0"/>
        <w:ind w:left="410" w:right="0" w:firstLine="0"/>
        <w:jc w:val="left"/>
        <w:rPr>
          <w:sz w:val="21"/>
        </w:rPr>
      </w:pPr>
      <w:r>
        <w:rPr>
          <w:sz w:val="21"/>
        </w:rPr>
        <w:t>Since the companies purchasing the licences will have to finance these payments, their net indebtedness will rise. So the reduction in Government net debt may be offset by an increase in corporate debt. There may also be a wealth effect for shareholders and bondholders of the bidding companies resulting from a new market</w:t>
      </w:r>
    </w:p>
    <w:p>
      <w:pPr>
        <w:spacing w:before="167"/>
        <w:ind w:left="410" w:right="545" w:firstLine="0"/>
        <w:jc w:val="left"/>
        <w:rPr>
          <w:sz w:val="21"/>
        </w:rPr>
      </w:pPr>
      <w:r>
        <w:rPr/>
        <w:br w:type="column"/>
      </w:r>
      <w:r>
        <w:rPr>
          <w:sz w:val="21"/>
        </w:rPr>
        <w:t>valuation of these companies. The size and direction of this will depend on whether the markets fully anticipated the cost of the licences and how they now value the likely profitability of 3G activities.</w:t>
      </w:r>
    </w:p>
    <w:p>
      <w:pPr>
        <w:pStyle w:val="BodyText"/>
        <w:spacing w:before="4"/>
        <w:rPr>
          <w:sz w:val="20"/>
        </w:rPr>
      </w:pPr>
    </w:p>
    <w:p>
      <w:pPr>
        <w:spacing w:before="0"/>
        <w:ind w:left="410" w:right="420" w:firstLine="0"/>
        <w:jc w:val="left"/>
        <w:rPr>
          <w:sz w:val="21"/>
        </w:rPr>
      </w:pPr>
      <w:r>
        <w:rPr>
          <w:sz w:val="21"/>
        </w:rPr>
        <w:t>The increased relative supply of corporate debt may raise the spread between corporate bond rates and gilts, and have an effect on the term structure of bond yields—depending on the maturity structure of the resulting debt sales and purchases. But it is likely that any resulting portfolio shifts will be small relative to the aggregate size of the capital markets, in which case they would have little direct effect on the overall balance of saving and investment in the economy.</w:t>
      </w:r>
    </w:p>
    <w:p>
      <w:pPr>
        <w:spacing w:line="237" w:lineRule="auto" w:before="0"/>
        <w:ind w:left="410" w:right="545" w:firstLine="0"/>
        <w:jc w:val="left"/>
        <w:rPr>
          <w:sz w:val="21"/>
        </w:rPr>
      </w:pPr>
      <w:r>
        <w:rPr>
          <w:sz w:val="21"/>
        </w:rPr>
        <w:t>Accordingly, there should be little direct effect on the equilibrium level of real interest rates. There may, however, be some effects on money and credit aggregates.</w:t>
      </w:r>
    </w:p>
    <w:p>
      <w:pPr>
        <w:pStyle w:val="BodyText"/>
        <w:spacing w:before="1"/>
        <w:rPr>
          <w:sz w:val="20"/>
        </w:rPr>
      </w:pPr>
    </w:p>
    <w:p>
      <w:pPr>
        <w:spacing w:before="0"/>
        <w:ind w:left="410" w:right="435" w:firstLine="0"/>
        <w:jc w:val="left"/>
        <w:rPr>
          <w:sz w:val="21"/>
        </w:rPr>
      </w:pPr>
      <w:r>
        <w:rPr>
          <w:spacing w:val="-9"/>
          <w:sz w:val="21"/>
        </w:rPr>
        <w:t>To </w:t>
      </w:r>
      <w:r>
        <w:rPr>
          <w:sz w:val="21"/>
        </w:rPr>
        <w:t>the extent that some of the corporate debt issuance is in foreign </w:t>
      </w:r>
      <w:r>
        <w:rPr>
          <w:spacing w:val="-3"/>
          <w:sz w:val="21"/>
        </w:rPr>
        <w:t>currency, </w:t>
      </w:r>
      <w:r>
        <w:rPr>
          <w:sz w:val="21"/>
        </w:rPr>
        <w:t>or the Government chooses to run down foreign currency debt (or purchase foreign currency assets), there may be a temporary impact on the</w:t>
      </w:r>
      <w:r>
        <w:rPr>
          <w:spacing w:val="-7"/>
          <w:sz w:val="21"/>
        </w:rPr>
        <w:t> </w:t>
      </w:r>
      <w:r>
        <w:rPr>
          <w:sz w:val="21"/>
        </w:rPr>
        <w:t>exchange</w:t>
      </w:r>
      <w:r>
        <w:rPr>
          <w:spacing w:val="-6"/>
          <w:sz w:val="21"/>
        </w:rPr>
        <w:t> </w:t>
      </w:r>
      <w:r>
        <w:rPr>
          <w:sz w:val="21"/>
        </w:rPr>
        <w:t>rate</w:t>
      </w:r>
      <w:r>
        <w:rPr>
          <w:spacing w:val="-7"/>
          <w:sz w:val="21"/>
        </w:rPr>
        <w:t> </w:t>
      </w:r>
      <w:r>
        <w:rPr>
          <w:sz w:val="21"/>
        </w:rPr>
        <w:t>because</w:t>
      </w:r>
      <w:r>
        <w:rPr>
          <w:spacing w:val="-6"/>
          <w:sz w:val="21"/>
        </w:rPr>
        <w:t> </w:t>
      </w:r>
      <w:r>
        <w:rPr>
          <w:sz w:val="21"/>
        </w:rPr>
        <w:t>of</w:t>
      </w:r>
      <w:r>
        <w:rPr>
          <w:spacing w:val="-6"/>
          <w:sz w:val="21"/>
        </w:rPr>
        <w:t> </w:t>
      </w:r>
      <w:r>
        <w:rPr>
          <w:sz w:val="21"/>
        </w:rPr>
        <w:t>the</w:t>
      </w:r>
      <w:r>
        <w:rPr>
          <w:spacing w:val="-7"/>
          <w:sz w:val="21"/>
        </w:rPr>
        <w:t> </w:t>
      </w:r>
      <w:r>
        <w:rPr>
          <w:sz w:val="21"/>
        </w:rPr>
        <w:t>potentially</w:t>
      </w:r>
      <w:r>
        <w:rPr>
          <w:spacing w:val="-6"/>
          <w:sz w:val="21"/>
        </w:rPr>
        <w:t> </w:t>
      </w:r>
      <w:r>
        <w:rPr>
          <w:sz w:val="21"/>
        </w:rPr>
        <w:t>large</w:t>
      </w:r>
      <w:r>
        <w:rPr>
          <w:spacing w:val="-7"/>
          <w:sz w:val="21"/>
        </w:rPr>
        <w:t> </w:t>
      </w:r>
      <w:r>
        <w:rPr>
          <w:sz w:val="21"/>
        </w:rPr>
        <w:t>flows </w:t>
      </w:r>
      <w:r>
        <w:rPr>
          <w:spacing w:val="-3"/>
          <w:sz w:val="21"/>
        </w:rPr>
        <w:t>involved. </w:t>
      </w:r>
      <w:r>
        <w:rPr>
          <w:sz w:val="21"/>
        </w:rPr>
        <w:t>Foreign currency financing of the licence purchase for example would increase demand for sterling, and foreign currency investment of the proceeds would increase supply of sterling in the foreign exchange markets. </w:t>
      </w:r>
      <w:r>
        <w:rPr>
          <w:spacing w:val="-4"/>
          <w:sz w:val="21"/>
        </w:rPr>
        <w:t>However, </w:t>
      </w:r>
      <w:r>
        <w:rPr>
          <w:sz w:val="21"/>
        </w:rPr>
        <w:t>the MPC has not changed the assumed exchange rate profile over the forecast period on this</w:t>
      </w:r>
      <w:r>
        <w:rPr>
          <w:spacing w:val="-7"/>
          <w:sz w:val="21"/>
        </w:rPr>
        <w:t> </w:t>
      </w:r>
      <w:r>
        <w:rPr>
          <w:sz w:val="21"/>
        </w:rPr>
        <w:t>account.</w:t>
      </w:r>
    </w:p>
    <w:p>
      <w:pPr>
        <w:pStyle w:val="BodyText"/>
        <w:spacing w:before="3"/>
        <w:rPr>
          <w:sz w:val="19"/>
        </w:rPr>
      </w:pPr>
    </w:p>
    <w:p>
      <w:pPr>
        <w:spacing w:before="1"/>
        <w:ind w:left="410" w:right="513" w:firstLine="0"/>
        <w:jc w:val="left"/>
        <w:rPr>
          <w:sz w:val="21"/>
        </w:rPr>
      </w:pPr>
      <w:r>
        <w:rPr>
          <w:sz w:val="21"/>
        </w:rPr>
        <w:t>Innovations such as the </w:t>
      </w:r>
      <w:r>
        <w:rPr>
          <w:spacing w:val="-3"/>
          <w:sz w:val="21"/>
        </w:rPr>
        <w:t>new </w:t>
      </w:r>
      <w:r>
        <w:rPr>
          <w:sz w:val="21"/>
        </w:rPr>
        <w:t>3G telecommunications services may </w:t>
      </w:r>
      <w:r>
        <w:rPr>
          <w:spacing w:val="-3"/>
          <w:sz w:val="21"/>
        </w:rPr>
        <w:t>have </w:t>
      </w:r>
      <w:r>
        <w:rPr>
          <w:sz w:val="21"/>
        </w:rPr>
        <w:t>effects on relative prices and on the productivity and output of firms affected. </w:t>
      </w:r>
      <w:r>
        <w:rPr>
          <w:spacing w:val="-4"/>
          <w:sz w:val="21"/>
        </w:rPr>
        <w:t>However, </w:t>
      </w:r>
      <w:r>
        <w:rPr>
          <w:sz w:val="21"/>
        </w:rPr>
        <w:t>the introduction of </w:t>
      </w:r>
      <w:r>
        <w:rPr>
          <w:spacing w:val="-3"/>
          <w:sz w:val="21"/>
        </w:rPr>
        <w:t>new </w:t>
      </w:r>
      <w:r>
        <w:rPr>
          <w:sz w:val="21"/>
        </w:rPr>
        <w:t>products is happening all the time as part of a continuing process of technological advancement. Such innovations </w:t>
      </w:r>
      <w:r>
        <w:rPr>
          <w:spacing w:val="-3"/>
          <w:sz w:val="21"/>
        </w:rPr>
        <w:t>have </w:t>
      </w:r>
      <w:r>
        <w:rPr>
          <w:sz w:val="21"/>
        </w:rPr>
        <w:t>implications for relative product prices, but not for the rate of inflation of goods and services prices in general, which is determined ultimately by the stance of monetary </w:t>
      </w:r>
      <w:r>
        <w:rPr>
          <w:spacing w:val="-3"/>
          <w:sz w:val="21"/>
        </w:rPr>
        <w:t>policy.</w:t>
      </w:r>
    </w:p>
    <w:p>
      <w:pPr>
        <w:pStyle w:val="BodyText"/>
        <w:spacing w:before="6"/>
        <w:rPr>
          <w:sz w:val="19"/>
        </w:rPr>
      </w:pPr>
    </w:p>
    <w:p>
      <w:pPr>
        <w:spacing w:before="0"/>
        <w:ind w:left="410" w:right="420" w:firstLine="0"/>
        <w:jc w:val="left"/>
        <w:rPr>
          <w:sz w:val="21"/>
        </w:rPr>
      </w:pPr>
      <w:r>
        <w:rPr>
          <w:sz w:val="21"/>
        </w:rPr>
        <w:t>In short, the MPC has not changed any of its assumptions relating to the fiscal stance, other components of aggregate demand or trend supply capacity as a result of the 3G spectrum auctions. The sums of money involved are substantial for the companies concerned and the windfall for the Government represents a significant reduction in Government net debt. However, none of this is on a sufficient scale to change the MPC’s inflation forecast or to alter the required course of monetary policy.</w:t>
      </w:r>
    </w:p>
    <w:p>
      <w:pPr>
        <w:spacing w:after="0"/>
        <w:jc w:val="left"/>
        <w:rPr>
          <w:sz w:val="21"/>
        </w:rPr>
        <w:sectPr>
          <w:type w:val="continuous"/>
          <w:pgSz w:w="11900" w:h="16840"/>
          <w:pgMar w:top="1220" w:bottom="280" w:left="640" w:right="620"/>
          <w:cols w:num="2" w:equalWidth="0">
            <w:col w:w="5064" w:space="78"/>
            <w:col w:w="5498"/>
          </w:cols>
        </w:sectPr>
      </w:pPr>
    </w:p>
    <w:p>
      <w:pPr>
        <w:pStyle w:val="BodyText"/>
        <w:spacing w:before="11"/>
        <w:rPr>
          <w:sz w:val="17"/>
        </w:rPr>
      </w:pPr>
      <w:r>
        <w:rPr/>
        <w:pict>
          <v:group style="position:absolute;margin-left:39.549999pt;margin-top:39.5pt;width:516pt;height:740.5pt;mso-position-horizontal-relative:page;mso-position-vertical-relative:page;z-index:-22720000" coordorigin="791,790" coordsize="10320,14810">
            <v:shape style="position:absolute;left:811;top:810;width:10280;height:14770" coordorigin="811,810" coordsize="10280,14770" path="m11091,810l5965,810,5937,810,811,810,811,8166,811,8224,811,15580,5937,15580,5965,15580,11091,15580,11091,810xe" filled="true" fillcolor="#d7e8e7" stroked="false">
              <v:path arrowok="t"/>
              <v:fill type="solid"/>
            </v:shape>
            <v:shape style="position:absolute;left:890;top:932;width:10122;height:14526" coordorigin="890,932" coordsize="10122,14526" path="m5951,932l890,8195,5951,15458,11012,8195,5951,932xe" filled="true" fillcolor="#d9e8e7" stroked="false">
              <v:path arrowok="t"/>
              <v:fill type="solid"/>
            </v:shape>
            <v:shape style="position:absolute;left:989;top:1074;width:9923;height:14241" coordorigin="989,1075" coordsize="9923,14241" path="m5951,1075l989,8195,5951,15315,10912,8195,5951,1075xe" filled="true" fillcolor="#dae9e8" stroked="false">
              <v:path arrowok="t"/>
              <v:fill type="solid"/>
            </v:shape>
            <v:shape style="position:absolute;left:1088;top:1217;width:9725;height:13956" coordorigin="1089,1217" coordsize="9725,13956" path="m5951,1217l1089,8195,5951,15173,10813,8195,5951,1217xe" filled="true" fillcolor="#daeae8" stroked="false">
              <v:path arrowok="t"/>
              <v:fill type="solid"/>
            </v:shape>
            <v:shape style="position:absolute;left:1187;top:1359;width:9527;height:13671" coordorigin="1188,1360" coordsize="9527,13671" path="m5951,1360l1188,8195,5951,15030,10714,8195,5951,1360xe" filled="true" fillcolor="#dbeae8" stroked="false">
              <v:path arrowok="t"/>
              <v:fill type="solid"/>
            </v:shape>
            <v:shape style="position:absolute;left:1287;top:1501;width:9328;height:13387" coordorigin="1287,1502" coordsize="9328,13387" path="m5951,1502l1287,8195,5951,14888,10615,8195,5951,1502xe" filled="true" fillcolor="#dcebe9" stroked="false">
              <v:path arrowok="t"/>
              <v:fill type="solid"/>
            </v:shape>
            <v:shape style="position:absolute;left:1386;top:1644;width:9130;height:13102" coordorigin="1386,1644" coordsize="9130,13102" path="m5951,1644l1386,8195,5951,14746,10516,8195,5951,1644xe" filled="true" fillcolor="#ddebe9" stroked="false">
              <v:path arrowok="t"/>
              <v:fill type="solid"/>
            </v:shape>
            <v:shape style="position:absolute;left:1485;top:1786;width:8931;height:12817" coordorigin="1486,1787" coordsize="8931,12817" path="m5951,1787l1486,8195,5951,14603,10416,8195,5951,1787xe" filled="true" fillcolor="#ddebea" stroked="false">
              <v:path arrowok="t"/>
              <v:fill type="solid"/>
            </v:shape>
            <v:shape style="position:absolute;left:1584;top:1929;width:8733;height:12532" coordorigin="1585,1929" coordsize="8733,12532" path="m5951,1929l1585,8195,5951,14461,10317,8195,5951,1929xe" filled="true" fillcolor="#dfebea" stroked="false">
              <v:path arrowok="t"/>
              <v:fill type="solid"/>
            </v:shape>
            <v:shape style="position:absolute;left:1684;top:2071;width:8534;height:12247" coordorigin="1684,2072" coordsize="8534,12247" path="m10218,8195l5951,2072,1684,8195,5951,14318,10218,8195xe" filled="true" fillcolor="#dfeceb" stroked="false">
              <v:path arrowok="t"/>
              <v:fill type="solid"/>
            </v:shape>
            <v:shape style="position:absolute;left:1882;top:2356;width:8137;height:11678" coordorigin="1883,2356" coordsize="8137,11678" path="m5951,2356l1883,8195,5951,14034,10019,8195,5951,2356xe" filled="true" fillcolor="#e0eceb" stroked="false">
              <v:path arrowok="t"/>
              <v:fill type="solid"/>
            </v:shape>
            <v:shape style="position:absolute;left:1981;top:2498;width:7939;height:11393" coordorigin="1982,2499" coordsize="7939,11393" path="m5951,2499l1982,8195,5951,13891,9920,8195,5951,2499xe" filled="true" fillcolor="#e0edeb" stroked="false">
              <v:path arrowok="t"/>
              <v:fill type="solid"/>
            </v:shape>
            <v:shape style="position:absolute;left:2081;top:2641;width:7740;height:11108" coordorigin="2081,2641" coordsize="7740,11108" path="m5951,2641l2081,8195,5951,13749,9821,8195,5951,2641xe" filled="true" fillcolor="#e1edeb" stroked="false">
              <v:path arrowok="t"/>
              <v:fill type="solid"/>
            </v:shape>
            <v:shape style="position:absolute;left:2180;top:2783;width:7542;height:10823" coordorigin="2180,2784" coordsize="7542,10823" path="m5951,2784l2180,8195,5951,13606,9722,8195,5951,2784xe" filled="true" fillcolor="#e2edec" stroked="false">
              <v:path arrowok="t"/>
              <v:fill type="solid"/>
            </v:shape>
            <v:shape style="position:absolute;left:2279;top:2925;width:7343;height:10538" coordorigin="2279,2926" coordsize="7343,10538" path="m5951,2926l2279,8195,5951,13464,9622,8195,5951,2926xe" filled="true" fillcolor="#e3eeec" stroked="false">
              <v:path arrowok="t"/>
              <v:fill type="solid"/>
            </v:shape>
            <v:shape style="position:absolute;left:2378;top:3068;width:7145;height:10254" coordorigin="2379,3068" coordsize="7145,10254" path="m5951,3068l2379,8195,5951,13322,9523,8195,5951,3068xe" filled="true" fillcolor="#e4efed" stroked="false">
              <v:path arrowok="t"/>
              <v:fill type="solid"/>
            </v:shape>
            <v:shape style="position:absolute;left:2477;top:3210;width:6947;height:9969" coordorigin="2478,3211" coordsize="6947,9969" path="m5951,3211l2478,8195,5951,13179,9424,8195,5951,3211xe" filled="true" fillcolor="#e6efed" stroked="false">
              <v:path arrowok="t"/>
              <v:fill type="solid"/>
            </v:shape>
            <v:shape style="position:absolute;left:2577;top:3353;width:6748;height:9684" coordorigin="2577,3353" coordsize="6748,9684" path="m5951,3353l2577,8195,5951,13037,9325,8195,5951,3353xe" filled="true" fillcolor="#e6efee" stroked="false">
              <v:path arrowok="t"/>
              <v:fill type="solid"/>
            </v:shape>
            <v:shape style="position:absolute;left:2676;top:3495;width:6550;height:9399" coordorigin="2676,3496" coordsize="6550,9399" path="m5951,3496l2676,8195,5951,12894,9226,8195,5951,3496xe" filled="true" fillcolor="#e7f0ee" stroked="false">
              <v:path arrowok="t"/>
              <v:fill type="solid"/>
            </v:shape>
            <v:shape style="position:absolute;left:2775;top:3637;width:6351;height:9114" coordorigin="2776,3638" coordsize="6351,9114" path="m9126,8195l5951,3638,2776,8195,5951,12752,9126,8195xe" filled="true" fillcolor="#e8f0ee" stroked="false">
              <v:path arrowok="t"/>
              <v:fill type="solid"/>
            </v:shape>
            <v:shape style="position:absolute;left:2974;top:3922;width:5954;height:8545" coordorigin="2974,3923" coordsize="5954,8545" path="m5951,3923l2974,8195,5951,12467,8928,8195,5951,3923xe" filled="true" fillcolor="#eaf1f0" stroked="false">
              <v:path arrowok="t"/>
              <v:fill type="solid"/>
            </v:shape>
            <v:shape style="position:absolute;left:3073;top:4065;width:5756;height:8260" coordorigin="3073,4065" coordsize="5756,8260" path="m8829,8195l5951,4065,3073,8195,5951,12325,8829,8195xe" filled="true" fillcolor="#ebf3f0" stroked="false">
              <v:path arrowok="t"/>
              <v:fill type="solid"/>
            </v:shape>
            <v:shape style="position:absolute;left:3271;top:4350;width:5359;height:7690" coordorigin="3272,4350" coordsize="5359,7690" path="m5951,4350l3272,8195,5951,12040,8630,8195,5951,4350xe" filled="true" fillcolor="#ebf4f1" stroked="false">
              <v:path arrowok="t"/>
              <v:fill type="solid"/>
            </v:shape>
            <v:shape style="position:absolute;left:3371;top:4492;width:5160;height:7406" coordorigin="3371,4492" coordsize="5160,7406" path="m5951,4492l3371,8195,5951,11897,8531,8195,5951,4492xe" filled="true" fillcolor="#ecf4f1" stroked="false">
              <v:path arrowok="t"/>
              <v:fill type="solid"/>
            </v:shape>
            <v:shape style="position:absolute;left:3470;top:4634;width:4962;height:7121" coordorigin="3470,4635" coordsize="4962,7121" path="m5951,4635l3470,8195,5951,11755,8432,8195,5951,4635xe" filled="true" fillcolor="#ecf4f3" stroked="false">
              <v:path arrowok="t"/>
              <v:fill type="solid"/>
            </v:shape>
            <v:shape style="position:absolute;left:3569;top:4777;width:4763;height:6836" coordorigin="3569,4777" coordsize="4763,6836" path="m5951,4777l3569,8195,5951,11613,8332,8195,5951,4777xe" filled="true" fillcolor="#edf5f3" stroked="false">
              <v:path arrowok="t"/>
              <v:fill type="solid"/>
            </v:shape>
            <v:shape style="position:absolute;left:3668;top:4919;width:4565;height:6551" coordorigin="3669,4920" coordsize="4565,6551" path="m5951,4920l3669,8195,5951,11470,8233,8195,5951,4920xe" filled="true" fillcolor="#eef5f4" stroked="false">
              <v:path arrowok="t"/>
              <v:fill type="solid"/>
            </v:shape>
            <v:shape style="position:absolute;left:3767;top:5062;width:4367;height:6266" coordorigin="3768,5062" coordsize="4367,6266" path="m5951,5062l3768,8195,5951,11328,8134,8195,5951,5062xe" filled="true" fillcolor="#eff6f4" stroked="false">
              <v:path arrowok="t"/>
              <v:fill type="solid"/>
            </v:shape>
            <v:shape style="position:absolute;left:3867;top:5204;width:4168;height:5981" coordorigin="3867,5204" coordsize="4168,5981" path="m5951,5204l3867,8195,5951,11185,8035,8195,5951,5204xe" filled="true" fillcolor="#eff6f5" stroked="false">
              <v:path arrowok="t"/>
              <v:fill type="solid"/>
            </v:shape>
            <v:shape style="position:absolute;left:3966;top:5346;width:3970;height:5697" coordorigin="3966,5347" coordsize="3970,5697" path="m5951,5347l3966,8195,5951,11043,7936,8195,5951,5347xe" filled="true" fillcolor="#f0f7f6" stroked="false">
              <v:path arrowok="t"/>
              <v:fill type="solid"/>
            </v:shape>
            <v:shape style="position:absolute;left:4065;top:5489;width:3771;height:5412" coordorigin="4066,5489" coordsize="3771,5412" path="m7836,8195l5951,5489,4066,8195,5951,10901,7836,8195xe" filled="true" fillcolor="#f1f7f6" stroked="false">
              <v:path arrowok="t"/>
              <v:fill type="solid"/>
            </v:shape>
            <v:shape style="position:absolute;left:4264;top:5774;width:3374;height:4842" coordorigin="4264,5774" coordsize="3374,4842" path="m5951,5774l4264,8195,5951,10616,7638,8195,5951,5774xe" filled="true" fillcolor="#f4f8f7" stroked="false">
              <v:path arrowok="t"/>
              <v:fill type="solid"/>
            </v:shape>
            <v:shape style="position:absolute;left:4363;top:5916;width:3176;height:4557" coordorigin="4363,5916" coordsize="3176,4557" path="m5951,5916l4363,8195,5951,10473,7539,8195,5951,5916xe" filled="true" fillcolor="#f4f8f8" stroked="false">
              <v:path arrowok="t"/>
              <v:fill type="solid"/>
            </v:shape>
            <v:shape style="position:absolute;left:4462;top:6058;width:2977;height:4273" coordorigin="4463,6059" coordsize="2977,4273" path="m5951,6059l4463,8195,5951,10331,7439,8195,5951,6059xe" filled="true" fillcolor="#f5f8f8" stroked="false">
              <v:path arrowok="t"/>
              <v:fill type="solid"/>
            </v:shape>
            <v:shape style="position:absolute;left:4561;top:6201;width:2779;height:3988" coordorigin="4562,6201" coordsize="2779,3988" path="m7340,8195l5951,6201,4562,8195,5951,10189,7340,8195xe" filled="true" fillcolor="#f6f8f8" stroked="false">
              <v:path arrowok="t"/>
              <v:fill type="solid"/>
            </v:shape>
            <v:shape style="position:absolute;left:4760;top:6486;width:2382;height:3418" coordorigin="4760,6486" coordsize="2382,3418" path="m5951,6486l4760,8195,5951,9904,7142,8195,5951,6486xe" filled="true" fillcolor="#f7f9f8" stroked="false">
              <v:path arrowok="t"/>
              <v:fill type="solid"/>
            </v:shape>
            <v:shape style="position:absolute;left:4859;top:6628;width:2184;height:3133" coordorigin="4859,6628" coordsize="2184,3133" path="m5951,6628l4859,8195,5951,9761,7042,8195,5951,6628xe" filled="true" fillcolor="#f8f9f8" stroked="false">
              <v:path arrowok="t"/>
              <v:fill type="solid"/>
            </v:shape>
            <v:shape style="position:absolute;left:4958;top:6770;width:1985;height:2849" coordorigin="4959,6771" coordsize="1985,2849" path="m5951,6771l4959,8195,5951,9619,6943,8195,5951,6771xe" filled="true" fillcolor="#f8fafa" stroked="false">
              <v:path arrowok="t"/>
              <v:fill type="solid"/>
            </v:shape>
            <v:shape style="position:absolute;left:5057;top:6913;width:1787;height:2564" coordorigin="5058,6913" coordsize="1787,2564" path="m5951,6913l5058,8195,5951,9477,6844,8195,5951,6913xe" filled="true" fillcolor="#f8fbfa" stroked="false">
              <v:path arrowok="t"/>
              <v:fill type="solid"/>
            </v:shape>
            <v:shape style="position:absolute;left:5157;top:7055;width:1588;height:2279" coordorigin="5157,7056" coordsize="1588,2279" path="m5951,7056l5157,8195,5951,9334,6745,8195,5951,7056xe" filled="true" fillcolor="#f9fbfa" stroked="false">
              <v:path arrowok="t"/>
              <v:fill type="solid"/>
            </v:shape>
            <v:shape style="position:absolute;left:5256;top:7198;width:1390;height:1994" coordorigin="5256,7198" coordsize="1390,1994" path="m5951,7198l5256,8195,5951,9192,6646,8195,5951,7198xe" filled="true" fillcolor="#fafbfb" stroked="false">
              <v:path arrowok="t"/>
              <v:fill type="solid"/>
            </v:shape>
            <v:shape style="position:absolute;left:5355;top:7340;width:1191;height:1709" coordorigin="5356,7341" coordsize="1191,1709" path="m5951,7341l5356,8195,5951,9049,6546,8195,5951,7341xe" filled="true" fillcolor="#fafcfb" stroked="false">
              <v:path arrowok="t"/>
              <v:fill type="solid"/>
            </v:shape>
            <v:shape style="position:absolute;left:5454;top:7482;width:993;height:1425" coordorigin="5455,7483" coordsize="993,1425" path="m5951,7483l5455,8195,5951,8907,6447,8195,5951,7483xe" filled="true" fillcolor="#fbfcfc" stroked="false">
              <v:path arrowok="t"/>
              <v:fill type="solid"/>
            </v:shape>
            <v:shape style="position:absolute;left:5554;top:7625;width:794;height:1140" coordorigin="5554,7625" coordsize="794,1140" path="m5951,7625l5554,8195,5951,8765,6348,8195,5951,7625xe" filled="true" fillcolor="#fcfdfd" stroked="false">
              <v:path arrowok="t"/>
              <v:fill type="solid"/>
            </v:shape>
            <v:shape style="position:absolute;left:5653;top:7767;width:596;height:855" coordorigin="5653,7768" coordsize="596,855" path="m5951,7768l5653,8195,5951,8622,6249,8195,5951,7768xe" filled="true" fillcolor="#fdfdfd" stroked="false">
              <v:path arrowok="t"/>
              <v:fill type="solid"/>
            </v:shape>
            <v:shape style="position:absolute;left:5752;top:7910;width:397;height:570" coordorigin="5752,7910" coordsize="397,570" path="m5951,7910l5752,8195,5951,8480,6149,8195,5951,7910xe" filled="true" fillcolor="#fdfffd" stroked="false">
              <v:path arrowok="t"/>
              <v:fill type="solid"/>
            </v:shape>
            <v:shape style="position:absolute;left:5851;top:8052;width:199;height:285" coordorigin="5852,8053" coordsize="199,285" path="m5951,8053l5852,8195,5951,8337,6050,8195,5951,8053xe" filled="true" fillcolor="#ffffff" stroked="false">
              <v:path arrowok="t"/>
              <v:fill type="solid"/>
            </v:shape>
            <v:rect style="position:absolute;left:801;top:800;width:10300;height:14790" filled="false" stroked="true" strokeweight="1pt" strokecolor="#009391">
              <v:stroke dashstyle="solid"/>
            </v:rect>
            <v:line style="position:absolute" from="1040,14980" to="10890,14980" stroked="true" strokeweight=".125pt" strokecolor="#000000">
              <v:stroke dashstyle="solid"/>
            </v:line>
            <w10:wrap type="none"/>
          </v:group>
        </w:pict>
      </w:r>
    </w:p>
    <w:p>
      <w:pPr>
        <w:pStyle w:val="ListParagraph"/>
        <w:numPr>
          <w:ilvl w:val="1"/>
          <w:numId w:val="6"/>
        </w:numPr>
        <w:tabs>
          <w:tab w:pos="652" w:val="left" w:leader="none"/>
        </w:tabs>
        <w:spacing w:line="208" w:lineRule="auto" w:before="0" w:after="0"/>
        <w:ind w:left="651" w:right="1172" w:hanging="240"/>
        <w:jc w:val="left"/>
        <w:rPr>
          <w:sz w:val="16"/>
        </w:rPr>
      </w:pPr>
      <w:r>
        <w:rPr>
          <w:sz w:val="16"/>
        </w:rPr>
        <w:t>For a discussion of the links between the size and structure of government debt and monetary conditions, see: </w:t>
      </w:r>
      <w:r>
        <w:rPr>
          <w:i/>
          <w:sz w:val="16"/>
        </w:rPr>
        <w:t>Government debt structure </w:t>
      </w:r>
      <w:r>
        <w:rPr>
          <w:i/>
          <w:sz w:val="16"/>
        </w:rPr>
        <w:t>and monetary conditions</w:t>
      </w:r>
      <w:r>
        <w:rPr>
          <w:sz w:val="16"/>
        </w:rPr>
        <w:t>, Chrystal, K A (ed), Bank of England, December</w:t>
      </w:r>
      <w:r>
        <w:rPr>
          <w:spacing w:val="-17"/>
          <w:sz w:val="16"/>
        </w:rPr>
        <w:t> </w:t>
      </w:r>
      <w:r>
        <w:rPr>
          <w:sz w:val="16"/>
        </w:rPr>
        <w:t>1999.</w:t>
      </w:r>
    </w:p>
    <w:p>
      <w:pPr>
        <w:spacing w:after="0" w:line="208" w:lineRule="auto"/>
        <w:jc w:val="left"/>
        <w:rPr>
          <w:sz w:val="16"/>
        </w:rPr>
        <w:sectPr>
          <w:type w:val="continuous"/>
          <w:pgSz w:w="11900" w:h="16840"/>
          <w:pgMar w:top="1220" w:bottom="280" w:left="640" w:right="620"/>
        </w:sectPr>
      </w:pPr>
    </w:p>
    <w:p>
      <w:pPr>
        <w:pStyle w:val="BodyText"/>
        <w:rPr>
          <w:sz w:val="20"/>
        </w:rPr>
      </w:pPr>
    </w:p>
    <w:p>
      <w:pPr>
        <w:spacing w:after="0"/>
        <w:rPr>
          <w:sz w:val="20"/>
        </w:rPr>
        <w:sectPr>
          <w:headerReference w:type="default" r:id="rId56"/>
          <w:headerReference w:type="even" r:id="rId57"/>
          <w:footerReference w:type="default" r:id="rId58"/>
          <w:footerReference w:type="even" r:id="rId59"/>
          <w:pgSz w:w="11900" w:h="16840"/>
          <w:pgMar w:header="586" w:footer="617" w:top="780" w:bottom="800" w:left="640" w:right="620"/>
          <w:pgNumType w:start="11"/>
        </w:sectPr>
      </w:pPr>
    </w:p>
    <w:p>
      <w:pPr>
        <w:pStyle w:val="BodyText"/>
        <w:rPr>
          <w:sz w:val="21"/>
        </w:rPr>
      </w:pPr>
    </w:p>
    <w:p>
      <w:pPr>
        <w:spacing w:before="0"/>
        <w:ind w:left="167" w:right="0" w:firstLine="0"/>
        <w:jc w:val="left"/>
        <w:rPr>
          <w:b/>
          <w:sz w:val="20"/>
        </w:rPr>
      </w:pPr>
      <w:bookmarkStart w:name="Retail rates" w:id="27"/>
      <w:bookmarkEnd w:id="27"/>
      <w:r>
        <w:rPr/>
      </w:r>
      <w:bookmarkStart w:name="Equity prices" w:id="28"/>
      <w:bookmarkEnd w:id="28"/>
      <w:r>
        <w:rPr/>
      </w:r>
      <w:bookmarkStart w:name="Property prices" w:id="29"/>
      <w:bookmarkEnd w:id="29"/>
      <w:r>
        <w:rPr/>
      </w:r>
      <w:bookmarkStart w:name="_bookmark14" w:id="30"/>
      <w:bookmarkEnd w:id="30"/>
      <w:r>
        <w:rPr/>
      </w:r>
      <w:r>
        <w:rPr>
          <w:b/>
          <w:color w:val="0092C7"/>
          <w:sz w:val="20"/>
        </w:rPr>
        <w:t>Chart 1.14</w:t>
      </w:r>
    </w:p>
    <w:p>
      <w:pPr>
        <w:spacing w:before="10"/>
        <w:ind w:left="167" w:right="0" w:firstLine="0"/>
        <w:jc w:val="left"/>
        <w:rPr>
          <w:b/>
          <w:sz w:val="20"/>
        </w:rPr>
      </w:pPr>
      <w:r>
        <w:rPr>
          <w:b/>
          <w:color w:val="0092C7"/>
          <w:sz w:val="20"/>
        </w:rPr>
        <w:t>Ten-year nominal spot interest rates</w:t>
      </w:r>
    </w:p>
    <w:p>
      <w:pPr>
        <w:spacing w:before="76"/>
        <w:ind w:left="0" w:right="16" w:firstLine="0"/>
        <w:jc w:val="right"/>
        <w:rPr>
          <w:sz w:val="12"/>
        </w:rPr>
      </w:pPr>
      <w:r>
        <w:rPr/>
        <w:pict>
          <v:group style="position:absolute;margin-left:53.845001pt;margin-top:21.944408pt;width:146.5pt;height:128pt;mso-position-horizontal-relative:page;mso-position-vertical-relative:paragraph;z-index:15900160" coordorigin="1077,439" coordsize="2930,2560">
            <v:shape style="position:absolute;left:1076;top:438;width:2930;height:2560" type="#_x0000_t75" stroked="false">
              <v:imagedata r:id="rId60" o:title=""/>
            </v:shape>
            <v:shape style="position:absolute;left:1479;top:566;width:830;height:134" type="#_x0000_t202" filled="false" stroked="false">
              <v:textbox inset="0,0,0,0">
                <w:txbxContent>
                  <w:p>
                    <w:pPr>
                      <w:spacing w:line="133" w:lineRule="exact" w:before="0"/>
                      <w:ind w:left="0" w:right="0" w:firstLine="0"/>
                      <w:jc w:val="left"/>
                      <w:rPr>
                        <w:sz w:val="12"/>
                      </w:rPr>
                    </w:pPr>
                    <w:r>
                      <w:rPr>
                        <w:sz w:val="12"/>
                      </w:rPr>
                      <w:t>United Kingdom</w:t>
                    </w:r>
                  </w:p>
                </w:txbxContent>
              </v:textbox>
              <w10:wrap type="none"/>
            </v:shape>
            <v:shape style="position:absolute;left:2939;top:1051;width:664;height:134" type="#_x0000_t202" filled="false" stroked="false">
              <v:textbox inset="0,0,0,0">
                <w:txbxContent>
                  <w:p>
                    <w:pPr>
                      <w:spacing w:line="133" w:lineRule="exact" w:before="0"/>
                      <w:ind w:left="0" w:right="0" w:firstLine="0"/>
                      <w:jc w:val="left"/>
                      <w:rPr>
                        <w:sz w:val="12"/>
                      </w:rPr>
                    </w:pPr>
                    <w:r>
                      <w:rPr>
                        <w:sz w:val="12"/>
                      </w:rPr>
                      <w:t>United States</w:t>
                    </w:r>
                  </w:p>
                </w:txbxContent>
              </v:textbox>
              <w10:wrap type="none"/>
            </v:shape>
            <v:shape style="position:absolute;left:1246;top:2164;width:647;height:134" type="#_x0000_t202" filled="false" stroked="false">
              <v:textbox inset="0,0,0,0">
                <w:txbxContent>
                  <w:p>
                    <w:pPr>
                      <w:spacing w:line="133" w:lineRule="exact" w:before="0"/>
                      <w:ind w:left="0" w:right="0" w:firstLine="0"/>
                      <w:jc w:val="left"/>
                      <w:rPr>
                        <w:sz w:val="12"/>
                      </w:rPr>
                    </w:pPr>
                    <w:r>
                      <w:rPr>
                        <w:sz w:val="12"/>
                      </w:rPr>
                      <w:t>Euro area (a)</w:t>
                    </w:r>
                  </w:p>
                </w:txbxContent>
              </v:textbox>
              <w10:wrap type="none"/>
            </v:shape>
            <w10:wrap type="none"/>
          </v:group>
        </w:pict>
      </w:r>
      <w:r>
        <w:rPr/>
        <w:drawing>
          <wp:anchor distT="0" distB="0" distL="0" distR="0" allowOverlap="1" layoutInCell="1" locked="0" behindDoc="0" simplePos="0" relativeHeight="15900672">
            <wp:simplePos x="0" y="0"/>
            <wp:positionH relativeFrom="page">
              <wp:posOffset>555244</wp:posOffset>
            </wp:positionH>
            <wp:positionV relativeFrom="paragraph">
              <wp:posOffset>367530</wp:posOffset>
            </wp:positionV>
            <wp:extent cx="54478" cy="6286"/>
            <wp:effectExtent l="0" t="0" r="0" b="0"/>
            <wp:wrapNone/>
            <wp:docPr id="105" name="image19.png"/>
            <wp:cNvGraphicFramePr>
              <a:graphicFrameLocks noChangeAspect="1"/>
            </wp:cNvGraphicFramePr>
            <a:graphic>
              <a:graphicData uri="http://schemas.openxmlformats.org/drawingml/2006/picture">
                <pic:pic>
                  <pic:nvPicPr>
                    <pic:cNvPr id="106"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901184">
            <wp:simplePos x="0" y="0"/>
            <wp:positionH relativeFrom="page">
              <wp:posOffset>555244</wp:posOffset>
            </wp:positionH>
            <wp:positionV relativeFrom="paragraph">
              <wp:posOffset>572127</wp:posOffset>
            </wp:positionV>
            <wp:extent cx="54478" cy="6286"/>
            <wp:effectExtent l="0" t="0" r="0" b="0"/>
            <wp:wrapNone/>
            <wp:docPr id="107" name="image19.png"/>
            <wp:cNvGraphicFramePr>
              <a:graphicFrameLocks noChangeAspect="1"/>
            </wp:cNvGraphicFramePr>
            <a:graphic>
              <a:graphicData uri="http://schemas.openxmlformats.org/drawingml/2006/picture">
                <pic:pic>
                  <pic:nvPicPr>
                    <pic:cNvPr id="108"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901696">
            <wp:simplePos x="0" y="0"/>
            <wp:positionH relativeFrom="page">
              <wp:posOffset>555244</wp:posOffset>
            </wp:positionH>
            <wp:positionV relativeFrom="paragraph">
              <wp:posOffset>776724</wp:posOffset>
            </wp:positionV>
            <wp:extent cx="54478" cy="6286"/>
            <wp:effectExtent l="0" t="0" r="0" b="0"/>
            <wp:wrapNone/>
            <wp:docPr id="109" name="image19.png"/>
            <wp:cNvGraphicFramePr>
              <a:graphicFrameLocks noChangeAspect="1"/>
            </wp:cNvGraphicFramePr>
            <a:graphic>
              <a:graphicData uri="http://schemas.openxmlformats.org/drawingml/2006/picture">
                <pic:pic>
                  <pic:nvPicPr>
                    <pic:cNvPr id="110"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902208">
            <wp:simplePos x="0" y="0"/>
            <wp:positionH relativeFrom="page">
              <wp:posOffset>555244</wp:posOffset>
            </wp:positionH>
            <wp:positionV relativeFrom="paragraph">
              <wp:posOffset>981321</wp:posOffset>
            </wp:positionV>
            <wp:extent cx="54478" cy="6286"/>
            <wp:effectExtent l="0" t="0" r="0" b="0"/>
            <wp:wrapNone/>
            <wp:docPr id="111" name="image19.png"/>
            <wp:cNvGraphicFramePr>
              <a:graphicFrameLocks noChangeAspect="1"/>
            </wp:cNvGraphicFramePr>
            <a:graphic>
              <a:graphicData uri="http://schemas.openxmlformats.org/drawingml/2006/picture">
                <pic:pic>
                  <pic:nvPicPr>
                    <pic:cNvPr id="112"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902720">
            <wp:simplePos x="0" y="0"/>
            <wp:positionH relativeFrom="page">
              <wp:posOffset>555244</wp:posOffset>
            </wp:positionH>
            <wp:positionV relativeFrom="paragraph">
              <wp:posOffset>1185918</wp:posOffset>
            </wp:positionV>
            <wp:extent cx="55304" cy="6381"/>
            <wp:effectExtent l="0" t="0" r="0" b="0"/>
            <wp:wrapNone/>
            <wp:docPr id="113" name="image15.png"/>
            <wp:cNvGraphicFramePr>
              <a:graphicFrameLocks noChangeAspect="1"/>
            </wp:cNvGraphicFramePr>
            <a:graphic>
              <a:graphicData uri="http://schemas.openxmlformats.org/drawingml/2006/picture">
                <pic:pic>
                  <pic:nvPicPr>
                    <pic:cNvPr id="114"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904768">
            <wp:simplePos x="0" y="0"/>
            <wp:positionH relativeFrom="page">
              <wp:posOffset>2608414</wp:posOffset>
            </wp:positionH>
            <wp:positionV relativeFrom="paragraph">
              <wp:posOffset>367403</wp:posOffset>
            </wp:positionV>
            <wp:extent cx="54478" cy="6286"/>
            <wp:effectExtent l="0" t="0" r="0" b="0"/>
            <wp:wrapNone/>
            <wp:docPr id="115" name="image19.png"/>
            <wp:cNvGraphicFramePr>
              <a:graphicFrameLocks noChangeAspect="1"/>
            </wp:cNvGraphicFramePr>
            <a:graphic>
              <a:graphicData uri="http://schemas.openxmlformats.org/drawingml/2006/picture">
                <pic:pic>
                  <pic:nvPicPr>
                    <pic:cNvPr id="116"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905280">
            <wp:simplePos x="0" y="0"/>
            <wp:positionH relativeFrom="page">
              <wp:posOffset>2608414</wp:posOffset>
            </wp:positionH>
            <wp:positionV relativeFrom="paragraph">
              <wp:posOffset>572000</wp:posOffset>
            </wp:positionV>
            <wp:extent cx="54478" cy="6286"/>
            <wp:effectExtent l="0" t="0" r="0" b="0"/>
            <wp:wrapNone/>
            <wp:docPr id="117" name="image19.png"/>
            <wp:cNvGraphicFramePr>
              <a:graphicFrameLocks noChangeAspect="1"/>
            </wp:cNvGraphicFramePr>
            <a:graphic>
              <a:graphicData uri="http://schemas.openxmlformats.org/drawingml/2006/picture">
                <pic:pic>
                  <pic:nvPicPr>
                    <pic:cNvPr id="118"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905792">
            <wp:simplePos x="0" y="0"/>
            <wp:positionH relativeFrom="page">
              <wp:posOffset>2608414</wp:posOffset>
            </wp:positionH>
            <wp:positionV relativeFrom="paragraph">
              <wp:posOffset>776597</wp:posOffset>
            </wp:positionV>
            <wp:extent cx="54478" cy="6286"/>
            <wp:effectExtent l="0" t="0" r="0" b="0"/>
            <wp:wrapNone/>
            <wp:docPr id="119" name="image19.png"/>
            <wp:cNvGraphicFramePr>
              <a:graphicFrameLocks noChangeAspect="1"/>
            </wp:cNvGraphicFramePr>
            <a:graphic>
              <a:graphicData uri="http://schemas.openxmlformats.org/drawingml/2006/picture">
                <pic:pic>
                  <pic:nvPicPr>
                    <pic:cNvPr id="120"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906304">
            <wp:simplePos x="0" y="0"/>
            <wp:positionH relativeFrom="page">
              <wp:posOffset>2608414</wp:posOffset>
            </wp:positionH>
            <wp:positionV relativeFrom="paragraph">
              <wp:posOffset>981194</wp:posOffset>
            </wp:positionV>
            <wp:extent cx="54478" cy="6286"/>
            <wp:effectExtent l="0" t="0" r="0" b="0"/>
            <wp:wrapNone/>
            <wp:docPr id="121" name="image19.png"/>
            <wp:cNvGraphicFramePr>
              <a:graphicFrameLocks noChangeAspect="1"/>
            </wp:cNvGraphicFramePr>
            <a:graphic>
              <a:graphicData uri="http://schemas.openxmlformats.org/drawingml/2006/picture">
                <pic:pic>
                  <pic:nvPicPr>
                    <pic:cNvPr id="122"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15906816">
            <wp:simplePos x="0" y="0"/>
            <wp:positionH relativeFrom="page">
              <wp:posOffset>2608414</wp:posOffset>
            </wp:positionH>
            <wp:positionV relativeFrom="paragraph">
              <wp:posOffset>1185791</wp:posOffset>
            </wp:positionV>
            <wp:extent cx="55304" cy="6381"/>
            <wp:effectExtent l="0" t="0" r="0" b="0"/>
            <wp:wrapNone/>
            <wp:docPr id="123" name="image15.png"/>
            <wp:cNvGraphicFramePr>
              <a:graphicFrameLocks noChangeAspect="1"/>
            </wp:cNvGraphicFramePr>
            <a:graphic>
              <a:graphicData uri="http://schemas.openxmlformats.org/drawingml/2006/picture">
                <pic:pic>
                  <pic:nvPicPr>
                    <pic:cNvPr id="124" name="image15.png"/>
                    <pic:cNvPicPr/>
                  </pic:nvPicPr>
                  <pic:blipFill>
                    <a:blip r:embed="rId46" cstate="print"/>
                    <a:stretch>
                      <a:fillRect/>
                    </a:stretch>
                  </pic:blipFill>
                  <pic:spPr>
                    <a:xfrm>
                      <a:off x="0" y="0"/>
                      <a:ext cx="55304" cy="6381"/>
                    </a:xfrm>
                    <a:prstGeom prst="rect">
                      <a:avLst/>
                    </a:prstGeom>
                  </pic:spPr>
                </pic:pic>
              </a:graphicData>
            </a:graphic>
          </wp:anchor>
        </w:drawing>
      </w:r>
      <w:r>
        <w:rPr>
          <w:sz w:val="12"/>
        </w:rPr>
        <w:t>Per cent</w:t>
      </w:r>
    </w:p>
    <w:p>
      <w:pPr>
        <w:pStyle w:val="BodyText"/>
        <w:spacing w:before="8"/>
        <w:rPr>
          <w:sz w:val="3"/>
        </w:rPr>
      </w:pPr>
    </w:p>
    <w:p>
      <w:pPr>
        <w:tabs>
          <w:tab w:pos="3467" w:val="left" w:leader="none"/>
        </w:tabs>
        <w:spacing w:line="20" w:lineRule="exact"/>
        <w:ind w:left="234" w:right="-15" w:firstLine="0"/>
        <w:rPr>
          <w:sz w:val="2"/>
        </w:rPr>
      </w:pPr>
      <w:r>
        <w:rPr>
          <w:sz w:val="2"/>
        </w:rPr>
        <w:drawing>
          <wp:inline distT="0" distB="0" distL="0" distR="0">
            <wp:extent cx="54478" cy="6286"/>
            <wp:effectExtent l="0" t="0" r="0" b="0"/>
            <wp:docPr id="125" name="image19.png"/>
            <wp:cNvGraphicFramePr>
              <a:graphicFrameLocks noChangeAspect="1"/>
            </wp:cNvGraphicFramePr>
            <a:graphic>
              <a:graphicData uri="http://schemas.openxmlformats.org/drawingml/2006/picture">
                <pic:pic>
                  <pic:nvPicPr>
                    <pic:cNvPr id="126" name="image19.png"/>
                    <pic:cNvPicPr/>
                  </pic:nvPicPr>
                  <pic:blipFill>
                    <a:blip r:embed="rId50" cstate="print"/>
                    <a:stretch>
                      <a:fillRect/>
                    </a:stretch>
                  </pic:blipFill>
                  <pic:spPr>
                    <a:xfrm>
                      <a:off x="0" y="0"/>
                      <a:ext cx="54478" cy="6286"/>
                    </a:xfrm>
                    <a:prstGeom prst="rect">
                      <a:avLst/>
                    </a:prstGeom>
                  </pic:spPr>
                </pic:pic>
              </a:graphicData>
            </a:graphic>
          </wp:inline>
        </w:drawing>
      </w:r>
      <w:r>
        <w:rPr>
          <w:sz w:val="2"/>
        </w:rPr>
      </w:r>
      <w:r>
        <w:rPr>
          <w:sz w:val="2"/>
        </w:rPr>
        <w:tab/>
      </w:r>
      <w:r>
        <w:rPr>
          <w:sz w:val="2"/>
        </w:rPr>
        <w:drawing>
          <wp:inline distT="0" distB="0" distL="0" distR="0">
            <wp:extent cx="54478" cy="6286"/>
            <wp:effectExtent l="0" t="0" r="0" b="0"/>
            <wp:docPr id="127" name="image19.png"/>
            <wp:cNvGraphicFramePr>
              <a:graphicFrameLocks noChangeAspect="1"/>
            </wp:cNvGraphicFramePr>
            <a:graphic>
              <a:graphicData uri="http://schemas.openxmlformats.org/drawingml/2006/picture">
                <pic:pic>
                  <pic:nvPicPr>
                    <pic:cNvPr id="128" name="image19.png"/>
                    <pic:cNvPicPr/>
                  </pic:nvPicPr>
                  <pic:blipFill>
                    <a:blip r:embed="rId50" cstate="print"/>
                    <a:stretch>
                      <a:fillRect/>
                    </a:stretch>
                  </pic:blipFill>
                  <pic:spPr>
                    <a:xfrm>
                      <a:off x="0" y="0"/>
                      <a:ext cx="54478" cy="6286"/>
                    </a:xfrm>
                    <a:prstGeom prst="rect">
                      <a:avLst/>
                    </a:prstGeom>
                  </pic:spPr>
                </pic:pic>
              </a:graphicData>
            </a:graphic>
          </wp:inline>
        </w:drawing>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r>
        <w:rPr/>
        <w:drawing>
          <wp:anchor distT="0" distB="0" distL="0" distR="0" allowOverlap="1" layoutInCell="1" locked="0" behindDoc="0" simplePos="0" relativeHeight="319">
            <wp:simplePos x="0" y="0"/>
            <wp:positionH relativeFrom="page">
              <wp:posOffset>543420</wp:posOffset>
            </wp:positionH>
            <wp:positionV relativeFrom="paragraph">
              <wp:posOffset>220966</wp:posOffset>
            </wp:positionV>
            <wp:extent cx="2120556" cy="97154"/>
            <wp:effectExtent l="0" t="0" r="0" b="0"/>
            <wp:wrapTopAndBottom/>
            <wp:docPr id="129" name="image26.png"/>
            <wp:cNvGraphicFramePr>
              <a:graphicFrameLocks noChangeAspect="1"/>
            </wp:cNvGraphicFramePr>
            <a:graphic>
              <a:graphicData uri="http://schemas.openxmlformats.org/drawingml/2006/picture">
                <pic:pic>
                  <pic:nvPicPr>
                    <pic:cNvPr id="130" name="image26.png"/>
                    <pic:cNvPicPr/>
                  </pic:nvPicPr>
                  <pic:blipFill>
                    <a:blip r:embed="rId61" cstate="print"/>
                    <a:stretch>
                      <a:fillRect/>
                    </a:stretch>
                  </pic:blipFill>
                  <pic:spPr>
                    <a:xfrm>
                      <a:off x="0" y="0"/>
                      <a:ext cx="2120556" cy="97154"/>
                    </a:xfrm>
                    <a:prstGeom prst="rect">
                      <a:avLst/>
                    </a:prstGeom>
                  </pic:spPr>
                </pic:pic>
              </a:graphicData>
            </a:graphic>
          </wp:anchor>
        </w:drawing>
      </w:r>
    </w:p>
    <w:p>
      <w:pPr>
        <w:tabs>
          <w:tab w:pos="1645" w:val="left" w:leader="none"/>
          <w:tab w:pos="2535" w:val="left" w:leader="none"/>
          <w:tab w:pos="3148" w:val="left" w:leader="none"/>
        </w:tabs>
        <w:spacing w:before="28"/>
        <w:ind w:left="633" w:right="0" w:firstLine="0"/>
        <w:jc w:val="left"/>
        <w:rPr>
          <w:sz w:val="12"/>
        </w:rPr>
      </w:pPr>
      <w:r>
        <w:rPr>
          <w:sz w:val="12"/>
        </w:rPr>
        <w:t>1997</w:t>
        <w:tab/>
        <w:t>98</w:t>
        <w:tab/>
        <w:t>99</w:t>
        <w:tab/>
        <w:t>2000</w:t>
      </w:r>
    </w:p>
    <w:p>
      <w:pPr>
        <w:spacing w:before="21"/>
        <w:ind w:left="174" w:right="0" w:firstLine="0"/>
        <w:jc w:val="left"/>
        <w:rPr>
          <w:sz w:val="12"/>
        </w:rPr>
      </w:pPr>
      <w:r>
        <w:rPr/>
        <w:drawing>
          <wp:anchor distT="0" distB="0" distL="0" distR="0" allowOverlap="1" layoutInCell="1" locked="0" behindDoc="0" simplePos="0" relativeHeight="15903232">
            <wp:simplePos x="0" y="0"/>
            <wp:positionH relativeFrom="page">
              <wp:posOffset>555244</wp:posOffset>
            </wp:positionH>
            <wp:positionV relativeFrom="paragraph">
              <wp:posOffset>-833354</wp:posOffset>
            </wp:positionV>
            <wp:extent cx="55304" cy="6381"/>
            <wp:effectExtent l="0" t="0" r="0" b="0"/>
            <wp:wrapNone/>
            <wp:docPr id="131" name="image15.png"/>
            <wp:cNvGraphicFramePr>
              <a:graphicFrameLocks noChangeAspect="1"/>
            </wp:cNvGraphicFramePr>
            <a:graphic>
              <a:graphicData uri="http://schemas.openxmlformats.org/drawingml/2006/picture">
                <pic:pic>
                  <pic:nvPicPr>
                    <pic:cNvPr id="132"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903744">
            <wp:simplePos x="0" y="0"/>
            <wp:positionH relativeFrom="page">
              <wp:posOffset>555244</wp:posOffset>
            </wp:positionH>
            <wp:positionV relativeFrom="paragraph">
              <wp:posOffset>-628757</wp:posOffset>
            </wp:positionV>
            <wp:extent cx="55304" cy="6381"/>
            <wp:effectExtent l="0" t="0" r="0" b="0"/>
            <wp:wrapNone/>
            <wp:docPr id="133" name="image15.png"/>
            <wp:cNvGraphicFramePr>
              <a:graphicFrameLocks noChangeAspect="1"/>
            </wp:cNvGraphicFramePr>
            <a:graphic>
              <a:graphicData uri="http://schemas.openxmlformats.org/drawingml/2006/picture">
                <pic:pic>
                  <pic:nvPicPr>
                    <pic:cNvPr id="134"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904256">
            <wp:simplePos x="0" y="0"/>
            <wp:positionH relativeFrom="page">
              <wp:posOffset>555244</wp:posOffset>
            </wp:positionH>
            <wp:positionV relativeFrom="paragraph">
              <wp:posOffset>-424160</wp:posOffset>
            </wp:positionV>
            <wp:extent cx="55304" cy="6381"/>
            <wp:effectExtent l="0" t="0" r="0" b="0"/>
            <wp:wrapNone/>
            <wp:docPr id="135" name="image15.png"/>
            <wp:cNvGraphicFramePr>
              <a:graphicFrameLocks noChangeAspect="1"/>
            </wp:cNvGraphicFramePr>
            <a:graphic>
              <a:graphicData uri="http://schemas.openxmlformats.org/drawingml/2006/picture">
                <pic:pic>
                  <pic:nvPicPr>
                    <pic:cNvPr id="136"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907328">
            <wp:simplePos x="0" y="0"/>
            <wp:positionH relativeFrom="page">
              <wp:posOffset>2608414</wp:posOffset>
            </wp:positionH>
            <wp:positionV relativeFrom="paragraph">
              <wp:posOffset>-833481</wp:posOffset>
            </wp:positionV>
            <wp:extent cx="55304" cy="6381"/>
            <wp:effectExtent l="0" t="0" r="0" b="0"/>
            <wp:wrapNone/>
            <wp:docPr id="137" name="image15.png"/>
            <wp:cNvGraphicFramePr>
              <a:graphicFrameLocks noChangeAspect="1"/>
            </wp:cNvGraphicFramePr>
            <a:graphic>
              <a:graphicData uri="http://schemas.openxmlformats.org/drawingml/2006/picture">
                <pic:pic>
                  <pic:nvPicPr>
                    <pic:cNvPr id="138"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907840">
            <wp:simplePos x="0" y="0"/>
            <wp:positionH relativeFrom="page">
              <wp:posOffset>2608414</wp:posOffset>
            </wp:positionH>
            <wp:positionV relativeFrom="paragraph">
              <wp:posOffset>-628884</wp:posOffset>
            </wp:positionV>
            <wp:extent cx="55304" cy="6381"/>
            <wp:effectExtent l="0" t="0" r="0" b="0"/>
            <wp:wrapNone/>
            <wp:docPr id="139" name="image15.png"/>
            <wp:cNvGraphicFramePr>
              <a:graphicFrameLocks noChangeAspect="1"/>
            </wp:cNvGraphicFramePr>
            <a:graphic>
              <a:graphicData uri="http://schemas.openxmlformats.org/drawingml/2006/picture">
                <pic:pic>
                  <pic:nvPicPr>
                    <pic:cNvPr id="140"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5908352">
            <wp:simplePos x="0" y="0"/>
            <wp:positionH relativeFrom="page">
              <wp:posOffset>2608414</wp:posOffset>
            </wp:positionH>
            <wp:positionV relativeFrom="paragraph">
              <wp:posOffset>-424287</wp:posOffset>
            </wp:positionV>
            <wp:extent cx="55304" cy="6381"/>
            <wp:effectExtent l="0" t="0" r="0" b="0"/>
            <wp:wrapNone/>
            <wp:docPr id="141" name="image15.png"/>
            <wp:cNvGraphicFramePr>
              <a:graphicFrameLocks noChangeAspect="1"/>
            </wp:cNvGraphicFramePr>
            <a:graphic>
              <a:graphicData uri="http://schemas.openxmlformats.org/drawingml/2006/picture">
                <pic:pic>
                  <pic:nvPicPr>
                    <pic:cNvPr id="142" name="image15.png"/>
                    <pic:cNvPicPr/>
                  </pic:nvPicPr>
                  <pic:blipFill>
                    <a:blip r:embed="rId46" cstate="print"/>
                    <a:stretch>
                      <a:fillRect/>
                    </a:stretch>
                  </pic:blipFill>
                  <pic:spPr>
                    <a:xfrm>
                      <a:off x="0" y="0"/>
                      <a:ext cx="55304" cy="6381"/>
                    </a:xfrm>
                    <a:prstGeom prst="rect">
                      <a:avLst/>
                    </a:prstGeom>
                  </pic:spPr>
                </pic:pic>
              </a:graphicData>
            </a:graphic>
          </wp:anchor>
        </w:drawing>
      </w:r>
      <w:r>
        <w:rPr>
          <w:sz w:val="12"/>
        </w:rPr>
        <w:t>Source: Bank of England.</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6"/>
        </w:rPr>
      </w:pPr>
    </w:p>
    <w:p>
      <w:pPr>
        <w:spacing w:before="0"/>
        <w:ind w:left="49" w:right="0" w:firstLine="0"/>
        <w:jc w:val="left"/>
        <w:rPr>
          <w:sz w:val="12"/>
        </w:rPr>
      </w:pPr>
      <w:r>
        <w:rPr>
          <w:sz w:val="12"/>
        </w:rPr>
        <w:t>8.0</w:t>
      </w:r>
    </w:p>
    <w:p>
      <w:pPr>
        <w:pStyle w:val="BodyText"/>
        <w:rPr>
          <w:sz w:val="16"/>
        </w:rPr>
      </w:pPr>
    </w:p>
    <w:p>
      <w:pPr>
        <w:spacing w:before="0"/>
        <w:ind w:left="49" w:right="0" w:firstLine="0"/>
        <w:jc w:val="left"/>
        <w:rPr>
          <w:sz w:val="12"/>
        </w:rPr>
      </w:pPr>
      <w:r>
        <w:rPr>
          <w:sz w:val="12"/>
        </w:rPr>
        <w:t>7.5</w:t>
      </w:r>
    </w:p>
    <w:p>
      <w:pPr>
        <w:pStyle w:val="BodyText"/>
        <w:spacing w:before="10"/>
        <w:rPr>
          <w:sz w:val="15"/>
        </w:rPr>
      </w:pPr>
    </w:p>
    <w:p>
      <w:pPr>
        <w:spacing w:before="0"/>
        <w:ind w:left="49" w:right="0" w:firstLine="0"/>
        <w:jc w:val="left"/>
        <w:rPr>
          <w:sz w:val="12"/>
        </w:rPr>
      </w:pPr>
      <w:r>
        <w:rPr>
          <w:sz w:val="12"/>
        </w:rPr>
        <w:t>7.0</w:t>
      </w:r>
    </w:p>
    <w:p>
      <w:pPr>
        <w:pStyle w:val="BodyText"/>
        <w:spacing w:before="9"/>
        <w:rPr>
          <w:sz w:val="15"/>
        </w:rPr>
      </w:pPr>
    </w:p>
    <w:p>
      <w:pPr>
        <w:spacing w:before="0"/>
        <w:ind w:left="49" w:right="0" w:firstLine="0"/>
        <w:jc w:val="left"/>
        <w:rPr>
          <w:sz w:val="12"/>
        </w:rPr>
      </w:pPr>
      <w:r>
        <w:rPr>
          <w:sz w:val="12"/>
        </w:rPr>
        <w:t>6.5</w:t>
      </w:r>
    </w:p>
    <w:p>
      <w:pPr>
        <w:pStyle w:val="BodyText"/>
        <w:spacing w:before="1"/>
        <w:rPr>
          <w:sz w:val="16"/>
        </w:rPr>
      </w:pPr>
    </w:p>
    <w:p>
      <w:pPr>
        <w:spacing w:before="0"/>
        <w:ind w:left="49" w:right="0" w:firstLine="0"/>
        <w:jc w:val="left"/>
        <w:rPr>
          <w:sz w:val="12"/>
        </w:rPr>
      </w:pPr>
      <w:r>
        <w:rPr>
          <w:sz w:val="12"/>
        </w:rPr>
        <w:t>6.0</w:t>
      </w:r>
    </w:p>
    <w:p>
      <w:pPr>
        <w:pStyle w:val="BodyText"/>
        <w:spacing w:before="1"/>
        <w:rPr>
          <w:sz w:val="17"/>
        </w:rPr>
      </w:pPr>
    </w:p>
    <w:p>
      <w:pPr>
        <w:spacing w:before="0"/>
        <w:ind w:left="49" w:right="0" w:firstLine="0"/>
        <w:jc w:val="left"/>
        <w:rPr>
          <w:sz w:val="12"/>
        </w:rPr>
      </w:pPr>
      <w:r>
        <w:rPr>
          <w:sz w:val="12"/>
        </w:rPr>
        <w:t>5.5</w:t>
      </w:r>
    </w:p>
    <w:p>
      <w:pPr>
        <w:pStyle w:val="BodyText"/>
        <w:spacing w:before="10"/>
        <w:rPr>
          <w:sz w:val="15"/>
        </w:rPr>
      </w:pPr>
    </w:p>
    <w:p>
      <w:pPr>
        <w:spacing w:before="0"/>
        <w:ind w:left="49" w:right="0" w:firstLine="0"/>
        <w:jc w:val="left"/>
        <w:rPr>
          <w:sz w:val="12"/>
        </w:rPr>
      </w:pPr>
      <w:r>
        <w:rPr>
          <w:sz w:val="12"/>
        </w:rPr>
        <w:t>5.0</w:t>
      </w:r>
    </w:p>
    <w:p>
      <w:pPr>
        <w:pStyle w:val="BodyText"/>
        <w:spacing w:before="9"/>
        <w:rPr>
          <w:sz w:val="15"/>
        </w:rPr>
      </w:pPr>
    </w:p>
    <w:p>
      <w:pPr>
        <w:spacing w:before="1"/>
        <w:ind w:left="49" w:right="0" w:firstLine="0"/>
        <w:jc w:val="left"/>
        <w:rPr>
          <w:sz w:val="12"/>
        </w:rPr>
      </w:pPr>
      <w:r>
        <w:rPr>
          <w:sz w:val="12"/>
        </w:rPr>
        <w:t>4.5</w:t>
      </w:r>
    </w:p>
    <w:p>
      <w:pPr>
        <w:pStyle w:val="BodyText"/>
        <w:spacing w:before="9"/>
        <w:rPr>
          <w:sz w:val="15"/>
        </w:rPr>
      </w:pPr>
    </w:p>
    <w:p>
      <w:pPr>
        <w:spacing w:before="0"/>
        <w:ind w:left="49" w:right="0" w:firstLine="0"/>
        <w:jc w:val="left"/>
        <w:rPr>
          <w:sz w:val="12"/>
        </w:rPr>
      </w:pPr>
      <w:r>
        <w:rPr>
          <w:sz w:val="12"/>
        </w:rPr>
        <w:t>4.0</w:t>
      </w:r>
    </w:p>
    <w:p>
      <w:pPr>
        <w:pStyle w:val="BodyText"/>
        <w:rPr>
          <w:sz w:val="16"/>
        </w:rPr>
      </w:pPr>
    </w:p>
    <w:p>
      <w:pPr>
        <w:spacing w:before="1"/>
        <w:ind w:left="49" w:right="0" w:firstLine="0"/>
        <w:jc w:val="left"/>
        <w:rPr>
          <w:sz w:val="12"/>
        </w:rPr>
      </w:pPr>
      <w:r>
        <w:rPr>
          <w:sz w:val="12"/>
        </w:rPr>
        <w:t>3.5</w:t>
      </w:r>
    </w:p>
    <w:p>
      <w:pPr>
        <w:spacing w:before="22"/>
        <w:ind w:left="49" w:right="0" w:firstLine="0"/>
        <w:jc w:val="left"/>
        <w:rPr>
          <w:sz w:val="12"/>
        </w:rPr>
      </w:pPr>
      <w:r>
        <w:rPr>
          <w:sz w:val="12"/>
        </w:rPr>
        <w:t>0.0</w:t>
      </w:r>
    </w:p>
    <w:p>
      <w:pPr>
        <w:pStyle w:val="Heading7"/>
        <w:spacing w:before="207"/>
        <w:ind w:left="167"/>
        <w:rPr>
          <w:i/>
        </w:rPr>
      </w:pPr>
      <w:r>
        <w:rPr>
          <w:i w:val="0"/>
        </w:rPr>
        <w:br w:type="column"/>
      </w:r>
      <w:r>
        <w:rPr>
          <w:i/>
          <w:color w:val="009391"/>
        </w:rPr>
        <w:t>Retail rates</w:t>
      </w:r>
    </w:p>
    <w:p>
      <w:pPr>
        <w:spacing w:line="242" w:lineRule="auto" w:before="164"/>
        <w:ind w:left="167" w:right="232" w:firstLine="0"/>
        <w:jc w:val="left"/>
        <w:rPr>
          <w:sz w:val="24"/>
        </w:rPr>
      </w:pPr>
      <w:r>
        <w:rPr>
          <w:sz w:val="24"/>
        </w:rPr>
        <w:t>Longer-term interest rates can also affect the cost of borrowing in the household sector through their impact on fixed-rate mortgages. Lenders typically set fixed-rate mortgages in relation to swap rates. Like long bond yields, swap rates reflect market expectations of the future path of short-term interest rates. They also measure the cost to lenders of exchanging fixed-rate income from mortgages with variable-rate income, which allows them to hedge their interest rate exposure.</w:t>
      </w:r>
    </w:p>
    <w:p>
      <w:pPr>
        <w:pStyle w:val="BodyText"/>
        <w:rPr>
          <w:sz w:val="25"/>
        </w:rPr>
      </w:pPr>
    </w:p>
    <w:p>
      <w:pPr>
        <w:spacing w:line="280" w:lineRule="atLeast" w:before="0"/>
        <w:ind w:left="167" w:right="54" w:firstLine="0"/>
        <w:jc w:val="left"/>
        <w:rPr>
          <w:sz w:val="24"/>
        </w:rPr>
      </w:pPr>
      <w:r>
        <w:rPr>
          <w:sz w:val="24"/>
        </w:rPr>
        <w:t>Since the autumn of 1999 swap rates have risen by less than official interest rates. Consistent with this, the Council of Mortgage Lenders (CML) estimates that the average cost of new fixed-rate mortgages has so far risen</w:t>
      </w:r>
    </w:p>
    <w:p>
      <w:pPr>
        <w:spacing w:after="0" w:line="280" w:lineRule="atLeast"/>
        <w:jc w:val="left"/>
        <w:rPr>
          <w:sz w:val="24"/>
        </w:rPr>
        <w:sectPr>
          <w:type w:val="continuous"/>
          <w:pgSz w:w="11900" w:h="16840"/>
          <w:pgMar w:top="1220" w:bottom="280" w:left="640" w:right="620"/>
          <w:cols w:num="3" w:equalWidth="0">
            <w:col w:w="3583" w:space="40"/>
            <w:col w:w="240" w:space="930"/>
            <w:col w:w="5847"/>
          </w:cols>
        </w:sectPr>
      </w:pPr>
    </w:p>
    <w:p>
      <w:pPr>
        <w:spacing w:line="50" w:lineRule="exact" w:before="0"/>
        <w:ind w:left="174" w:right="0" w:firstLine="0"/>
        <w:jc w:val="left"/>
        <w:rPr>
          <w:sz w:val="12"/>
        </w:rPr>
      </w:pPr>
      <w:r>
        <w:rPr>
          <w:sz w:val="12"/>
        </w:rPr>
        <w:t>(a) Calculated from the prices of French and German government bonds.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9"/>
        </w:rPr>
      </w:pPr>
    </w:p>
    <w:p>
      <w:pPr>
        <w:spacing w:before="1"/>
        <w:ind w:left="180" w:right="0" w:firstLine="0"/>
        <w:jc w:val="left"/>
        <w:rPr>
          <w:b/>
          <w:sz w:val="20"/>
        </w:rPr>
      </w:pPr>
      <w:r>
        <w:rPr>
          <w:b/>
          <w:color w:val="0092C7"/>
          <w:sz w:val="20"/>
        </w:rPr>
        <w:t>Chart 1.15</w:t>
      </w:r>
    </w:p>
    <w:p>
      <w:pPr>
        <w:spacing w:line="249" w:lineRule="auto" w:before="10"/>
        <w:ind w:left="180" w:right="209" w:firstLine="0"/>
        <w:jc w:val="left"/>
        <w:rPr>
          <w:sz w:val="12"/>
        </w:rPr>
      </w:pPr>
      <w:r>
        <w:rPr/>
        <w:drawing>
          <wp:anchor distT="0" distB="0" distL="0" distR="0" allowOverlap="1" layoutInCell="1" locked="0" behindDoc="0" simplePos="0" relativeHeight="15910400">
            <wp:simplePos x="0" y="0"/>
            <wp:positionH relativeFrom="page">
              <wp:posOffset>1586776</wp:posOffset>
            </wp:positionH>
            <wp:positionV relativeFrom="paragraph">
              <wp:posOffset>395985</wp:posOffset>
            </wp:positionV>
            <wp:extent cx="112179" cy="112179"/>
            <wp:effectExtent l="0" t="0" r="0" b="0"/>
            <wp:wrapNone/>
            <wp:docPr id="143" name="image27.png"/>
            <wp:cNvGraphicFramePr>
              <a:graphicFrameLocks noChangeAspect="1"/>
            </wp:cNvGraphicFramePr>
            <a:graphic>
              <a:graphicData uri="http://schemas.openxmlformats.org/drawingml/2006/picture">
                <pic:pic>
                  <pic:nvPicPr>
                    <pic:cNvPr id="144" name="image27.png"/>
                    <pic:cNvPicPr/>
                  </pic:nvPicPr>
                  <pic:blipFill>
                    <a:blip r:embed="rId62" cstate="print"/>
                    <a:stretch>
                      <a:fillRect/>
                    </a:stretch>
                  </pic:blipFill>
                  <pic:spPr>
                    <a:xfrm>
                      <a:off x="0" y="0"/>
                      <a:ext cx="112179" cy="112179"/>
                    </a:xfrm>
                    <a:prstGeom prst="rect">
                      <a:avLst/>
                    </a:prstGeom>
                  </pic:spPr>
                </pic:pic>
              </a:graphicData>
            </a:graphic>
          </wp:anchor>
        </w:drawing>
      </w:r>
      <w:r>
        <w:rPr>
          <w:b/>
          <w:color w:val="0092C7"/>
          <w:sz w:val="20"/>
        </w:rPr>
        <w:t>CML estimates of cumulative mortgage rate changes since August 1999</w:t>
      </w:r>
      <w:r>
        <w:rPr>
          <w:position w:val="4"/>
          <w:sz w:val="12"/>
        </w:rPr>
        <w:t>(a)</w:t>
      </w:r>
    </w:p>
    <w:p>
      <w:pPr>
        <w:spacing w:line="242" w:lineRule="auto" w:before="4"/>
        <w:ind w:left="174" w:right="232" w:firstLine="0"/>
        <w:jc w:val="left"/>
        <w:rPr>
          <w:sz w:val="24"/>
        </w:rPr>
      </w:pPr>
      <w:r>
        <w:rPr/>
        <w:br w:type="column"/>
      </w:r>
      <w:r>
        <w:rPr>
          <w:sz w:val="24"/>
        </w:rPr>
        <w:t>by around three quarters of the increase in official rates </w:t>
      </w:r>
      <w:r>
        <w:rPr>
          <w:spacing w:val="-3"/>
          <w:sz w:val="24"/>
        </w:rPr>
        <w:t>over </w:t>
      </w:r>
      <w:r>
        <w:rPr>
          <w:sz w:val="24"/>
        </w:rPr>
        <w:t>this period (see Chart 1.15).  The chart also suggests that competition in the discounted mortgage market has intensified in recent months. The increase in the CML measure of average variable mortgage rates, which includes discounted mortgages, has been less</w:t>
      </w:r>
      <w:r>
        <w:rPr>
          <w:spacing w:val="-44"/>
          <w:sz w:val="24"/>
        </w:rPr>
        <w:t> </w:t>
      </w:r>
      <w:r>
        <w:rPr>
          <w:sz w:val="24"/>
        </w:rPr>
        <w:t>than</w:t>
      </w:r>
    </w:p>
    <w:p>
      <w:pPr>
        <w:spacing w:after="0" w:line="242" w:lineRule="auto"/>
        <w:jc w:val="left"/>
        <w:rPr>
          <w:sz w:val="24"/>
        </w:rPr>
        <w:sectPr>
          <w:type w:val="continuous"/>
          <w:pgSz w:w="11900" w:h="16840"/>
          <w:pgMar w:top="1220" w:bottom="280" w:left="640" w:right="620"/>
          <w:cols w:num="2" w:equalWidth="0">
            <w:col w:w="3786" w:space="999"/>
            <w:col w:w="5855"/>
          </w:cols>
        </w:sectPr>
      </w:pPr>
    </w:p>
    <w:p>
      <w:pPr>
        <w:spacing w:line="326" w:lineRule="auto" w:before="42"/>
        <w:ind w:left="507" w:right="20" w:firstLine="0"/>
        <w:jc w:val="left"/>
        <w:rPr>
          <w:sz w:val="12"/>
        </w:rPr>
      </w:pPr>
      <w:r>
        <w:rPr/>
        <w:drawing>
          <wp:anchor distT="0" distB="0" distL="0" distR="0" allowOverlap="1" layoutInCell="1" locked="0" behindDoc="0" simplePos="0" relativeHeight="15909888">
            <wp:simplePos x="0" y="0"/>
            <wp:positionH relativeFrom="page">
              <wp:posOffset>545376</wp:posOffset>
            </wp:positionH>
            <wp:positionV relativeFrom="paragraph">
              <wp:posOffset>16323</wp:posOffset>
            </wp:positionV>
            <wp:extent cx="112179" cy="219862"/>
            <wp:effectExtent l="0" t="0" r="0" b="0"/>
            <wp:wrapNone/>
            <wp:docPr id="145" name="image28.png"/>
            <wp:cNvGraphicFramePr>
              <a:graphicFrameLocks noChangeAspect="1"/>
            </wp:cNvGraphicFramePr>
            <a:graphic>
              <a:graphicData uri="http://schemas.openxmlformats.org/drawingml/2006/picture">
                <pic:pic>
                  <pic:nvPicPr>
                    <pic:cNvPr id="146" name="image28.png"/>
                    <pic:cNvPicPr/>
                  </pic:nvPicPr>
                  <pic:blipFill>
                    <a:blip r:embed="rId63" cstate="print"/>
                    <a:stretch>
                      <a:fillRect/>
                    </a:stretch>
                  </pic:blipFill>
                  <pic:spPr>
                    <a:xfrm>
                      <a:off x="0" y="0"/>
                      <a:ext cx="112179" cy="219862"/>
                    </a:xfrm>
                    <a:prstGeom prst="rect">
                      <a:avLst/>
                    </a:prstGeom>
                  </pic:spPr>
                </pic:pic>
              </a:graphicData>
            </a:graphic>
          </wp:anchor>
        </w:drawing>
      </w:r>
      <w:r>
        <w:rPr>
          <w:sz w:val="12"/>
        </w:rPr>
        <w:t>Average fixed rate Average variable rate</w:t>
      </w:r>
    </w:p>
    <w:p>
      <w:pPr>
        <w:pStyle w:val="BodyText"/>
        <w:spacing w:before="7" w:after="40"/>
        <w:rPr>
          <w:sz w:val="9"/>
        </w:rPr>
      </w:pPr>
    </w:p>
    <w:p>
      <w:pPr>
        <w:pStyle w:val="BodyText"/>
        <w:spacing w:line="20" w:lineRule="exact"/>
        <w:ind w:left="230"/>
        <w:rPr>
          <w:sz w:val="2"/>
        </w:rPr>
      </w:pPr>
      <w:r>
        <w:rPr>
          <w:sz w:val="2"/>
        </w:rPr>
        <w:drawing>
          <wp:inline distT="0" distB="0" distL="0" distR="0">
            <wp:extent cx="55304" cy="6381"/>
            <wp:effectExtent l="0" t="0" r="0" b="0"/>
            <wp:docPr id="147" name="image20.png"/>
            <wp:cNvGraphicFramePr>
              <a:graphicFrameLocks noChangeAspect="1"/>
            </wp:cNvGraphicFramePr>
            <a:graphic>
              <a:graphicData uri="http://schemas.openxmlformats.org/drawingml/2006/picture">
                <pic:pic>
                  <pic:nvPicPr>
                    <pic:cNvPr id="148" name="image20.png"/>
                    <pic:cNvPicPr/>
                  </pic:nvPicPr>
                  <pic:blipFill>
                    <a:blip r:embed="rId51" cstate="print"/>
                    <a:stretch>
                      <a:fillRect/>
                    </a:stretch>
                  </pic:blipFill>
                  <pic:spPr>
                    <a:xfrm>
                      <a:off x="0" y="0"/>
                      <a:ext cx="55304" cy="6381"/>
                    </a:xfrm>
                    <a:prstGeom prst="rect">
                      <a:avLst/>
                    </a:prstGeom>
                  </pic:spPr>
                </pic:pic>
              </a:graphicData>
            </a:graphic>
          </wp:inline>
        </w:drawing>
      </w:r>
      <w:r>
        <w:rPr>
          <w:sz w:val="2"/>
        </w:rPr>
      </w:r>
    </w:p>
    <w:p>
      <w:pPr>
        <w:pStyle w:val="BodyText"/>
        <w:rPr>
          <w:sz w:val="20"/>
        </w:rPr>
      </w:pPr>
    </w:p>
    <w:p>
      <w:pPr>
        <w:pStyle w:val="BodyText"/>
        <w:spacing w:before="7"/>
        <w:rPr>
          <w:sz w:val="10"/>
        </w:rPr>
      </w:pPr>
      <w:r>
        <w:rPr/>
        <w:drawing>
          <wp:anchor distT="0" distB="0" distL="0" distR="0" allowOverlap="1" layoutInCell="1" locked="0" behindDoc="0" simplePos="0" relativeHeight="320">
            <wp:simplePos x="0" y="0"/>
            <wp:positionH relativeFrom="page">
              <wp:posOffset>552792</wp:posOffset>
            </wp:positionH>
            <wp:positionV relativeFrom="paragraph">
              <wp:posOffset>102666</wp:posOffset>
            </wp:positionV>
            <wp:extent cx="55304" cy="6381"/>
            <wp:effectExtent l="0" t="0" r="0" b="0"/>
            <wp:wrapTopAndBottom/>
            <wp:docPr id="149" name="image20.png"/>
            <wp:cNvGraphicFramePr>
              <a:graphicFrameLocks noChangeAspect="1"/>
            </wp:cNvGraphicFramePr>
            <a:graphic>
              <a:graphicData uri="http://schemas.openxmlformats.org/drawingml/2006/picture">
                <pic:pic>
                  <pic:nvPicPr>
                    <pic:cNvPr id="150"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321">
            <wp:simplePos x="0" y="0"/>
            <wp:positionH relativeFrom="page">
              <wp:posOffset>552792</wp:posOffset>
            </wp:positionH>
            <wp:positionV relativeFrom="paragraph">
              <wp:posOffset>364083</wp:posOffset>
            </wp:positionV>
            <wp:extent cx="55304" cy="6381"/>
            <wp:effectExtent l="0" t="0" r="0" b="0"/>
            <wp:wrapTopAndBottom/>
            <wp:docPr id="151" name="image20.png"/>
            <wp:cNvGraphicFramePr>
              <a:graphicFrameLocks noChangeAspect="1"/>
            </wp:cNvGraphicFramePr>
            <a:graphic>
              <a:graphicData uri="http://schemas.openxmlformats.org/drawingml/2006/picture">
                <pic:pic>
                  <pic:nvPicPr>
                    <pic:cNvPr id="152"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322">
            <wp:simplePos x="0" y="0"/>
            <wp:positionH relativeFrom="page">
              <wp:posOffset>552792</wp:posOffset>
            </wp:positionH>
            <wp:positionV relativeFrom="paragraph">
              <wp:posOffset>625487</wp:posOffset>
            </wp:positionV>
            <wp:extent cx="54478" cy="6286"/>
            <wp:effectExtent l="0" t="0" r="0" b="0"/>
            <wp:wrapTopAndBottom/>
            <wp:docPr id="153" name="image21.png"/>
            <wp:cNvGraphicFramePr>
              <a:graphicFrameLocks noChangeAspect="1"/>
            </wp:cNvGraphicFramePr>
            <a:graphic>
              <a:graphicData uri="http://schemas.openxmlformats.org/drawingml/2006/picture">
                <pic:pic>
                  <pic:nvPicPr>
                    <pic:cNvPr id="154" name="image21.png"/>
                    <pic:cNvPicPr/>
                  </pic:nvPicPr>
                  <pic:blipFill>
                    <a:blip r:embed="rId52" cstate="print"/>
                    <a:stretch>
                      <a:fillRect/>
                    </a:stretch>
                  </pic:blipFill>
                  <pic:spPr>
                    <a:xfrm>
                      <a:off x="0" y="0"/>
                      <a:ext cx="54478" cy="6286"/>
                    </a:xfrm>
                    <a:prstGeom prst="rect">
                      <a:avLst/>
                    </a:prstGeom>
                  </pic:spPr>
                </pic:pic>
              </a:graphicData>
            </a:graphic>
          </wp:anchor>
        </w:drawing>
      </w:r>
    </w:p>
    <w:p>
      <w:pPr>
        <w:pStyle w:val="BodyText"/>
        <w:rPr>
          <w:sz w:val="29"/>
        </w:rPr>
      </w:pPr>
    </w:p>
    <w:p>
      <w:pPr>
        <w:pStyle w:val="BodyText"/>
        <w:rPr>
          <w:sz w:val="29"/>
        </w:rPr>
      </w:pPr>
    </w:p>
    <w:p>
      <w:pPr>
        <w:pStyle w:val="BodyText"/>
        <w:rPr>
          <w:sz w:val="20"/>
        </w:rPr>
      </w:pPr>
    </w:p>
    <w:p>
      <w:pPr>
        <w:pStyle w:val="BodyText"/>
        <w:spacing w:before="8"/>
        <w:rPr>
          <w:sz w:val="10"/>
        </w:rPr>
      </w:pPr>
      <w:r>
        <w:rPr/>
        <w:drawing>
          <wp:anchor distT="0" distB="0" distL="0" distR="0" allowOverlap="1" layoutInCell="1" locked="0" behindDoc="0" simplePos="0" relativeHeight="323">
            <wp:simplePos x="0" y="0"/>
            <wp:positionH relativeFrom="page">
              <wp:posOffset>552792</wp:posOffset>
            </wp:positionH>
            <wp:positionV relativeFrom="paragraph">
              <wp:posOffset>103364</wp:posOffset>
            </wp:positionV>
            <wp:extent cx="55304" cy="6381"/>
            <wp:effectExtent l="0" t="0" r="0" b="0"/>
            <wp:wrapTopAndBottom/>
            <wp:docPr id="155" name="image20.png"/>
            <wp:cNvGraphicFramePr>
              <a:graphicFrameLocks noChangeAspect="1"/>
            </wp:cNvGraphicFramePr>
            <a:graphic>
              <a:graphicData uri="http://schemas.openxmlformats.org/drawingml/2006/picture">
                <pic:pic>
                  <pic:nvPicPr>
                    <pic:cNvPr id="156"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324">
            <wp:simplePos x="0" y="0"/>
            <wp:positionH relativeFrom="page">
              <wp:posOffset>552792</wp:posOffset>
            </wp:positionH>
            <wp:positionV relativeFrom="paragraph">
              <wp:posOffset>364769</wp:posOffset>
            </wp:positionV>
            <wp:extent cx="55304" cy="6381"/>
            <wp:effectExtent l="0" t="0" r="0" b="0"/>
            <wp:wrapTopAndBottom/>
            <wp:docPr id="157" name="image20.png"/>
            <wp:cNvGraphicFramePr>
              <a:graphicFrameLocks noChangeAspect="1"/>
            </wp:cNvGraphicFramePr>
            <a:graphic>
              <a:graphicData uri="http://schemas.openxmlformats.org/drawingml/2006/picture">
                <pic:pic>
                  <pic:nvPicPr>
                    <pic:cNvPr id="158" name="image20.png"/>
                    <pic:cNvPicPr/>
                  </pic:nvPicPr>
                  <pic:blipFill>
                    <a:blip r:embed="rId51"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325">
            <wp:simplePos x="0" y="0"/>
            <wp:positionH relativeFrom="page">
              <wp:posOffset>552792</wp:posOffset>
            </wp:positionH>
            <wp:positionV relativeFrom="paragraph">
              <wp:posOffset>626185</wp:posOffset>
            </wp:positionV>
            <wp:extent cx="55304" cy="6381"/>
            <wp:effectExtent l="0" t="0" r="0" b="0"/>
            <wp:wrapTopAndBottom/>
            <wp:docPr id="159" name="image20.png"/>
            <wp:cNvGraphicFramePr>
              <a:graphicFrameLocks noChangeAspect="1"/>
            </wp:cNvGraphicFramePr>
            <a:graphic>
              <a:graphicData uri="http://schemas.openxmlformats.org/drawingml/2006/picture">
                <pic:pic>
                  <pic:nvPicPr>
                    <pic:cNvPr id="160" name="image20.png"/>
                    <pic:cNvPicPr/>
                  </pic:nvPicPr>
                  <pic:blipFill>
                    <a:blip r:embed="rId51" cstate="print"/>
                    <a:stretch>
                      <a:fillRect/>
                    </a:stretch>
                  </pic:blipFill>
                  <pic:spPr>
                    <a:xfrm>
                      <a:off x="0" y="0"/>
                      <a:ext cx="55304" cy="6381"/>
                    </a:xfrm>
                    <a:prstGeom prst="rect">
                      <a:avLst/>
                    </a:prstGeom>
                  </pic:spPr>
                </pic:pic>
              </a:graphicData>
            </a:graphic>
          </wp:anchor>
        </w:drawing>
      </w:r>
    </w:p>
    <w:p>
      <w:pPr>
        <w:pStyle w:val="BodyText"/>
        <w:rPr>
          <w:sz w:val="29"/>
        </w:rPr>
      </w:pPr>
    </w:p>
    <w:p>
      <w:pPr>
        <w:pStyle w:val="BodyText"/>
        <w:rPr>
          <w:sz w:val="29"/>
        </w:rPr>
      </w:pPr>
    </w:p>
    <w:p>
      <w:pPr>
        <w:spacing w:before="42"/>
        <w:ind w:left="507" w:right="0" w:firstLine="0"/>
        <w:jc w:val="left"/>
        <w:rPr>
          <w:sz w:val="12"/>
        </w:rPr>
      </w:pPr>
      <w:r>
        <w:rPr/>
        <w:br w:type="column"/>
      </w:r>
      <w:r>
        <w:rPr>
          <w:sz w:val="12"/>
        </w:rPr>
        <w:t>Average rate</w:t>
      </w:r>
    </w:p>
    <w:p>
      <w:pPr>
        <w:pStyle w:val="BodyText"/>
        <w:rPr>
          <w:sz w:val="12"/>
        </w:rPr>
      </w:pPr>
      <w:r>
        <w:rPr/>
        <w:br w:type="column"/>
      </w:r>
      <w:r>
        <w:rPr>
          <w:sz w:val="12"/>
        </w:rPr>
      </w:r>
    </w:p>
    <w:p>
      <w:pPr>
        <w:pStyle w:val="BodyText"/>
        <w:rPr>
          <w:sz w:val="12"/>
        </w:rPr>
      </w:pPr>
    </w:p>
    <w:p>
      <w:pPr>
        <w:pStyle w:val="BodyText"/>
        <w:spacing w:before="1"/>
        <w:rPr>
          <w:sz w:val="10"/>
        </w:rPr>
      </w:pPr>
    </w:p>
    <w:p>
      <w:pPr>
        <w:spacing w:before="0"/>
        <w:ind w:left="108" w:right="0" w:firstLine="0"/>
        <w:jc w:val="left"/>
        <w:rPr>
          <w:sz w:val="12"/>
        </w:rPr>
      </w:pPr>
      <w:r>
        <w:rPr>
          <w:sz w:val="12"/>
        </w:rPr>
        <w:t>Basis points</w:t>
      </w:r>
    </w:p>
    <w:p>
      <w:pPr>
        <w:pStyle w:val="BodyText"/>
        <w:rPr>
          <w:sz w:val="5"/>
        </w:rPr>
      </w:pPr>
    </w:p>
    <w:p>
      <w:pPr>
        <w:pStyle w:val="BodyText"/>
        <w:spacing w:line="20" w:lineRule="exact"/>
        <w:ind w:left="603" w:right="-44"/>
        <w:rPr>
          <w:sz w:val="2"/>
        </w:rPr>
      </w:pPr>
      <w:r>
        <w:rPr>
          <w:sz w:val="2"/>
        </w:rPr>
        <w:drawing>
          <wp:inline distT="0" distB="0" distL="0" distR="0">
            <wp:extent cx="54478" cy="6286"/>
            <wp:effectExtent l="0" t="0" r="0" b="0"/>
            <wp:docPr id="161" name="image19.png"/>
            <wp:cNvGraphicFramePr>
              <a:graphicFrameLocks noChangeAspect="1"/>
            </wp:cNvGraphicFramePr>
            <a:graphic>
              <a:graphicData uri="http://schemas.openxmlformats.org/drawingml/2006/picture">
                <pic:pic>
                  <pic:nvPicPr>
                    <pic:cNvPr id="162" name="image19.png"/>
                    <pic:cNvPicPr/>
                  </pic:nvPicPr>
                  <pic:blipFill>
                    <a:blip r:embed="rId50" cstate="print"/>
                    <a:stretch>
                      <a:fillRect/>
                    </a:stretch>
                  </pic:blipFill>
                  <pic:spPr>
                    <a:xfrm>
                      <a:off x="0" y="0"/>
                      <a:ext cx="54478" cy="6286"/>
                    </a:xfrm>
                    <a:prstGeom prst="rect">
                      <a:avLst/>
                    </a:prstGeom>
                  </pic:spPr>
                </pic:pic>
              </a:graphicData>
            </a:graphic>
          </wp:inline>
        </w:drawing>
      </w:r>
      <w:r>
        <w:rPr>
          <w:sz w:val="2"/>
        </w:rPr>
      </w:r>
    </w:p>
    <w:p>
      <w:pPr>
        <w:pStyle w:val="BodyText"/>
        <w:rPr>
          <w:sz w:val="20"/>
        </w:rPr>
      </w:pPr>
    </w:p>
    <w:p>
      <w:pPr>
        <w:pStyle w:val="BodyText"/>
        <w:spacing w:before="7"/>
        <w:rPr>
          <w:sz w:val="10"/>
        </w:rPr>
      </w:pPr>
      <w:r>
        <w:rPr/>
        <w:drawing>
          <wp:anchor distT="0" distB="0" distL="0" distR="0" allowOverlap="1" layoutInCell="1" locked="0" behindDoc="0" simplePos="0" relativeHeight="326">
            <wp:simplePos x="0" y="0"/>
            <wp:positionH relativeFrom="page">
              <wp:posOffset>2569972</wp:posOffset>
            </wp:positionH>
            <wp:positionV relativeFrom="paragraph">
              <wp:posOffset>102668</wp:posOffset>
            </wp:positionV>
            <wp:extent cx="54478" cy="6286"/>
            <wp:effectExtent l="0" t="0" r="0" b="0"/>
            <wp:wrapTopAndBottom/>
            <wp:docPr id="163" name="image19.png"/>
            <wp:cNvGraphicFramePr>
              <a:graphicFrameLocks noChangeAspect="1"/>
            </wp:cNvGraphicFramePr>
            <a:graphic>
              <a:graphicData uri="http://schemas.openxmlformats.org/drawingml/2006/picture">
                <pic:pic>
                  <pic:nvPicPr>
                    <pic:cNvPr id="164"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327">
            <wp:simplePos x="0" y="0"/>
            <wp:positionH relativeFrom="page">
              <wp:posOffset>2569972</wp:posOffset>
            </wp:positionH>
            <wp:positionV relativeFrom="paragraph">
              <wp:posOffset>364085</wp:posOffset>
            </wp:positionV>
            <wp:extent cx="54478" cy="6286"/>
            <wp:effectExtent l="0" t="0" r="0" b="0"/>
            <wp:wrapTopAndBottom/>
            <wp:docPr id="165" name="image19.png"/>
            <wp:cNvGraphicFramePr>
              <a:graphicFrameLocks noChangeAspect="1"/>
            </wp:cNvGraphicFramePr>
            <a:graphic>
              <a:graphicData uri="http://schemas.openxmlformats.org/drawingml/2006/picture">
                <pic:pic>
                  <pic:nvPicPr>
                    <pic:cNvPr id="166"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328">
            <wp:simplePos x="0" y="0"/>
            <wp:positionH relativeFrom="page">
              <wp:posOffset>2569972</wp:posOffset>
            </wp:positionH>
            <wp:positionV relativeFrom="paragraph">
              <wp:posOffset>625489</wp:posOffset>
            </wp:positionV>
            <wp:extent cx="55304" cy="6381"/>
            <wp:effectExtent l="0" t="0" r="0" b="0"/>
            <wp:wrapTopAndBottom/>
            <wp:docPr id="167" name="image15.png"/>
            <wp:cNvGraphicFramePr>
              <a:graphicFrameLocks noChangeAspect="1"/>
            </wp:cNvGraphicFramePr>
            <a:graphic>
              <a:graphicData uri="http://schemas.openxmlformats.org/drawingml/2006/picture">
                <pic:pic>
                  <pic:nvPicPr>
                    <pic:cNvPr id="168" name="image15.png"/>
                    <pic:cNvPicPr/>
                  </pic:nvPicPr>
                  <pic:blipFill>
                    <a:blip r:embed="rId46" cstate="print"/>
                    <a:stretch>
                      <a:fillRect/>
                    </a:stretch>
                  </pic:blipFill>
                  <pic:spPr>
                    <a:xfrm>
                      <a:off x="0" y="0"/>
                      <a:ext cx="55304" cy="6381"/>
                    </a:xfrm>
                    <a:prstGeom prst="rect">
                      <a:avLst/>
                    </a:prstGeom>
                  </pic:spPr>
                </pic:pic>
              </a:graphicData>
            </a:graphic>
          </wp:anchor>
        </w:drawing>
      </w:r>
    </w:p>
    <w:p>
      <w:pPr>
        <w:pStyle w:val="BodyText"/>
        <w:rPr>
          <w:sz w:val="29"/>
        </w:rPr>
      </w:pPr>
    </w:p>
    <w:p>
      <w:pPr>
        <w:pStyle w:val="BodyText"/>
        <w:rPr>
          <w:sz w:val="29"/>
        </w:rPr>
      </w:pPr>
    </w:p>
    <w:p>
      <w:pPr>
        <w:pStyle w:val="BodyText"/>
        <w:rPr>
          <w:sz w:val="20"/>
        </w:rPr>
      </w:pPr>
    </w:p>
    <w:p>
      <w:pPr>
        <w:pStyle w:val="BodyText"/>
        <w:spacing w:before="8"/>
        <w:rPr>
          <w:sz w:val="10"/>
        </w:rPr>
      </w:pPr>
      <w:r>
        <w:rPr/>
        <w:drawing>
          <wp:anchor distT="0" distB="0" distL="0" distR="0" allowOverlap="1" layoutInCell="1" locked="0" behindDoc="0" simplePos="0" relativeHeight="329">
            <wp:simplePos x="0" y="0"/>
            <wp:positionH relativeFrom="page">
              <wp:posOffset>2569972</wp:posOffset>
            </wp:positionH>
            <wp:positionV relativeFrom="paragraph">
              <wp:posOffset>103269</wp:posOffset>
            </wp:positionV>
            <wp:extent cx="55304" cy="6381"/>
            <wp:effectExtent l="0" t="0" r="0" b="0"/>
            <wp:wrapTopAndBottom/>
            <wp:docPr id="169" name="image15.png"/>
            <wp:cNvGraphicFramePr>
              <a:graphicFrameLocks noChangeAspect="1"/>
            </wp:cNvGraphicFramePr>
            <a:graphic>
              <a:graphicData uri="http://schemas.openxmlformats.org/drawingml/2006/picture">
                <pic:pic>
                  <pic:nvPicPr>
                    <pic:cNvPr id="170"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330">
            <wp:simplePos x="0" y="0"/>
            <wp:positionH relativeFrom="page">
              <wp:posOffset>2569972</wp:posOffset>
            </wp:positionH>
            <wp:positionV relativeFrom="paragraph">
              <wp:posOffset>364673</wp:posOffset>
            </wp:positionV>
            <wp:extent cx="55304" cy="6381"/>
            <wp:effectExtent l="0" t="0" r="0" b="0"/>
            <wp:wrapTopAndBottom/>
            <wp:docPr id="171" name="image15.png"/>
            <wp:cNvGraphicFramePr>
              <a:graphicFrameLocks noChangeAspect="1"/>
            </wp:cNvGraphicFramePr>
            <a:graphic>
              <a:graphicData uri="http://schemas.openxmlformats.org/drawingml/2006/picture">
                <pic:pic>
                  <pic:nvPicPr>
                    <pic:cNvPr id="172"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331">
            <wp:simplePos x="0" y="0"/>
            <wp:positionH relativeFrom="page">
              <wp:posOffset>2569972</wp:posOffset>
            </wp:positionH>
            <wp:positionV relativeFrom="paragraph">
              <wp:posOffset>626090</wp:posOffset>
            </wp:positionV>
            <wp:extent cx="54478" cy="6286"/>
            <wp:effectExtent l="0" t="0" r="0" b="0"/>
            <wp:wrapTopAndBottom/>
            <wp:docPr id="173" name="image19.png"/>
            <wp:cNvGraphicFramePr>
              <a:graphicFrameLocks noChangeAspect="1"/>
            </wp:cNvGraphicFramePr>
            <a:graphic>
              <a:graphicData uri="http://schemas.openxmlformats.org/drawingml/2006/picture">
                <pic:pic>
                  <pic:nvPicPr>
                    <pic:cNvPr id="174" name="image19.png"/>
                    <pic:cNvPicPr/>
                  </pic:nvPicPr>
                  <pic:blipFill>
                    <a:blip r:embed="rId50" cstate="print"/>
                    <a:stretch>
                      <a:fillRect/>
                    </a:stretch>
                  </pic:blipFill>
                  <pic:spPr>
                    <a:xfrm>
                      <a:off x="0" y="0"/>
                      <a:ext cx="54478" cy="6286"/>
                    </a:xfrm>
                    <a:prstGeom prst="rect">
                      <a:avLst/>
                    </a:prstGeom>
                  </pic:spPr>
                </pic:pic>
              </a:graphicData>
            </a:graphic>
          </wp:anchor>
        </w:drawing>
      </w:r>
    </w:p>
    <w:p>
      <w:pPr>
        <w:pStyle w:val="BodyText"/>
        <w:rPr>
          <w:sz w:val="29"/>
        </w:rPr>
      </w:pPr>
    </w:p>
    <w:p>
      <w:pPr>
        <w:pStyle w:val="BodyText"/>
        <w:rPr>
          <w:sz w:val="29"/>
        </w:rPr>
      </w:pPr>
    </w:p>
    <w:p>
      <w:pPr>
        <w:pStyle w:val="BodyText"/>
        <w:rPr>
          <w:sz w:val="12"/>
        </w:rPr>
      </w:pPr>
      <w:r>
        <w:rPr/>
        <w:br w:type="column"/>
      </w:r>
      <w:r>
        <w:rPr>
          <w:sz w:val="12"/>
        </w:rPr>
      </w:r>
    </w:p>
    <w:p>
      <w:pPr>
        <w:pStyle w:val="BodyText"/>
        <w:rPr>
          <w:sz w:val="12"/>
        </w:rPr>
      </w:pPr>
    </w:p>
    <w:p>
      <w:pPr>
        <w:pStyle w:val="BodyText"/>
        <w:rPr>
          <w:sz w:val="12"/>
        </w:rPr>
      </w:pPr>
    </w:p>
    <w:p>
      <w:pPr>
        <w:spacing w:before="100"/>
        <w:ind w:left="-1" w:right="0" w:firstLine="0"/>
        <w:jc w:val="left"/>
        <w:rPr>
          <w:sz w:val="12"/>
        </w:rPr>
      </w:pPr>
      <w:r>
        <w:rPr>
          <w:sz w:val="12"/>
        </w:rPr>
        <w:t>120</w:t>
      </w:r>
    </w:p>
    <w:p>
      <w:pPr>
        <w:pStyle w:val="BodyText"/>
        <w:rPr>
          <w:sz w:val="12"/>
        </w:rPr>
      </w:pPr>
    </w:p>
    <w:p>
      <w:pPr>
        <w:pStyle w:val="BodyText"/>
        <w:spacing w:before="8"/>
        <w:rPr>
          <w:sz w:val="11"/>
        </w:rPr>
      </w:pPr>
    </w:p>
    <w:p>
      <w:pPr>
        <w:spacing w:before="0"/>
        <w:ind w:left="-1" w:right="0" w:firstLine="0"/>
        <w:jc w:val="left"/>
        <w:rPr>
          <w:sz w:val="12"/>
        </w:rPr>
      </w:pPr>
      <w:r>
        <w:rPr>
          <w:sz w:val="12"/>
        </w:rPr>
        <w:t>100</w:t>
      </w:r>
    </w:p>
    <w:p>
      <w:pPr>
        <w:pStyle w:val="BodyText"/>
        <w:rPr>
          <w:sz w:val="12"/>
        </w:rPr>
      </w:pPr>
    </w:p>
    <w:p>
      <w:pPr>
        <w:pStyle w:val="BodyText"/>
        <w:spacing w:before="11"/>
        <w:rPr>
          <w:sz w:val="12"/>
        </w:rPr>
      </w:pPr>
    </w:p>
    <w:p>
      <w:pPr>
        <w:spacing w:before="0"/>
        <w:ind w:left="59" w:right="0" w:firstLine="0"/>
        <w:jc w:val="left"/>
        <w:rPr>
          <w:sz w:val="12"/>
        </w:rPr>
      </w:pPr>
      <w:r>
        <w:rPr>
          <w:sz w:val="12"/>
        </w:rPr>
        <w:t>80</w:t>
      </w:r>
    </w:p>
    <w:p>
      <w:pPr>
        <w:pStyle w:val="BodyText"/>
        <w:rPr>
          <w:sz w:val="12"/>
        </w:rPr>
      </w:pPr>
    </w:p>
    <w:p>
      <w:pPr>
        <w:pStyle w:val="BodyText"/>
        <w:spacing w:before="5"/>
        <w:rPr>
          <w:sz w:val="11"/>
        </w:rPr>
      </w:pPr>
    </w:p>
    <w:p>
      <w:pPr>
        <w:spacing w:before="0"/>
        <w:ind w:left="59" w:right="0" w:firstLine="0"/>
        <w:jc w:val="left"/>
        <w:rPr>
          <w:sz w:val="12"/>
        </w:rPr>
      </w:pPr>
      <w:r>
        <w:rPr>
          <w:sz w:val="12"/>
        </w:rPr>
        <w:t>60</w:t>
      </w:r>
    </w:p>
    <w:p>
      <w:pPr>
        <w:pStyle w:val="BodyText"/>
        <w:rPr>
          <w:sz w:val="12"/>
        </w:rPr>
      </w:pPr>
    </w:p>
    <w:p>
      <w:pPr>
        <w:pStyle w:val="BodyText"/>
        <w:spacing w:before="11"/>
        <w:rPr>
          <w:sz w:val="12"/>
        </w:rPr>
      </w:pPr>
    </w:p>
    <w:p>
      <w:pPr>
        <w:spacing w:before="0"/>
        <w:ind w:left="59" w:right="0" w:firstLine="0"/>
        <w:jc w:val="left"/>
        <w:rPr>
          <w:sz w:val="12"/>
        </w:rPr>
      </w:pPr>
      <w:r>
        <w:rPr>
          <w:sz w:val="12"/>
        </w:rPr>
        <w:t>40</w:t>
      </w:r>
    </w:p>
    <w:p>
      <w:pPr>
        <w:pStyle w:val="BodyText"/>
        <w:rPr>
          <w:sz w:val="12"/>
        </w:rPr>
      </w:pPr>
    </w:p>
    <w:p>
      <w:pPr>
        <w:pStyle w:val="BodyText"/>
        <w:spacing w:before="7"/>
        <w:rPr>
          <w:sz w:val="11"/>
        </w:rPr>
      </w:pPr>
    </w:p>
    <w:p>
      <w:pPr>
        <w:spacing w:before="0"/>
        <w:ind w:left="59" w:right="0" w:firstLine="0"/>
        <w:jc w:val="left"/>
        <w:rPr>
          <w:sz w:val="12"/>
        </w:rPr>
      </w:pPr>
      <w:r>
        <w:rPr>
          <w:sz w:val="12"/>
        </w:rPr>
        <w:t>20</w:t>
      </w:r>
    </w:p>
    <w:p>
      <w:pPr>
        <w:spacing w:before="15"/>
        <w:ind w:left="-29" w:right="0" w:firstLine="0"/>
        <w:jc w:val="left"/>
        <w:rPr>
          <w:sz w:val="16"/>
        </w:rPr>
      </w:pPr>
      <w:r>
        <w:rPr>
          <w:sz w:val="16"/>
        </w:rPr>
        <w:t>+</w:t>
      </w:r>
    </w:p>
    <w:p>
      <w:pPr>
        <w:spacing w:line="94" w:lineRule="exact" w:before="89"/>
        <w:ind w:left="119" w:right="0" w:firstLine="0"/>
        <w:jc w:val="left"/>
        <w:rPr>
          <w:sz w:val="12"/>
        </w:rPr>
      </w:pPr>
      <w:r>
        <w:rPr/>
        <w:pict>
          <v:group style="position:absolute;margin-left:52.172001pt;margin-top:-96.823654pt;width:144.3pt;height:123.95pt;mso-position-horizontal-relative:page;mso-position-vertical-relative:paragraph;z-index:-22702080" coordorigin="1043,-1936" coordsize="2886,2479">
            <v:shape style="position:absolute;left:1043;top:-1937;width:2886;height:2479" type="#_x0000_t75" stroked="false">
              <v:imagedata r:id="rId64" o:title=""/>
            </v:shape>
            <v:shape style="position:absolute;left:2614;top:-1714;width:483;height:133" type="#_x0000_t202" filled="false" stroked="false">
              <v:textbox inset="0,0,0,0">
                <w:txbxContent>
                  <w:p>
                    <w:pPr>
                      <w:spacing w:line="133" w:lineRule="exact" w:before="0"/>
                      <w:ind w:left="0" w:right="0" w:firstLine="0"/>
                      <w:jc w:val="left"/>
                      <w:rPr>
                        <w:sz w:val="12"/>
                      </w:rPr>
                    </w:pPr>
                    <w:r>
                      <w:rPr>
                        <w:sz w:val="12"/>
                      </w:rPr>
                      <w:t>Repo rate</w:t>
                    </w:r>
                  </w:p>
                </w:txbxContent>
              </v:textbox>
              <w10:wrap type="none"/>
            </v:shape>
            <w10:wrap type="none"/>
          </v:group>
        </w:pict>
      </w:r>
      <w:r>
        <w:rPr>
          <w:sz w:val="12"/>
        </w:rPr>
        <w:t>0</w:t>
      </w:r>
    </w:p>
    <w:p>
      <w:pPr>
        <w:spacing w:line="242" w:lineRule="auto" w:before="8"/>
        <w:ind w:left="218" w:right="228" w:firstLine="0"/>
        <w:jc w:val="left"/>
        <w:rPr>
          <w:sz w:val="24"/>
        </w:rPr>
      </w:pPr>
      <w:r>
        <w:rPr/>
        <w:br w:type="column"/>
      </w:r>
      <w:r>
        <w:rPr>
          <w:sz w:val="24"/>
        </w:rPr>
        <w:t>half that seen in official rates. Overall, the CML average rate on all </w:t>
      </w:r>
      <w:r>
        <w:rPr>
          <w:spacing w:val="-3"/>
          <w:sz w:val="24"/>
        </w:rPr>
        <w:t>new </w:t>
      </w:r>
      <w:r>
        <w:rPr>
          <w:sz w:val="24"/>
        </w:rPr>
        <w:t>mortgages suggests that initial interest charges faced by borrowers </w:t>
      </w:r>
      <w:r>
        <w:rPr>
          <w:spacing w:val="-3"/>
          <w:sz w:val="24"/>
        </w:rPr>
        <w:t>have </w:t>
      </w:r>
      <w:r>
        <w:rPr>
          <w:sz w:val="24"/>
        </w:rPr>
        <w:t>risen to date by considerably less than official rates since the autumn of 1999. Incomplete pass-through is also apparent in banks’ and building societies’ deposit rates. </w:t>
      </w:r>
      <w:r>
        <w:rPr>
          <w:spacing w:val="-4"/>
          <w:sz w:val="24"/>
        </w:rPr>
        <w:t>Average </w:t>
      </w:r>
      <w:r>
        <w:rPr>
          <w:sz w:val="24"/>
        </w:rPr>
        <w:t>quoted deposit rates in the </w:t>
      </w:r>
      <w:r>
        <w:rPr>
          <w:spacing w:val="-3"/>
          <w:sz w:val="24"/>
        </w:rPr>
        <w:t>Bank’s </w:t>
      </w:r>
      <w:r>
        <w:rPr>
          <w:sz w:val="24"/>
        </w:rPr>
        <w:t>sample of instant access and time deposit accounts </w:t>
      </w:r>
      <w:r>
        <w:rPr>
          <w:spacing w:val="-3"/>
          <w:sz w:val="24"/>
        </w:rPr>
        <w:t>have </w:t>
      </w:r>
      <w:r>
        <w:rPr>
          <w:sz w:val="24"/>
        </w:rPr>
        <w:t>risen by a little </w:t>
      </w:r>
      <w:r>
        <w:rPr>
          <w:spacing w:val="-3"/>
          <w:sz w:val="24"/>
        </w:rPr>
        <w:t>over </w:t>
      </w:r>
      <w:r>
        <w:rPr>
          <w:sz w:val="24"/>
        </w:rPr>
        <w:t>half of the rise in repo rates </w:t>
      </w:r>
      <w:r>
        <w:rPr>
          <w:spacing w:val="-3"/>
          <w:sz w:val="24"/>
        </w:rPr>
        <w:t>over </w:t>
      </w:r>
      <w:r>
        <w:rPr>
          <w:sz w:val="24"/>
        </w:rPr>
        <w:t>the same</w:t>
      </w:r>
      <w:r>
        <w:rPr>
          <w:spacing w:val="-22"/>
          <w:sz w:val="24"/>
        </w:rPr>
        <w:t> </w:t>
      </w:r>
      <w:r>
        <w:rPr>
          <w:sz w:val="24"/>
        </w:rPr>
        <w:t>period.</w:t>
      </w:r>
    </w:p>
    <w:p>
      <w:pPr>
        <w:pStyle w:val="BodyText"/>
        <w:spacing w:before="3"/>
        <w:rPr>
          <w:sz w:val="25"/>
        </w:rPr>
      </w:pPr>
    </w:p>
    <w:p>
      <w:pPr>
        <w:pStyle w:val="Heading7"/>
        <w:spacing w:before="1"/>
        <w:ind w:left="218"/>
        <w:rPr>
          <w:i/>
        </w:rPr>
      </w:pPr>
      <w:r>
        <w:rPr>
          <w:i/>
          <w:color w:val="009391"/>
        </w:rPr>
        <w:t>Equity prices</w:t>
      </w:r>
    </w:p>
    <w:p>
      <w:pPr>
        <w:spacing w:after="0"/>
        <w:sectPr>
          <w:type w:val="continuous"/>
          <w:pgSz w:w="11900" w:h="16840"/>
          <w:pgMar w:top="1220" w:bottom="280" w:left="640" w:right="620"/>
          <w:cols w:num="5" w:equalWidth="0">
            <w:col w:w="1580" w:space="60"/>
            <w:col w:w="1124" w:space="40"/>
            <w:col w:w="693" w:space="39"/>
            <w:col w:w="220" w:space="986"/>
            <w:col w:w="5898"/>
          </w:cols>
        </w:sectPr>
      </w:pPr>
    </w:p>
    <w:p>
      <w:pPr>
        <w:spacing w:line="172" w:lineRule="exact" w:before="0"/>
        <w:ind w:left="0" w:right="155" w:firstLine="0"/>
        <w:jc w:val="right"/>
        <w:rPr>
          <w:sz w:val="16"/>
        </w:rPr>
      </w:pPr>
      <w:r>
        <w:rPr>
          <w:sz w:val="16"/>
        </w:rPr>
        <w:t>_</w:t>
      </w:r>
    </w:p>
    <w:p>
      <w:pPr>
        <w:tabs>
          <w:tab w:pos="2184" w:val="left" w:leader="none"/>
          <w:tab w:pos="2584" w:val="left" w:leader="none"/>
          <w:tab w:pos="3594" w:val="left" w:leader="none"/>
        </w:tabs>
        <w:spacing w:line="381" w:lineRule="auto" w:before="138"/>
        <w:ind w:left="187" w:right="38" w:firstLine="345"/>
        <w:jc w:val="left"/>
        <w:rPr>
          <w:sz w:val="12"/>
        </w:rPr>
      </w:pPr>
      <w:r>
        <w:rPr/>
        <w:drawing>
          <wp:anchor distT="0" distB="0" distL="0" distR="0" allowOverlap="1" layoutInCell="1" locked="0" behindDoc="1" simplePos="0" relativeHeight="480615936">
            <wp:simplePos x="0" y="0"/>
            <wp:positionH relativeFrom="page">
              <wp:posOffset>552792</wp:posOffset>
            </wp:positionH>
            <wp:positionV relativeFrom="paragraph">
              <wp:posOffset>114324</wp:posOffset>
            </wp:positionV>
            <wp:extent cx="55029" cy="6350"/>
            <wp:effectExtent l="0" t="0" r="0" b="0"/>
            <wp:wrapNone/>
            <wp:docPr id="175" name="image20.png"/>
            <wp:cNvGraphicFramePr>
              <a:graphicFrameLocks noChangeAspect="1"/>
            </wp:cNvGraphicFramePr>
            <a:graphic>
              <a:graphicData uri="http://schemas.openxmlformats.org/drawingml/2006/picture">
                <pic:pic>
                  <pic:nvPicPr>
                    <pic:cNvPr id="176" name="image20.png"/>
                    <pic:cNvPicPr/>
                  </pic:nvPicPr>
                  <pic:blipFill>
                    <a:blip r:embed="rId5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616448">
            <wp:simplePos x="0" y="0"/>
            <wp:positionH relativeFrom="page">
              <wp:posOffset>2569972</wp:posOffset>
            </wp:positionH>
            <wp:positionV relativeFrom="paragraph">
              <wp:posOffset>127024</wp:posOffset>
            </wp:positionV>
            <wp:extent cx="55029" cy="6350"/>
            <wp:effectExtent l="0" t="0" r="0" b="0"/>
            <wp:wrapNone/>
            <wp:docPr id="177" name="image19.png"/>
            <wp:cNvGraphicFramePr>
              <a:graphicFrameLocks noChangeAspect="1"/>
            </wp:cNvGraphicFramePr>
            <a:graphic>
              <a:graphicData uri="http://schemas.openxmlformats.org/drawingml/2006/picture">
                <pic:pic>
                  <pic:nvPicPr>
                    <pic:cNvPr id="178"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Sept.      Oct.    </w:t>
      </w:r>
      <w:r>
        <w:rPr>
          <w:spacing w:val="22"/>
          <w:sz w:val="12"/>
        </w:rPr>
        <w:t> </w:t>
      </w:r>
      <w:r>
        <w:rPr>
          <w:sz w:val="12"/>
        </w:rPr>
        <w:t>Nov.     </w:t>
      </w:r>
      <w:r>
        <w:rPr>
          <w:spacing w:val="5"/>
          <w:sz w:val="12"/>
        </w:rPr>
        <w:t> </w:t>
      </w:r>
      <w:r>
        <w:rPr>
          <w:sz w:val="12"/>
        </w:rPr>
        <w:t>Dec.</w:t>
        <w:tab/>
        <w:t>Jan.</w:t>
        <w:tab/>
        <w:t>Feb.     </w:t>
      </w:r>
      <w:r>
        <w:rPr>
          <w:spacing w:val="10"/>
          <w:sz w:val="12"/>
        </w:rPr>
        <w:t> </w:t>
      </w:r>
      <w:r>
        <w:rPr>
          <w:sz w:val="12"/>
        </w:rPr>
        <w:t>Mar.</w:t>
        <w:tab/>
      </w:r>
      <w:r>
        <w:rPr>
          <w:spacing w:val="-9"/>
          <w:position w:val="7"/>
          <w:sz w:val="12"/>
        </w:rPr>
        <w:t>20 </w:t>
      </w:r>
      <w:r>
        <w:rPr>
          <w:sz w:val="12"/>
        </w:rPr>
        <w:t>Sources: Council of Mortgage Lenders and Bank of</w:t>
      </w:r>
      <w:r>
        <w:rPr>
          <w:spacing w:val="-21"/>
          <w:sz w:val="12"/>
        </w:rPr>
        <w:t> </w:t>
      </w:r>
      <w:r>
        <w:rPr>
          <w:sz w:val="12"/>
        </w:rPr>
        <w:t>England.</w:t>
      </w:r>
    </w:p>
    <w:p>
      <w:pPr>
        <w:spacing w:before="20"/>
        <w:ind w:left="187" w:right="0" w:firstLine="0"/>
        <w:jc w:val="left"/>
        <w:rPr>
          <w:sz w:val="12"/>
        </w:rPr>
      </w:pPr>
      <w:r>
        <w:rPr>
          <w:sz w:val="12"/>
        </w:rPr>
        <w:t>(a) CML estimates of rates initially charged on new mortgages.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6"/>
        </w:rPr>
      </w:pPr>
    </w:p>
    <w:p>
      <w:pPr>
        <w:spacing w:before="0"/>
        <w:ind w:left="180" w:right="0" w:firstLine="0"/>
        <w:jc w:val="left"/>
        <w:rPr>
          <w:b/>
          <w:sz w:val="20"/>
        </w:rPr>
      </w:pPr>
      <w:r>
        <w:rPr>
          <w:b/>
          <w:color w:val="0092C7"/>
          <w:sz w:val="20"/>
        </w:rPr>
        <w:t>Table 1.C</w:t>
      </w:r>
    </w:p>
    <w:p>
      <w:pPr>
        <w:spacing w:line="252" w:lineRule="auto" w:before="10"/>
        <w:ind w:left="180" w:right="116" w:firstLine="0"/>
        <w:jc w:val="left"/>
        <w:rPr>
          <w:sz w:val="12"/>
        </w:rPr>
      </w:pPr>
      <w:r>
        <w:rPr>
          <w:b/>
          <w:color w:val="0092C7"/>
          <w:sz w:val="20"/>
        </w:rPr>
        <w:t>Changes in selected world equity indices </w:t>
      </w:r>
      <w:r>
        <w:rPr>
          <w:b/>
          <w:color w:val="0092C7"/>
          <w:position w:val="-3"/>
          <w:sz w:val="20"/>
        </w:rPr>
        <w:t>to 3 May</w:t>
      </w:r>
      <w:r>
        <w:rPr>
          <w:sz w:val="12"/>
        </w:rPr>
        <w:t>(a)(b)</w:t>
      </w:r>
    </w:p>
    <w:p>
      <w:pPr>
        <w:spacing w:before="94"/>
        <w:ind w:left="180" w:right="0" w:firstLine="0"/>
        <w:jc w:val="left"/>
        <w:rPr>
          <w:sz w:val="14"/>
        </w:rPr>
      </w:pPr>
      <w:r>
        <w:rPr>
          <w:sz w:val="14"/>
        </w:rPr>
        <w:t>Percentage changes from specified dates:</w:t>
      </w:r>
    </w:p>
    <w:p>
      <w:pPr>
        <w:pStyle w:val="BodyText"/>
        <w:spacing w:before="9" w:after="1"/>
        <w:rPr>
          <w:sz w:val="10"/>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9"/>
        <w:gridCol w:w="741"/>
        <w:gridCol w:w="729"/>
        <w:gridCol w:w="803"/>
      </w:tblGrid>
      <w:tr>
        <w:trPr>
          <w:trHeight w:val="217" w:hRule="atLeast"/>
        </w:trPr>
        <w:tc>
          <w:tcPr>
            <w:tcW w:w="1359" w:type="dxa"/>
          </w:tcPr>
          <w:p>
            <w:pPr>
              <w:pStyle w:val="TableParagraph"/>
              <w:spacing w:line="240" w:lineRule="auto"/>
              <w:rPr>
                <w:sz w:val="14"/>
              </w:rPr>
            </w:pPr>
          </w:p>
        </w:tc>
        <w:tc>
          <w:tcPr>
            <w:tcW w:w="741" w:type="dxa"/>
          </w:tcPr>
          <w:p>
            <w:pPr>
              <w:pStyle w:val="TableParagraph"/>
              <w:spacing w:line="155" w:lineRule="exact"/>
              <w:ind w:left="80" w:right="67"/>
              <w:jc w:val="center"/>
              <w:rPr>
                <w:sz w:val="14"/>
              </w:rPr>
            </w:pPr>
            <w:r>
              <w:rPr>
                <w:sz w:val="14"/>
                <w:u w:val="single"/>
              </w:rPr>
              <w:t>End-1998</w:t>
            </w:r>
          </w:p>
        </w:tc>
        <w:tc>
          <w:tcPr>
            <w:tcW w:w="729" w:type="dxa"/>
          </w:tcPr>
          <w:p>
            <w:pPr>
              <w:pStyle w:val="TableParagraph"/>
              <w:spacing w:line="155" w:lineRule="exact"/>
              <w:ind w:left="69" w:right="66"/>
              <w:jc w:val="center"/>
              <w:rPr>
                <w:sz w:val="14"/>
              </w:rPr>
            </w:pPr>
            <w:r>
              <w:rPr>
                <w:sz w:val="14"/>
                <w:u w:val="single"/>
              </w:rPr>
              <w:t>End-1999</w:t>
            </w:r>
          </w:p>
        </w:tc>
        <w:tc>
          <w:tcPr>
            <w:tcW w:w="803" w:type="dxa"/>
          </w:tcPr>
          <w:p>
            <w:pPr>
              <w:pStyle w:val="TableParagraph"/>
              <w:spacing w:line="155" w:lineRule="exact"/>
              <w:ind w:left="70" w:right="27"/>
              <w:jc w:val="center"/>
              <w:rPr>
                <w:sz w:val="14"/>
              </w:rPr>
            </w:pPr>
            <w:r>
              <w:rPr>
                <w:sz w:val="14"/>
                <w:u w:val="single"/>
              </w:rPr>
              <w:t>9 Feb. 2000</w:t>
            </w:r>
          </w:p>
        </w:tc>
      </w:tr>
      <w:tr>
        <w:trPr>
          <w:trHeight w:val="210" w:hRule="atLeast"/>
        </w:trPr>
        <w:tc>
          <w:tcPr>
            <w:tcW w:w="1359" w:type="dxa"/>
          </w:tcPr>
          <w:p>
            <w:pPr>
              <w:pStyle w:val="TableParagraph"/>
              <w:spacing w:line="133" w:lineRule="exact" w:before="56"/>
              <w:ind w:left="50"/>
              <w:rPr>
                <w:sz w:val="14"/>
              </w:rPr>
            </w:pPr>
            <w:r>
              <w:rPr>
                <w:sz w:val="14"/>
              </w:rPr>
              <w:t>FTSE 100</w:t>
            </w:r>
          </w:p>
        </w:tc>
        <w:tc>
          <w:tcPr>
            <w:tcW w:w="741" w:type="dxa"/>
          </w:tcPr>
          <w:p>
            <w:pPr>
              <w:pStyle w:val="TableParagraph"/>
              <w:spacing w:line="133" w:lineRule="exact" w:before="56"/>
              <w:ind w:left="173" w:right="67"/>
              <w:jc w:val="center"/>
              <w:rPr>
                <w:sz w:val="14"/>
              </w:rPr>
            </w:pPr>
            <w:r>
              <w:rPr>
                <w:sz w:val="14"/>
              </w:rPr>
              <w:t>9.8</w:t>
            </w:r>
          </w:p>
        </w:tc>
        <w:tc>
          <w:tcPr>
            <w:tcW w:w="729" w:type="dxa"/>
          </w:tcPr>
          <w:p>
            <w:pPr>
              <w:pStyle w:val="TableParagraph"/>
              <w:spacing w:line="133" w:lineRule="exact" w:before="56"/>
              <w:ind w:left="69" w:right="40"/>
              <w:jc w:val="center"/>
              <w:rPr>
                <w:sz w:val="14"/>
              </w:rPr>
            </w:pPr>
            <w:r>
              <w:rPr>
                <w:sz w:val="14"/>
              </w:rPr>
              <w:t>-6.6</w:t>
            </w:r>
          </w:p>
        </w:tc>
        <w:tc>
          <w:tcPr>
            <w:tcW w:w="803" w:type="dxa"/>
          </w:tcPr>
          <w:p>
            <w:pPr>
              <w:pStyle w:val="TableParagraph"/>
              <w:spacing w:line="133" w:lineRule="exact" w:before="56"/>
              <w:ind w:left="70" w:right="13"/>
              <w:jc w:val="center"/>
              <w:rPr>
                <w:sz w:val="14"/>
              </w:rPr>
            </w:pPr>
            <w:r>
              <w:rPr>
                <w:sz w:val="14"/>
              </w:rPr>
              <w:t>-0.4</w:t>
            </w:r>
          </w:p>
        </w:tc>
      </w:tr>
      <w:tr>
        <w:trPr>
          <w:trHeight w:val="140" w:hRule="atLeast"/>
        </w:trPr>
        <w:tc>
          <w:tcPr>
            <w:tcW w:w="1359" w:type="dxa"/>
          </w:tcPr>
          <w:p>
            <w:pPr>
              <w:pStyle w:val="TableParagraph"/>
              <w:ind w:left="50"/>
              <w:rPr>
                <w:sz w:val="14"/>
              </w:rPr>
            </w:pPr>
            <w:r>
              <w:rPr>
                <w:sz w:val="14"/>
              </w:rPr>
              <w:t>FTSE All-Share</w:t>
            </w:r>
          </w:p>
        </w:tc>
        <w:tc>
          <w:tcPr>
            <w:tcW w:w="741" w:type="dxa"/>
          </w:tcPr>
          <w:p>
            <w:pPr>
              <w:pStyle w:val="TableParagraph"/>
              <w:ind w:left="80" w:right="44"/>
              <w:jc w:val="center"/>
              <w:rPr>
                <w:sz w:val="14"/>
              </w:rPr>
            </w:pPr>
            <w:r>
              <w:rPr>
                <w:sz w:val="14"/>
              </w:rPr>
              <w:t>14.2</w:t>
            </w:r>
          </w:p>
        </w:tc>
        <w:tc>
          <w:tcPr>
            <w:tcW w:w="729" w:type="dxa"/>
          </w:tcPr>
          <w:p>
            <w:pPr>
              <w:pStyle w:val="TableParagraph"/>
              <w:ind w:left="69" w:right="40"/>
              <w:jc w:val="center"/>
              <w:rPr>
                <w:sz w:val="14"/>
              </w:rPr>
            </w:pPr>
            <w:r>
              <w:rPr>
                <w:sz w:val="14"/>
              </w:rPr>
              <w:t>-5.6</w:t>
            </w:r>
          </w:p>
        </w:tc>
        <w:tc>
          <w:tcPr>
            <w:tcW w:w="803" w:type="dxa"/>
          </w:tcPr>
          <w:p>
            <w:pPr>
              <w:pStyle w:val="TableParagraph"/>
              <w:ind w:left="70" w:right="13"/>
              <w:jc w:val="center"/>
              <w:rPr>
                <w:sz w:val="14"/>
              </w:rPr>
            </w:pPr>
            <w:r>
              <w:rPr>
                <w:sz w:val="14"/>
              </w:rPr>
              <w:t>-0.7</w:t>
            </w:r>
          </w:p>
        </w:tc>
      </w:tr>
      <w:tr>
        <w:trPr>
          <w:trHeight w:val="140" w:hRule="atLeast"/>
        </w:trPr>
        <w:tc>
          <w:tcPr>
            <w:tcW w:w="1359" w:type="dxa"/>
          </w:tcPr>
          <w:p>
            <w:pPr>
              <w:pStyle w:val="TableParagraph"/>
              <w:ind w:left="50"/>
              <w:rPr>
                <w:sz w:val="14"/>
              </w:rPr>
            </w:pPr>
            <w:r>
              <w:rPr>
                <w:sz w:val="14"/>
              </w:rPr>
              <w:t>S&amp;P 500</w:t>
            </w:r>
          </w:p>
        </w:tc>
        <w:tc>
          <w:tcPr>
            <w:tcW w:w="741" w:type="dxa"/>
          </w:tcPr>
          <w:p>
            <w:pPr>
              <w:pStyle w:val="TableParagraph"/>
              <w:ind w:left="80" w:right="44"/>
              <w:jc w:val="center"/>
              <w:rPr>
                <w:sz w:val="14"/>
              </w:rPr>
            </w:pPr>
            <w:r>
              <w:rPr>
                <w:sz w:val="14"/>
              </w:rPr>
              <w:t>20.5</w:t>
            </w:r>
          </w:p>
        </w:tc>
        <w:tc>
          <w:tcPr>
            <w:tcW w:w="729" w:type="dxa"/>
          </w:tcPr>
          <w:p>
            <w:pPr>
              <w:pStyle w:val="TableParagraph"/>
              <w:ind w:left="142" w:right="66"/>
              <w:jc w:val="center"/>
              <w:rPr>
                <w:sz w:val="14"/>
              </w:rPr>
            </w:pPr>
            <w:r>
              <w:rPr>
                <w:sz w:val="14"/>
              </w:rPr>
              <w:t>0.7</w:t>
            </w:r>
          </w:p>
        </w:tc>
        <w:tc>
          <w:tcPr>
            <w:tcW w:w="803" w:type="dxa"/>
          </w:tcPr>
          <w:p>
            <w:pPr>
              <w:pStyle w:val="TableParagraph"/>
              <w:ind w:left="131" w:right="27"/>
              <w:jc w:val="center"/>
              <w:rPr>
                <w:sz w:val="14"/>
              </w:rPr>
            </w:pPr>
            <w:r>
              <w:rPr>
                <w:sz w:val="14"/>
              </w:rPr>
              <w:t>2.2</w:t>
            </w:r>
          </w:p>
        </w:tc>
      </w:tr>
      <w:tr>
        <w:trPr>
          <w:trHeight w:val="140" w:hRule="atLeast"/>
        </w:trPr>
        <w:tc>
          <w:tcPr>
            <w:tcW w:w="1359" w:type="dxa"/>
          </w:tcPr>
          <w:p>
            <w:pPr>
              <w:pStyle w:val="TableParagraph"/>
              <w:ind w:left="50"/>
              <w:rPr>
                <w:sz w:val="14"/>
              </w:rPr>
            </w:pPr>
            <w:r>
              <w:rPr>
                <w:sz w:val="14"/>
              </w:rPr>
              <w:t>Nikkei 225</w:t>
            </w:r>
          </w:p>
        </w:tc>
        <w:tc>
          <w:tcPr>
            <w:tcW w:w="741" w:type="dxa"/>
          </w:tcPr>
          <w:p>
            <w:pPr>
              <w:pStyle w:val="TableParagraph"/>
              <w:ind w:left="80" w:right="45"/>
              <w:jc w:val="center"/>
              <w:rPr>
                <w:sz w:val="14"/>
              </w:rPr>
            </w:pPr>
            <w:r>
              <w:rPr>
                <w:sz w:val="14"/>
              </w:rPr>
              <w:t>37.1</w:t>
            </w:r>
          </w:p>
        </w:tc>
        <w:tc>
          <w:tcPr>
            <w:tcW w:w="729" w:type="dxa"/>
          </w:tcPr>
          <w:p>
            <w:pPr>
              <w:pStyle w:val="TableParagraph"/>
              <w:ind w:left="141" w:right="66"/>
              <w:jc w:val="center"/>
              <w:rPr>
                <w:sz w:val="14"/>
              </w:rPr>
            </w:pPr>
            <w:r>
              <w:rPr>
                <w:sz w:val="14"/>
              </w:rPr>
              <w:t>5.2</w:t>
            </w:r>
          </w:p>
        </w:tc>
        <w:tc>
          <w:tcPr>
            <w:tcW w:w="803" w:type="dxa"/>
          </w:tcPr>
          <w:p>
            <w:pPr>
              <w:pStyle w:val="TableParagraph"/>
              <w:ind w:left="70" w:right="13"/>
              <w:jc w:val="center"/>
              <w:rPr>
                <w:sz w:val="14"/>
              </w:rPr>
            </w:pPr>
            <w:r>
              <w:rPr>
                <w:sz w:val="14"/>
              </w:rPr>
              <w:t>-0.1</w:t>
            </w:r>
          </w:p>
        </w:tc>
      </w:tr>
      <w:tr>
        <w:trPr>
          <w:trHeight w:val="147" w:hRule="atLeast"/>
        </w:trPr>
        <w:tc>
          <w:tcPr>
            <w:tcW w:w="1359" w:type="dxa"/>
          </w:tcPr>
          <w:p>
            <w:pPr>
              <w:pStyle w:val="TableParagraph"/>
              <w:spacing w:line="128" w:lineRule="exact"/>
              <w:ind w:left="50"/>
              <w:rPr>
                <w:sz w:val="14"/>
              </w:rPr>
            </w:pPr>
            <w:r>
              <w:rPr>
                <w:sz w:val="14"/>
              </w:rPr>
              <w:t>Datastream European</w:t>
            </w:r>
          </w:p>
        </w:tc>
        <w:tc>
          <w:tcPr>
            <w:tcW w:w="741" w:type="dxa"/>
          </w:tcPr>
          <w:p>
            <w:pPr>
              <w:pStyle w:val="TableParagraph"/>
              <w:spacing w:line="128" w:lineRule="exact"/>
              <w:ind w:left="80" w:right="45"/>
              <w:jc w:val="center"/>
              <w:rPr>
                <w:sz w:val="14"/>
              </w:rPr>
            </w:pPr>
            <w:r>
              <w:rPr>
                <w:sz w:val="14"/>
              </w:rPr>
              <w:t>15.6</w:t>
            </w:r>
          </w:p>
        </w:tc>
        <w:tc>
          <w:tcPr>
            <w:tcW w:w="729" w:type="dxa"/>
          </w:tcPr>
          <w:p>
            <w:pPr>
              <w:pStyle w:val="TableParagraph"/>
              <w:spacing w:line="128" w:lineRule="exact"/>
              <w:ind w:left="141" w:right="66"/>
              <w:jc w:val="center"/>
              <w:rPr>
                <w:sz w:val="14"/>
              </w:rPr>
            </w:pPr>
            <w:r>
              <w:rPr>
                <w:sz w:val="14"/>
              </w:rPr>
              <w:t>1.0</w:t>
            </w:r>
          </w:p>
        </w:tc>
        <w:tc>
          <w:tcPr>
            <w:tcW w:w="803" w:type="dxa"/>
          </w:tcPr>
          <w:p>
            <w:pPr>
              <w:pStyle w:val="TableParagraph"/>
              <w:spacing w:line="128" w:lineRule="exact"/>
              <w:ind w:left="70" w:right="14"/>
              <w:jc w:val="center"/>
              <w:rPr>
                <w:sz w:val="14"/>
              </w:rPr>
            </w:pPr>
            <w:r>
              <w:rPr>
                <w:sz w:val="14"/>
              </w:rPr>
              <w:t>-1.5</w:t>
            </w:r>
          </w:p>
        </w:tc>
      </w:tr>
    </w:tbl>
    <w:p>
      <w:pPr>
        <w:spacing w:before="117"/>
        <w:ind w:left="180" w:right="0" w:firstLine="0"/>
        <w:jc w:val="left"/>
        <w:rPr>
          <w:sz w:val="12"/>
        </w:rPr>
      </w:pPr>
      <w:r>
        <w:rPr>
          <w:sz w:val="12"/>
        </w:rPr>
        <w:t>Sources: Bloomberg and Primark Datastream.</w:t>
      </w:r>
    </w:p>
    <w:p>
      <w:pPr>
        <w:pStyle w:val="ListParagraph"/>
        <w:numPr>
          <w:ilvl w:val="0"/>
          <w:numId w:val="7"/>
        </w:numPr>
        <w:tabs>
          <w:tab w:pos="420" w:val="left" w:leader="none"/>
        </w:tabs>
        <w:spacing w:line="129" w:lineRule="exact" w:before="102" w:after="0"/>
        <w:ind w:left="419" w:right="0" w:hanging="240"/>
        <w:jc w:val="left"/>
        <w:rPr>
          <w:sz w:val="12"/>
        </w:rPr>
      </w:pPr>
      <w:r>
        <w:rPr>
          <w:sz w:val="12"/>
        </w:rPr>
        <w:t>15 working day average</w:t>
      </w:r>
      <w:r>
        <w:rPr>
          <w:spacing w:val="-6"/>
          <w:sz w:val="12"/>
        </w:rPr>
        <w:t> </w:t>
      </w:r>
      <w:r>
        <w:rPr>
          <w:sz w:val="12"/>
        </w:rPr>
        <w:t>basis.</w:t>
      </w:r>
    </w:p>
    <w:p>
      <w:pPr>
        <w:pStyle w:val="ListParagraph"/>
        <w:numPr>
          <w:ilvl w:val="0"/>
          <w:numId w:val="7"/>
        </w:numPr>
        <w:tabs>
          <w:tab w:pos="421" w:val="left" w:leader="none"/>
        </w:tabs>
        <w:spacing w:line="129" w:lineRule="exact" w:before="0" w:after="0"/>
        <w:ind w:left="420" w:right="0" w:hanging="241"/>
        <w:jc w:val="left"/>
        <w:rPr>
          <w:sz w:val="12"/>
        </w:rPr>
      </w:pPr>
      <w:r>
        <w:rPr>
          <w:sz w:val="12"/>
        </w:rPr>
        <w:t>In domestic currency</w:t>
      </w:r>
      <w:r>
        <w:rPr>
          <w:spacing w:val="-4"/>
          <w:sz w:val="12"/>
        </w:rPr>
        <w:t> </w:t>
      </w:r>
      <w:r>
        <w:rPr>
          <w:sz w:val="12"/>
        </w:rPr>
        <w:t>terms.</w:t>
      </w:r>
    </w:p>
    <w:p>
      <w:pPr>
        <w:pStyle w:val="Heading6"/>
        <w:spacing w:before="131"/>
        <w:ind w:left="180"/>
      </w:pPr>
      <w:r>
        <w:rPr/>
        <w:br w:type="column"/>
      </w:r>
      <w:r>
        <w:rPr/>
        <w:t>The FTSE All-Share index averaged 2977 in the</w:t>
      </w:r>
    </w:p>
    <w:p>
      <w:pPr>
        <w:spacing w:line="242" w:lineRule="auto" w:before="4"/>
        <w:ind w:left="180" w:right="240" w:firstLine="0"/>
        <w:jc w:val="left"/>
        <w:rPr>
          <w:sz w:val="24"/>
        </w:rPr>
      </w:pPr>
      <w:r>
        <w:rPr>
          <w:sz w:val="24"/>
        </w:rPr>
        <w:t>15 working days up to and including 3 May, about 1</w:t>
      </w:r>
      <w:r>
        <w:rPr>
          <w:position w:val="8"/>
          <w:sz w:val="12"/>
        </w:rPr>
        <w:t>1</w:t>
      </w:r>
      <w:r>
        <w:rPr>
          <w:sz w:val="24"/>
        </w:rPr>
        <w:t>/</w:t>
      </w:r>
      <w:r>
        <w:rPr>
          <w:sz w:val="12"/>
        </w:rPr>
        <w:t>2</w:t>
      </w:r>
      <w:r>
        <w:rPr>
          <w:sz w:val="24"/>
        </w:rPr>
        <w:t>% below the central projection for May implied in the February </w:t>
      </w:r>
      <w:r>
        <w:rPr>
          <w:i/>
          <w:sz w:val="24"/>
        </w:rPr>
        <w:t>Report</w:t>
      </w:r>
      <w:r>
        <w:rPr>
          <w:sz w:val="24"/>
        </w:rPr>
        <w:t>. Over the past three months aggregate equity indices in other countries are generally little changed (see Table 1.C). But within these indices, there have been sharp falls, and increased volatility, in the valuations of companies operating in information technology (IT) sectors (see Chart 1.16). However, over a longer period, IT shares have risen considerably more rapidly than shares of companies in other industries.</w:t>
      </w:r>
    </w:p>
    <w:p>
      <w:pPr>
        <w:spacing w:line="242" w:lineRule="auto" w:before="13"/>
        <w:ind w:left="180" w:right="0" w:firstLine="0"/>
        <w:jc w:val="left"/>
        <w:rPr>
          <w:sz w:val="24"/>
        </w:rPr>
      </w:pPr>
      <w:r>
        <w:rPr>
          <w:sz w:val="24"/>
        </w:rPr>
        <w:t>For example, the valuation of the UK IT sector has more than doubled over the past year, while the FTSE</w:t>
      </w:r>
    </w:p>
    <w:p>
      <w:pPr>
        <w:spacing w:before="2"/>
        <w:ind w:left="180" w:right="0" w:firstLine="0"/>
        <w:jc w:val="left"/>
        <w:rPr>
          <w:sz w:val="24"/>
        </w:rPr>
      </w:pPr>
      <w:r>
        <w:rPr>
          <w:sz w:val="24"/>
        </w:rPr>
        <w:t>All-Share index is little changed.</w:t>
      </w:r>
    </w:p>
    <w:p>
      <w:pPr>
        <w:pStyle w:val="BodyText"/>
        <w:rPr>
          <w:sz w:val="23"/>
        </w:rPr>
      </w:pPr>
    </w:p>
    <w:p>
      <w:pPr>
        <w:pStyle w:val="Heading7"/>
        <w:rPr>
          <w:i/>
        </w:rPr>
      </w:pPr>
      <w:r>
        <w:rPr>
          <w:i/>
          <w:color w:val="009391"/>
        </w:rPr>
        <w:t>Property prices</w:t>
      </w:r>
    </w:p>
    <w:p>
      <w:pPr>
        <w:spacing w:line="242" w:lineRule="auto" w:before="164"/>
        <w:ind w:left="180" w:right="261" w:firstLine="0"/>
        <w:jc w:val="left"/>
        <w:rPr>
          <w:sz w:val="24"/>
        </w:rPr>
      </w:pPr>
      <w:r>
        <w:rPr>
          <w:sz w:val="24"/>
        </w:rPr>
        <w:t>Annual house price inflation remains high. The Halifax index rose by 14.2% in the year to April, while the</w:t>
      </w:r>
    </w:p>
    <w:p>
      <w:pPr>
        <w:spacing w:after="0" w:line="242" w:lineRule="auto"/>
        <w:jc w:val="left"/>
        <w:rPr>
          <w:sz w:val="24"/>
        </w:rPr>
        <w:sectPr>
          <w:type w:val="continuous"/>
          <w:pgSz w:w="11900" w:h="16840"/>
          <w:pgMar w:top="1220" w:bottom="280" w:left="640" w:right="620"/>
          <w:cols w:num="2" w:equalWidth="0">
            <w:col w:w="3755" w:space="1025"/>
            <w:col w:w="5860"/>
          </w:cols>
        </w:sectPr>
      </w:pPr>
    </w:p>
    <w:p>
      <w:pPr>
        <w:pStyle w:val="BodyText"/>
        <w:rPr>
          <w:sz w:val="20"/>
        </w:rPr>
      </w:pPr>
    </w:p>
    <w:p>
      <w:pPr>
        <w:spacing w:after="0"/>
        <w:rPr>
          <w:sz w:val="20"/>
        </w:rPr>
        <w:sectPr>
          <w:pgSz w:w="11900" w:h="16840"/>
          <w:pgMar w:header="586" w:footer="597" w:top="780" w:bottom="780" w:left="640" w:right="620"/>
        </w:sectPr>
      </w:pPr>
    </w:p>
    <w:p>
      <w:pPr>
        <w:pStyle w:val="BodyText"/>
        <w:spacing w:before="3"/>
        <w:rPr>
          <w:sz w:val="22"/>
        </w:rPr>
      </w:pPr>
    </w:p>
    <w:p>
      <w:pPr>
        <w:spacing w:before="0"/>
        <w:ind w:left="152" w:right="0" w:firstLine="0"/>
        <w:jc w:val="left"/>
        <w:rPr>
          <w:b/>
          <w:sz w:val="20"/>
        </w:rPr>
      </w:pPr>
      <w:bookmarkStart w:name="Exchange rates" w:id="31"/>
      <w:bookmarkEnd w:id="31"/>
      <w:r>
        <w:rPr/>
      </w:r>
      <w:bookmarkStart w:name="_bookmark15" w:id="32"/>
      <w:bookmarkEnd w:id="32"/>
      <w:r>
        <w:rPr/>
      </w:r>
      <w:r>
        <w:rPr>
          <w:b/>
          <w:color w:val="0092C7"/>
          <w:sz w:val="20"/>
        </w:rPr>
        <w:t>Chart 1.16</w:t>
      </w:r>
    </w:p>
    <w:p>
      <w:pPr>
        <w:spacing w:line="249" w:lineRule="auto" w:before="10"/>
        <w:ind w:left="152" w:right="83" w:firstLine="0"/>
        <w:jc w:val="left"/>
        <w:rPr>
          <w:b/>
          <w:sz w:val="20"/>
        </w:rPr>
      </w:pPr>
      <w:r>
        <w:rPr>
          <w:b/>
          <w:color w:val="0092C7"/>
          <w:sz w:val="20"/>
        </w:rPr>
        <w:t>International equity indices over the past year</w:t>
      </w:r>
    </w:p>
    <w:p>
      <w:pPr>
        <w:spacing w:line="120" w:lineRule="exact" w:before="42"/>
        <w:ind w:left="2527" w:right="0" w:firstLine="0"/>
        <w:jc w:val="left"/>
        <w:rPr>
          <w:sz w:val="12"/>
        </w:rPr>
      </w:pPr>
      <w:r>
        <w:rPr>
          <w:sz w:val="12"/>
        </w:rPr>
        <w:t>1 April 1999 = 100</w:t>
      </w:r>
    </w:p>
    <w:p>
      <w:pPr>
        <w:spacing w:line="120" w:lineRule="exact" w:before="0"/>
        <w:ind w:left="3540" w:right="0" w:firstLine="0"/>
        <w:jc w:val="left"/>
        <w:rPr>
          <w:sz w:val="12"/>
        </w:rPr>
      </w:pPr>
      <w:r>
        <w:rPr/>
        <w:pict>
          <v:line style="position:absolute;mso-position-horizontal-relative:page;mso-position-vertical-relative:paragraph;z-index:15921664" from="42.167pt,2.735813pt" to="46.5pt,2.735813pt" stroked="true" strokeweight=".5pt" strokecolor="#000000">
            <v:stroke dashstyle="solid"/>
            <w10:wrap type="none"/>
          </v:line>
        </w:pict>
      </w:r>
      <w:r>
        <w:rPr/>
        <w:pict>
          <v:line style="position:absolute;mso-position-horizontal-relative:page;mso-position-vertical-relative:paragraph;z-index:15925248" from="200.5pt,2.735813pt" to="204.833pt,2.735813pt" stroked="true" strokeweight=".5pt" strokecolor="#000000">
            <v:stroke dashstyle="solid"/>
            <w10:wrap type="none"/>
          </v:line>
        </w:pict>
      </w:r>
      <w:r>
        <w:rPr>
          <w:sz w:val="12"/>
        </w:rPr>
        <w:t>350</w:t>
      </w:r>
    </w:p>
    <w:p>
      <w:pPr>
        <w:pStyle w:val="BodyText"/>
        <w:rPr>
          <w:sz w:val="12"/>
        </w:rPr>
      </w:pPr>
    </w:p>
    <w:p>
      <w:pPr>
        <w:pStyle w:val="BodyText"/>
        <w:spacing w:before="6"/>
        <w:rPr>
          <w:sz w:val="17"/>
        </w:rPr>
      </w:pPr>
    </w:p>
    <w:p>
      <w:pPr>
        <w:spacing w:before="0"/>
        <w:ind w:left="0" w:right="38" w:firstLine="0"/>
        <w:jc w:val="right"/>
        <w:rPr>
          <w:sz w:val="12"/>
        </w:rPr>
      </w:pPr>
      <w:r>
        <w:rPr/>
        <w:pict>
          <v:group style="position:absolute;margin-left:51.875pt;margin-top:-3.252255pt;width:144.15pt;height:111.95pt;mso-position-horizontal-relative:page;mso-position-vertical-relative:paragraph;z-index:15919616" coordorigin="1038,-65" coordsize="2883,2239">
            <v:shape style="position:absolute;left:1037;top:29;width:2883;height:2090" type="#_x0000_t75" stroked="false">
              <v:imagedata r:id="rId65" o:title=""/>
            </v:shape>
            <v:shape style="position:absolute;left:1660;top:-66;width:1657;height:661" type="#_x0000_t202" filled="false" stroked="false">
              <v:textbox inset="0,0,0,0">
                <w:txbxContent>
                  <w:p>
                    <w:pPr>
                      <w:spacing w:line="133" w:lineRule="exact" w:before="0"/>
                      <w:ind w:left="909" w:right="0" w:firstLine="0"/>
                      <w:jc w:val="left"/>
                      <w:rPr>
                        <w:sz w:val="12"/>
                      </w:rPr>
                    </w:pPr>
                    <w:r>
                      <w:rPr>
                        <w:sz w:val="12"/>
                      </w:rPr>
                      <w:t>FTSE IT Index</w:t>
                    </w:r>
                  </w:p>
                  <w:p>
                    <w:pPr>
                      <w:spacing w:line="240" w:lineRule="auto" w:before="0"/>
                      <w:rPr>
                        <w:sz w:val="12"/>
                      </w:rPr>
                    </w:pPr>
                  </w:p>
                  <w:p>
                    <w:pPr>
                      <w:spacing w:line="240" w:lineRule="auto" w:before="0"/>
                      <w:rPr>
                        <w:sz w:val="12"/>
                      </w:rPr>
                    </w:pPr>
                  </w:p>
                  <w:p>
                    <w:pPr>
                      <w:spacing w:line="240" w:lineRule="auto" w:before="10"/>
                      <w:rPr>
                        <w:sz w:val="9"/>
                      </w:rPr>
                    </w:pPr>
                  </w:p>
                  <w:p>
                    <w:pPr>
                      <w:spacing w:before="0"/>
                      <w:ind w:left="0" w:right="0" w:firstLine="0"/>
                      <w:jc w:val="left"/>
                      <w:rPr>
                        <w:sz w:val="12"/>
                      </w:rPr>
                    </w:pPr>
                    <w:r>
                      <w:rPr>
                        <w:sz w:val="12"/>
                      </w:rPr>
                      <w:t>DS European IT Index</w:t>
                    </w:r>
                  </w:p>
                </w:txbxContent>
              </v:textbox>
              <w10:wrap type="none"/>
            </v:shape>
            <v:shape style="position:absolute;left:1205;top:1007;width:1378;height:586" type="#_x0000_t202" filled="false" stroked="false">
              <v:textbox inset="0,0,0,0">
                <w:txbxContent>
                  <w:p>
                    <w:pPr>
                      <w:spacing w:line="133" w:lineRule="exact" w:before="0"/>
                      <w:ind w:left="787" w:right="0" w:firstLine="0"/>
                      <w:jc w:val="left"/>
                      <w:rPr>
                        <w:sz w:val="12"/>
                      </w:rPr>
                    </w:pPr>
                    <w:r>
                      <w:rPr>
                        <w:sz w:val="12"/>
                      </w:rPr>
                      <w:t>Nasdaq 100</w:t>
                    </w:r>
                  </w:p>
                  <w:p>
                    <w:pPr>
                      <w:spacing w:line="240" w:lineRule="auto" w:before="0"/>
                      <w:rPr>
                        <w:sz w:val="12"/>
                      </w:rPr>
                    </w:pPr>
                  </w:p>
                  <w:p>
                    <w:pPr>
                      <w:spacing w:line="240" w:lineRule="auto" w:before="4"/>
                      <w:rPr>
                        <w:sz w:val="15"/>
                      </w:rPr>
                    </w:pPr>
                  </w:p>
                  <w:p>
                    <w:pPr>
                      <w:spacing w:before="0"/>
                      <w:ind w:left="0" w:right="0" w:firstLine="0"/>
                      <w:jc w:val="left"/>
                      <w:rPr>
                        <w:sz w:val="12"/>
                      </w:rPr>
                    </w:pPr>
                    <w:r>
                      <w:rPr>
                        <w:sz w:val="12"/>
                      </w:rPr>
                      <w:t>DS European Equity Index</w:t>
                    </w:r>
                  </w:p>
                </w:txbxContent>
              </v:textbox>
              <w10:wrap type="none"/>
            </v:shape>
            <v:shape style="position:absolute;left:3127;top:1492;width:457;height:133" type="#_x0000_t202" filled="false" stroked="false">
              <v:textbox inset="0,0,0,0">
                <w:txbxContent>
                  <w:p>
                    <w:pPr>
                      <w:spacing w:line="133" w:lineRule="exact" w:before="0"/>
                      <w:ind w:left="0" w:right="0" w:firstLine="0"/>
                      <w:jc w:val="left"/>
                      <w:rPr>
                        <w:sz w:val="12"/>
                      </w:rPr>
                    </w:pPr>
                    <w:r>
                      <w:rPr>
                        <w:sz w:val="12"/>
                      </w:rPr>
                      <w:t>S&amp;P 500</w:t>
                    </w:r>
                  </w:p>
                </w:txbxContent>
              </v:textbox>
              <w10:wrap type="none"/>
            </v:shape>
            <v:shape style="position:absolute;left:2840;top:2039;width:797;height:134" type="#_x0000_t202" filled="false" stroked="false">
              <v:textbox inset="0,0,0,0">
                <w:txbxContent>
                  <w:p>
                    <w:pPr>
                      <w:spacing w:line="133" w:lineRule="exact" w:before="0"/>
                      <w:ind w:left="0" w:right="0" w:firstLine="0"/>
                      <w:jc w:val="left"/>
                      <w:rPr>
                        <w:sz w:val="12"/>
                      </w:rPr>
                    </w:pPr>
                    <w:r>
                      <w:rPr>
                        <w:sz w:val="12"/>
                      </w:rPr>
                      <w:t>FTSE All-Share</w:t>
                    </w:r>
                  </w:p>
                </w:txbxContent>
              </v:textbox>
              <w10:wrap type="none"/>
            </v:shape>
            <w10:wrap type="none"/>
          </v:group>
        </w:pict>
      </w:r>
      <w:r>
        <w:rPr/>
        <w:pict>
          <v:line style="position:absolute;mso-position-horizontal-relative:page;mso-position-vertical-relative:paragraph;z-index:15920128" from="42.167pt,3.63999pt" to="46.5pt,3.63999pt" stroked="true" strokeweight=".5pt" strokecolor="#000000">
            <v:stroke dashstyle="solid"/>
            <w10:wrap type="none"/>
          </v:line>
        </w:pict>
      </w:r>
      <w:r>
        <w:rPr/>
        <w:pict>
          <v:line style="position:absolute;mso-position-horizontal-relative:page;mso-position-vertical-relative:paragraph;z-index:15922176" from="200.5pt,3.63999pt" to="204.833pt,3.63999pt" stroked="true" strokeweight=".5pt" strokecolor="#000000">
            <v:stroke dashstyle="solid"/>
            <w10:wrap type="none"/>
          </v:line>
        </w:pict>
      </w:r>
      <w:r>
        <w:rPr>
          <w:sz w:val="12"/>
        </w:rPr>
        <w:t>300</w:t>
      </w:r>
    </w:p>
    <w:p>
      <w:pPr>
        <w:pStyle w:val="BodyText"/>
        <w:rPr>
          <w:sz w:val="12"/>
        </w:rPr>
      </w:pP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5920640" from="42.167pt,3.657746pt" to="46.5pt,3.657746pt" stroked="true" strokeweight=".5pt" strokecolor="#000000">
            <v:stroke dashstyle="solid"/>
            <w10:wrap type="none"/>
          </v:line>
        </w:pict>
      </w:r>
      <w:r>
        <w:rPr/>
        <w:pict>
          <v:line style="position:absolute;mso-position-horizontal-relative:page;mso-position-vertical-relative:paragraph;z-index:15922688" from="200.5pt,3.657746pt" to="204.833pt,3.657746pt" stroked="true" strokeweight=".5pt" strokecolor="#000000">
            <v:stroke dashstyle="solid"/>
            <w10:wrap type="none"/>
          </v:line>
        </w:pict>
      </w:r>
      <w:r>
        <w:rPr>
          <w:sz w:val="12"/>
        </w:rPr>
        <w:t>250</w:t>
      </w:r>
    </w:p>
    <w:p>
      <w:pPr>
        <w:pStyle w:val="BodyText"/>
        <w:rPr>
          <w:sz w:val="12"/>
        </w:rPr>
      </w:pPr>
    </w:p>
    <w:p>
      <w:pPr>
        <w:pStyle w:val="BodyText"/>
        <w:spacing w:before="8"/>
        <w:rPr>
          <w:sz w:val="17"/>
        </w:rPr>
      </w:pPr>
    </w:p>
    <w:p>
      <w:pPr>
        <w:spacing w:before="1"/>
        <w:ind w:left="0" w:right="38" w:firstLine="0"/>
        <w:jc w:val="right"/>
        <w:rPr>
          <w:sz w:val="12"/>
        </w:rPr>
      </w:pPr>
      <w:r>
        <w:rPr/>
        <w:pict>
          <v:line style="position:absolute;mso-position-horizontal-relative:page;mso-position-vertical-relative:paragraph;z-index:15921152" from="42.167pt,3.599746pt" to="46.5pt,3.599746pt" stroked="true" strokeweight=".5pt" strokecolor="#000000">
            <v:stroke dashstyle="solid"/>
            <w10:wrap type="none"/>
          </v:line>
        </w:pict>
      </w:r>
      <w:r>
        <w:rPr/>
        <w:pict>
          <v:line style="position:absolute;mso-position-horizontal-relative:page;mso-position-vertical-relative:paragraph;z-index:15923200" from="200.5pt,3.599746pt" to="204.833pt,3.599746pt" stroked="true" strokeweight=".5pt" strokecolor="#000000">
            <v:stroke dashstyle="solid"/>
            <w10:wrap type="none"/>
          </v:line>
        </w:pict>
      </w:r>
      <w:r>
        <w:rPr>
          <w:sz w:val="12"/>
        </w:rPr>
        <w:t>200</w:t>
      </w:r>
    </w:p>
    <w:p>
      <w:pPr>
        <w:pStyle w:val="Heading6"/>
        <w:spacing w:line="242" w:lineRule="auto" w:before="207"/>
        <w:ind w:left="152" w:right="166"/>
      </w:pPr>
      <w:r>
        <w:rPr/>
        <w:br w:type="column"/>
      </w:r>
      <w:r>
        <w:rPr/>
        <w:t>Nationwide index rose by 17.5% over the same period. Nevertheless, there are some tentative signs that annual house price inflation may be moderating. House price data from Halifax plc suggest that quarterly house price inflation has fallen recently, particularly in London and the South East (see Chart 1.17). And although mortgage approvals suggest that current activity remains firm, longer-leading indicators, such as starts and reservations, suggest slower housing market activity later this year.</w:t>
      </w:r>
    </w:p>
    <w:p>
      <w:pPr>
        <w:spacing w:after="0" w:line="242" w:lineRule="auto"/>
        <w:sectPr>
          <w:type w:val="continuous"/>
          <w:pgSz w:w="11900" w:h="16840"/>
          <w:pgMar w:top="1220" w:bottom="280" w:left="640" w:right="620"/>
          <w:cols w:num="2" w:equalWidth="0">
            <w:col w:w="3761" w:space="1047"/>
            <w:col w:w="5832"/>
          </w:cols>
        </w:sectPr>
      </w:pPr>
    </w:p>
    <w:p>
      <w:pPr>
        <w:pStyle w:val="BodyText"/>
        <w:spacing w:before="6"/>
        <w:rPr>
          <w:sz w:val="17"/>
        </w:rPr>
      </w:pPr>
    </w:p>
    <w:p>
      <w:pPr>
        <w:spacing w:after="0"/>
        <w:rPr>
          <w:sz w:val="17"/>
        </w:rPr>
        <w:sectPr>
          <w:type w:val="continuous"/>
          <w:pgSz w:w="11900" w:h="16840"/>
          <w:pgMar w:top="1220" w:bottom="280" w:left="640" w:right="620"/>
        </w:sectPr>
      </w:pPr>
    </w:p>
    <w:p>
      <w:pPr>
        <w:pStyle w:val="BodyText"/>
        <w:spacing w:before="11"/>
        <w:rPr>
          <w:sz w:val="13"/>
        </w:rPr>
      </w:pPr>
    </w:p>
    <w:p>
      <w:pPr>
        <w:pStyle w:val="BodyText"/>
        <w:spacing w:line="20" w:lineRule="exact"/>
        <w:ind w:left="19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4"/>
        <w:rPr>
          <w:sz w:val="16"/>
        </w:rPr>
      </w:pPr>
      <w:r>
        <w:rPr/>
        <w:pict>
          <v:shape style="position:absolute;margin-left:42.167pt;margin-top:11.643976pt;width:4.350pt;height:.1pt;mso-position-horizontal-relative:page;mso-position-vertical-relative:paragraph;z-index:-15544832;mso-wrap-distance-left:0;mso-wrap-distance-right:0" coordorigin="843,233" coordsize="87,0" path="m843,233l930,233e" filled="false" stroked="true" strokeweight=".5pt" strokecolor="#000000">
            <v:path arrowok="t"/>
            <v:stroke dashstyle="solid"/>
            <w10:wrap type="topAndBottom"/>
          </v:shape>
        </w:pict>
      </w:r>
      <w:r>
        <w:rPr/>
        <w:pict>
          <v:shape style="position:absolute;margin-left:42.167pt;margin-top:35.535976pt;width:4.350pt;height:.1pt;mso-position-horizontal-relative:page;mso-position-vertical-relative:paragraph;z-index:-15544320;mso-wrap-distance-left:0;mso-wrap-distance-right:0" coordorigin="843,711" coordsize="87,0" path="m843,711l930,711e" filled="false" stroked="true" strokeweight=".5pt" strokecolor="#000000">
            <v:path arrowok="t"/>
            <v:stroke dashstyle="solid"/>
            <w10:wrap type="topAndBottom"/>
          </v:shape>
        </w:pict>
      </w:r>
      <w:r>
        <w:rPr/>
        <w:pict>
          <v:shape style="position:absolute;margin-left:52.264pt;margin-top:31.879976pt;width:143.2pt;height:5.7pt;mso-position-horizontal-relative:page;mso-position-vertical-relative:paragraph;z-index:-15543808;mso-wrap-distance-left:0;mso-wrap-distance-right:0" coordorigin="1045,638" coordsize="2864,114" path="m1048,751l3908,751m1045,684l1045,751m1266,684l1266,751m1487,684l1487,751m1930,684l1930,751m2372,684l2372,751m2814,684l2814,751m3256,684l3256,751m3477,684l3477,751m3035,638l3035,751m3698,684l3698,751m1709,684l1709,751m2151,684l2151,751m2593,684l2593,751m3880,684l3880,751e" filled="false" stroked="true" strokeweight=".5pt" strokecolor="#000000">
            <v:path arrowok="t"/>
            <v:stroke dashstyle="solid"/>
            <w10:wrap type="topAndBottom"/>
          </v:shape>
        </w:pict>
      </w:r>
    </w:p>
    <w:p>
      <w:pPr>
        <w:pStyle w:val="BodyText"/>
        <w:spacing w:before="4"/>
        <w:rPr>
          <w:sz w:val="28"/>
        </w:rPr>
      </w:pPr>
    </w:p>
    <w:p>
      <w:pPr>
        <w:tabs>
          <w:tab w:pos="777" w:val="left" w:leader="none"/>
          <w:tab w:pos="1639" w:val="left" w:leader="none"/>
          <w:tab w:pos="2069" w:val="left" w:leader="none"/>
          <w:tab w:pos="2522" w:val="left" w:leader="none"/>
          <w:tab w:pos="2942" w:val="left" w:leader="none"/>
        </w:tabs>
        <w:spacing w:before="11"/>
        <w:ind w:left="315" w:right="0" w:firstLine="0"/>
        <w:jc w:val="left"/>
        <w:rPr>
          <w:sz w:val="12"/>
        </w:rPr>
      </w:pPr>
      <w:r>
        <w:rPr>
          <w:sz w:val="12"/>
        </w:rPr>
        <w:t>Apr.</w:t>
        <w:tab/>
        <w:t>June     </w:t>
      </w:r>
      <w:r>
        <w:rPr>
          <w:spacing w:val="20"/>
          <w:sz w:val="12"/>
        </w:rPr>
        <w:t> </w:t>
      </w:r>
      <w:r>
        <w:rPr>
          <w:sz w:val="12"/>
        </w:rPr>
        <w:t>Aug.</w:t>
        <w:tab/>
        <w:t>Oct.</w:t>
        <w:tab/>
        <w:t>Dec.</w:t>
        <w:tab/>
        <w:t>Feb.</w:t>
        <w:tab/>
        <w:t>April</w:t>
      </w:r>
    </w:p>
    <w:p>
      <w:pPr>
        <w:tabs>
          <w:tab w:pos="2809" w:val="left" w:leader="none"/>
        </w:tabs>
        <w:spacing w:before="94"/>
        <w:ind w:left="1340" w:right="0" w:firstLine="0"/>
        <w:jc w:val="left"/>
        <w:rPr>
          <w:sz w:val="12"/>
        </w:rPr>
      </w:pPr>
      <w:r>
        <w:rPr>
          <w:sz w:val="12"/>
        </w:rPr>
        <w:t>1999</w:t>
        <w:tab/>
        <w:t>2000</w:t>
      </w:r>
    </w:p>
    <w:p>
      <w:pPr>
        <w:spacing w:before="61"/>
        <w:ind w:left="159" w:right="0" w:firstLine="0"/>
        <w:jc w:val="left"/>
        <w:rPr>
          <w:sz w:val="12"/>
        </w:rPr>
      </w:pPr>
      <w:r>
        <w:rPr>
          <w:sz w:val="12"/>
        </w:rPr>
        <w:t>Source: Primark Datastream.</w:t>
      </w:r>
    </w:p>
    <w:p>
      <w:pPr>
        <w:pStyle w:val="BodyText"/>
        <w:spacing w:before="10"/>
        <w:rPr>
          <w:sz w:val="9"/>
        </w:rPr>
      </w:pPr>
    </w:p>
    <w:p>
      <w:pPr>
        <w:spacing w:before="0"/>
        <w:ind w:left="155" w:right="0" w:firstLine="0"/>
        <w:jc w:val="left"/>
        <w:rPr>
          <w:b/>
          <w:sz w:val="20"/>
        </w:rPr>
      </w:pPr>
      <w:r>
        <w:rPr>
          <w:b/>
          <w:color w:val="0092C7"/>
          <w:sz w:val="20"/>
        </w:rPr>
        <w:t>Chart 1.17</w:t>
      </w:r>
    </w:p>
    <w:p>
      <w:pPr>
        <w:spacing w:before="10"/>
        <w:ind w:left="155" w:right="0" w:firstLine="0"/>
        <w:jc w:val="left"/>
        <w:rPr>
          <w:b/>
          <w:sz w:val="20"/>
        </w:rPr>
      </w:pPr>
      <w:r>
        <w:rPr>
          <w:b/>
          <w:color w:val="0092C7"/>
          <w:sz w:val="20"/>
        </w:rPr>
        <w:t>Halifax regional house price inflation</w:t>
      </w:r>
    </w:p>
    <w:p>
      <w:pPr>
        <w:spacing w:before="100"/>
        <w:ind w:left="407" w:right="0" w:firstLine="0"/>
        <w:jc w:val="left"/>
        <w:rPr>
          <w:sz w:val="12"/>
        </w:rPr>
      </w:pPr>
      <w:r>
        <w:rPr/>
        <w:pict>
          <v:group style="position:absolute;margin-left:42.268002pt;margin-top:4.476624pt;width:8.85pt;height:28.85pt;mso-position-horizontal-relative:page;mso-position-vertical-relative:paragraph;z-index:15926272" coordorigin="845,90" coordsize="177,577">
            <v:line style="position:absolute" from="845,661" to="932,661" stroked="true" strokeweight=".5pt" strokecolor="#000000">
              <v:stroke dashstyle="solid"/>
            </v:line>
            <v:shape style="position:absolute;left:845;top:89;width:177;height:513" type="#_x0000_t75" stroked="false">
              <v:imagedata r:id="rId66" o:title=""/>
            </v:shape>
            <w10:wrap type="none"/>
          </v:group>
        </w:pict>
      </w:r>
      <w:r>
        <w:rPr>
          <w:sz w:val="12"/>
        </w:rPr>
        <w:t>1999 Q3</w:t>
      </w:r>
    </w:p>
    <w:p>
      <w:pPr>
        <w:spacing w:before="37"/>
        <w:ind w:left="407" w:right="0" w:firstLine="0"/>
        <w:jc w:val="left"/>
        <w:rPr>
          <w:sz w:val="12"/>
        </w:rPr>
      </w:pPr>
      <w:r>
        <w:rPr>
          <w:sz w:val="12"/>
        </w:rPr>
        <w:t>1999 Q4</w:t>
      </w:r>
    </w:p>
    <w:p>
      <w:pPr>
        <w:spacing w:before="97"/>
        <w:ind w:left="155" w:right="0" w:firstLine="0"/>
        <w:jc w:val="left"/>
        <w:rPr>
          <w:sz w:val="12"/>
        </w:rPr>
      </w:pPr>
      <w:r>
        <w:rPr/>
        <w:br w:type="column"/>
      </w:r>
      <w:r>
        <w:rPr>
          <w:sz w:val="12"/>
        </w:rPr>
        <w:t>150</w:t>
      </w:r>
    </w:p>
    <w:p>
      <w:pPr>
        <w:pStyle w:val="BodyText"/>
        <w:rPr>
          <w:sz w:val="12"/>
        </w:rPr>
      </w:pPr>
    </w:p>
    <w:p>
      <w:pPr>
        <w:pStyle w:val="BodyText"/>
        <w:spacing w:before="6"/>
        <w:rPr>
          <w:sz w:val="17"/>
        </w:rPr>
      </w:pPr>
    </w:p>
    <w:p>
      <w:pPr>
        <w:spacing w:before="0"/>
        <w:ind w:left="155" w:right="0" w:firstLine="0"/>
        <w:jc w:val="left"/>
        <w:rPr>
          <w:sz w:val="12"/>
        </w:rPr>
      </w:pPr>
      <w:r>
        <w:rPr/>
        <w:pict>
          <v:line style="position:absolute;mso-position-horizontal-relative:page;mso-position-vertical-relative:paragraph;z-index:15923712" from="200.5pt,3.459746pt" to="204.833pt,3.459746pt" stroked="true" strokeweight=".5pt" strokecolor="#000000">
            <v:stroke dashstyle="solid"/>
            <w10:wrap type="none"/>
          </v:line>
        </w:pict>
      </w:r>
      <w:r>
        <w:rPr/>
        <w:pict>
          <v:line style="position:absolute;mso-position-horizontal-relative:page;mso-position-vertical-relative:paragraph;z-index:15924224" from="200.5pt,-20.433254pt" to="204.833pt,-20.433254pt" stroked="true" strokeweight=".5pt" strokecolor="#000000">
            <v:stroke dashstyle="solid"/>
            <w10:wrap type="none"/>
          </v:line>
        </w:pict>
      </w:r>
      <w:r>
        <w:rPr>
          <w:sz w:val="12"/>
        </w:rPr>
        <w:t>100</w:t>
      </w:r>
    </w:p>
    <w:p>
      <w:pPr>
        <w:pStyle w:val="BodyText"/>
        <w:rPr>
          <w:sz w:val="12"/>
        </w:rPr>
      </w:pPr>
    </w:p>
    <w:p>
      <w:pPr>
        <w:pStyle w:val="BodyText"/>
        <w:spacing w:before="6"/>
        <w:rPr>
          <w:sz w:val="17"/>
        </w:rPr>
      </w:pPr>
    </w:p>
    <w:p>
      <w:pPr>
        <w:spacing w:before="0"/>
        <w:ind w:left="215" w:right="0" w:firstLine="0"/>
        <w:jc w:val="left"/>
        <w:rPr>
          <w:sz w:val="12"/>
        </w:rPr>
      </w:pPr>
      <w:r>
        <w:rPr/>
        <w:pict>
          <v:line style="position:absolute;mso-position-horizontal-relative:page;mso-position-vertical-relative:paragraph;z-index:15924736" from="200.5pt,3.476563pt" to="204.833pt,3.476563pt" stroked="true" strokeweight=".5pt" strokecolor="#000000">
            <v:stroke dashstyle="solid"/>
            <w10:wrap type="none"/>
          </v:line>
        </w:pict>
      </w:r>
      <w:r>
        <w:rPr>
          <w:sz w:val="12"/>
        </w:rPr>
        <w:t>50</w:t>
      </w:r>
    </w:p>
    <w:p>
      <w:pPr>
        <w:pStyle w:val="Heading7"/>
        <w:spacing w:before="90"/>
        <w:ind w:left="155"/>
        <w:rPr>
          <w:i/>
        </w:rPr>
      </w:pPr>
      <w:r>
        <w:rPr>
          <w:i w:val="0"/>
        </w:rPr>
        <w:br w:type="column"/>
      </w:r>
      <w:r>
        <w:rPr>
          <w:i/>
          <w:color w:val="009391"/>
        </w:rPr>
        <w:t>Exchange rates</w:t>
      </w:r>
    </w:p>
    <w:p>
      <w:pPr>
        <w:spacing w:line="242" w:lineRule="auto" w:before="164"/>
        <w:ind w:left="155" w:right="169" w:firstLine="0"/>
        <w:jc w:val="left"/>
        <w:rPr>
          <w:sz w:val="24"/>
        </w:rPr>
      </w:pPr>
      <w:r>
        <w:rPr>
          <w:sz w:val="24"/>
        </w:rPr>
        <w:t>The sterling effective exchange rate index remains close to its highest level since 1985. The 15 working day average of the ERI up to and including 3 May, used as the starting-point for the current projections, is 110.7, around 1</w:t>
      </w:r>
      <w:r>
        <w:rPr>
          <w:position w:val="8"/>
          <w:sz w:val="12"/>
        </w:rPr>
        <w:t>1</w:t>
      </w:r>
      <w:r>
        <w:rPr>
          <w:sz w:val="24"/>
        </w:rPr>
        <w:t>/</w:t>
      </w:r>
      <w:r>
        <w:rPr>
          <w:sz w:val="12"/>
        </w:rPr>
        <w:t>2</w:t>
      </w:r>
      <w:r>
        <w:rPr>
          <w:sz w:val="24"/>
        </w:rPr>
        <w:t>% above the central path assumed in the February </w:t>
      </w:r>
      <w:r>
        <w:rPr>
          <w:i/>
          <w:sz w:val="24"/>
        </w:rPr>
        <w:t>Report</w:t>
      </w:r>
      <w:r>
        <w:rPr>
          <w:sz w:val="24"/>
        </w:rPr>
        <w:t>. As noted in previous </w:t>
      </w:r>
      <w:r>
        <w:rPr>
          <w:i/>
          <w:sz w:val="24"/>
        </w:rPr>
        <w:t>Reports</w:t>
      </w:r>
      <w:r>
        <w:rPr>
          <w:sz w:val="24"/>
        </w:rPr>
        <w:t>, much of the appreciation in the ERI in recent years has reflected a rise in sterling against the euro. By contrast, sterling has</w:t>
      </w:r>
    </w:p>
    <w:p>
      <w:pPr>
        <w:spacing w:after="0" w:line="242" w:lineRule="auto"/>
        <w:jc w:val="left"/>
        <w:rPr>
          <w:sz w:val="24"/>
        </w:rPr>
        <w:sectPr>
          <w:type w:val="continuous"/>
          <w:pgSz w:w="11900" w:h="16840"/>
          <w:pgMar w:top="1220" w:bottom="280" w:left="640" w:right="620"/>
          <w:cols w:num="3" w:equalWidth="0">
            <w:col w:w="3333" w:space="52"/>
            <w:col w:w="376" w:space="1044"/>
            <w:col w:w="5835"/>
          </w:cols>
        </w:sectPr>
      </w:pPr>
    </w:p>
    <w:p>
      <w:pPr>
        <w:spacing w:before="37"/>
        <w:ind w:left="407" w:right="0" w:firstLine="0"/>
        <w:jc w:val="left"/>
        <w:rPr>
          <w:sz w:val="12"/>
        </w:rPr>
      </w:pPr>
      <w:r>
        <w:rPr>
          <w:sz w:val="12"/>
        </w:rPr>
        <w:t>2000 Q1</w:t>
      </w:r>
    </w:p>
    <w:p>
      <w:pPr>
        <w:pStyle w:val="BodyText"/>
        <w:rPr>
          <w:sz w:val="20"/>
        </w:rPr>
      </w:pPr>
    </w:p>
    <w:p>
      <w:pPr>
        <w:pStyle w:val="BodyText"/>
      </w:pPr>
      <w:r>
        <w:rPr/>
        <w:pict>
          <v:shape style="position:absolute;margin-left:42.268002pt;margin-top:12.557885pt;width:4.350pt;height:.1pt;mso-position-horizontal-relative:page;mso-position-vertical-relative:paragraph;z-index:-15543296;mso-wrap-distance-left:0;mso-wrap-distance-right:0" coordorigin="845,251" coordsize="87,0" path="m845,251l932,251e" filled="false" stroked="true" strokeweight=".5pt" strokecolor="#000000">
            <v:path arrowok="t"/>
            <v:stroke dashstyle="solid"/>
            <w10:wrap type="topAndBottom"/>
          </v:shape>
        </w:pict>
      </w:r>
      <w:r>
        <w:rPr/>
        <w:pict>
          <v:shape style="position:absolute;margin-left:42.268002pt;margin-top:32.935886pt;width:4.350pt;height:.1pt;mso-position-horizontal-relative:page;mso-position-vertical-relative:paragraph;z-index:-15542784;mso-wrap-distance-left:0;mso-wrap-distance-right:0" coordorigin="845,659" coordsize="87,0" path="m845,659l932,659e" filled="false" stroked="true" strokeweight=".5pt" strokecolor="#000000">
            <v:path arrowok="t"/>
            <v:stroke dashstyle="solid"/>
            <w10:wrap type="topAndBottom"/>
          </v:shape>
        </w:pict>
      </w:r>
      <w:r>
        <w:rPr/>
        <w:pict>
          <v:shape style="position:absolute;margin-left:42.268002pt;margin-top:53.313885pt;width:4.350pt;height:.1pt;mso-position-horizontal-relative:page;mso-position-vertical-relative:paragraph;z-index:-15542272;mso-wrap-distance-left:0;mso-wrap-distance-right:0" coordorigin="845,1066" coordsize="87,0" path="m845,1066l932,1066e" filled="false" stroked="true" strokeweight=".5pt" strokecolor="#000000">
            <v:path arrowok="t"/>
            <v:stroke dashstyle="solid"/>
            <w10:wrap type="topAndBottom"/>
          </v:shape>
        </w:pict>
      </w:r>
      <w:r>
        <w:rPr/>
        <w:pict>
          <v:shape style="position:absolute;margin-left:42.268002pt;margin-top:73.691887pt;width:4.350pt;height:.1pt;mso-position-horizontal-relative:page;mso-position-vertical-relative:paragraph;z-index:-15541760;mso-wrap-distance-left:0;mso-wrap-distance-right:0" coordorigin="845,1474" coordsize="87,0" path="m845,1474l932,1474e" filled="false" stroked="true" strokeweight=".5pt" strokecolor="#000000">
            <v:path arrowok="t"/>
            <v:stroke dashstyle="solid"/>
            <w10:wrap type="topAndBottom"/>
          </v:shape>
        </w:pict>
      </w:r>
      <w:r>
        <w:rPr/>
        <w:pict>
          <v:shape style="position:absolute;margin-left:42.268002pt;margin-top:94.069885pt;width:4.350pt;height:.1pt;mso-position-horizontal-relative:page;mso-position-vertical-relative:paragraph;z-index:-15541248;mso-wrap-distance-left:0;mso-wrap-distance-right:0" coordorigin="845,1881" coordsize="87,0" path="m845,1881l932,1881e" filled="false" stroked="true" strokeweight=".5pt" strokecolor="#000000">
            <v:path arrowok="t"/>
            <v:stroke dashstyle="solid"/>
            <w10:wrap type="topAndBottom"/>
          </v:shape>
        </w:pict>
      </w:r>
      <w:r>
        <w:rPr/>
        <w:pict>
          <v:shape style="position:absolute;margin-left:42.268002pt;margin-top:114.447884pt;width:4.350pt;height:.1pt;mso-position-horizontal-relative:page;mso-position-vertical-relative:paragraph;z-index:-15540736;mso-wrap-distance-left:0;mso-wrap-distance-right:0" coordorigin="845,2289" coordsize="87,0" path="m845,2289l932,2289e" filled="false" stroked="true" strokeweight=".5pt" strokecolor="#000000">
            <v:path arrowok="t"/>
            <v:stroke dashstyle="solid"/>
            <w10:wrap type="topAndBottom"/>
          </v:shape>
        </w:pict>
      </w:r>
      <w:r>
        <w:rPr/>
        <w:pict>
          <v:shape style="position:absolute;margin-left:42.268002pt;margin-top:134.825882pt;width:4.350pt;height:.1pt;mso-position-horizontal-relative:page;mso-position-vertical-relative:paragraph;z-index:-15540224;mso-wrap-distance-left:0;mso-wrap-distance-right:0" coordorigin="845,2697" coordsize="87,0" path="m845,2697l932,2697e" filled="false" stroked="true" strokeweight=".5pt" strokecolor="#000000">
            <v:path arrowok="t"/>
            <v:stroke dashstyle="solid"/>
            <w10:wrap type="topAndBottom"/>
          </v:shape>
        </w:pict>
      </w:r>
    </w:p>
    <w:p>
      <w:pPr>
        <w:pStyle w:val="BodyText"/>
        <w:spacing w:before="7"/>
        <w:rPr>
          <w:sz w:val="28"/>
        </w:rPr>
      </w:pPr>
    </w:p>
    <w:p>
      <w:pPr>
        <w:pStyle w:val="BodyText"/>
        <w:spacing w:before="7"/>
        <w:rPr>
          <w:sz w:val="28"/>
        </w:rPr>
      </w:pPr>
    </w:p>
    <w:p>
      <w:pPr>
        <w:pStyle w:val="BodyText"/>
        <w:spacing w:before="7"/>
        <w:rPr>
          <w:sz w:val="28"/>
        </w:rPr>
      </w:pPr>
    </w:p>
    <w:p>
      <w:pPr>
        <w:pStyle w:val="BodyText"/>
        <w:spacing w:before="7"/>
        <w:rPr>
          <w:sz w:val="28"/>
        </w:rPr>
      </w:pPr>
    </w:p>
    <w:p>
      <w:pPr>
        <w:pStyle w:val="BodyText"/>
        <w:spacing w:before="7"/>
        <w:rPr>
          <w:sz w:val="28"/>
        </w:rPr>
      </w:pPr>
    </w:p>
    <w:p>
      <w:pPr>
        <w:pStyle w:val="BodyText"/>
        <w:spacing w:before="7"/>
        <w:rPr>
          <w:sz w:val="28"/>
        </w:rPr>
      </w:pPr>
    </w:p>
    <w:p>
      <w:pPr>
        <w:spacing w:before="85"/>
        <w:ind w:left="0" w:right="38" w:firstLine="0"/>
        <w:jc w:val="right"/>
        <w:rPr>
          <w:sz w:val="12"/>
        </w:rPr>
      </w:pPr>
      <w:r>
        <w:rPr/>
        <w:br w:type="column"/>
      </w:r>
      <w:r>
        <w:rPr>
          <w:sz w:val="12"/>
        </w:rPr>
        <w:t>Percentage changes on previous quarter </w:t>
      </w:r>
      <w:r>
        <w:rPr>
          <w:position w:val="-6"/>
          <w:sz w:val="12"/>
        </w:rPr>
        <w:t>10</w:t>
      </w:r>
    </w:p>
    <w:p>
      <w:pPr>
        <w:pStyle w:val="BodyText"/>
        <w:spacing w:before="8"/>
        <w:rPr>
          <w:sz w:val="23"/>
        </w:rPr>
      </w:pPr>
    </w:p>
    <w:p>
      <w:pPr>
        <w:spacing w:before="0"/>
        <w:ind w:left="0" w:right="38" w:firstLine="0"/>
        <w:jc w:val="right"/>
        <w:rPr>
          <w:sz w:val="12"/>
        </w:rPr>
      </w:pPr>
      <w:r>
        <w:rPr/>
        <w:pict>
          <v:group style="position:absolute;margin-left:50.958pt;margin-top:-8.606239pt;width:142.5pt;height:117.75pt;mso-position-horizontal-relative:page;mso-position-vertical-relative:paragraph;z-index:15925760" coordorigin="1019,-172" coordsize="2850,2355">
            <v:rect style="position:absolute;left:1044;top:805;width:60;height:910" filled="true" fillcolor="#006caa" stroked="false">
              <v:fill type="solid"/>
            </v:rect>
            <v:rect style="position:absolute;left:1044;top:805;width:60;height:910" filled="false" stroked="true" strokeweight=".5pt" strokecolor="#000000">
              <v:stroke dashstyle="solid"/>
            </v:rect>
            <v:rect style="position:absolute;left:1101;top:972;width:63;height:743" filled="true" fillcolor="#de0035" stroked="false">
              <v:fill type="solid"/>
            </v:rect>
            <v:rect style="position:absolute;left:1101;top:972;width:63;height:743" filled="false" stroked="true" strokeweight=".5pt" strokecolor="#000000">
              <v:stroke dashstyle="solid"/>
            </v:rect>
            <v:rect style="position:absolute;left:1266;top:-168;width:60;height:1883" filled="true" fillcolor="#006caa" stroked="false">
              <v:fill type="solid"/>
            </v:rect>
            <v:rect style="position:absolute;left:1266;top:-168;width:60;height:1883" filled="false" stroked="true" strokeweight=".5pt" strokecolor="#000000">
              <v:stroke dashstyle="solid"/>
            </v:rect>
            <v:rect style="position:absolute;left:1324;top:-20;width:53;height:1735" filled="true" fillcolor="#de0035" stroked="false">
              <v:fill type="solid"/>
            </v:rect>
            <v:rect style="position:absolute;left:1324;top:-20;width:53;height:1735" filled="false" stroked="true" strokeweight=".5pt" strokecolor="#000000">
              <v:stroke dashstyle="solid"/>
            </v:rect>
            <v:rect style="position:absolute;left:1161;top:1057;width:60;height:658" filled="true" fillcolor="#cee7e8" stroked="false">
              <v:fill type="solid"/>
            </v:rect>
            <v:rect style="position:absolute;left:1161;top:1057;width:60;height:658" filled="false" stroked="true" strokeweight=".5pt" strokecolor="#000000">
              <v:stroke dashstyle="solid"/>
            </v:rect>
            <v:rect style="position:absolute;left:1479;top:192;width:63;height:1523" filled="true" fillcolor="#006caa" stroked="false">
              <v:fill type="solid"/>
            </v:rect>
            <v:rect style="position:absolute;left:1479;top:192;width:63;height:1523" filled="false" stroked="true" strokeweight=".5pt" strokecolor="#000000">
              <v:stroke dashstyle="solid"/>
            </v:rect>
            <v:rect style="position:absolute;left:1539;top:85;width:60;height:1630" filled="true" fillcolor="#de0035" stroked="false">
              <v:fill type="solid"/>
            </v:rect>
            <v:rect style="position:absolute;left:1539;top:85;width:60;height:1630" filled="false" stroked="true" strokeweight=".5pt" strokecolor="#000000">
              <v:stroke dashstyle="solid"/>
            </v:rect>
            <v:rect style="position:absolute;left:1374;top:887;width:60;height:828" filled="true" fillcolor="#cee7e8" stroked="false">
              <v:fill type="solid"/>
            </v:rect>
            <v:rect style="position:absolute;left:1374;top:887;width:60;height:828" filled="false" stroked="true" strokeweight=".5pt" strokecolor="#000000">
              <v:stroke dashstyle="solid"/>
            </v:rect>
            <v:rect style="position:absolute;left:1704;top:507;width:60;height:1208" filled="true" fillcolor="#006caa" stroked="false">
              <v:fill type="solid"/>
            </v:rect>
            <v:rect style="position:absolute;left:1704;top:507;width:60;height:1208" filled="false" stroked="true" strokeweight=".5pt" strokecolor="#000000">
              <v:stroke dashstyle="solid"/>
            </v:rect>
            <v:rect style="position:absolute;left:1761;top:782;width:50;height:933" filled="true" fillcolor="#de0035" stroked="false">
              <v:fill type="solid"/>
            </v:rect>
            <v:rect style="position:absolute;left:1761;top:782;width:50;height:933" filled="false" stroked="true" strokeweight=".5pt" strokecolor="#000000">
              <v:stroke dashstyle="solid"/>
            </v:rect>
            <v:rect style="position:absolute;left:1596;top:1437;width:60;height:278" filled="true" fillcolor="#cee7e8" stroked="false">
              <v:fill type="solid"/>
            </v:rect>
            <v:rect style="position:absolute;left:1596;top:1437;width:60;height:278" filled="false" stroked="true" strokeweight=".5pt" strokecolor="#000000">
              <v:stroke dashstyle="solid"/>
            </v:rect>
            <v:rect style="position:absolute;left:1916;top:550;width:60;height:1165" filled="true" fillcolor="#006caa" stroked="false">
              <v:fill type="solid"/>
            </v:rect>
            <v:rect style="position:absolute;left:1916;top:550;width:60;height:1165" filled="false" stroked="true" strokeweight=".5pt" strokecolor="#000000">
              <v:stroke dashstyle="solid"/>
            </v:rect>
            <v:rect style="position:absolute;left:1974;top:782;width:60;height:933" filled="true" fillcolor="#de0035" stroked="false">
              <v:fill type="solid"/>
            </v:rect>
            <v:rect style="position:absolute;left:1974;top:782;width:60;height:933" filled="false" stroked="true" strokeweight=".5pt" strokecolor="#000000">
              <v:stroke dashstyle="solid"/>
            </v:rect>
            <v:rect style="position:absolute;left:1809;top:805;width:60;height:910" filled="true" fillcolor="#cee7e8" stroked="false">
              <v:fill type="solid"/>
            </v:rect>
            <v:rect style="position:absolute;left:1809;top:805;width:60;height:910" filled="false" stroked="true" strokeweight=".5pt" strokecolor="#000000">
              <v:stroke dashstyle="solid"/>
            </v:rect>
            <v:rect style="position:absolute;left:2139;top:487;width:60;height:1228" filled="true" fillcolor="#006caa" stroked="false">
              <v:fill type="solid"/>
            </v:rect>
            <v:rect style="position:absolute;left:2139;top:487;width:60;height:1228" filled="false" stroked="true" strokeweight=".5pt" strokecolor="#000000">
              <v:stroke dashstyle="solid"/>
            </v:rect>
            <v:rect style="position:absolute;left:2196;top:1395;width:53;height:320" filled="true" fillcolor="#de0035" stroked="false">
              <v:fill type="solid"/>
            </v:rect>
            <v:rect style="position:absolute;left:2196;top:1395;width:53;height:320" filled="false" stroked="true" strokeweight=".5pt" strokecolor="#000000">
              <v:stroke dashstyle="solid"/>
            </v:rect>
            <v:rect style="position:absolute;left:2031;top:697;width:63;height:1018" filled="true" fillcolor="#cee7e8" stroked="false">
              <v:fill type="solid"/>
            </v:rect>
            <v:rect style="position:absolute;left:2031;top:697;width:63;height:1018" filled="false" stroked="true" strokeweight=".5pt" strokecolor="#000000">
              <v:stroke dashstyle="solid"/>
            </v:rect>
            <v:rect style="position:absolute;left:2351;top:1035;width:60;height:680" filled="true" fillcolor="#006caa" stroked="false">
              <v:fill type="solid"/>
            </v:rect>
            <v:rect style="position:absolute;left:2351;top:1035;width:60;height:680" filled="false" stroked="true" strokeweight=".5pt" strokecolor="#000000">
              <v:stroke dashstyle="solid"/>
            </v:rect>
            <v:rect style="position:absolute;left:2409;top:1332;width:63;height:383" filled="true" fillcolor="#de0035" stroked="false">
              <v:fill type="solid"/>
            </v:rect>
            <v:rect style="position:absolute;left:2409;top:1332;width:63;height:383" filled="false" stroked="true" strokeweight=".5pt" strokecolor="#000000">
              <v:stroke dashstyle="solid"/>
            </v:rect>
            <v:rect style="position:absolute;left:2246;top:1287;width:60;height:428" filled="true" fillcolor="#cee7e8" stroked="false">
              <v:fill type="solid"/>
            </v:rect>
            <v:rect style="position:absolute;left:2246;top:1287;width:60;height:428" filled="false" stroked="true" strokeweight=".5pt" strokecolor="#000000">
              <v:stroke dashstyle="solid"/>
            </v:rect>
            <v:rect style="position:absolute;left:2574;top:1540;width:63;height:175" filled="true" fillcolor="#006caa" stroked="false">
              <v:fill type="solid"/>
            </v:rect>
            <v:rect style="position:absolute;left:2574;top:1540;width:63;height:175" filled="false" stroked="true" strokeweight=".5pt" strokecolor="#000000">
              <v:stroke dashstyle="solid"/>
            </v:rect>
            <v:rect style="position:absolute;left:2634;top:1480;width:50;height:235" filled="true" fillcolor="#de0035" stroked="false">
              <v:fill type="solid"/>
            </v:rect>
            <v:rect style="position:absolute;left:2634;top:1480;width:50;height:235" filled="false" stroked="true" strokeweight=".5pt" strokecolor="#000000">
              <v:stroke dashstyle="solid"/>
            </v:rect>
            <v:rect style="position:absolute;left:2469;top:677;width:60;height:1038" filled="true" fillcolor="#cee7e8" stroked="false">
              <v:fill type="solid"/>
            </v:rect>
            <v:rect style="position:absolute;left:2469;top:677;width:60;height:1038" filled="false" stroked="true" strokeweight=".5pt" strokecolor="#000000">
              <v:stroke dashstyle="solid"/>
            </v:rect>
            <v:rect style="position:absolute;left:2789;top:1057;width:60;height:658" filled="true" fillcolor="#006caa" stroked="false">
              <v:fill type="solid"/>
            </v:rect>
            <v:rect style="position:absolute;left:2789;top:1057;width:60;height:658" filled="false" stroked="true" strokeweight=".5pt" strokecolor="#000000">
              <v:stroke dashstyle="solid"/>
            </v:rect>
            <v:rect style="position:absolute;left:2846;top:1437;width:60;height:278" filled="true" fillcolor="#de0035" stroked="false">
              <v:fill type="solid"/>
            </v:rect>
            <v:rect style="position:absolute;left:2846;top:1437;width:60;height:278" filled="false" stroked="true" strokeweight=".5pt" strokecolor="#000000">
              <v:stroke dashstyle="solid"/>
            </v:rect>
            <v:rect style="position:absolute;left:2681;top:1077;width:60;height:638" filled="true" fillcolor="#cee7e8" stroked="false">
              <v:fill type="solid"/>
            </v:rect>
            <v:rect style="position:absolute;left:2681;top:1077;width:60;height:638" filled="false" stroked="true" strokeweight=".5pt" strokecolor="#000000">
              <v:stroke dashstyle="solid"/>
            </v:rect>
            <v:rect style="position:absolute;left:3011;top:1310;width:60;height:405" filled="true" fillcolor="#006caa" stroked="false">
              <v:fill type="solid"/>
            </v:rect>
            <v:rect style="position:absolute;left:3011;top:1310;width:60;height:405" filled="false" stroked="true" strokeweight=".5pt" strokecolor="#000000">
              <v:stroke dashstyle="solid"/>
            </v:rect>
            <v:rect style="position:absolute;left:3069;top:1712;width:50;height:128" filled="true" fillcolor="#de0035" stroked="false">
              <v:fill type="solid"/>
            </v:rect>
            <v:rect style="position:absolute;left:3069;top:1712;width:50;height:128" filled="false" stroked="true" strokeweight=".5pt" strokecolor="#000000">
              <v:stroke dashstyle="solid"/>
            </v:rect>
            <v:rect style="position:absolute;left:2904;top:1372;width:60;height:343" filled="true" fillcolor="#cee7e8" stroked="false">
              <v:fill type="solid"/>
            </v:rect>
            <v:rect style="position:absolute;left:2904;top:1372;width:60;height:343" filled="false" stroked="true" strokeweight=".5pt" strokecolor="#000000">
              <v:stroke dashstyle="solid"/>
            </v:rect>
            <v:rect style="position:absolute;left:3224;top:910;width:60;height:805" filled="true" fillcolor="#006caa" stroked="false">
              <v:fill type="solid"/>
            </v:rect>
            <v:rect style="position:absolute;left:3224;top:910;width:60;height:805" filled="false" stroked="true" strokeweight=".5pt" strokecolor="#000000">
              <v:stroke dashstyle="solid"/>
            </v:rect>
            <v:rect style="position:absolute;left:3281;top:1457;width:60;height:258" filled="true" fillcolor="#de0035" stroked="false">
              <v:fill type="solid"/>
            </v:rect>
            <v:rect style="position:absolute;left:3281;top:1457;width:60;height:258" filled="false" stroked="true" strokeweight=".5pt" strokecolor="#000000">
              <v:stroke dashstyle="solid"/>
            </v:rect>
            <v:rect style="position:absolute;left:3116;top:1500;width:63;height:215" filled="true" fillcolor="#cee7e8" stroked="false">
              <v:fill type="solid"/>
            </v:rect>
            <v:rect style="position:absolute;left:3116;top:1500;width:63;height:215" filled="false" stroked="true" strokeweight=".5pt" strokecolor="#000000">
              <v:stroke dashstyle="solid"/>
            </v:rect>
            <v:rect style="position:absolute;left:3446;top:1712;width:60;height:465" filled="true" fillcolor="#006caa" stroked="false">
              <v:fill type="solid"/>
            </v:rect>
            <v:rect style="position:absolute;left:3446;top:1712;width:60;height:465" filled="false" stroked="true" strokeweight=".5pt" strokecolor="#000000">
              <v:stroke dashstyle="solid"/>
            </v:rect>
            <v:rect style="position:absolute;left:3504;top:550;width:53;height:1165" filled="true" fillcolor="#de0035" stroked="false">
              <v:fill type="solid"/>
            </v:rect>
            <v:rect style="position:absolute;left:3504;top:550;width:53;height:1165" filled="false" stroked="true" strokeweight=".5pt" strokecolor="#000000">
              <v:stroke dashstyle="solid"/>
            </v:rect>
            <v:rect style="position:absolute;left:3339;top:1457;width:63;height:258" filled="true" fillcolor="#cee7e8" stroked="false">
              <v:fill type="solid"/>
            </v:rect>
            <v:rect style="position:absolute;left:3339;top:1457;width:63;height:258" filled="false" stroked="true" strokeweight=".5pt" strokecolor="#000000">
              <v:stroke dashstyle="solid"/>
            </v:rect>
            <v:rect style="position:absolute;left:3659;top:22;width:63;height:1693" filled="true" fillcolor="#006caa" stroked="false">
              <v:fill type="solid"/>
            </v:rect>
            <v:rect style="position:absolute;left:3659;top:22;width:63;height:1693" filled="false" stroked="true" strokeweight=".5pt" strokecolor="#000000">
              <v:stroke dashstyle="solid"/>
            </v:rect>
            <v:rect style="position:absolute;left:3719;top:1712;width:60;height:383" filled="true" fillcolor="#de0035" stroked="false">
              <v:fill type="solid"/>
            </v:rect>
            <v:rect style="position:absolute;left:3719;top:1712;width:60;height:383" filled="false" stroked="true" strokeweight=".5pt" strokecolor="#000000">
              <v:stroke dashstyle="solid"/>
            </v:rect>
            <v:rect style="position:absolute;left:3554;top:1457;width:60;height:258" filled="true" fillcolor="#cee7e8" stroked="false">
              <v:fill type="solid"/>
            </v:rect>
            <v:rect style="position:absolute;left:3554;top:1457;width:60;height:258" filled="false" stroked="true" strokeweight=".5pt" strokecolor="#000000">
              <v:stroke dashstyle="solid"/>
            </v:rect>
            <v:rect style="position:absolute;left:3776;top:1352;width:60;height:363" filled="true" fillcolor="#cee7e8" stroked="false">
              <v:fill type="solid"/>
            </v:rect>
            <v:shape style="position:absolute;left:1024;top:1352;width:2840;height:363" coordorigin="1024,1353" coordsize="2840,363" path="m3777,1353l3837,1353,3837,1715,3777,1715,3777,1353xm1024,1713l3864,1715e" filled="false" stroked="true" strokeweight=".5pt" strokecolor="#000000">
              <v:path arrowok="t"/>
              <v:stroke dashstyle="solid"/>
            </v:shape>
            <w10:wrap type="none"/>
          </v:group>
        </w:pict>
      </w:r>
      <w:r>
        <w:rPr/>
        <w:pict>
          <v:line style="position:absolute;mso-position-horizontal-relative:page;mso-position-vertical-relative:paragraph;z-index:15927296" from="197.207993pt,4.50176pt" to="201.541993pt,4.50176pt" stroked="true" strokeweight=".5pt" strokecolor="#000000">
            <v:stroke dashstyle="solid"/>
            <w10:wrap type="none"/>
          </v:line>
        </w:pict>
      </w:r>
      <w:r>
        <w:rPr/>
        <w:pict>
          <v:line style="position:absolute;mso-position-horizontal-relative:page;mso-position-vertical-relative:paragraph;z-index:-22681088" from="197.207993pt,-15.87624pt" to="201.541993pt,-15.87624pt" stroked="true" strokeweight=".5pt" strokecolor="#000000">
            <v:stroke dashstyle="solid"/>
            <w10:wrap type="none"/>
          </v:line>
        </w:pict>
      </w:r>
      <w:r>
        <w:rPr>
          <w:sz w:val="12"/>
        </w:rPr>
        <w:t>8</w:t>
      </w:r>
    </w:p>
    <w:p>
      <w:pPr>
        <w:pStyle w:val="BodyText"/>
        <w:rPr>
          <w:sz w:val="12"/>
        </w:rPr>
      </w:pPr>
    </w:p>
    <w:p>
      <w:pPr>
        <w:pStyle w:val="BodyText"/>
        <w:spacing w:before="7"/>
        <w:rPr>
          <w:sz w:val="11"/>
        </w:rPr>
      </w:pPr>
    </w:p>
    <w:p>
      <w:pPr>
        <w:spacing w:before="0"/>
        <w:ind w:left="0" w:right="38" w:firstLine="0"/>
        <w:jc w:val="right"/>
        <w:rPr>
          <w:sz w:val="12"/>
        </w:rPr>
      </w:pPr>
      <w:r>
        <w:rPr/>
        <w:pict>
          <v:line style="position:absolute;mso-position-horizontal-relative:page;mso-position-vertical-relative:paragraph;z-index:15927808" from="197.207993pt,4.379577pt" to="201.541993pt,4.379577pt" stroked="true" strokeweight=".5pt" strokecolor="#000000">
            <v:stroke dashstyle="solid"/>
            <w10:wrap type="none"/>
          </v:line>
        </w:pict>
      </w:r>
      <w:r>
        <w:rPr>
          <w:sz w:val="12"/>
        </w:rPr>
        <w:t>6</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5928320" from="197.207993pt,4.257364pt" to="201.541993pt,4.257364pt" stroked="true" strokeweight=".5pt" strokecolor="#000000">
            <v:stroke dashstyle="solid"/>
            <w10:wrap type="none"/>
          </v:line>
        </w:pict>
      </w:r>
      <w:r>
        <w:rPr>
          <w:sz w:val="12"/>
        </w:rPr>
        <w:t>4</w:t>
      </w:r>
    </w:p>
    <w:p>
      <w:pPr>
        <w:pStyle w:val="BodyText"/>
        <w:rPr>
          <w:sz w:val="12"/>
        </w:rPr>
      </w:pPr>
    </w:p>
    <w:p>
      <w:pPr>
        <w:pStyle w:val="BodyText"/>
        <w:spacing w:before="7"/>
        <w:rPr>
          <w:sz w:val="11"/>
        </w:rPr>
      </w:pPr>
    </w:p>
    <w:p>
      <w:pPr>
        <w:spacing w:before="1"/>
        <w:ind w:left="0" w:right="38" w:firstLine="0"/>
        <w:jc w:val="right"/>
        <w:rPr>
          <w:sz w:val="12"/>
        </w:rPr>
      </w:pPr>
      <w:r>
        <w:rPr/>
        <w:pict>
          <v:line style="position:absolute;mso-position-horizontal-relative:page;mso-position-vertical-relative:paragraph;z-index:15928832" from="197.207993pt,4.18415pt" to="201.541993pt,4.18415pt" stroked="true" strokeweight=".5pt" strokecolor="#000000">
            <v:stroke dashstyle="solid"/>
            <w10:wrap type="none"/>
          </v:line>
        </w:pict>
      </w:r>
      <w:r>
        <w:rPr>
          <w:sz w:val="12"/>
        </w:rPr>
        <w:t>2</w:t>
      </w:r>
    </w:p>
    <w:p>
      <w:pPr>
        <w:spacing w:before="88"/>
        <w:ind w:left="0" w:right="96" w:firstLine="0"/>
        <w:jc w:val="right"/>
        <w:rPr>
          <w:sz w:val="16"/>
        </w:rPr>
      </w:pPr>
      <w:r>
        <w:rPr>
          <w:sz w:val="16"/>
        </w:rPr>
        <w:t>+</w:t>
      </w:r>
    </w:p>
    <w:p>
      <w:pPr>
        <w:spacing w:line="106" w:lineRule="exact" w:before="0"/>
        <w:ind w:left="2395" w:right="0" w:firstLine="0"/>
        <w:jc w:val="left"/>
        <w:rPr>
          <w:sz w:val="12"/>
        </w:rPr>
      </w:pPr>
      <w:r>
        <w:rPr/>
        <w:pict>
          <v:line style="position:absolute;mso-position-horizontal-relative:page;mso-position-vertical-relative:paragraph;z-index:15929856" from="197.207993pt,4.011967pt" to="201.541993pt,4.011967pt" stroked="true" strokeweight=".5pt" strokecolor="#000000">
            <v:stroke dashstyle="solid"/>
            <w10:wrap type="none"/>
          </v:line>
        </w:pict>
      </w:r>
      <w:r>
        <w:rPr>
          <w:sz w:val="12"/>
        </w:rPr>
        <w:t>0</w:t>
      </w:r>
    </w:p>
    <w:p>
      <w:pPr>
        <w:spacing w:line="152" w:lineRule="exact" w:before="0"/>
        <w:ind w:left="2326" w:right="0" w:firstLine="0"/>
        <w:jc w:val="left"/>
        <w:rPr>
          <w:sz w:val="16"/>
        </w:rPr>
      </w:pPr>
      <w:r>
        <w:rPr>
          <w:sz w:val="16"/>
        </w:rPr>
        <w:t>_</w:t>
      </w:r>
    </w:p>
    <w:p>
      <w:pPr>
        <w:spacing w:before="152"/>
        <w:ind w:left="0" w:right="38" w:firstLine="0"/>
        <w:jc w:val="right"/>
        <w:rPr>
          <w:sz w:val="12"/>
        </w:rPr>
      </w:pPr>
      <w:r>
        <w:rPr/>
        <w:pict>
          <v:line style="position:absolute;mso-position-horizontal-relative:page;mso-position-vertical-relative:paragraph;z-index:15929344" from="197.207993pt,11.489754pt" to="201.541993pt,11.489754pt" stroked="true" strokeweight=".5pt" strokecolor="#000000">
            <v:stroke dashstyle="solid"/>
            <w10:wrap type="none"/>
          </v:line>
        </w:pict>
      </w:r>
      <w:r>
        <w:rPr>
          <w:sz w:val="12"/>
        </w:rPr>
        <w:t>2</w:t>
      </w:r>
    </w:p>
    <w:p>
      <w:pPr>
        <w:pStyle w:val="BodyText"/>
        <w:rPr>
          <w:sz w:val="12"/>
        </w:rPr>
      </w:pPr>
    </w:p>
    <w:p>
      <w:pPr>
        <w:pStyle w:val="BodyText"/>
        <w:spacing w:before="7"/>
        <w:rPr>
          <w:sz w:val="11"/>
        </w:rPr>
      </w:pPr>
    </w:p>
    <w:p>
      <w:pPr>
        <w:spacing w:before="1"/>
        <w:ind w:left="0" w:right="38" w:firstLine="0"/>
        <w:jc w:val="right"/>
        <w:rPr>
          <w:sz w:val="12"/>
        </w:rPr>
      </w:pPr>
      <w:r>
        <w:rPr/>
        <w:pict>
          <v:shape style="position:absolute;margin-left:51.507pt;margin-top:.48457pt;width:150.050pt;height:3.4pt;mso-position-horizontal-relative:page;mso-position-vertical-relative:paragraph;z-index:15926784" coordorigin="1030,10" coordsize="3001,68" path="m1033,77l3871,77m1030,10l1030,77m1467,10l1467,77m1905,10l1905,77m2560,10l2560,77m2998,10l2998,77m3435,10l3435,77m3872,10l3872,77m1249,10l1249,77m1686,10l1686,77m2123,10l2123,77m2342,10l2342,77m2779,10l2779,77m3216,10l3216,77m3653,10l3653,77m3944,76l4031,76e" filled="false" stroked="true" strokeweight=".5pt" strokecolor="#000000">
            <v:path arrowok="t"/>
            <v:stroke dashstyle="solid"/>
            <w10:wrap type="none"/>
          </v:shape>
        </w:pict>
      </w:r>
      <w:r>
        <w:rPr/>
        <w:pict>
          <v:shape style="position:absolute;margin-left:52.109722pt;margin-top:6.360466pt;width:140.5pt;height:46.35pt;mso-position-horizontal-relative:page;mso-position-vertical-relative:paragraph;z-index:15940096" type="#_x0000_t202" filled="false" stroked="false">
            <v:textbox inset="0,0,0,0" style="layout-flow:vertical;mso-layout-flow-alt:bottom-to-top">
              <w:txbxContent>
                <w:p>
                  <w:pPr>
                    <w:spacing w:line="381" w:lineRule="auto" w:before="15"/>
                    <w:ind w:left="143" w:right="18" w:hanging="47"/>
                    <w:jc w:val="right"/>
                    <w:rPr>
                      <w:sz w:val="12"/>
                    </w:rPr>
                  </w:pPr>
                  <w:r>
                    <w:rPr>
                      <w:sz w:val="12"/>
                    </w:rPr>
                    <w:t>United</w:t>
                  </w:r>
                  <w:r>
                    <w:rPr>
                      <w:spacing w:val="3"/>
                      <w:sz w:val="12"/>
                    </w:rPr>
                    <w:t> </w:t>
                  </w:r>
                  <w:r>
                    <w:rPr>
                      <w:spacing w:val="-3"/>
                      <w:sz w:val="12"/>
                    </w:rPr>
                    <w:t>Kingdom</w:t>
                  </w:r>
                  <w:r>
                    <w:rPr>
                      <w:sz w:val="12"/>
                    </w:rPr>
                    <w:t> Greater </w:t>
                  </w:r>
                  <w:r>
                    <w:rPr>
                      <w:spacing w:val="-3"/>
                      <w:sz w:val="12"/>
                    </w:rPr>
                    <w:t>London</w:t>
                  </w:r>
                </w:p>
                <w:p>
                  <w:pPr>
                    <w:spacing w:line="381" w:lineRule="auto" w:before="0"/>
                    <w:ind w:left="176" w:right="18" w:firstLine="213"/>
                    <w:jc w:val="right"/>
                    <w:rPr>
                      <w:sz w:val="12"/>
                    </w:rPr>
                  </w:pPr>
                  <w:r>
                    <w:rPr>
                      <w:sz w:val="12"/>
                    </w:rPr>
                    <w:t>South</w:t>
                  </w:r>
                  <w:r>
                    <w:rPr>
                      <w:spacing w:val="2"/>
                      <w:sz w:val="12"/>
                    </w:rPr>
                    <w:t> </w:t>
                  </w:r>
                  <w:r>
                    <w:rPr>
                      <w:spacing w:val="-5"/>
                      <w:sz w:val="12"/>
                    </w:rPr>
                    <w:t>East</w:t>
                  </w:r>
                  <w:r>
                    <w:rPr>
                      <w:sz w:val="12"/>
                    </w:rPr>
                    <w:t> East</w:t>
                  </w:r>
                  <w:r>
                    <w:rPr>
                      <w:spacing w:val="-1"/>
                      <w:sz w:val="12"/>
                    </w:rPr>
                    <w:t> </w:t>
                  </w:r>
                  <w:r>
                    <w:rPr>
                      <w:sz w:val="12"/>
                    </w:rPr>
                    <w:t>Anglia South</w:t>
                  </w:r>
                  <w:r>
                    <w:rPr>
                      <w:spacing w:val="-1"/>
                      <w:sz w:val="12"/>
                    </w:rPr>
                    <w:t> </w:t>
                  </w:r>
                  <w:r>
                    <w:rPr>
                      <w:sz w:val="12"/>
                    </w:rPr>
                    <w:t>West East</w:t>
                  </w:r>
                  <w:r>
                    <w:rPr>
                      <w:spacing w:val="-1"/>
                      <w:sz w:val="12"/>
                    </w:rPr>
                    <w:t> </w:t>
                  </w:r>
                  <w:r>
                    <w:rPr>
                      <w:sz w:val="12"/>
                    </w:rPr>
                    <w:t>Midlands West</w:t>
                  </w:r>
                  <w:r>
                    <w:rPr>
                      <w:spacing w:val="6"/>
                      <w:sz w:val="12"/>
                    </w:rPr>
                    <w:t> </w:t>
                  </w:r>
                  <w:r>
                    <w:rPr>
                      <w:spacing w:val="-3"/>
                      <w:sz w:val="12"/>
                    </w:rPr>
                    <w:t>Midlands</w:t>
                  </w:r>
                </w:p>
                <w:p>
                  <w:pPr>
                    <w:spacing w:before="2"/>
                    <w:ind w:left="0" w:right="18" w:firstLine="0"/>
                    <w:jc w:val="right"/>
                    <w:rPr>
                      <w:sz w:val="12"/>
                    </w:rPr>
                  </w:pPr>
                  <w:r>
                    <w:rPr>
                      <w:sz w:val="12"/>
                    </w:rPr>
                    <w:t>Yorks. and Humb.</w:t>
                  </w:r>
                </w:p>
                <w:p>
                  <w:pPr>
                    <w:spacing w:before="81"/>
                    <w:ind w:left="0" w:right="18" w:firstLine="0"/>
                    <w:jc w:val="right"/>
                    <w:rPr>
                      <w:sz w:val="12"/>
                    </w:rPr>
                  </w:pPr>
                  <w:r>
                    <w:rPr>
                      <w:sz w:val="12"/>
                    </w:rPr>
                    <w:t>North</w:t>
                  </w:r>
                  <w:r>
                    <w:rPr>
                      <w:spacing w:val="-1"/>
                      <w:sz w:val="12"/>
                    </w:rPr>
                    <w:t> </w:t>
                  </w:r>
                  <w:r>
                    <w:rPr>
                      <w:sz w:val="12"/>
                    </w:rPr>
                    <w:t>West</w:t>
                  </w:r>
                </w:p>
                <w:p>
                  <w:pPr>
                    <w:spacing w:line="381" w:lineRule="auto" w:before="82"/>
                    <w:ind w:left="486" w:right="18" w:firstLine="140"/>
                    <w:jc w:val="right"/>
                    <w:rPr>
                      <w:sz w:val="12"/>
                    </w:rPr>
                  </w:pPr>
                  <w:r>
                    <w:rPr>
                      <w:sz w:val="12"/>
                    </w:rPr>
                    <w:t>North Wales Scotland</w:t>
                  </w:r>
                </w:p>
                <w:p>
                  <w:pPr>
                    <w:spacing w:before="1"/>
                    <w:ind w:left="0" w:right="18" w:firstLine="0"/>
                    <w:jc w:val="right"/>
                    <w:rPr>
                      <w:sz w:val="12"/>
                    </w:rPr>
                  </w:pPr>
                  <w:r>
                    <w:rPr>
                      <w:sz w:val="12"/>
                    </w:rPr>
                    <w:t>Northern</w:t>
                  </w:r>
                  <w:r>
                    <w:rPr>
                      <w:spacing w:val="-1"/>
                      <w:sz w:val="12"/>
                    </w:rPr>
                    <w:t> </w:t>
                  </w:r>
                  <w:r>
                    <w:rPr>
                      <w:sz w:val="12"/>
                    </w:rPr>
                    <w:t>Ireland</w:t>
                  </w:r>
                </w:p>
              </w:txbxContent>
            </v:textbox>
            <w10:wrap type="none"/>
          </v:shape>
        </w:pict>
      </w:r>
      <w:r>
        <w:rPr>
          <w:sz w:val="12"/>
        </w:rPr>
        <w:t>4</w:t>
      </w:r>
    </w:p>
    <w:p>
      <w:pPr>
        <w:pStyle w:val="Heading6"/>
        <w:spacing w:line="274" w:lineRule="exact"/>
        <w:ind w:left="407"/>
      </w:pPr>
      <w:r>
        <w:rPr/>
        <w:br w:type="column"/>
      </w:r>
      <w:r>
        <w:rPr/>
        <w:t>fallen somewhat against the US dollar (see Chart 1.18).</w:t>
      </w:r>
    </w:p>
    <w:p>
      <w:pPr>
        <w:pStyle w:val="BodyText"/>
        <w:spacing w:before="8"/>
        <w:rPr>
          <w:sz w:val="24"/>
        </w:rPr>
      </w:pPr>
    </w:p>
    <w:p>
      <w:pPr>
        <w:spacing w:line="242" w:lineRule="auto" w:before="0"/>
        <w:ind w:left="407" w:right="218" w:firstLine="0"/>
        <w:jc w:val="left"/>
        <w:rPr>
          <w:sz w:val="24"/>
        </w:rPr>
      </w:pPr>
      <w:r>
        <w:rPr>
          <w:sz w:val="24"/>
        </w:rPr>
        <w:t>Over the past </w:t>
      </w:r>
      <w:r>
        <w:rPr>
          <w:spacing w:val="-3"/>
          <w:sz w:val="24"/>
        </w:rPr>
        <w:t>year, </w:t>
      </w:r>
      <w:r>
        <w:rPr>
          <w:sz w:val="24"/>
        </w:rPr>
        <w:t>the euro has fallen by around 11% against a trade-weighted basket of currencies, including sterling.</w:t>
      </w:r>
      <w:r>
        <w:rPr>
          <w:position w:val="5"/>
          <w:sz w:val="16"/>
        </w:rPr>
        <w:t>(1) </w:t>
      </w:r>
      <w:r>
        <w:rPr>
          <w:sz w:val="24"/>
        </w:rPr>
        <w:t>Persistent euro weakness is hard to explain. Changes in interest rates in the United Kingdom relative to</w:t>
      </w:r>
      <w:r>
        <w:rPr>
          <w:spacing w:val="-5"/>
          <w:sz w:val="24"/>
        </w:rPr>
        <w:t> </w:t>
      </w:r>
      <w:r>
        <w:rPr>
          <w:sz w:val="24"/>
        </w:rPr>
        <w:t>the</w:t>
      </w:r>
      <w:r>
        <w:rPr>
          <w:spacing w:val="-5"/>
          <w:sz w:val="24"/>
        </w:rPr>
        <w:t> </w:t>
      </w:r>
      <w:r>
        <w:rPr>
          <w:sz w:val="24"/>
        </w:rPr>
        <w:t>euro</w:t>
      </w:r>
      <w:r>
        <w:rPr>
          <w:spacing w:val="-5"/>
          <w:sz w:val="24"/>
        </w:rPr>
        <w:t> </w:t>
      </w:r>
      <w:r>
        <w:rPr>
          <w:sz w:val="24"/>
        </w:rPr>
        <w:t>area</w:t>
      </w:r>
      <w:r>
        <w:rPr>
          <w:spacing w:val="-5"/>
          <w:sz w:val="24"/>
        </w:rPr>
        <w:t> </w:t>
      </w:r>
      <w:r>
        <w:rPr>
          <w:sz w:val="24"/>
        </w:rPr>
        <w:t>do</w:t>
      </w:r>
      <w:r>
        <w:rPr>
          <w:spacing w:val="-4"/>
          <w:sz w:val="24"/>
        </w:rPr>
        <w:t> </w:t>
      </w:r>
      <w:r>
        <w:rPr>
          <w:sz w:val="24"/>
        </w:rPr>
        <w:t>not</w:t>
      </w:r>
      <w:r>
        <w:rPr>
          <w:spacing w:val="-5"/>
          <w:sz w:val="24"/>
        </w:rPr>
        <w:t> </w:t>
      </w:r>
      <w:r>
        <w:rPr>
          <w:sz w:val="24"/>
        </w:rPr>
        <w:t>appear</w:t>
      </w:r>
      <w:r>
        <w:rPr>
          <w:spacing w:val="-5"/>
          <w:sz w:val="24"/>
        </w:rPr>
        <w:t> </w:t>
      </w:r>
      <w:r>
        <w:rPr>
          <w:sz w:val="24"/>
        </w:rPr>
        <w:t>to</w:t>
      </w:r>
      <w:r>
        <w:rPr>
          <w:spacing w:val="-5"/>
          <w:sz w:val="24"/>
        </w:rPr>
        <w:t> </w:t>
      </w:r>
      <w:r>
        <w:rPr>
          <w:sz w:val="24"/>
        </w:rPr>
        <w:t>explain</w:t>
      </w:r>
      <w:r>
        <w:rPr>
          <w:spacing w:val="-5"/>
          <w:sz w:val="24"/>
        </w:rPr>
        <w:t> </w:t>
      </w:r>
      <w:r>
        <w:rPr>
          <w:sz w:val="24"/>
        </w:rPr>
        <w:t>the</w:t>
      </w:r>
      <w:r>
        <w:rPr>
          <w:spacing w:val="-4"/>
          <w:sz w:val="24"/>
        </w:rPr>
        <w:t> </w:t>
      </w:r>
      <w:r>
        <w:rPr>
          <w:sz w:val="24"/>
        </w:rPr>
        <w:t>appreciation of sterling against the euro. Chart 1.19 shows that current and future expected interest rates in the euro area </w:t>
      </w:r>
      <w:r>
        <w:rPr>
          <w:spacing w:val="-3"/>
          <w:sz w:val="24"/>
        </w:rPr>
        <w:t>have </w:t>
      </w:r>
      <w:r>
        <w:rPr>
          <w:sz w:val="24"/>
        </w:rPr>
        <w:t>risen relative to interest rates in the United Kingdom </w:t>
      </w:r>
      <w:r>
        <w:rPr>
          <w:spacing w:val="-3"/>
          <w:sz w:val="24"/>
        </w:rPr>
        <w:t>over </w:t>
      </w:r>
      <w:r>
        <w:rPr>
          <w:sz w:val="24"/>
        </w:rPr>
        <w:t>the past </w:t>
      </w:r>
      <w:r>
        <w:rPr>
          <w:spacing w:val="-4"/>
          <w:sz w:val="24"/>
        </w:rPr>
        <w:t>year. </w:t>
      </w:r>
      <w:r>
        <w:rPr>
          <w:sz w:val="24"/>
        </w:rPr>
        <w:t>That would normally suggest a depreciation, rather than an appreciation, of sterling against the</w:t>
      </w:r>
      <w:r>
        <w:rPr>
          <w:spacing w:val="-5"/>
          <w:sz w:val="24"/>
        </w:rPr>
        <w:t> </w:t>
      </w:r>
      <w:r>
        <w:rPr>
          <w:sz w:val="24"/>
        </w:rPr>
        <w:t>euro.</w:t>
      </w:r>
    </w:p>
    <w:p>
      <w:pPr>
        <w:spacing w:after="0" w:line="242" w:lineRule="auto"/>
        <w:jc w:val="left"/>
        <w:rPr>
          <w:sz w:val="24"/>
        </w:rPr>
        <w:sectPr>
          <w:type w:val="continuous"/>
          <w:pgSz w:w="11900" w:h="16840"/>
          <w:pgMar w:top="1220" w:bottom="280" w:left="640" w:right="620"/>
          <w:cols w:num="3" w:equalWidth="0">
            <w:col w:w="865" w:space="212"/>
            <w:col w:w="2496" w:space="979"/>
            <w:col w:w="6088"/>
          </w:cols>
        </w:sectPr>
      </w:pPr>
    </w:p>
    <w:p>
      <w:pPr>
        <w:pStyle w:val="BodyText"/>
        <w:spacing w:before="8"/>
        <w:rPr>
          <w:sz w:val="17"/>
        </w:rPr>
      </w:pPr>
    </w:p>
    <w:p>
      <w:pPr>
        <w:spacing w:after="0"/>
        <w:rPr>
          <w:sz w:val="17"/>
        </w:rPr>
        <w:sectPr>
          <w:type w:val="continuous"/>
          <w:pgSz w:w="11900" w:h="16840"/>
          <w:pgMar w:top="1220" w:bottom="280" w:left="640" w:right="620"/>
        </w:sectPr>
      </w:pPr>
    </w:p>
    <w:p>
      <w:pPr>
        <w:pStyle w:val="BodyText"/>
        <w:rPr>
          <w:sz w:val="12"/>
        </w:rPr>
      </w:pPr>
    </w:p>
    <w:p>
      <w:pPr>
        <w:pStyle w:val="BodyText"/>
        <w:rPr>
          <w:sz w:val="12"/>
        </w:rPr>
      </w:pPr>
    </w:p>
    <w:p>
      <w:pPr>
        <w:spacing w:before="72"/>
        <w:ind w:left="158" w:right="0" w:firstLine="0"/>
        <w:jc w:val="left"/>
        <w:rPr>
          <w:sz w:val="12"/>
        </w:rPr>
      </w:pPr>
      <w:r>
        <w:rPr>
          <w:sz w:val="12"/>
        </w:rPr>
        <w:t>Source: Halifax plc.</w:t>
      </w:r>
    </w:p>
    <w:p>
      <w:pPr>
        <w:spacing w:before="74"/>
        <w:ind w:left="160" w:right="0" w:firstLine="0"/>
        <w:jc w:val="left"/>
        <w:rPr>
          <w:b/>
          <w:sz w:val="20"/>
        </w:rPr>
      </w:pPr>
      <w:r>
        <w:rPr>
          <w:b/>
          <w:color w:val="0092C7"/>
          <w:sz w:val="20"/>
        </w:rPr>
        <w:t>Chart 1.18</w:t>
      </w:r>
    </w:p>
    <w:p>
      <w:pPr>
        <w:spacing w:before="10"/>
        <w:ind w:left="160" w:right="0" w:firstLine="0"/>
        <w:jc w:val="left"/>
        <w:rPr>
          <w:b/>
          <w:sz w:val="20"/>
        </w:rPr>
      </w:pPr>
      <w:r>
        <w:rPr>
          <w:b/>
          <w:color w:val="0092C7"/>
          <w:sz w:val="20"/>
        </w:rPr>
        <w:t>Selected sterling exchange rates</w:t>
      </w:r>
    </w:p>
    <w:p>
      <w:pPr>
        <w:spacing w:before="145"/>
        <w:ind w:left="179" w:right="0" w:firstLine="0"/>
        <w:jc w:val="left"/>
        <w:rPr>
          <w:sz w:val="12"/>
        </w:rPr>
      </w:pPr>
      <w:r>
        <w:rPr/>
        <w:pict>
          <v:group style="position:absolute;margin-left:62.220001pt;margin-top:22.84758pt;width:144.15pt;height:125.5pt;mso-position-horizontal-relative:page;mso-position-vertical-relative:paragraph;z-index:-22680576" coordorigin="1244,457" coordsize="2883,2510">
            <v:shape style="position:absolute;left:1254;top:2271;width:103;height:265" coordorigin="1254,2272" coordsize="103,265" path="m1254,2467l1289,2537m1289,2537l1322,2354m1322,2354l1357,2272e" filled="false" stroked="true" strokeweight="1pt" strokecolor="#de8508">
              <v:path arrowok="t"/>
              <v:stroke dashstyle="solid"/>
            </v:shape>
            <v:line style="position:absolute" from="1347,2273" to="1402,2273" stroked="true" strokeweight="1.125pt" strokecolor="#de8508">
              <v:stroke dashstyle="solid"/>
            </v:line>
            <v:shape style="position:absolute;left:1391;top:1991;width:748;height:503" coordorigin="1392,1992" coordsize="748,503" path="m1392,2272l1427,2174m1427,2174l1462,2047m1462,2047l1484,2159m1484,2159l1519,2244m1519,2244l1552,2147m1552,2147l1587,2062m1587,2062l1622,2047m1622,2047l1657,1992m1657,1992l1692,2104m1692,2104l1714,2229m1714,2229l1749,2174m1749,2174l1782,2217m1782,2217l1887,2299m1887,2299l1909,2257m1909,2257l1944,2229m1944,2229l1979,2217m1979,2217l2012,2257m2012,2257l2047,2272m2047,2272l2082,2384m2082,2384l2117,2482m2117,2482l2139,2494e" filled="false" stroked="true" strokeweight="1pt" strokecolor="#de8508">
              <v:path arrowok="t"/>
              <v:stroke dashstyle="solid"/>
            </v:shape>
            <v:line style="position:absolute" from="2129,2496" to="2184,2496" stroked="true" strokeweight="1.125pt" strokecolor="#de8508">
              <v:stroke dashstyle="solid"/>
            </v:line>
            <v:shape style="position:absolute;left:2174;top:2494;width:265;height:128" coordorigin="2174,2494" coordsize="265,128" path="m2174,2494l2209,2564m2209,2564l2242,2594m2242,2594l2277,2494m2277,2494l2312,2524m2312,2524l2347,2564m2347,2564l2369,2622m2369,2622l2404,2607m2404,2607l2439,2579e" filled="false" stroked="true" strokeweight="1pt" strokecolor="#de8508">
              <v:path arrowok="t"/>
              <v:stroke dashstyle="solid"/>
            </v:shape>
            <v:shape style="position:absolute;left:2429;top:2580;width:88;height:2" coordorigin="2429,2581" coordsize="88,0" path="m2429,2581l2482,2581m2462,2581l2517,2581e" filled="false" stroked="true" strokeweight="1.125pt" strokecolor="#de8508">
              <v:path arrowok="t"/>
              <v:stroke dashstyle="solid"/>
            </v:shape>
            <v:shape style="position:absolute;left:2506;top:1081;width:955;height:1498" coordorigin="2507,1082" coordsize="955,1498" path="m2507,2579l2542,2524m2542,2524l2577,2412m2577,2412l2599,2414m2599,2412l2634,2524m2634,2524l2669,2494m2669,2494l2702,2384m2702,2384l2737,2244m2737,2244l2772,2019m2772,2019l2794,1937m2794,1937l2829,1964m2829,1964l2864,1712m2864,1712l2899,1739m2899,1739l2932,1614m2932,1614l2967,1642m2967,1642l3002,1459m3002,1459l3024,1264m3024,1264l3059,1419m3059,1419l3094,1544m3094,1544l3129,1474m3129,1474l3162,1334m3162,1334l3197,1349m3197,1349l3232,1279m3232,1279l3254,1292m3254,1292l3289,1082m3289,1082l3324,1264m3324,1264l3359,1432m3359,1432l3392,1252m3392,1252l3427,1432m3427,1432l3462,1349e" filled="false" stroked="true" strokeweight="1pt" strokecolor="#de8508">
              <v:path arrowok="t"/>
              <v:stroke dashstyle="solid"/>
            </v:shape>
            <v:line style="position:absolute" from="3473,1339" to="3473,1569" stroked="true" strokeweight="2.125pt" strokecolor="#de8508">
              <v:stroke dashstyle="solid"/>
            </v:line>
            <v:shape style="position:absolute;left:3484;top:746;width:633;height:923" coordorigin="3484,747" coordsize="633,923" path="m3484,1559l3519,1669m3519,1669l3554,1642m3554,1642l3589,1669m3589,1669l3622,1572m3622,1572l3657,1529m3657,1529l3679,1404m3679,1404l3714,1307m3714,1307l3749,1264m3749,1264l3784,1279m3784,1279l3819,1334m3819,1334l3852,1292m3852,1292l3887,1209m3887,1209l3909,1152m3909,1152l3944,1082m3944,1082l3979,984m3979,984l4014,817m4014,817l4049,929m4049,929l4082,887m4082,887l4117,747e" filled="false" stroked="true" strokeweight="1pt" strokecolor="#de8508">
              <v:path arrowok="t"/>
              <v:stroke dashstyle="solid"/>
            </v:shape>
            <v:line style="position:absolute" from="1254,1419" to="1289,1669" stroked="true" strokeweight="1pt" strokecolor="#006caa">
              <v:stroke dashstyle="solid"/>
            </v:line>
            <v:line style="position:absolute" from="1306,1352" to="1306,1679" stroked="true" strokeweight="2.625pt" strokecolor="#006caa">
              <v:stroke dashstyle="solid"/>
            </v:line>
            <v:shape style="position:absolute;left:1321;top:1139;width:530;height:320" coordorigin="1322,1139" coordsize="530,320" path="m1322,1362l1357,1139m1357,1139l1392,1152m1392,1152l1427,1377m1427,1377l1462,1447m1462,1447l1484,1419m1484,1419l1519,1392m1519,1392l1552,1419m1552,1419l1587,1447m1587,1447l1622,1459m1622,1459l1657,1392m1657,1392l1692,1432m1692,1432l1714,1434m1714,1432l1749,1322m1749,1322l1782,1334m1782,1334l1817,1222m1817,1222l1852,1252e" filled="false" stroked="true" strokeweight="1pt" strokecolor="#006caa">
              <v:path arrowok="t"/>
              <v:stroke dashstyle="solid"/>
            </v:shape>
            <v:line style="position:absolute" from="1842,1253" to="1897,1253" stroked="true" strokeweight="1.125pt" strokecolor="#006caa">
              <v:stroke dashstyle="solid"/>
            </v:line>
            <v:shape style="position:absolute;left:1886;top:914;width:288;height:338" coordorigin="1887,914" coordsize="288,338" path="m1887,1252l1909,1097m1909,1097l1944,914m1944,914l1979,1139m1979,1139l2012,1152m2012,1152l2047,1069m2047,1069l2082,1082m2082,1082l2117,914m2117,914l2139,984m2139,984l2174,1054e" filled="false" stroked="true" strokeweight="1pt" strokecolor="#006caa">
              <v:path arrowok="t"/>
              <v:stroke dashstyle="solid"/>
            </v:shape>
            <v:line style="position:absolute" from="2164,1056" to="2219,1056" stroked="true" strokeweight="1.125pt" strokecolor="#006caa">
              <v:stroke dashstyle="solid"/>
            </v:line>
            <v:shape style="position:absolute;left:2209;top:1011;width:103;height:198" coordorigin="2209,1012" coordsize="103,198" path="m2209,1054l2242,1012m2242,1012l2277,1209m2277,1209l2312,1082e" filled="false" stroked="true" strokeweight="1pt" strokecolor="#006caa">
              <v:path arrowok="t"/>
              <v:stroke dashstyle="solid"/>
            </v:shape>
            <v:line style="position:absolute" from="2302,1083" to="2357,1083" stroked="true" strokeweight="1.125pt" strokecolor="#006caa">
              <v:stroke dashstyle="solid"/>
            </v:line>
            <v:shape style="position:absolute;left:2346;top:1081;width:253;height:295" coordorigin="2347,1082" coordsize="253,295" path="m2347,1082l2369,1279m2369,1279l2404,1194m2404,1194l2439,1334m2439,1334l2472,1264m2472,1264l2507,1292m2507,1292l2542,1377m2542,1377l2577,1194m2577,1194l2599,1182e" filled="false" stroked="true" strokeweight="1pt" strokecolor="#006caa">
              <v:path arrowok="t"/>
              <v:stroke dashstyle="solid"/>
            </v:shape>
            <v:line style="position:absolute" from="2589,1183" to="2644,1183" stroked="true" strokeweight="1.125pt" strokecolor="#006caa">
              <v:stroke dashstyle="solid"/>
            </v:line>
            <v:line style="position:absolute" from="2634,1182" to="2669,1152" stroked="true" strokeweight="1pt" strokecolor="#006caa">
              <v:stroke dashstyle="solid"/>
            </v:line>
            <v:line style="position:absolute" from="2659,1153" to="2712,1153" stroked="true" strokeweight="1.125pt" strokecolor="#006caa">
              <v:stroke dashstyle="solid"/>
            </v:line>
            <v:shape style="position:absolute;left:2701;top:621;width:93;height:530" coordorigin="2702,622" coordsize="93,530" path="m2702,1152l2737,914m2737,914l2772,734m2772,734l2794,622e" filled="false" stroked="true" strokeweight="1pt" strokecolor="#006caa">
              <v:path arrowok="t"/>
              <v:stroke dashstyle="solid"/>
            </v:shape>
            <v:line style="position:absolute" from="2812,612" to="2812,1022" stroked="true" strokeweight="2.75pt" strokecolor="#006caa">
              <v:stroke dashstyle="solid"/>
            </v:line>
            <v:line style="position:absolute" from="2829,1012" to="2864,914" stroked="true" strokeweight="1pt" strokecolor="#006caa">
              <v:stroke dashstyle="solid"/>
            </v:line>
            <v:line style="position:absolute" from="2854,916" to="2909,916" stroked="true" strokeweight="1.125pt" strokecolor="#006caa">
              <v:stroke dashstyle="solid"/>
            </v:line>
            <v:shape style="position:absolute;left:2899;top:664;width:1218;height:433" coordorigin="2899,664" coordsize="1218,433" path="m2899,914l2932,944m2932,944l2967,887m2967,887l3002,789m3002,789l3024,887m3024,887l3059,944m3059,944l3094,972m3094,972l3129,747m3129,747l3162,719m3162,719l3197,859m3197,859l3232,887m3232,887l3254,859m3254,859l3289,747m3289,747l3324,762m3324,762l3359,902m3359,902l3392,774m3392,774l3427,887m3427,887l3462,789m3462,789l3484,664m3484,664l3519,747m3519,747l3554,832m3554,832l3589,789m3589,789l3622,859m3622,859l3657,1012m3657,1012l3679,972m3679,972l3714,984m3714,984l3749,1012m3749,1012l3784,1097m3784,1097l3819,944m3819,944l3852,984m3852,984l3887,859m3887,859l3909,874m3909,874l3944,1042m3944,1042l3979,972m3979,972l4014,944m4014,944l4049,1027m4049,1027l4082,1097m4082,1097l4117,1082e" filled="false" stroked="true" strokeweight="1pt" strokecolor="#006caa">
              <v:path arrowok="t"/>
              <v:stroke dashstyle="solid"/>
            </v:shape>
            <v:line style="position:absolute" from="1254,2622" to="1289,2817" stroked="true" strokeweight="1pt" strokecolor="#44af34">
              <v:stroke dashstyle="solid"/>
            </v:line>
            <v:line style="position:absolute" from="1306,2484" to="1306,2827" stroked="true" strokeweight="2.625pt" strokecolor="#44af34">
              <v:stroke dashstyle="solid"/>
            </v:line>
            <v:shape style="position:absolute;left:1321;top:2104;width:888;height:768" coordorigin="1322,2104" coordsize="888,768" path="m1322,2494l1357,2327m1357,2327l1392,2369m1392,2369l1427,2314m1427,2314l1462,2187m1462,2187l1484,2314m1484,2314l1519,2397m1519,2397l1552,2287m1552,2287l1587,2187m1587,2187l1622,2174m1622,2174l1657,2104m1657,2104l1692,2287m1692,2287l1714,2439m1714,2439l1749,2327m1749,2327l1782,2369m1782,2369l1817,2412m1817,2412l1887,2467m1887,2467l1909,2397m1909,2397l1944,2299m1944,2299l1979,2354m1979,2354l2012,2412m2012,2412l2047,2397m2047,2397l2082,2564m2082,2564l2117,2704m2117,2704l2139,2762m2139,2762l2174,2789m2174,2789l2209,2872e" filled="false" stroked="true" strokeweight="1pt" strokecolor="#44af34">
              <v:path arrowok="t"/>
              <v:stroke dashstyle="solid"/>
            </v:shape>
            <v:line style="position:absolute" from="2199,2873" to="2252,2873" stroked="true" strokeweight="1.125pt" strokecolor="#44af34">
              <v:stroke dashstyle="solid"/>
            </v:line>
            <v:shape style="position:absolute;left:2241;top:2761;width:230;height:195" coordorigin="2242,2762" coordsize="230,195" path="m2242,2872l2277,2774m2277,2774l2312,2762m2312,2762l2347,2817m2347,2817l2369,2957m2369,2957l2404,2902m2404,2902l2439,2887m2439,2887l2472,2872e" filled="false" stroked="true" strokeweight="1pt" strokecolor="#44af34">
              <v:path arrowok="t"/>
              <v:stroke dashstyle="solid"/>
            </v:shape>
            <v:line style="position:absolute" from="2462,2873" to="2517,2873" stroked="true" strokeweight="1.125pt" strokecolor="#44af34">
              <v:stroke dashstyle="solid"/>
            </v:line>
            <v:shape style="position:absolute;left:2506;top:2271;width:230;height:600" coordorigin="2507,2272" coordsize="230,600" path="m2507,2872l2542,2844m2542,2844l2577,2607m2577,2607l2599,2609m2599,2607l2634,2762m2634,2762l2669,2704m2669,2704l2702,2552m2702,2552l2737,2272e" filled="false" stroked="true" strokeweight="1pt" strokecolor="#44af34">
              <v:path arrowok="t"/>
              <v:stroke dashstyle="solid"/>
            </v:shape>
            <v:line style="position:absolute" from="2754,1912" to="2754,2282" stroked="true" strokeweight="2.75pt" strokecolor="#44af34">
              <v:stroke dashstyle="solid"/>
            </v:line>
            <v:shape style="position:absolute;left:2771;top:1726;width:58;height:195" coordorigin="2772,1727" coordsize="58,195" path="m2772,1922l2794,1727m2794,1727l2829,1879e" filled="false" stroked="true" strokeweight="1pt" strokecolor="#44af34">
              <v:path arrowok="t"/>
              <v:stroke dashstyle="solid"/>
            </v:shape>
            <v:line style="position:absolute" from="2847,1519" to="2847,1889" stroked="true" strokeweight="2.75pt" strokecolor="#44af34">
              <v:stroke dashstyle="solid"/>
            </v:line>
            <v:shape style="position:absolute;left:2864;top:1194;width:138;height:365" coordorigin="2864,1194" coordsize="138,365" path="m2864,1529l2899,1559m2899,1559l2932,1377m2932,1377l2967,1447m2967,1447l3002,1194e" filled="false" stroked="true" strokeweight="1pt" strokecolor="#44af34">
              <v:path arrowok="t"/>
              <v:stroke dashstyle="solid"/>
            </v:shape>
            <v:line style="position:absolute" from="3013,962" to="3013,1204" stroked="true" strokeweight="2.125pt" strokecolor="#44af34">
              <v:stroke dashstyle="solid"/>
            </v:line>
            <v:shape style="position:absolute;left:3024;top:914;width:230;height:435" coordorigin="3024,914" coordsize="230,435" path="m3024,972l3059,1182m3059,1182l3094,1349m3094,1349l3129,1167m3129,1167l3162,929m3162,929l3197,984m3197,984l3232,929m3232,929l3254,914e" filled="false" stroked="true" strokeweight="1pt" strokecolor="#44af34">
              <v:path arrowok="t"/>
              <v:stroke dashstyle="solid"/>
            </v:shape>
            <v:line style="position:absolute" from="3272,569" to="3272,924" stroked="true" strokeweight="2.75pt" strokecolor="#44af34">
              <v:stroke dashstyle="solid"/>
            </v:line>
            <v:shape style="position:absolute;left:3289;top:579;width:70;height:475" coordorigin="3289,579" coordsize="70,475" path="m3289,579l3324,804m3324,804l3359,1054e" filled="false" stroked="true" strokeweight="1pt" strokecolor="#44af34">
              <v:path arrowok="t"/>
              <v:stroke dashstyle="solid"/>
            </v:shape>
            <v:line style="position:absolute" from="3376,737" to="3376,1064" stroked="true" strokeweight="2.625pt" strokecolor="#44af34">
              <v:stroke dashstyle="solid"/>
            </v:line>
            <v:shape style="position:absolute;left:3391;top:746;width:70;height:253" coordorigin="3392,747" coordsize="70,253" path="m3392,747l3427,999m3427,999l3462,844e" filled="false" stroked="true" strokeweight="1pt" strokecolor="#44af34">
              <v:path arrowok="t"/>
              <v:stroke dashstyle="solid"/>
            </v:shape>
            <v:line style="position:absolute" from="3473,834" to="3473,1092" stroked="true" strokeweight="2.125pt" strokecolor="#44af34">
              <v:stroke dashstyle="solid"/>
            </v:line>
            <v:shape style="position:absolute;left:3484;top:1081;width:138;height:323" coordorigin="3484,1082" coordsize="138,323" path="m3484,1082l3519,1392m3519,1392l3554,1334m3554,1334l3589,1404m3589,1404l3622,1307e" filled="false" stroked="true" strokeweight="1pt" strokecolor="#44af34">
              <v:path arrowok="t"/>
              <v:stroke dashstyle="solid"/>
            </v:shape>
            <v:line style="position:absolute" from="3612,1308" to="3667,1308" stroked="true" strokeweight="1.125pt" strokecolor="#44af34">
              <v:stroke dashstyle="solid"/>
            </v:line>
            <v:shape style="position:absolute;left:3656;top:874;width:253;height:433" coordorigin="3657,874" coordsize="253,433" path="m3657,1307l3679,1124m3679,1124l3714,999m3714,999l3749,957m3749,957l3784,1027m3784,1027l3819,1054m3819,1054l3852,1069m3852,1069l3887,914m3887,914l3909,874e" filled="false" stroked="true" strokeweight="1pt" strokecolor="#44af34">
              <v:path arrowok="t"/>
              <v:stroke dashstyle="solid"/>
            </v:shape>
            <v:line style="position:absolute" from="3899,876" to="3954,876" stroked="true" strokeweight="1.125pt" strokecolor="#44af34">
              <v:stroke dashstyle="solid"/>
            </v:line>
            <v:shape style="position:absolute;left:3944;top:466;width:105;height:408" coordorigin="3944,467" coordsize="105,408" path="m3944,874l3979,734m3979,734l4014,467m4014,467l4049,622e" filled="false" stroked="true" strokeweight="1pt" strokecolor="#44af34">
              <v:path arrowok="t"/>
              <v:stroke dashstyle="solid"/>
            </v:shape>
            <v:line style="position:absolute" from="4039,623" to="4092,623" stroked="true" strokeweight="1.125pt" strokecolor="#44af34">
              <v:stroke dashstyle="solid"/>
            </v:line>
            <v:line style="position:absolute" from="4082,622" to="4117,467" stroked="true" strokeweight="1pt" strokecolor="#44af34">
              <v:stroke dashstyle="solid"/>
            </v:line>
            <w10:wrap type="none"/>
          </v:group>
        </w:pict>
      </w:r>
      <w:r>
        <w:rPr>
          <w:position w:val="-5"/>
          <w:sz w:val="12"/>
        </w:rPr>
        <w:t>1.80</w:t>
      </w:r>
      <w:r>
        <w:rPr>
          <w:sz w:val="12"/>
        </w:rPr>
        <w:t> </w:t>
      </w:r>
      <w:r>
        <w:rPr>
          <w:sz w:val="12"/>
          <w:u w:val="single"/>
        </w:rPr>
        <w:t>E</w:t>
      </w:r>
      <w:r>
        <w:rPr>
          <w:sz w:val="12"/>
        </w:rPr>
        <w:t>uro or US dollars</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spacing w:before="163"/>
        <w:ind w:left="158" w:right="0" w:firstLine="0"/>
        <w:jc w:val="left"/>
        <w:rPr>
          <w:sz w:val="12"/>
        </w:rPr>
      </w:pPr>
      <w:r>
        <w:rPr>
          <w:sz w:val="12"/>
        </w:rPr>
        <w:t>1990 = 1</w:t>
      </w:r>
      <w:r>
        <w:rPr>
          <w:sz w:val="12"/>
          <w:u w:val="single"/>
        </w:rPr>
        <w:t>00</w:t>
      </w:r>
      <w:r>
        <w:rPr>
          <w:sz w:val="12"/>
        </w:rPr>
        <w:t> </w:t>
      </w:r>
      <w:r>
        <w:rPr>
          <w:position w:val="-7"/>
          <w:sz w:val="12"/>
        </w:rPr>
        <w:t>112</w:t>
      </w:r>
    </w:p>
    <w:p>
      <w:pPr>
        <w:pStyle w:val="Heading6"/>
        <w:spacing w:line="242" w:lineRule="auto" w:before="90"/>
        <w:ind w:left="158" w:right="155"/>
      </w:pPr>
      <w:r>
        <w:rPr/>
        <w:br w:type="column"/>
      </w:r>
      <w:r>
        <w:rPr/>
        <w:t>An alternative explanation for the depreciation of the euro is that investors have become more concerned about the risks associated with holding euro assets relative to assets denominated in other currencies, such as sterling. Chart 1.20 indicates that at the time of the February</w:t>
      </w:r>
    </w:p>
    <w:p>
      <w:pPr>
        <w:spacing w:after="0" w:line="242" w:lineRule="auto"/>
        <w:sectPr>
          <w:type w:val="continuous"/>
          <w:pgSz w:w="11900" w:h="16840"/>
          <w:pgMar w:top="1220" w:bottom="280" w:left="640" w:right="620"/>
          <w:cols w:num="3" w:equalWidth="0">
            <w:col w:w="2905" w:space="44"/>
            <w:col w:w="963" w:space="890"/>
            <w:col w:w="5838"/>
          </w:cols>
        </w:sectPr>
      </w:pPr>
    </w:p>
    <w:p>
      <w:pPr>
        <w:pStyle w:val="BodyText"/>
        <w:spacing w:before="1"/>
        <w:rPr>
          <w:sz w:val="10"/>
        </w:rPr>
      </w:pPr>
    </w:p>
    <w:p>
      <w:pPr>
        <w:spacing w:before="0"/>
        <w:ind w:left="179" w:right="0" w:firstLine="0"/>
        <w:jc w:val="left"/>
        <w:rPr>
          <w:sz w:val="12"/>
        </w:rPr>
      </w:pPr>
      <w:r>
        <w:rPr/>
        <w:pict>
          <v:line style="position:absolute;mso-position-horizontal-relative:page;mso-position-vertical-relative:paragraph;z-index:15931904" from="54.095001pt,4.775159pt" to="58.428001pt,4.775159pt" stroked="true" strokeweight=".5pt" strokecolor="#000000">
            <v:stroke dashstyle="solid"/>
            <w10:wrap type="none"/>
          </v:line>
        </w:pict>
      </w:r>
      <w:r>
        <w:rPr>
          <w:sz w:val="12"/>
        </w:rPr>
        <w:t>1.70</w:t>
      </w:r>
    </w:p>
    <w:p>
      <w:pPr>
        <w:pStyle w:val="BodyText"/>
        <w:rPr>
          <w:sz w:val="12"/>
        </w:rPr>
      </w:pPr>
    </w:p>
    <w:p>
      <w:pPr>
        <w:spacing w:before="86"/>
        <w:ind w:left="179" w:right="0" w:firstLine="0"/>
        <w:jc w:val="left"/>
        <w:rPr>
          <w:sz w:val="12"/>
        </w:rPr>
      </w:pPr>
      <w:r>
        <w:rPr/>
        <w:pict>
          <v:line style="position:absolute;mso-position-horizontal-relative:page;mso-position-vertical-relative:paragraph;z-index:15932416" from="54.095001pt,8.937357pt" to="58.428001pt,8.937357pt" stroked="true" strokeweight=".5pt" strokecolor="#000000">
            <v:stroke dashstyle="solid"/>
            <w10:wrap type="none"/>
          </v:line>
        </w:pict>
      </w:r>
      <w:r>
        <w:rPr>
          <w:sz w:val="12"/>
        </w:rPr>
        <w:t>1.60</w:t>
      </w:r>
    </w:p>
    <w:p>
      <w:pPr>
        <w:pStyle w:val="BodyText"/>
        <w:rPr>
          <w:sz w:val="12"/>
        </w:rPr>
      </w:pPr>
    </w:p>
    <w:p>
      <w:pPr>
        <w:spacing w:before="87"/>
        <w:ind w:left="179" w:right="0" w:firstLine="0"/>
        <w:jc w:val="left"/>
        <w:rPr>
          <w:sz w:val="12"/>
        </w:rPr>
      </w:pPr>
      <w:r>
        <w:rPr/>
        <w:pict>
          <v:line style="position:absolute;mso-position-horizontal-relative:page;mso-position-vertical-relative:paragraph;z-index:15932928" from="54.095001pt,8.849555pt" to="58.428001pt,8.849555pt" stroked="true" strokeweight=".5pt" strokecolor="#000000">
            <v:stroke dashstyle="solid"/>
            <w10:wrap type="none"/>
          </v:line>
        </w:pict>
      </w:r>
      <w:r>
        <w:rPr>
          <w:sz w:val="12"/>
        </w:rPr>
        <w:t>1.50</w:t>
      </w:r>
    </w:p>
    <w:p>
      <w:pPr>
        <w:pStyle w:val="BodyText"/>
        <w:rPr>
          <w:sz w:val="12"/>
        </w:rPr>
      </w:pPr>
    </w:p>
    <w:p>
      <w:pPr>
        <w:spacing w:before="86"/>
        <w:ind w:left="179" w:right="0" w:firstLine="0"/>
        <w:jc w:val="left"/>
        <w:rPr>
          <w:sz w:val="12"/>
        </w:rPr>
      </w:pPr>
      <w:r>
        <w:rPr/>
        <w:pict>
          <v:line style="position:absolute;mso-position-horizontal-relative:page;mso-position-vertical-relative:paragraph;z-index:15933440" from="54.095001pt,8.660769pt" to="58.428001pt,8.660769pt" stroked="true" strokeweight=".5pt" strokecolor="#000000">
            <v:stroke dashstyle="solid"/>
            <w10:wrap type="none"/>
          </v:line>
        </w:pict>
      </w:r>
      <w:r>
        <w:rPr>
          <w:sz w:val="12"/>
        </w:rPr>
        <w:t>1.40</w:t>
      </w:r>
    </w:p>
    <w:p>
      <w:pPr>
        <w:pStyle w:val="BodyText"/>
        <w:rPr>
          <w:sz w:val="12"/>
        </w:rPr>
      </w:pPr>
    </w:p>
    <w:p>
      <w:pPr>
        <w:spacing w:before="87"/>
        <w:ind w:left="179" w:right="0" w:firstLine="0"/>
        <w:jc w:val="left"/>
        <w:rPr>
          <w:sz w:val="12"/>
        </w:rPr>
      </w:pPr>
      <w:r>
        <w:rPr/>
        <w:pict>
          <v:line style="position:absolute;mso-position-horizontal-relative:page;mso-position-vertical-relative:paragraph;z-index:15933952" from="54.095001pt,8.572968pt" to="58.428001pt,8.572968pt" stroked="true" strokeweight=".5pt" strokecolor="#000000">
            <v:stroke dashstyle="solid"/>
            <w10:wrap type="none"/>
          </v:line>
        </w:pict>
      </w:r>
      <w:r>
        <w:rPr>
          <w:sz w:val="12"/>
        </w:rPr>
        <w:t>1.30</w:t>
      </w:r>
    </w:p>
    <w:p>
      <w:pPr>
        <w:pStyle w:val="BodyText"/>
        <w:rPr>
          <w:sz w:val="12"/>
        </w:rPr>
      </w:pPr>
    </w:p>
    <w:p>
      <w:pPr>
        <w:spacing w:before="86"/>
        <w:ind w:left="179" w:right="0" w:firstLine="0"/>
        <w:jc w:val="left"/>
        <w:rPr>
          <w:sz w:val="12"/>
        </w:rPr>
      </w:pPr>
      <w:r>
        <w:rPr/>
        <w:pict>
          <v:line style="position:absolute;mso-position-horizontal-relative:page;mso-position-vertical-relative:paragraph;z-index:15934464" from="54.095001pt,8.385166pt" to="58.428001pt,8.385166pt" stroked="true" strokeweight=".5pt" strokecolor="#000000">
            <v:stroke dashstyle="solid"/>
            <w10:wrap type="none"/>
          </v:line>
        </w:pict>
      </w:r>
      <w:r>
        <w:rPr>
          <w:sz w:val="12"/>
        </w:rPr>
        <w:t>1.20</w:t>
      </w:r>
    </w:p>
    <w:p>
      <w:pPr>
        <w:pStyle w:val="BodyText"/>
        <w:spacing w:before="7"/>
        <w:rPr>
          <w:sz w:val="9"/>
        </w:rPr>
      </w:pPr>
      <w:r>
        <w:rPr/>
        <w:br w:type="column"/>
      </w:r>
      <w:r>
        <w:rPr>
          <w:sz w:val="9"/>
        </w:rPr>
      </w:r>
    </w:p>
    <w:p>
      <w:pPr>
        <w:spacing w:line="208" w:lineRule="auto" w:before="0"/>
        <w:ind w:left="269" w:right="38" w:hanging="90"/>
        <w:jc w:val="left"/>
        <w:rPr>
          <w:sz w:val="12"/>
        </w:rPr>
      </w:pPr>
      <w:r>
        <w:rPr>
          <w:sz w:val="12"/>
        </w:rPr>
        <w:t>US dollars per pound (left-hand scale)</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08" w:lineRule="auto" w:before="103"/>
        <w:ind w:left="239" w:right="0" w:hanging="60"/>
        <w:jc w:val="left"/>
        <w:rPr>
          <w:sz w:val="12"/>
        </w:rPr>
      </w:pPr>
      <w:r>
        <w:rPr>
          <w:sz w:val="12"/>
        </w:rPr>
        <w:t>Euro per pound (a) (left-hand scale)</w:t>
      </w:r>
    </w:p>
    <w:p>
      <w:pPr>
        <w:pStyle w:val="BodyText"/>
        <w:spacing w:before="7"/>
        <w:rPr>
          <w:sz w:val="11"/>
        </w:rPr>
      </w:pPr>
      <w:r>
        <w:rPr/>
        <w:br w:type="column"/>
      </w:r>
      <w:r>
        <w:rPr>
          <w:sz w:val="11"/>
        </w:rPr>
      </w:r>
    </w:p>
    <w:p>
      <w:pPr>
        <w:spacing w:before="0"/>
        <w:ind w:left="137" w:right="0" w:firstLine="0"/>
        <w:jc w:val="left"/>
        <w:rPr>
          <w:sz w:val="12"/>
        </w:rPr>
      </w:pPr>
      <w:r>
        <w:rPr>
          <w:sz w:val="12"/>
        </w:rPr>
        <w:t>108</w:t>
      </w:r>
    </w:p>
    <w:p>
      <w:pPr>
        <w:pStyle w:val="BodyText"/>
        <w:rPr>
          <w:sz w:val="12"/>
        </w:rPr>
      </w:pPr>
    </w:p>
    <w:p>
      <w:pPr>
        <w:spacing w:before="84"/>
        <w:ind w:left="137" w:right="0" w:firstLine="0"/>
        <w:jc w:val="left"/>
        <w:rPr>
          <w:sz w:val="12"/>
        </w:rPr>
      </w:pPr>
      <w:r>
        <w:rPr/>
        <w:pict>
          <v:line style="position:absolute;mso-position-horizontal-relative:page;mso-position-vertical-relative:paragraph;z-index:15935488" from="210.427994pt,-9.902313pt" to="214.761994pt,-9.902313pt" stroked="true" strokeweight=".5pt" strokecolor="#000000">
            <v:stroke dashstyle="solid"/>
            <w10:wrap type="none"/>
          </v:line>
        </w:pict>
      </w:r>
      <w:r>
        <w:rPr/>
        <w:pict>
          <v:line style="position:absolute;mso-position-horizontal-relative:page;mso-position-vertical-relative:paragraph;z-index:15936000" from="210.427994pt,8.084687pt" to="214.761994pt,8.084687pt" stroked="true" strokeweight=".5pt" strokecolor="#000000">
            <v:stroke dashstyle="solid"/>
            <w10:wrap type="none"/>
          </v:line>
        </w:pict>
      </w:r>
      <w:r>
        <w:rPr>
          <w:sz w:val="12"/>
        </w:rPr>
        <w:t>104</w:t>
      </w:r>
    </w:p>
    <w:p>
      <w:pPr>
        <w:pStyle w:val="BodyText"/>
        <w:rPr>
          <w:sz w:val="12"/>
        </w:rPr>
      </w:pPr>
    </w:p>
    <w:p>
      <w:pPr>
        <w:spacing w:before="84"/>
        <w:ind w:left="137" w:right="0" w:firstLine="0"/>
        <w:jc w:val="left"/>
        <w:rPr>
          <w:sz w:val="12"/>
        </w:rPr>
      </w:pPr>
      <w:r>
        <w:rPr/>
        <w:pict>
          <v:line style="position:absolute;mso-position-horizontal-relative:page;mso-position-vertical-relative:paragraph;z-index:15936512" from="210.427994pt,8.071687pt" to="214.761994pt,8.071687pt" stroked="true" strokeweight=".5pt" strokecolor="#000000">
            <v:stroke dashstyle="solid"/>
            <w10:wrap type="none"/>
          </v:line>
        </w:pict>
      </w:r>
      <w:r>
        <w:rPr>
          <w:sz w:val="12"/>
        </w:rPr>
        <w:t>100</w:t>
      </w:r>
    </w:p>
    <w:p>
      <w:pPr>
        <w:pStyle w:val="BodyText"/>
        <w:rPr>
          <w:sz w:val="12"/>
        </w:rPr>
      </w:pPr>
    </w:p>
    <w:p>
      <w:pPr>
        <w:spacing w:before="84"/>
        <w:ind w:left="197" w:right="0" w:firstLine="0"/>
        <w:jc w:val="left"/>
        <w:rPr>
          <w:sz w:val="12"/>
        </w:rPr>
      </w:pPr>
      <w:r>
        <w:rPr/>
        <w:pict>
          <v:line style="position:absolute;mso-position-horizontal-relative:page;mso-position-vertical-relative:paragraph;z-index:15937024" from="210.427994pt,8.058282pt" to="214.761994pt,8.058282pt" stroked="true" strokeweight=".5pt" strokecolor="#000000">
            <v:stroke dashstyle="solid"/>
            <w10:wrap type="none"/>
          </v:line>
        </w:pict>
      </w:r>
      <w:r>
        <w:rPr>
          <w:sz w:val="12"/>
        </w:rPr>
        <w:t>96</w:t>
      </w:r>
    </w:p>
    <w:p>
      <w:pPr>
        <w:pStyle w:val="BodyText"/>
        <w:rPr>
          <w:sz w:val="12"/>
        </w:rPr>
      </w:pPr>
    </w:p>
    <w:p>
      <w:pPr>
        <w:spacing w:before="84"/>
        <w:ind w:left="197" w:right="0" w:firstLine="0"/>
        <w:jc w:val="left"/>
        <w:rPr>
          <w:sz w:val="12"/>
        </w:rPr>
      </w:pPr>
      <w:r>
        <w:rPr/>
        <w:pict>
          <v:line style="position:absolute;mso-position-horizontal-relative:page;mso-position-vertical-relative:paragraph;z-index:15937536" from="210.427994pt,8.045281pt" to="214.761994pt,8.045281pt" stroked="true" strokeweight=".5pt" strokecolor="#000000">
            <v:stroke dashstyle="solid"/>
            <w10:wrap type="none"/>
          </v:line>
        </w:pict>
      </w:r>
      <w:r>
        <w:rPr>
          <w:sz w:val="12"/>
        </w:rPr>
        <w:t>92</w:t>
      </w:r>
    </w:p>
    <w:p>
      <w:pPr>
        <w:pStyle w:val="BodyText"/>
        <w:rPr>
          <w:sz w:val="12"/>
        </w:rPr>
      </w:pPr>
    </w:p>
    <w:p>
      <w:pPr>
        <w:spacing w:before="84"/>
        <w:ind w:left="197" w:right="0" w:firstLine="0"/>
        <w:jc w:val="left"/>
        <w:rPr>
          <w:sz w:val="12"/>
        </w:rPr>
      </w:pPr>
      <w:r>
        <w:rPr/>
        <w:pict>
          <v:line style="position:absolute;mso-position-horizontal-relative:page;mso-position-vertical-relative:paragraph;z-index:15938048" from="210.427994pt,8.032282pt" to="214.761994pt,8.032282pt" stroked="true" strokeweight=".5pt" strokecolor="#000000">
            <v:stroke dashstyle="solid"/>
            <w10:wrap type="none"/>
          </v:line>
        </w:pict>
      </w:r>
      <w:r>
        <w:rPr>
          <w:sz w:val="12"/>
        </w:rPr>
        <w:t>88</w:t>
      </w:r>
    </w:p>
    <w:p>
      <w:pPr>
        <w:pStyle w:val="Heading6"/>
        <w:spacing w:line="242" w:lineRule="auto" w:before="7"/>
        <w:ind w:left="179" w:right="228"/>
      </w:pPr>
      <w:r>
        <w:rPr/>
        <w:br w:type="column"/>
      </w:r>
      <w:r>
        <w:rPr/>
        <w:t>2000 Consensus Economics exchange rate </w:t>
      </w:r>
      <w:r>
        <w:rPr>
          <w:spacing w:val="-4"/>
        </w:rPr>
        <w:t>survey, </w:t>
      </w:r>
      <w:r>
        <w:rPr/>
        <w:t>respondents expected sterling to depreciate at a faster rate against the euro than in March 1999. As noted above, market interest rate expectations rose in the euro area</w:t>
      </w:r>
      <w:r>
        <w:rPr>
          <w:spacing w:val="-6"/>
        </w:rPr>
        <w:t> </w:t>
      </w:r>
      <w:r>
        <w:rPr/>
        <w:t>relative</w:t>
      </w:r>
      <w:r>
        <w:rPr>
          <w:spacing w:val="-5"/>
        </w:rPr>
        <w:t> </w:t>
      </w:r>
      <w:r>
        <w:rPr/>
        <w:t>to</w:t>
      </w:r>
      <w:r>
        <w:rPr>
          <w:spacing w:val="-5"/>
        </w:rPr>
        <w:t> </w:t>
      </w:r>
      <w:r>
        <w:rPr/>
        <w:t>the</w:t>
      </w:r>
      <w:r>
        <w:rPr>
          <w:spacing w:val="-5"/>
        </w:rPr>
        <w:t> </w:t>
      </w:r>
      <w:r>
        <w:rPr/>
        <w:t>United</w:t>
      </w:r>
      <w:r>
        <w:rPr>
          <w:spacing w:val="-5"/>
        </w:rPr>
        <w:t> </w:t>
      </w:r>
      <w:r>
        <w:rPr/>
        <w:t>Kingdom</w:t>
      </w:r>
      <w:r>
        <w:rPr>
          <w:spacing w:val="-6"/>
        </w:rPr>
        <w:t> </w:t>
      </w:r>
      <w:r>
        <w:rPr>
          <w:spacing w:val="-3"/>
        </w:rPr>
        <w:t>over</w:t>
      </w:r>
      <w:r>
        <w:rPr>
          <w:spacing w:val="-5"/>
        </w:rPr>
        <w:t> </w:t>
      </w:r>
      <w:r>
        <w:rPr/>
        <w:t>this</w:t>
      </w:r>
      <w:r>
        <w:rPr>
          <w:spacing w:val="-5"/>
        </w:rPr>
        <w:t> </w:t>
      </w:r>
      <w:r>
        <w:rPr/>
        <w:t>period</w:t>
      </w:r>
      <w:r>
        <w:rPr>
          <w:spacing w:val="-5"/>
        </w:rPr>
        <w:t> </w:t>
      </w:r>
      <w:r>
        <w:rPr/>
        <w:t>(see Chart 1.19). </w:t>
      </w:r>
      <w:r>
        <w:rPr>
          <w:spacing w:val="-10"/>
        </w:rPr>
        <w:t>To </w:t>
      </w:r>
      <w:r>
        <w:rPr/>
        <w:t>the extent that investors’ asset allocations are based on these interest rate expectations and these forecasts of bilateral exchange</w:t>
      </w:r>
      <w:r>
        <w:rPr>
          <w:spacing w:val="-15"/>
        </w:rPr>
        <w:t> </w:t>
      </w:r>
      <w:r>
        <w:rPr/>
        <w:t>rate</w:t>
      </w:r>
    </w:p>
    <w:p>
      <w:pPr>
        <w:spacing w:after="0" w:line="242" w:lineRule="auto"/>
        <w:sectPr>
          <w:type w:val="continuous"/>
          <w:pgSz w:w="11900" w:h="16840"/>
          <w:pgMar w:top="1220" w:bottom="280" w:left="640" w:right="620"/>
          <w:cols w:num="5" w:equalWidth="0">
            <w:col w:w="430" w:space="486"/>
            <w:col w:w="1243" w:space="266"/>
            <w:col w:w="1090" w:space="40"/>
            <w:col w:w="358" w:space="867"/>
            <w:col w:w="5860"/>
          </w:cols>
        </w:sectPr>
      </w:pPr>
    </w:p>
    <w:p>
      <w:pPr>
        <w:spacing w:before="54"/>
        <w:ind w:left="179" w:right="0" w:firstLine="0"/>
        <w:jc w:val="left"/>
        <w:rPr>
          <w:sz w:val="12"/>
        </w:rPr>
      </w:pPr>
      <w:r>
        <w:rPr>
          <w:sz w:val="12"/>
        </w:rPr>
        <w:t>1.10</w:t>
      </w:r>
    </w:p>
    <w:p>
      <w:pPr>
        <w:pStyle w:val="BodyText"/>
        <w:rPr>
          <w:sz w:val="12"/>
        </w:rPr>
      </w:pPr>
    </w:p>
    <w:p>
      <w:pPr>
        <w:spacing w:before="86"/>
        <w:ind w:left="179" w:right="0" w:firstLine="0"/>
        <w:jc w:val="left"/>
        <w:rPr>
          <w:sz w:val="12"/>
        </w:rPr>
      </w:pPr>
      <w:r>
        <w:rPr>
          <w:sz w:val="12"/>
        </w:rPr>
        <w:t>1.00</w:t>
      </w:r>
    </w:p>
    <w:p>
      <w:pPr>
        <w:tabs>
          <w:tab w:pos="3380" w:val="right" w:leader="none"/>
        </w:tabs>
        <w:spacing w:before="56"/>
        <w:ind w:left="1448" w:right="0" w:firstLine="0"/>
        <w:jc w:val="left"/>
        <w:rPr>
          <w:sz w:val="12"/>
        </w:rPr>
      </w:pPr>
      <w:r>
        <w:rPr/>
        <w:br w:type="column"/>
      </w:r>
      <w:r>
        <w:rPr>
          <w:sz w:val="12"/>
        </w:rPr>
        <w:t>ERI (right-hand scale)</w:t>
        <w:tab/>
      </w:r>
      <w:r>
        <w:rPr>
          <w:position w:val="6"/>
          <w:sz w:val="12"/>
        </w:rPr>
        <w:t>84</w:t>
      </w:r>
    </w:p>
    <w:p>
      <w:pPr>
        <w:spacing w:line="131" w:lineRule="exact" w:before="162"/>
        <w:ind w:left="3260" w:right="0" w:firstLine="0"/>
        <w:jc w:val="left"/>
        <w:rPr>
          <w:sz w:val="12"/>
        </w:rPr>
      </w:pPr>
      <w:r>
        <w:rPr/>
        <w:pict>
          <v:shape style="position:absolute;margin-left:54.095001pt;margin-top:8.57329pt;width:152.5pt;height:3.4pt;mso-position-horizontal-relative:page;mso-position-vertical-relative:paragraph;z-index:15931392" coordorigin="1082,171" coordsize="3050,68" path="m1241,239l4131,239m1238,171l1238,239m1635,171l1635,239m2031,171l2031,239m2427,171l2427,239m2824,171l2824,239m3220,171l3220,239m3617,171l3617,239m4013,171l4013,239m1082,238l1169,238e" filled="false" stroked="true" strokeweight=".5pt" strokecolor="#000000">
            <v:path arrowok="t"/>
            <v:stroke dashstyle="solid"/>
            <w10:wrap type="none"/>
          </v:shape>
        </w:pict>
      </w:r>
      <w:r>
        <w:rPr/>
        <w:pict>
          <v:line style="position:absolute;mso-position-horizontal-relative:page;mso-position-vertical-relative:paragraph;z-index:15934976" from="54.095001pt,-6.08071pt" to="58.428001pt,-6.08071pt" stroked="true" strokeweight=".5pt" strokecolor="#000000">
            <v:stroke dashstyle="solid"/>
            <w10:wrap type="none"/>
          </v:line>
        </w:pict>
      </w:r>
      <w:r>
        <w:rPr/>
        <w:pict>
          <v:line style="position:absolute;mso-position-horizontal-relative:page;mso-position-vertical-relative:paragraph;z-index:-22672896" from="210.427994pt,-6.08071pt" to="214.761994pt,-6.08071pt" stroked="true" strokeweight=".5pt" strokecolor="#000000">
            <v:stroke dashstyle="solid"/>
            <w10:wrap type="none"/>
          </v:line>
        </w:pict>
      </w:r>
      <w:r>
        <w:rPr/>
        <w:pict>
          <v:line style="position:absolute;mso-position-horizontal-relative:page;mso-position-vertical-relative:paragraph;z-index:15939072" from="210.427994pt,11.906289pt" to="214.761994pt,11.906289pt" stroked="true" strokeweight=".5pt" strokecolor="#000000">
            <v:stroke dashstyle="solid"/>
            <w10:wrap type="none"/>
          </v:line>
        </w:pict>
      </w:r>
      <w:r>
        <w:rPr>
          <w:sz w:val="12"/>
        </w:rPr>
        <w:t>80</w:t>
      </w:r>
    </w:p>
    <w:p>
      <w:pPr>
        <w:tabs>
          <w:tab w:pos="655" w:val="left" w:leader="none"/>
          <w:tab w:pos="1052" w:val="left" w:leader="none"/>
          <w:tab w:pos="1450" w:val="left" w:leader="none"/>
          <w:tab w:pos="1847" w:val="left" w:leader="none"/>
          <w:tab w:pos="2245" w:val="left" w:leader="none"/>
          <w:tab w:pos="2642" w:val="left" w:leader="none"/>
        </w:tabs>
        <w:spacing w:line="131" w:lineRule="exact" w:before="0"/>
        <w:ind w:left="179" w:right="0" w:firstLine="0"/>
        <w:jc w:val="left"/>
        <w:rPr>
          <w:sz w:val="12"/>
        </w:rPr>
      </w:pPr>
      <w:r>
        <w:rPr/>
        <w:pict>
          <v:line style="position:absolute;mso-position-horizontal-relative:page;mso-position-vertical-relative:paragraph;z-index:15939584" from="279pt,12.899277pt" to="555.5pt,12.899277pt" stroked="true" strokeweight=".125pt" strokecolor="#000000">
            <v:stroke dashstyle="solid"/>
            <w10:wrap type="none"/>
          </v:line>
        </w:pict>
      </w:r>
      <w:r>
        <w:rPr>
          <w:sz w:val="12"/>
        </w:rPr>
        <w:t>1993</w:t>
        <w:tab/>
        <w:t>94</w:t>
        <w:tab/>
        <w:t>95</w:t>
        <w:tab/>
        <w:t>96</w:t>
        <w:tab/>
        <w:t>97</w:t>
        <w:tab/>
        <w:t>98</w:t>
        <w:tab/>
        <w:t>99</w:t>
      </w:r>
      <w:r>
        <w:rPr>
          <w:spacing w:val="20"/>
          <w:sz w:val="12"/>
        </w:rPr>
        <w:t> </w:t>
      </w:r>
      <w:r>
        <w:rPr>
          <w:sz w:val="12"/>
        </w:rPr>
        <w:t>2000</w:t>
      </w:r>
    </w:p>
    <w:p>
      <w:pPr>
        <w:pStyle w:val="Heading6"/>
        <w:spacing w:line="242" w:lineRule="auto" w:before="10"/>
        <w:ind w:left="179"/>
      </w:pPr>
      <w:r>
        <w:rPr/>
        <w:br w:type="column"/>
      </w:r>
      <w:r>
        <w:rPr/>
        <w:t>movements, these data perhaps suggest a rise in the risk premium on holding euro assets.</w:t>
      </w:r>
    </w:p>
    <w:p>
      <w:pPr>
        <w:spacing w:after="0" w:line="242" w:lineRule="auto"/>
        <w:sectPr>
          <w:type w:val="continuous"/>
          <w:pgSz w:w="11900" w:h="16840"/>
          <w:pgMar w:top="1220" w:bottom="280" w:left="640" w:right="620"/>
          <w:cols w:num="3" w:equalWidth="0">
            <w:col w:w="430" w:space="62"/>
            <w:col w:w="3421" w:space="868"/>
            <w:col w:w="5859"/>
          </w:cols>
        </w:sectPr>
      </w:pPr>
    </w:p>
    <w:p>
      <w:pPr>
        <w:spacing w:before="44"/>
        <w:ind w:left="165" w:right="0" w:firstLine="0"/>
        <w:jc w:val="left"/>
        <w:rPr>
          <w:sz w:val="12"/>
        </w:rPr>
      </w:pPr>
      <w:r>
        <w:rPr>
          <w:sz w:val="12"/>
        </w:rPr>
        <w:t>Source: Bank of England.</w:t>
      </w:r>
    </w:p>
    <w:p>
      <w:pPr>
        <w:pStyle w:val="ListParagraph"/>
        <w:numPr>
          <w:ilvl w:val="0"/>
          <w:numId w:val="8"/>
        </w:numPr>
        <w:tabs>
          <w:tab w:pos="405" w:val="left" w:leader="none"/>
        </w:tabs>
        <w:spacing w:line="208" w:lineRule="auto" w:before="116" w:after="0"/>
        <w:ind w:left="405" w:right="38" w:hanging="240"/>
        <w:jc w:val="left"/>
        <w:rPr>
          <w:sz w:val="12"/>
        </w:rPr>
      </w:pPr>
      <w:r>
        <w:rPr>
          <w:sz w:val="12"/>
        </w:rPr>
        <w:t>Rates</w:t>
      </w:r>
      <w:r>
        <w:rPr>
          <w:spacing w:val="-5"/>
          <w:sz w:val="12"/>
        </w:rPr>
        <w:t> </w:t>
      </w:r>
      <w:r>
        <w:rPr>
          <w:sz w:val="12"/>
        </w:rPr>
        <w:t>before</w:t>
      </w:r>
      <w:r>
        <w:rPr>
          <w:spacing w:val="-5"/>
          <w:sz w:val="12"/>
        </w:rPr>
        <w:t> </w:t>
      </w:r>
      <w:r>
        <w:rPr>
          <w:sz w:val="12"/>
        </w:rPr>
        <w:t>1</w:t>
      </w:r>
      <w:r>
        <w:rPr>
          <w:spacing w:val="-4"/>
          <w:sz w:val="12"/>
        </w:rPr>
        <w:t> </w:t>
      </w:r>
      <w:r>
        <w:rPr>
          <w:sz w:val="12"/>
        </w:rPr>
        <w:t>January</w:t>
      </w:r>
      <w:r>
        <w:rPr>
          <w:spacing w:val="-5"/>
          <w:sz w:val="12"/>
        </w:rPr>
        <w:t> </w:t>
      </w:r>
      <w:r>
        <w:rPr>
          <w:sz w:val="12"/>
        </w:rPr>
        <w:t>1999</w:t>
      </w:r>
      <w:r>
        <w:rPr>
          <w:spacing w:val="-5"/>
          <w:sz w:val="12"/>
        </w:rPr>
        <w:t> </w:t>
      </w:r>
      <w:r>
        <w:rPr>
          <w:sz w:val="12"/>
        </w:rPr>
        <w:t>are</w:t>
      </w:r>
      <w:r>
        <w:rPr>
          <w:spacing w:val="-4"/>
          <w:sz w:val="12"/>
        </w:rPr>
        <w:t> </w:t>
      </w:r>
      <w:r>
        <w:rPr>
          <w:sz w:val="12"/>
        </w:rPr>
        <w:t>calculated</w:t>
      </w:r>
      <w:r>
        <w:rPr>
          <w:spacing w:val="-5"/>
          <w:sz w:val="12"/>
        </w:rPr>
        <w:t> </w:t>
      </w:r>
      <w:r>
        <w:rPr>
          <w:sz w:val="12"/>
        </w:rPr>
        <w:t>as</w:t>
      </w:r>
      <w:r>
        <w:rPr>
          <w:spacing w:val="-5"/>
          <w:sz w:val="12"/>
        </w:rPr>
        <w:t> </w:t>
      </w:r>
      <w:r>
        <w:rPr>
          <w:sz w:val="12"/>
        </w:rPr>
        <w:t>a</w:t>
      </w:r>
      <w:r>
        <w:rPr>
          <w:spacing w:val="-4"/>
          <w:sz w:val="12"/>
        </w:rPr>
        <w:t> </w:t>
      </w:r>
      <w:r>
        <w:rPr>
          <w:sz w:val="12"/>
        </w:rPr>
        <w:t>synthetic</w:t>
      </w:r>
      <w:r>
        <w:rPr>
          <w:spacing w:val="-5"/>
          <w:sz w:val="12"/>
        </w:rPr>
        <w:t> </w:t>
      </w:r>
      <w:r>
        <w:rPr>
          <w:sz w:val="12"/>
        </w:rPr>
        <w:t>euro</w:t>
      </w:r>
      <w:r>
        <w:rPr>
          <w:spacing w:val="-5"/>
          <w:sz w:val="12"/>
        </w:rPr>
        <w:t> </w:t>
      </w:r>
      <w:r>
        <w:rPr>
          <w:sz w:val="12"/>
        </w:rPr>
        <w:t>exchange</w:t>
      </w:r>
      <w:r>
        <w:rPr>
          <w:spacing w:val="-4"/>
          <w:sz w:val="12"/>
        </w:rPr>
        <w:t> </w:t>
      </w:r>
      <w:r>
        <w:rPr>
          <w:sz w:val="12"/>
        </w:rPr>
        <w:t>rate based on a weighted average of the component</w:t>
      </w:r>
      <w:r>
        <w:rPr>
          <w:spacing w:val="-17"/>
          <w:sz w:val="12"/>
        </w:rPr>
        <w:t> </w:t>
      </w:r>
      <w:r>
        <w:rPr>
          <w:sz w:val="12"/>
        </w:rPr>
        <w:t>currencies.</w:t>
      </w:r>
    </w:p>
    <w:p>
      <w:pPr>
        <w:pStyle w:val="ListParagraph"/>
        <w:numPr>
          <w:ilvl w:val="1"/>
          <w:numId w:val="8"/>
        </w:numPr>
        <w:tabs>
          <w:tab w:pos="406" w:val="left" w:leader="none"/>
        </w:tabs>
        <w:spacing w:line="208" w:lineRule="auto" w:before="149" w:after="0"/>
        <w:ind w:left="404" w:right="688" w:hanging="240"/>
        <w:jc w:val="both"/>
        <w:rPr>
          <w:sz w:val="16"/>
        </w:rPr>
      </w:pPr>
      <w:r>
        <w:rPr>
          <w:spacing w:val="-1"/>
          <w:sz w:val="16"/>
        </w:rPr>
        <w:br w:type="column"/>
      </w:r>
      <w:r>
        <w:rPr>
          <w:sz w:val="16"/>
        </w:rPr>
        <w:t>See Cromb, R, ‘An effective exchange rate index for the euro area’, </w:t>
      </w:r>
      <w:r>
        <w:rPr>
          <w:i/>
          <w:sz w:val="16"/>
        </w:rPr>
        <w:t>Bank </w:t>
      </w:r>
      <w:r>
        <w:rPr>
          <w:i/>
          <w:sz w:val="16"/>
        </w:rPr>
        <w:t>of England Quarterly Bulletin</w:t>
      </w:r>
      <w:r>
        <w:rPr>
          <w:sz w:val="16"/>
        </w:rPr>
        <w:t>, May 1999, pages 190–94, for a description of how this index is</w:t>
      </w:r>
      <w:r>
        <w:rPr>
          <w:spacing w:val="-7"/>
          <w:sz w:val="16"/>
        </w:rPr>
        <w:t> </w:t>
      </w:r>
      <w:r>
        <w:rPr>
          <w:sz w:val="16"/>
        </w:rPr>
        <w:t>constructed.</w:t>
      </w:r>
    </w:p>
    <w:p>
      <w:pPr>
        <w:spacing w:after="0" w:line="208" w:lineRule="auto"/>
        <w:jc w:val="both"/>
        <w:rPr>
          <w:sz w:val="16"/>
        </w:rPr>
        <w:sectPr>
          <w:type w:val="continuous"/>
          <w:pgSz w:w="11900" w:h="16840"/>
          <w:pgMar w:top="1220" w:bottom="280" w:left="640" w:right="620"/>
          <w:cols w:num="2" w:equalWidth="0">
            <w:col w:w="4116" w:space="679"/>
            <w:col w:w="5845"/>
          </w:cols>
        </w:sectPr>
      </w:pPr>
    </w:p>
    <w:p>
      <w:pPr>
        <w:pStyle w:val="BodyText"/>
        <w:rPr>
          <w:sz w:val="20"/>
        </w:rPr>
      </w:pPr>
    </w:p>
    <w:p>
      <w:pPr>
        <w:spacing w:after="0"/>
        <w:rPr>
          <w:sz w:val="20"/>
        </w:rPr>
        <w:sectPr>
          <w:pgSz w:w="11900" w:h="16840"/>
          <w:pgMar w:header="586" w:footer="617" w:top="780" w:bottom="800" w:left="640" w:right="620"/>
        </w:sectPr>
      </w:pPr>
    </w:p>
    <w:p>
      <w:pPr>
        <w:pStyle w:val="BodyText"/>
        <w:spacing w:before="3"/>
        <w:rPr>
          <w:sz w:val="19"/>
        </w:rPr>
      </w:pPr>
    </w:p>
    <w:p>
      <w:pPr>
        <w:spacing w:before="0"/>
        <w:ind w:left="169" w:right="0" w:firstLine="0"/>
        <w:jc w:val="left"/>
        <w:rPr>
          <w:b/>
          <w:sz w:val="20"/>
        </w:rPr>
      </w:pPr>
      <w:bookmarkStart w:name="Summary" w:id="33"/>
      <w:bookmarkEnd w:id="33"/>
      <w:r>
        <w:rPr/>
      </w:r>
      <w:bookmarkStart w:name="_bookmark16" w:id="34"/>
      <w:bookmarkEnd w:id="34"/>
      <w:r>
        <w:rPr/>
      </w:r>
      <w:r>
        <w:rPr>
          <w:b/>
          <w:color w:val="0092C7"/>
          <w:sz w:val="20"/>
        </w:rPr>
        <w:t>Chart 1.19</w:t>
      </w:r>
    </w:p>
    <w:p>
      <w:pPr>
        <w:spacing w:line="249" w:lineRule="auto" w:before="10"/>
        <w:ind w:left="169" w:right="169" w:firstLine="0"/>
        <w:jc w:val="left"/>
        <w:rPr>
          <w:b/>
          <w:sz w:val="20"/>
        </w:rPr>
      </w:pPr>
      <w:r>
        <w:rPr>
          <w:b/>
          <w:color w:val="0092C7"/>
          <w:sz w:val="20"/>
        </w:rPr>
        <w:t>Cumulative change in sterling-euro exchange rate and relative interest rates since April 1999</w:t>
      </w:r>
    </w:p>
    <w:p>
      <w:pPr>
        <w:spacing w:line="119" w:lineRule="exact" w:before="47"/>
        <w:ind w:left="3041" w:right="0" w:firstLine="0"/>
        <w:jc w:val="left"/>
        <w:rPr>
          <w:sz w:val="12"/>
        </w:rPr>
      </w:pPr>
      <w:r>
        <w:rPr>
          <w:sz w:val="12"/>
        </w:rPr>
        <w:t>Per cent</w:t>
      </w:r>
    </w:p>
    <w:p>
      <w:pPr>
        <w:spacing w:line="119" w:lineRule="exact" w:before="0"/>
        <w:ind w:left="3479" w:right="0" w:firstLine="0"/>
        <w:jc w:val="left"/>
        <w:rPr>
          <w:sz w:val="12"/>
        </w:rPr>
      </w:pPr>
      <w:r>
        <w:rPr/>
        <w:pict>
          <v:line style="position:absolute;mso-position-horizontal-relative:page;mso-position-vertical-relative:paragraph;z-index:15952896" from="44.450001pt,3.547642pt" to="48.783001pt,3.547642pt" stroked="true" strokeweight=".5pt" strokecolor="#000000">
            <v:stroke dashstyle="solid"/>
            <w10:wrap type="none"/>
          </v:line>
        </w:pict>
      </w:r>
      <w:r>
        <w:rPr/>
        <w:pict>
          <v:line style="position:absolute;mso-position-horizontal-relative:page;mso-position-vertical-relative:paragraph;z-index:15954944" from="198.949997pt,3.547642pt" to="203.282997pt,3.547642pt" stroked="true" strokeweight=".5pt" strokecolor="#000000">
            <v:stroke dashstyle="solid"/>
            <w10:wrap type="none"/>
          </v:line>
        </w:pict>
      </w:r>
      <w:r>
        <w:rPr>
          <w:sz w:val="12"/>
        </w:rPr>
        <w:t>20</w:t>
      </w:r>
    </w:p>
    <w:p>
      <w:pPr>
        <w:spacing w:before="75"/>
        <w:ind w:left="0" w:right="172" w:firstLine="0"/>
        <w:jc w:val="right"/>
        <w:rPr>
          <w:sz w:val="12"/>
        </w:rPr>
      </w:pPr>
      <w:r>
        <w:rPr/>
        <w:pict>
          <v:group style="position:absolute;margin-left:52.450001pt;margin-top:3.851379pt;width:150.85pt;height:125.05pt;mso-position-horizontal-relative:page;mso-position-vertical-relative:paragraph;z-index:15947264" coordorigin="1049,77" coordsize="3017,2501">
            <v:rect style="position:absolute;left:1049;top:2037;width:23;height:73" filled="true" fillcolor="#de0035" stroked="false">
              <v:fill type="solid"/>
            </v:rect>
            <v:shape style="position:absolute;left:1059;top:2009;width:48;height:90" coordorigin="1059,2010" coordsize="48,90" path="m1059,2047l1072,2100m1072,2100l1094,2010m1094,2010l1097,2012m1094,2010l1107,2030e" filled="false" stroked="true" strokeweight="1pt" strokecolor="#de0035">
              <v:path arrowok="t"/>
              <v:stroke dashstyle="solid"/>
            </v:shape>
            <v:rect style="position:absolute;left:1096;top:1967;width:23;height:73" filled="true" fillcolor="#de0035" stroked="false">
              <v:fill type="solid"/>
            </v:rect>
            <v:shape style="position:absolute;left:1106;top:1834;width:110;height:160" coordorigin="1107,1835" coordsize="110,160" path="m1107,1977l1119,1980m1119,1977l1144,1960m1144,1960l1147,1977m1144,1977l1154,1995m1154,1995l1167,1940m1167,1940l1169,1922m1167,1922l1192,1905m1192,1905l1204,1852m1204,1852l1207,1835m1204,1835l1217,1890e" filled="false" stroked="true" strokeweight="1pt" strokecolor="#de0035">
              <v:path arrowok="t"/>
              <v:stroke dashstyle="solid"/>
            </v:shape>
            <v:line style="position:absolute" from="1218,1807" to="1218,1900" stroked="true" strokeweight="1.125pt" strokecolor="#de0035">
              <v:stroke dashstyle="solid"/>
            </v:line>
            <v:shape style="position:absolute;left:1216;top:1817;width:35;height:35" coordorigin="1217,1817" coordsize="35,35" path="m1217,1817l1239,1852m1239,1852l1252,1817e" filled="false" stroked="true" strokeweight="1pt" strokecolor="#de0035">
              <v:path arrowok="t"/>
              <v:stroke dashstyle="solid"/>
            </v:shape>
            <v:line style="position:absolute" from="1253,1770" to="1253,1827" stroked="true" strokeweight="1.125pt" strokecolor="#de0035">
              <v:stroke dashstyle="solid"/>
            </v:line>
            <v:shape style="position:absolute;left:1251;top:1764;width:60;height:125" coordorigin="1252,1765" coordsize="60,125" path="m1252,1780l1264,1800m1264,1800l1277,1765m1277,1765l1299,1817m1299,1817l1302,1835m1299,1835l1312,1890e" filled="false" stroked="true" strokeweight="1pt" strokecolor="#de0035">
              <v:path arrowok="t"/>
              <v:stroke dashstyle="solid"/>
            </v:shape>
            <v:line style="position:absolute" from="1313,1880" to="1313,1970" stroked="true" strokeweight="1.125pt" strokecolor="#de0035">
              <v:stroke dashstyle="solid"/>
            </v:line>
            <v:line style="position:absolute" from="1318,1825" to="1318,1970" stroked="true" strokeweight="1.625pt" strokecolor="#de0035">
              <v:stroke dashstyle="solid"/>
            </v:line>
            <v:line style="position:absolute" from="1324,1835" to="1349,1852" stroked="true" strokeweight="1pt" strokecolor="#de0035">
              <v:stroke dashstyle="solid"/>
            </v:line>
            <v:line style="position:absolute" from="1350,1790" to="1350,1862" stroked="true" strokeweight="1.125pt" strokecolor="#de0035">
              <v:stroke dashstyle="solid"/>
            </v:line>
            <v:shape style="position:absolute;left:1349;top:1779;width:73;height:75" coordorigin="1349,1780" coordsize="73,75" path="m1349,1800l1359,1802m1359,1800l1372,1802m1372,1800l1374,1780m1372,1780l1397,1800m1397,1800l1409,1852m1409,1852l1412,1855m1409,1852l1422,1817e" filled="false" stroked="true" strokeweight="1pt" strokecolor="#de0035">
              <v:path arrowok="t"/>
              <v:stroke dashstyle="solid"/>
            </v:shape>
            <v:line style="position:absolute" from="1423,1770" to="1423,1827" stroked="true" strokeweight="1.125pt" strokecolor="#de0035">
              <v:stroke dashstyle="solid"/>
            </v:line>
            <v:shape style="position:absolute;left:1421;top:1779;width:35;height:58" coordorigin="1422,1780" coordsize="35,58" path="m1422,1780l1444,1835m1444,1835l1457,1837e" filled="false" stroked="true" strokeweight="1pt" strokecolor="#de0035">
              <v:path arrowok="t"/>
              <v:stroke dashstyle="solid"/>
            </v:shape>
            <v:line style="position:absolute" from="1458,1825" to="1458,1900" stroked="true" strokeweight="1.125pt" strokecolor="#de0035">
              <v:stroke dashstyle="solid"/>
            </v:line>
            <v:shape style="position:absolute;left:1456;top:1834;width:60;height:70" coordorigin="1457,1835" coordsize="60,70" path="m1457,1890l1469,1852m1469,1852l1482,1905m1482,1905l1494,1890m1494,1890l1504,1852m1504,1852l1517,1835e" filled="false" stroked="true" strokeweight="1pt" strokecolor="#de0035">
              <v:path arrowok="t"/>
              <v:stroke dashstyle="solid"/>
            </v:shape>
            <v:line style="position:absolute" from="1518,1825" to="1518,1882" stroked="true" strokeweight="1.125pt" strokecolor="#de0035">
              <v:stroke dashstyle="solid"/>
            </v:line>
            <v:shape style="position:absolute;left:1516;top:1852;width:38;height:38" coordorigin="1517,1852" coordsize="38,38" path="m1517,1872l1529,1890m1529,1890l1554,1852e" filled="false" stroked="true" strokeweight="1pt" strokecolor="#de0035">
              <v:path arrowok="t"/>
              <v:stroke dashstyle="solid"/>
            </v:shape>
            <v:line style="position:absolute" from="1555,1842" to="1555,1932" stroked="true" strokeweight="1.125pt" strokecolor="#de0035">
              <v:stroke dashstyle="solid"/>
            </v:line>
            <v:shape style="position:absolute;left:1554;top:1872;width:48;height:68" coordorigin="1554,1872" coordsize="48,68" path="m1554,1922l1567,1905m1567,1905l1569,1922m1567,1922l1577,1940m1577,1940l1602,1872e" filled="false" stroked="true" strokeweight="1pt" strokecolor="#de0035">
              <v:path arrowok="t"/>
              <v:stroke dashstyle="solid"/>
            </v:shape>
            <v:line style="position:absolute" from="1603,1825" to="1603,1882" stroked="true" strokeweight="1.125pt" strokecolor="#de0035">
              <v:stroke dashstyle="solid"/>
            </v:line>
            <v:shape style="position:absolute;left:1601;top:1834;width:25;height:55" coordorigin="1602,1835" coordsize="25,55" path="m1602,1835l1614,1872m1614,1872l1627,1890e" filled="false" stroked="true" strokeweight="1pt" strokecolor="#de0035">
              <v:path arrowok="t"/>
              <v:stroke dashstyle="solid"/>
            </v:shape>
            <v:line style="position:absolute" from="1628,1880" to="1628,1970" stroked="true" strokeweight="1.125pt" strokecolor="#de0035">
              <v:stroke dashstyle="solid"/>
            </v:line>
            <v:shape style="position:absolute;left:1626;top:1959;width:35;height:3" coordorigin="1627,1960" coordsize="35,3" path="m1627,1960l1649,1962m1649,1960l1662,1962e" filled="false" stroked="true" strokeweight="1pt" strokecolor="#de0035">
              <v:path arrowok="t"/>
              <v:stroke dashstyle="solid"/>
            </v:shape>
            <v:line style="position:absolute" from="1663,1950" to="1663,2005" stroked="true" strokeweight="1.125pt" strokecolor="#de0035">
              <v:stroke dashstyle="solid"/>
            </v:line>
            <v:line style="position:absolute" from="1662,1995" to="1674,1960" stroked="true" strokeweight="1pt" strokecolor="#de0035">
              <v:stroke dashstyle="solid"/>
            </v:line>
            <v:line style="position:absolute" from="1675,1950" to="1675,2110" stroked="true" strokeweight="1.125pt" strokecolor="#de0035">
              <v:stroke dashstyle="solid"/>
            </v:line>
            <v:shape style="position:absolute;left:1674;top:2047;width:35;height:53" coordorigin="1674,2047" coordsize="35,53" path="m1674,2100l1699,2065m1699,2065l1709,2047e" filled="false" stroked="true" strokeweight="1pt" strokecolor="#de0035">
              <v:path arrowok="t"/>
              <v:stroke dashstyle="solid"/>
            </v:shape>
            <v:line style="position:absolute" from="1710,2037" to="1710,2110" stroked="true" strokeweight="1.125pt" strokecolor="#de0035">
              <v:stroke dashstyle="solid"/>
            </v:line>
            <v:line style="position:absolute" from="1715,1967" to="1715,2110" stroked="true" strokeweight="1.625pt" strokecolor="#de0035">
              <v:stroke dashstyle="solid"/>
            </v:line>
            <v:shape style="position:absolute;left:1721;top:1977;width:50;height:53" coordorigin="1722,1977" coordsize="50,53" path="m1722,1977l1734,1995m1734,1995l1747,2010m1747,2010l1759,2012m1759,2010l1772,2030e" filled="false" stroked="true" strokeweight="1pt" strokecolor="#de0035">
              <v:path arrowok="t"/>
              <v:stroke dashstyle="solid"/>
            </v:shape>
            <v:line style="position:absolute" from="1773,2020" to="1773,2092" stroked="true" strokeweight="1.125pt" strokecolor="#de0035">
              <v:stroke dashstyle="solid"/>
            </v:line>
            <v:line style="position:absolute" from="1777,1985" to="1777,2092" stroked="true" strokeweight="1.5pt" strokecolor="#de0035">
              <v:stroke dashstyle="solid"/>
            </v:line>
            <v:line style="position:absolute" from="1782,1995" to="1807,2100" stroked="true" strokeweight="1pt" strokecolor="#de0035">
              <v:stroke dashstyle="solid"/>
            </v:line>
            <v:line style="position:absolute" from="1808,1912" to="1808,2110" stroked="true" strokeweight="1.125pt" strokecolor="#de0035">
              <v:stroke dashstyle="solid"/>
            </v:line>
            <v:shape style="position:absolute;left:1806;top:1922;width:25;height:58" coordorigin="1807,1922" coordsize="25,58" path="m1807,1922l1819,1977m1819,1977l1832,1980e" filled="false" stroked="true" strokeweight="1pt" strokecolor="#de0035">
              <v:path arrowok="t"/>
              <v:stroke dashstyle="solid"/>
            </v:shape>
            <v:line style="position:absolute" from="1833,1930" to="1833,1987" stroked="true" strokeweight="1.125pt" strokecolor="#de0035">
              <v:stroke dashstyle="solid"/>
            </v:line>
            <v:shape style="position:absolute;left:1831;top:1922;width:35;height:55" coordorigin="1832,1922" coordsize="35,55" path="m1832,1940l1854,1922m1854,1922l1867,1977e" filled="false" stroked="true" strokeweight="1pt" strokecolor="#de0035">
              <v:path arrowok="t"/>
              <v:stroke dashstyle="solid"/>
            </v:shape>
            <v:line style="position:absolute" from="1868,1912" to="1868,1987" stroked="true" strokeweight="1.125pt" strokecolor="#de0035">
              <v:stroke dashstyle="solid"/>
            </v:line>
            <v:line style="position:absolute" from="1867,1922" to="1879,1960" stroked="true" strokeweight="1pt" strokecolor="#de0035">
              <v:stroke dashstyle="solid"/>
            </v:line>
            <v:line style="position:absolute" from="1880,1950" to="1880,2005" stroked="true" strokeweight="1.125pt" strokecolor="#de0035">
              <v:stroke dashstyle="solid"/>
            </v:line>
            <v:shape style="position:absolute;left:1879;top:1994;width:35;height:108" coordorigin="1879,1995" coordsize="35,108" path="m1879,1995l1904,2100m1904,2100l1914,2102e" filled="false" stroked="true" strokeweight="1pt" strokecolor="#de0035">
              <v:path arrowok="t"/>
              <v:stroke dashstyle="solid"/>
            </v:shape>
            <v:line style="position:absolute" from="1915,2090" to="1915,2180" stroked="true" strokeweight="1.125pt" strokecolor="#de0035">
              <v:stroke dashstyle="solid"/>
            </v:line>
            <v:shape style="position:absolute;left:1914;top:2064;width:98;height:125" coordorigin="1914,2065" coordsize="98,125" path="m1914,2170l1927,2190m1927,2190l1939,2100m1939,2100l1952,2152m1952,2152l1964,2082m1964,2082l1977,2065m1977,2065l1979,2067m1977,2065l1987,2100m1987,2100l2012,2117e" filled="false" stroked="true" strokeweight="1pt" strokecolor="#de0035">
              <v:path arrowok="t"/>
              <v:stroke dashstyle="solid"/>
            </v:shape>
            <v:line style="position:absolute" from="2013,2072" to="2013,2127" stroked="true" strokeweight="1.125pt" strokecolor="#de0035">
              <v:stroke dashstyle="solid"/>
            </v:line>
            <v:line style="position:absolute" from="2012,2082" to="2024,2135" stroked="true" strokeweight="1pt" strokecolor="#de0035">
              <v:stroke dashstyle="solid"/>
            </v:line>
            <v:line style="position:absolute" from="2025,2125" to="2025,2217" stroked="true" strokeweight="1.125pt" strokecolor="#de0035">
              <v:stroke dashstyle="solid"/>
            </v:line>
            <v:shape style="position:absolute;left:2024;top:2099;width:35;height:108" coordorigin="2024,2100" coordsize="35,108" path="m2024,2207l2037,2170m2037,2170l2059,2100e" filled="false" stroked="true" strokeweight="1pt" strokecolor="#de0035">
              <v:path arrowok="t"/>
              <v:stroke dashstyle="solid"/>
            </v:shape>
            <v:line style="position:absolute" from="2060,2090" to="2060,2162" stroked="true" strokeweight="1.125pt" strokecolor="#de0035">
              <v:stroke dashstyle="solid"/>
            </v:line>
            <v:shape style="position:absolute;left:2059;top:2152;width:25;height:58" coordorigin="2059,2152" coordsize="25,58" path="m2059,2152l2072,2207m2072,2207l2084,2210e" filled="false" stroked="true" strokeweight="1pt" strokecolor="#de0035">
              <v:path arrowok="t"/>
              <v:stroke dashstyle="solid"/>
            </v:shape>
            <v:line style="position:absolute" from="2085,2142" to="2085,2217" stroked="true" strokeweight="1.125pt" strokecolor="#de0035">
              <v:stroke dashstyle="solid"/>
            </v:line>
            <v:shape style="position:absolute;left:2084;top:2152;width:35;height:143" coordorigin="2084,2152" coordsize="35,143" path="m2084,2152l2109,2257m2109,2257l2119,2295e" filled="false" stroked="true" strokeweight="1pt" strokecolor="#de0035">
              <v:path arrowok="t"/>
              <v:stroke dashstyle="solid"/>
            </v:shape>
            <v:line style="position:absolute" from="2120,2230" to="2120,2305" stroked="true" strokeweight="1.125pt" strokecolor="#de0035">
              <v:stroke dashstyle="solid"/>
            </v:line>
            <v:line style="position:absolute" from="2119,2240" to="2132,2190" stroked="true" strokeweight="1pt" strokecolor="#de0035">
              <v:stroke dashstyle="solid"/>
            </v:line>
            <v:line style="position:absolute" from="2133,2142" to="2133,2200" stroked="true" strokeweight="1.125pt" strokecolor="#de0035">
              <v:stroke dashstyle="solid"/>
            </v:line>
            <v:shape style="position:absolute;left:2131;top:2152;width:38;height:40" coordorigin="2132,2152" coordsize="38,40" path="m2132,2152l2157,2190m2157,2190l2169,2192e" filled="false" stroked="true" strokeweight="1pt" strokecolor="#de0035">
              <v:path arrowok="t"/>
              <v:stroke dashstyle="solid"/>
            </v:shape>
            <v:line style="position:absolute" from="2170,2055" to="2170,2200" stroked="true" strokeweight="1.125pt" strokecolor="#de0035">
              <v:stroke dashstyle="solid"/>
            </v:line>
            <v:shape style="position:absolute;left:2169;top:2029;width:95;height:88" coordorigin="2169,2030" coordsize="95,88" path="m2169,2065l2182,2082m2182,2082l2192,2030m2192,2030l2204,2032m2204,2030l2217,2065m2217,2065l2229,2067m2229,2065l2232,2067m2229,2065l2242,2117m2242,2117l2264,2065e" filled="false" stroked="true" strokeweight="1pt" strokecolor="#de0035">
              <v:path arrowok="t"/>
              <v:stroke dashstyle="solid"/>
            </v:shape>
            <v:line style="position:absolute" from="2265,2000" to="2265,2075" stroked="true" strokeweight="1.125pt" strokecolor="#de0035">
              <v:stroke dashstyle="solid"/>
            </v:line>
            <v:shape style="position:absolute;left:2264;top:1904;width:110;height:105" coordorigin="2264,1905" coordsize="110,105" path="m2264,2010l2277,1977m2277,1977l2289,1905m2289,1905l2292,1907m2289,1905l2314,1907m2314,1905l2324,1907m2324,1905l2327,1922m2324,1922l2337,1960m2337,1960l2339,1940m2337,1940l2362,1977m2362,1977l2374,1960e" filled="false" stroked="true" strokeweight="1pt" strokecolor="#de0035">
              <v:path arrowok="t"/>
              <v:stroke dashstyle="solid"/>
            </v:shape>
            <v:line style="position:absolute" from="2375,1950" to="2375,2005" stroked="true" strokeweight="1.125pt" strokecolor="#de0035">
              <v:stroke dashstyle="solid"/>
            </v:line>
            <v:shape style="position:absolute;left:2374;top:1994;width:60;height:70" coordorigin="2374,1995" coordsize="60,70" path="m2374,1995l2387,2047m2387,2047l2397,2050m2397,2047l2409,2030m2409,2030l2434,2065e" filled="false" stroked="true" strokeweight="1pt" strokecolor="#de0035">
              <v:path arrowok="t"/>
              <v:stroke dashstyle="solid"/>
            </v:shape>
            <v:line style="position:absolute" from="2435,2020" to="2435,2075" stroked="true" strokeweight="1.125pt" strokecolor="#de0035">
              <v:stroke dashstyle="solid"/>
            </v:line>
            <v:shape style="position:absolute;left:2434;top:2029;width:35;height:88" coordorigin="2434,2030" coordsize="35,88" path="m2434,2030l2447,2065m2447,2065l2469,2117e" filled="false" stroked="true" strokeweight="1pt" strokecolor="#de0035">
              <v:path arrowok="t"/>
              <v:stroke dashstyle="solid"/>
            </v:shape>
            <v:line style="position:absolute" from="2470,2107" to="2470,2180" stroked="true" strokeweight="1.125pt" strokecolor="#de0035">
              <v:stroke dashstyle="solid"/>
            </v:line>
            <v:shape style="position:absolute;left:2469;top:2082;width:110;height:158" coordorigin="2469,2082" coordsize="110,158" path="m2469,2170l2482,2135m2482,2135l2484,2152m2482,2152l2494,2082m2494,2082l2519,2117m2519,2117l2522,2135m2519,2135l2532,2137m2532,2135l2542,2152m2542,2152l2544,2155m2542,2152l2567,2155m2567,2152l2579,2240e" filled="false" stroked="true" strokeweight="1pt" strokecolor="#de0035">
              <v:path arrowok="t"/>
              <v:stroke dashstyle="solid"/>
            </v:shape>
            <v:line style="position:absolute" from="2580,2230" to="2580,2305" stroked="true" strokeweight="1.125pt" strokecolor="#de0035">
              <v:stroke dashstyle="solid"/>
            </v:line>
            <v:shape style="position:absolute;left:2579;top:2277;width:48;height:88" coordorigin="2579,2277" coordsize="48,88" path="m2579,2295l2592,2365m2592,2365l2594,2345m2592,2345l2614,2295m2614,2295l2627,2277e" filled="false" stroked="true" strokeweight="1pt" strokecolor="#de0035">
              <v:path arrowok="t"/>
              <v:stroke dashstyle="solid"/>
            </v:shape>
            <v:line style="position:absolute" from="2628,2267" to="2628,2322" stroked="true" strokeweight="1.125pt" strokecolor="#de0035">
              <v:stroke dashstyle="solid"/>
            </v:line>
            <v:shape style="position:absolute;left:2626;top:2294;width:120;height:88" coordorigin="2627,2295" coordsize="120,88" path="m2627,2312l2639,2295m2639,2295l2652,2312m2652,2312l2664,2327m2664,2327l2674,2312m2674,2312l2687,2365m2687,2365l2689,2345m2687,2345l2699,2382m2699,2382l2724,2327m2724,2327l2727,2345m2724,2345l2737,2347m2737,2345l2747,2295e" filled="false" stroked="true" strokeweight="1pt" strokecolor="#de0035">
              <v:path arrowok="t"/>
              <v:stroke dashstyle="solid"/>
            </v:shape>
            <v:line style="position:absolute" from="2748,2285" to="2748,2355" stroked="true" strokeweight="1.125pt" strokecolor="#de0035">
              <v:stroke dashstyle="solid"/>
            </v:line>
            <v:shape style="position:absolute;left:2746;top:2327;width:50;height:73" coordorigin="2747,2327" coordsize="50,73" path="m2747,2345l2772,2400m2772,2400l2784,2345m2784,2345l2787,2327m2784,2327l2797,2330e" filled="false" stroked="true" strokeweight="1pt" strokecolor="#de0035">
              <v:path arrowok="t"/>
              <v:stroke dashstyle="solid"/>
            </v:shape>
            <v:line style="position:absolute" from="2798,2180" to="2798,2337" stroked="true" strokeweight="1.125pt" strokecolor="#de0035">
              <v:stroke dashstyle="solid"/>
            </v:line>
            <v:shape style="position:absolute;left:2796;top:2152;width:35;height:55" coordorigin="2797,2152" coordsize="35,55" path="m2797,2190l2819,2152m2819,2152l2832,2207e" filled="false" stroked="true" strokeweight="1pt" strokecolor="#de0035">
              <v:path arrowok="t"/>
              <v:stroke dashstyle="solid"/>
            </v:shape>
            <v:line style="position:absolute" from="2833,2197" to="2833,2267" stroked="true" strokeweight="1.125pt" strokecolor="#de0035">
              <v:stroke dashstyle="solid"/>
            </v:line>
            <v:shape style="position:absolute;left:2831;top:2257;width:98;height:160" coordorigin="2832,2257" coordsize="98,160" path="m2832,2257l2844,2295m2844,2295l2857,2327m2857,2327l2869,2365m2869,2365l2879,2400m2879,2400l2892,2382m2892,2382l2894,2365m2892,2365l2904,2400m2904,2400l2929,2417e" filled="false" stroked="true" strokeweight="1pt" strokecolor="#de0035">
              <v:path arrowok="t"/>
              <v:stroke dashstyle="solid"/>
            </v:shape>
            <v:line style="position:absolute" from="2930,2355" to="2930,2427" stroked="true" strokeweight="1.125pt" strokecolor="#de0035">
              <v:stroke dashstyle="solid"/>
            </v:line>
            <v:shape style="position:absolute;left:2929;top:2294;width:48;height:70" coordorigin="2929,2295" coordsize="48,70" path="m2929,2365l2942,2312m2942,2312l2944,2315m2942,2312l2952,2295m2952,2295l2977,2297e" filled="false" stroked="true" strokeweight="1pt" strokecolor="#de0035">
              <v:path arrowok="t"/>
              <v:stroke dashstyle="solid"/>
            </v:shape>
            <v:line style="position:absolute" from="2978,2285" to="2978,2375" stroked="true" strokeweight="1.125pt" strokecolor="#de0035">
              <v:stroke dashstyle="solid"/>
            </v:line>
            <v:shape style="position:absolute;left:2976;top:2277;width:48;height:175" coordorigin="2977,2277" coordsize="48,175" path="m2977,2365l2989,2345m2989,2345l3002,2277m3002,2277l3004,2280m3002,2277l3024,2452e" filled="false" stroked="true" strokeweight="1pt" strokecolor="#de0035">
              <v:path arrowok="t"/>
              <v:stroke dashstyle="solid"/>
            </v:shape>
            <v:line style="position:absolute" from="3030,2317" to="3030,2462" stroked="true" strokeweight="1.625pt" strokecolor="#de0035">
              <v:stroke dashstyle="solid"/>
            </v:line>
            <v:line style="position:absolute" from="3038,2247" to="3038,2337" stroked="true" strokeweight="1.125pt" strokecolor="#de0035">
              <v:stroke dashstyle="solid"/>
            </v:line>
            <v:line style="position:absolute" from="3037,2257" to="3049,2277" stroked="true" strokeweight="1pt" strokecolor="#de0035">
              <v:stroke dashstyle="solid"/>
            </v:line>
            <v:line style="position:absolute" from="3050,2230" to="3050,2287" stroked="true" strokeweight="1.125pt" strokecolor="#de0035">
              <v:stroke dashstyle="solid"/>
            </v:line>
            <v:shape style="position:absolute;left:3049;top:2239;width:35;height:88" coordorigin="3049,2240" coordsize="35,88" path="m3049,2240l3074,2257m3074,2257l3084,2327e" filled="false" stroked="true" strokeweight="1pt" strokecolor="#de0035">
              <v:path arrowok="t"/>
              <v:stroke dashstyle="solid"/>
            </v:shape>
            <v:line style="position:absolute" from="3085,2247" to="3085,2337" stroked="true" strokeweight="1.125pt" strokecolor="#de0035">
              <v:stroke dashstyle="solid"/>
            </v:line>
            <v:shape style="position:absolute;left:3084;top:2222;width:63;height:75" coordorigin="3084,2222" coordsize="63,75" path="m3084,2257l3097,2295m3097,2295l3109,2297m3109,2295l3122,2257m3122,2257l3134,2222m3134,2222l3147,2240e" filled="false" stroked="true" strokeweight="1pt" strokecolor="#de0035">
              <v:path arrowok="t"/>
              <v:stroke dashstyle="solid"/>
            </v:shape>
            <v:line style="position:absolute" from="3148,2197" to="3148,2250" stroked="true" strokeweight="1.125pt" strokecolor="#de0035">
              <v:stroke dashstyle="solid"/>
            </v:line>
            <v:shape style="position:absolute;left:3146;top:2207;width:35;height:33" coordorigin="3147,2207" coordsize="35,33" path="m3147,2207l3157,2240m3157,2240l3182,2207e" filled="false" stroked="true" strokeweight="1pt" strokecolor="#de0035">
              <v:path arrowok="t"/>
              <v:stroke dashstyle="solid"/>
            </v:shape>
            <v:rect style="position:absolute;left:3171;top:2197;width:23;height:53" filled="true" fillcolor="#de0035" stroked="false">
              <v:fill type="solid"/>
            </v:rect>
            <v:shape style="position:absolute;left:3181;top:2239;width:25;height:20" coordorigin="3182,2240" coordsize="25,20" path="m3182,2240l3194,2257m3194,2257l3207,2260e" filled="false" stroked="true" strokeweight="1pt" strokecolor="#de0035">
              <v:path arrowok="t"/>
              <v:stroke dashstyle="solid"/>
            </v:shape>
            <v:rect style="position:absolute;left:3196;top:2197;width:23;height:70" filled="true" fillcolor="#de0035" stroked="false">
              <v:fill type="solid"/>
            </v:rect>
            <v:shape style="position:absolute;left:3206;top:2207;width:180;height:175" coordorigin="3207,2207" coordsize="180,175" path="m3207,2207l3229,2257m3229,2257l3242,2312m3242,2312l3244,2315m3242,2312l3254,2315m3254,2312l3257,2295m3254,2295l3279,2312m3279,2312l3292,2315m3292,2312l3294,2327m3292,2327l3302,2330m3302,2327l3314,2345m3314,2345l3327,2382m3327,2382l3339,2365m3339,2365l3352,2345m3352,2345l3354,2365m3352,2365l3362,2345m3362,2345l3387,2382e" filled="false" stroked="true" strokeweight="1pt" strokecolor="#de0035">
              <v:path arrowok="t"/>
              <v:stroke dashstyle="solid"/>
            </v:shape>
            <v:line style="position:absolute" from="3388,2372" to="3388,2427" stroked="true" strokeweight="1.125pt" strokecolor="#de0035">
              <v:stroke dashstyle="solid"/>
            </v:line>
            <v:line style="position:absolute" from="3387,2417" to="3399,2382" stroked="true" strokeweight="1pt" strokecolor="#de0035">
              <v:stroke dashstyle="solid"/>
            </v:line>
            <v:line style="position:absolute" from="3400,2372" to="3400,2462" stroked="true" strokeweight="1.125pt" strokecolor="#de0035">
              <v:stroke dashstyle="solid"/>
            </v:line>
            <v:shape style="position:absolute;left:3399;top:2452;width:35;height:105" coordorigin="3399,2452" coordsize="35,105" path="m3399,2452l3412,2542m3412,2542l3434,2557e" filled="false" stroked="true" strokeweight="1pt" strokecolor="#de0035">
              <v:path arrowok="t"/>
              <v:stroke dashstyle="solid"/>
            </v:shape>
            <v:line style="position:absolute" from="3435,2460" to="3435,2567" stroked="true" strokeweight="1.125pt" strokecolor="#de0035">
              <v:stroke dashstyle="solid"/>
            </v:line>
            <v:shape style="position:absolute;left:3434;top:2469;width:65;height:90" coordorigin="3434,2470" coordsize="65,90" path="m3434,2470l3447,2472m3447,2470l3459,2472m3459,2470l3462,2487m3459,2487l3484,2557m3484,2557l3497,2560m3497,2557l3499,2560e" filled="false" stroked="true" strokeweight="1pt" strokecolor="#de0035">
              <v:path arrowok="t"/>
              <v:stroke dashstyle="solid"/>
            </v:shape>
            <v:line style="position:absolute" from="3502,2460" to="3502,2567" stroked="true" strokeweight="1.5pt" strokecolor="#de0035">
              <v:stroke dashstyle="solid"/>
            </v:line>
            <v:shape style="position:absolute;left:3506;top:2417;width:85;height:55" coordorigin="3507,2417" coordsize="85,55" path="m3507,2470l3509,2472m3507,2470l3532,2437m3532,2437l3544,2440m3544,2437l3547,2417m3544,2417l3557,2452m3557,2452l3567,2470m3567,2470l3579,2437m3579,2437l3592,2417e" filled="false" stroked="true" strokeweight="1pt" strokecolor="#de0035">
              <v:path arrowok="t"/>
              <v:stroke dashstyle="solid"/>
            </v:shape>
            <v:line style="position:absolute" from="3598,2302" to="3598,2427" stroked="true" strokeweight="1.625pt" strokecolor="#de0035">
              <v:stroke dashstyle="solid"/>
            </v:line>
            <v:line style="position:absolute" from="3605,2302" to="3605,2355" stroked="true" strokeweight="1.125pt" strokecolor="#de0035">
              <v:stroke dashstyle="solid"/>
            </v:line>
            <v:shape style="position:absolute;left:3604;top:2294;width:100;height:230" coordorigin="3604,2295" coordsize="100,230" path="m3604,2345l3617,2365m3617,2365l3639,2312m3639,2312l3642,2315m3639,2312l3652,2345m3652,2345l3654,2347m3652,2345l3664,2327m3664,2327l3689,2365m3689,2365l3702,2295m3702,2295l3704,2525e" filled="false" stroked="true" strokeweight="1pt" strokecolor="#de0035">
              <v:path arrowok="t"/>
              <v:stroke dashstyle="solid"/>
            </v:shape>
            <v:line style="position:absolute" from="3707,2335" to="3707,2535" stroked="true" strokeweight="1.5pt" strokecolor="#de0035">
              <v:stroke dashstyle="solid"/>
            </v:line>
            <v:line style="position:absolute" from="3713,2335" to="3713,2410" stroked="true" strokeweight="1.125pt" strokecolor="#de0035">
              <v:stroke dashstyle="solid"/>
            </v:line>
            <v:shape style="position:absolute;left:3711;top:2327;width:38;height:73" coordorigin="3712,2327" coordsize="38,73" path="m3712,2400l3737,2327m3737,2327l3749,2365e" filled="false" stroked="true" strokeweight="1pt" strokecolor="#de0035">
              <v:path arrowok="t"/>
              <v:stroke dashstyle="solid"/>
            </v:shape>
            <v:line style="position:absolute" from="3750,2317" to="3750,2375" stroked="true" strokeweight="1.125pt" strokecolor="#de0035">
              <v:stroke dashstyle="solid"/>
            </v:line>
            <v:shape style="position:absolute;left:3749;top:2277;width:95;height:140" coordorigin="3749,2277" coordsize="95,140" path="m3749,2327l3762,2312m3762,2312l3774,2345m3774,2345l3784,2277m3784,2277l3797,2365m3797,2365l3809,2345m3809,2345l3812,2347m3809,2345l3822,2417m3822,2417l3844,2400e" filled="false" stroked="true" strokeweight="1pt" strokecolor="#de0035">
              <v:path arrowok="t"/>
              <v:stroke dashstyle="solid"/>
            </v:shape>
            <v:line style="position:absolute" from="3845,2355" to="3845,2410" stroked="true" strokeweight="1.125pt" strokecolor="#de0035">
              <v:stroke dashstyle="solid"/>
            </v:line>
            <v:line style="position:absolute" from="3844,2365" to="3857,2327" stroked="true" strokeweight="1pt" strokecolor="#de0035">
              <v:stroke dashstyle="solid"/>
            </v:line>
            <v:line style="position:absolute" from="3858,2317" to="3858,2410" stroked="true" strokeweight="1.125pt" strokecolor="#de0035">
              <v:stroke dashstyle="solid"/>
            </v:line>
            <v:shape style="position:absolute;left:3856;top:2399;width:38;height:73" coordorigin="3857,2400" coordsize="38,73" path="m3857,2400l3869,2470m3869,2470l3894,2472e" filled="false" stroked="true" strokeweight="1pt" strokecolor="#de0035">
              <v:path arrowok="t"/>
              <v:stroke dashstyle="solid"/>
            </v:shape>
            <v:line style="position:absolute" from="3895,2427" to="3895,2480" stroked="true" strokeweight="1.125pt" strokecolor="#de0035">
              <v:stroke dashstyle="solid"/>
            </v:line>
            <v:line style="position:absolute" from="3894,2437" to="3907,2525" stroked="true" strokeweight="1pt" strokecolor="#de0035">
              <v:stroke dashstyle="solid"/>
            </v:line>
            <v:rect style="position:absolute;left:1049;top:2037;width:23;height:90" filled="true" fillcolor="#006caa" stroked="false">
              <v:fill type="solid"/>
            </v:rect>
            <v:shape style="position:absolute;left:1059;top:2009;width:35;height:38" coordorigin="1059,2010" coordsize="35,38" path="m1059,2047l1072,2010m1072,2010l1094,2030e" filled="false" stroked="true" strokeweight="1pt" strokecolor="#006caa">
              <v:path arrowok="t"/>
              <v:stroke dashstyle="solid"/>
            </v:shape>
            <v:rect style="position:absolute;left:1084;top:1949;width:23;height:90" filled="true" fillcolor="#006caa" stroked="false">
              <v:fill type="solid"/>
            </v:rect>
            <v:line style="position:absolute" from="1094,1960" to="1107,1977" stroked="true" strokeweight="1pt" strokecolor="#006caa">
              <v:stroke dashstyle="solid"/>
            </v:line>
            <v:line style="position:absolute" from="1108,1912" to="1108,1987" stroked="true" strokeweight="1.125pt" strokecolor="#006caa">
              <v:stroke dashstyle="solid"/>
            </v:line>
            <v:shape style="position:absolute;left:1106;top:1747;width:205;height:175" coordorigin="1107,1747" coordsize="205,175" path="m1107,1922l1119,1890m1119,1890l1144,1800m1144,1800l1147,1817m1144,1817l1154,1835m1154,1835l1167,1800m1167,1800l1169,1802m1167,1800l1192,1780m1192,1780l1204,1817m1204,1817l1207,1800m1204,1800l1217,1780m1217,1780l1219,1782m1217,1780l1239,1782m1239,1780l1252,1747m1252,1747l1254,1765m1252,1765l1277,1835m1277,1835l1299,1872m1299,1872l1302,1852m1299,1852l1312,1817e" filled="false" stroked="true" strokeweight="1pt" strokecolor="#006caa">
              <v:path arrowok="t"/>
              <v:stroke dashstyle="solid"/>
            </v:shape>
            <v:line style="position:absolute" from="1313,1755" to="1313,1827" stroked="true" strokeweight="1.125pt" strokecolor="#006caa">
              <v:stroke dashstyle="solid"/>
            </v:line>
            <v:shape style="position:absolute;left:1311;top:1764;width:98;height:125" coordorigin="1312,1765" coordsize="98,125" path="m1312,1765l1324,1835m1324,1835l1349,1817m1349,1817l1352,1820m1349,1817l1359,1800m1359,1800l1372,1817m1372,1817l1374,1820m1372,1817l1397,1890m1397,1890l1409,1872e" filled="false" stroked="true" strokeweight="1pt" strokecolor="#006caa">
              <v:path arrowok="t"/>
              <v:stroke dashstyle="solid"/>
            </v:shape>
            <v:line style="position:absolute" from="1410,1755" to="1410,1882" stroked="true" strokeweight="1.125pt" strokecolor="#006caa">
              <v:stroke dashstyle="solid"/>
            </v:line>
            <v:line style="position:absolute" from="1409,1765" to="1422,1747" stroked="true" strokeweight="1pt" strokecolor="#006caa">
              <v:stroke dashstyle="solid"/>
            </v:line>
            <v:line style="position:absolute" from="1423,1702" to="1423,1757" stroked="true" strokeweight="1.125pt" strokecolor="#006caa">
              <v:stroke dashstyle="solid"/>
            </v:line>
            <v:shape style="position:absolute;left:1421;top:1674;width:35;height:40" coordorigin="1422,1675" coordsize="35,40" path="m1422,1712l1444,1715m1444,1712l1457,1675e" filled="false" stroked="true" strokeweight="1pt" strokecolor="#006caa">
              <v:path arrowok="t"/>
              <v:stroke dashstyle="solid"/>
            </v:shape>
            <v:line style="position:absolute" from="1458,1545" to="1458,1685" stroked="true" strokeweight="1.125pt" strokecolor="#006caa">
              <v:stroke dashstyle="solid"/>
            </v:line>
            <v:shape style="position:absolute;left:1456;top:1517;width:38;height:53" coordorigin="1457,1517" coordsize="38,53" path="m1457,1555l1469,1570m1469,1570l1482,1517m1482,1517l1494,1520e" filled="false" stroked="true" strokeweight="1pt" strokecolor="#006caa">
              <v:path arrowok="t"/>
              <v:stroke dashstyle="solid"/>
            </v:shape>
            <v:line style="position:absolute" from="1499,1507" to="1499,1670" stroked="true" strokeweight="1.5pt" strokecolor="#006caa">
              <v:stroke dashstyle="solid"/>
            </v:line>
            <v:line style="position:absolute" from="1504,1660" to="1517,1692" stroked="true" strokeweight="1pt" strokecolor="#006caa">
              <v:stroke dashstyle="solid"/>
            </v:line>
            <v:line style="position:absolute" from="1518,1682" to="1518,1740" stroked="true" strokeweight="1.125pt" strokecolor="#006caa">
              <v:stroke dashstyle="solid"/>
            </v:line>
            <v:shape style="position:absolute;left:1516;top:1624;width:38;height:105" coordorigin="1517,1625" coordsize="38,105" path="m1517,1730l1529,1692m1529,1692l1554,1625e" filled="false" stroked="true" strokeweight="1pt" strokecolor="#006caa">
              <v:path arrowok="t"/>
              <v:stroke dashstyle="solid"/>
            </v:shape>
            <v:line style="position:absolute" from="1555,1615" to="1555,1722" stroked="true" strokeweight="1.125pt" strokecolor="#006caa">
              <v:stroke dashstyle="solid"/>
            </v:line>
            <v:shape style="position:absolute;left:1554;top:1624;width:73;height:108" coordorigin="1554,1625" coordsize="73,108" path="m1554,1712l1567,1642m1567,1642l1569,1625m1567,1625l1577,1692m1577,1692l1602,1660m1602,1660l1604,1642m1602,1642l1614,1730m1614,1730l1627,1732e" filled="false" stroked="true" strokeweight="1pt" strokecolor="#006caa">
              <v:path arrowok="t"/>
              <v:stroke dashstyle="solid"/>
            </v:shape>
            <v:line style="position:absolute" from="1628,1720" to="1628,1827" stroked="true" strokeweight="1.125pt" strokecolor="#006caa">
              <v:stroke dashstyle="solid"/>
            </v:line>
            <v:shape style="position:absolute;left:1626;top:1659;width:48;height:158" coordorigin="1627,1660" coordsize="48,158" path="m1627,1817l1649,1765m1649,1765l1662,1730m1662,1730l1664,1732m1662,1730l1674,1660e" filled="false" stroked="true" strokeweight="1pt" strokecolor="#006caa">
              <v:path arrowok="t"/>
              <v:stroke dashstyle="solid"/>
            </v:shape>
            <v:line style="position:absolute" from="1675,1615" to="1675,1670" stroked="true" strokeweight="1.125pt" strokecolor="#006caa">
              <v:stroke dashstyle="solid"/>
            </v:line>
            <v:line style="position:absolute" from="1674,1625" to="1699,1642" stroked="true" strokeweight="1pt" strokecolor="#006caa">
              <v:stroke dashstyle="solid"/>
            </v:line>
            <v:line style="position:absolute" from="1704,1632" to="1704,1740" stroked="true" strokeweight="1.5pt" strokecolor="#006caa">
              <v:stroke dashstyle="solid"/>
            </v:line>
            <v:line style="position:absolute" from="1710,1720" to="1710,1775" stroked="true" strokeweight="1.125pt" strokecolor="#006caa">
              <v:stroke dashstyle="solid"/>
            </v:line>
            <v:shape style="position:absolute;left:1709;top:1692;width:98;height:73" coordorigin="1709,1692" coordsize="98,73" path="m1709,1765l1722,1730m1722,1730l1734,1765m1734,1765l1747,1692m1747,1692l1759,1730m1759,1730l1772,1732m1772,1730l1774,1712m1772,1712l1782,1715m1782,1712l1807,1692e" filled="false" stroked="true" strokeweight="1pt" strokecolor="#006caa">
              <v:path arrowok="t"/>
              <v:stroke dashstyle="solid"/>
            </v:shape>
            <v:line style="position:absolute" from="1808,1682" to="1808,1900" stroked="true" strokeweight="1.125pt" strokecolor="#006caa">
              <v:stroke dashstyle="solid"/>
            </v:line>
            <v:shape style="position:absolute;left:1806;top:1889;width:60;height:108" coordorigin="1807,1890" coordsize="60,108" path="m1807,1890l1819,1960m1819,1960l1832,1890m1832,1890l1834,1905m1832,1905l1854,1995m1854,1995l1867,1997e" filled="false" stroked="true" strokeweight="1pt" strokecolor="#006caa">
              <v:path arrowok="t"/>
              <v:stroke dashstyle="solid"/>
            </v:shape>
            <v:line style="position:absolute" from="1868,1950" to="1868,2005" stroked="true" strokeweight="1.125pt" strokecolor="#006caa">
              <v:stroke dashstyle="solid"/>
            </v:line>
            <v:line style="position:absolute" from="1867,1960" to="1879,1905" stroked="true" strokeweight="1pt" strokecolor="#006caa">
              <v:stroke dashstyle="solid"/>
            </v:line>
            <v:line style="position:absolute" from="1880,1825" to="1880,1915" stroked="true" strokeweight="1.125pt" strokecolor="#006caa">
              <v:stroke dashstyle="solid"/>
            </v:line>
            <v:shape style="position:absolute;left:1879;top:1834;width:35;height:20" coordorigin="1879,1835" coordsize="35,20" path="m1879,1835l1904,1855m1904,1855l1914,1835e" filled="false" stroked="true" strokeweight="1pt" strokecolor="#006caa">
              <v:path arrowok="t"/>
              <v:stroke dashstyle="solid"/>
            </v:shape>
            <v:line style="position:absolute" from="1915,1825" to="1915,1900" stroked="true" strokeweight="1.125pt" strokecolor="#006caa">
              <v:stroke dashstyle="solid"/>
            </v:line>
            <v:shape style="position:absolute;left:1914;top:1799;width:98;height:160" coordorigin="1914,1800" coordsize="98,160" path="m1914,1890l1927,1960m1927,1960l1939,1942m1939,1942l1952,1960m1952,1960l1964,1925m1964,1925l1977,1872m1977,1872l1979,1855m1977,1855l1987,1800m1987,1800l2012,1817e" filled="false" stroked="true" strokeweight="1pt" strokecolor="#006caa">
              <v:path arrowok="t"/>
              <v:stroke dashstyle="solid"/>
            </v:shape>
            <v:line style="position:absolute" from="2013,1772" to="2013,1827" stroked="true" strokeweight="1.125pt" strokecolor="#006caa">
              <v:stroke dashstyle="solid"/>
            </v:line>
            <v:shape style="position:absolute;left:2011;top:1782;width:48;height:18" coordorigin="2012,1782" coordsize="48,18" path="m2012,1782l2024,1785m2024,1782l2027,1785m2024,1782l2037,1800m2037,1800l2059,1782e" filled="false" stroked="true" strokeweight="1pt" strokecolor="#006caa">
              <v:path arrowok="t"/>
              <v:stroke dashstyle="solid"/>
            </v:shape>
            <v:line style="position:absolute" from="2060,1772" to="2060,1827" stroked="true" strokeweight="1.125pt" strokecolor="#006caa">
              <v:stroke dashstyle="solid"/>
            </v:line>
            <v:shape style="position:absolute;left:2059;top:1782;width:60;height:35" coordorigin="2059,1782" coordsize="60,35" path="m2059,1817l2084,1782m2084,1782l2087,1800m2084,1800l2109,1802m2109,1800l2119,1782e" filled="false" stroked="true" strokeweight="1pt" strokecolor="#006caa">
              <v:path arrowok="t"/>
              <v:stroke dashstyle="solid"/>
            </v:shape>
            <v:line style="position:absolute" from="2120,1772" to="2120,1845" stroked="true" strokeweight="1.125pt" strokecolor="#006caa">
              <v:stroke dashstyle="solid"/>
            </v:line>
            <v:line style="position:absolute" from="2119,1835" to="2132,1925" stroked="true" strokeweight="1pt" strokecolor="#006caa">
              <v:stroke dashstyle="solid"/>
            </v:line>
            <v:line style="position:absolute" from="2133,1845" to="2133,1935" stroked="true" strokeweight="1.125pt" strokecolor="#006caa">
              <v:stroke dashstyle="solid"/>
            </v:line>
            <v:shape style="position:absolute;left:2131;top:1817;width:38;height:38" coordorigin="2132,1817" coordsize="38,38" path="m2132,1855l2157,1835m2157,1835l2169,1817e" filled="false" stroked="true" strokeweight="1pt" strokecolor="#006caa">
              <v:path arrowok="t"/>
              <v:stroke dashstyle="solid"/>
            </v:shape>
            <v:line style="position:absolute" from="2170,1720" to="2170,1827" stroked="true" strokeweight="1.125pt" strokecolor="#006caa">
              <v:stroke dashstyle="solid"/>
            </v:line>
            <v:line style="position:absolute" from="2175,1615" to="2175,1740" stroked="true" strokeweight="1.625pt" strokecolor="#006caa">
              <v:stroke dashstyle="solid"/>
            </v:line>
            <v:shape style="position:absolute;left:2181;top:1569;width:48;height:73" coordorigin="2182,1570" coordsize="48,73" path="m2182,1625l2192,1570m2192,1570l2204,1572m2204,1570l2217,1642m2217,1642l2229,1570e" filled="false" stroked="true" strokeweight="1pt" strokecolor="#006caa">
              <v:path arrowok="t"/>
              <v:stroke dashstyle="solid"/>
            </v:shape>
            <v:line style="position:absolute" from="2230,1490" to="2230,1580" stroked="true" strokeweight="1.125pt" strokecolor="#006caa">
              <v:stroke dashstyle="solid"/>
            </v:line>
            <v:shape style="position:absolute;left:2229;top:1394;width:95;height:125" coordorigin="2229,1395" coordsize="95,125" path="m2229,1500l2242,1502m2242,1500l2264,1517m2264,1517l2267,1520m2264,1517l2277,1500m2277,1500l2289,1412m2289,1412l2292,1430m2289,1430l2314,1395m2314,1395l2324,1412e" filled="false" stroked="true" strokeweight="1pt" strokecolor="#006caa">
              <v:path arrowok="t"/>
              <v:stroke dashstyle="solid"/>
            </v:shape>
            <v:line style="position:absolute" from="2325,1402" to="2325,1580" stroked="true" strokeweight="1.125pt" strokecolor="#006caa">
              <v:stroke dashstyle="solid"/>
            </v:line>
            <v:shape style="position:absolute;left:2324;top:1569;width:63;height:73" coordorigin="2324,1570" coordsize="63,73" path="m2324,1570l2337,1605m2337,1605l2339,1607m2337,1605l2362,1607m2362,1605l2374,1587m2374,1587l2377,1590m2374,1587l2387,1642e" filled="false" stroked="true" strokeweight="1pt" strokecolor="#006caa">
              <v:path arrowok="t"/>
              <v:stroke dashstyle="solid"/>
            </v:shape>
            <v:line style="position:absolute" from="2392,1527" to="2392,1652" stroked="true" strokeweight="1.5pt" strokecolor="#006caa">
              <v:stroke dashstyle="solid"/>
            </v:line>
            <v:shape style="position:absolute;left:2396;top:1537;width:73;height:158" coordorigin="2397,1537" coordsize="73,158" path="m2397,1537l2409,1555m2409,1555l2422,1642m2422,1642l2434,1675m2434,1675l2437,1677m2434,1675l2447,1695m2447,1695l2469,1660e" filled="false" stroked="true" strokeweight="1pt" strokecolor="#006caa">
              <v:path arrowok="t"/>
              <v:stroke dashstyle="solid"/>
            </v:shape>
            <v:line style="position:absolute" from="2470,1595" to="2470,1670" stroked="true" strokeweight="1.125pt" strokecolor="#006caa">
              <v:stroke dashstyle="solid"/>
            </v:line>
            <v:line style="position:absolute" from="2469,1605" to="2482,1607" stroked="true" strokeweight="1pt" strokecolor="#006caa">
              <v:stroke dashstyle="solid"/>
            </v:line>
            <v:line style="position:absolute" from="2483,1560" to="2483,1615" stroked="true" strokeweight="1.125pt" strokecolor="#006caa">
              <v:stroke dashstyle="solid"/>
            </v:line>
            <v:shape style="position:absolute;left:2481;top:1517;width:38;height:53" coordorigin="2482,1517" coordsize="38,53" path="m2482,1570l2494,1537m2494,1537l2519,1517e" filled="false" stroked="true" strokeweight="1pt" strokecolor="#006caa">
              <v:path arrowok="t"/>
              <v:stroke dashstyle="solid"/>
            </v:shape>
            <v:line style="position:absolute" from="2520,1472" to="2520,1527" stroked="true" strokeweight="1.125pt" strokecolor="#006caa">
              <v:stroke dashstyle="solid"/>
            </v:line>
            <v:shape style="position:absolute;left:2519;top:1429;width:73;height:73" coordorigin="2519,1430" coordsize="73,73" path="m2519,1482l2532,1465m2532,1465l2542,1500m2542,1500l2544,1502m2542,1500l2567,1465m2567,1465l2579,1430m2579,1430l2582,1432m2579,1430l2592,1432e" filled="false" stroked="true" strokeweight="1pt" strokecolor="#006caa">
              <v:path arrowok="t"/>
              <v:stroke dashstyle="solid"/>
            </v:shape>
            <v:line style="position:absolute" from="2593,1420" to="2593,1510" stroked="true" strokeweight="1.125pt" strokecolor="#006caa">
              <v:stroke dashstyle="solid"/>
            </v:line>
            <v:shape style="position:absolute;left:2591;top:1412;width:95;height:108" coordorigin="2592,1412" coordsize="95,108" path="m2592,1500l2614,1502m2614,1500l2627,1517m2627,1517l2629,1520m2627,1517l2639,1500m2639,1500l2652,1465m2652,1465l2664,1412m2664,1412l2674,1430m2674,1430l2687,1482e" filled="false" stroked="true" strokeweight="1pt" strokecolor="#006caa">
              <v:path arrowok="t"/>
              <v:stroke dashstyle="solid"/>
            </v:shape>
            <v:line style="position:absolute" from="2688,1437" to="2688,1492" stroked="true" strokeweight="1.125pt" strokecolor="#006caa">
              <v:stroke dashstyle="solid"/>
            </v:line>
            <v:shape style="position:absolute;left:2686;top:1412;width:38;height:35" coordorigin="2687,1412" coordsize="38,35" path="m2687,1447l2699,1412m2699,1412l2724,1430e" filled="false" stroked="true" strokeweight="1pt" strokecolor="#006caa">
              <v:path arrowok="t"/>
              <v:stroke dashstyle="solid"/>
            </v:shape>
            <v:line style="position:absolute" from="2725,1347" to="2725,1440" stroked="true" strokeweight="1.125pt" strokecolor="#006caa">
              <v:stroke dashstyle="solid"/>
            </v:line>
            <v:shape style="position:absolute;left:2724;top:1252;width:73;height:105" coordorigin="2724,1252" coordsize="73,105" path="m2724,1357l2737,1342m2737,1342l2747,1325m2747,1325l2749,1307m2747,1307l2772,1270m2772,1270l2784,1342m2784,1342l2787,1325m2784,1325l2797,1252e" filled="false" stroked="true" strokeweight="1pt" strokecolor="#006caa">
              <v:path arrowok="t"/>
              <v:stroke dashstyle="solid"/>
            </v:shape>
            <v:line style="position:absolute" from="2798,1190" to="2798,1262" stroked="true" strokeweight="1.125pt" strokecolor="#006caa">
              <v:stroke dashstyle="solid"/>
            </v:line>
            <v:shape style="position:absolute;left:2796;top:1164;width:95;height:178" coordorigin="2797,1165" coordsize="95,178" path="m2797,1200l2819,1342m2819,1342l2832,1287m2832,1287l2834,1307m2832,1307l2844,1235m2844,1235l2857,1237m2857,1235l2869,1182m2869,1182l2879,1165m2879,1165l2892,1200e" filled="false" stroked="true" strokeweight="1pt" strokecolor="#006caa">
              <v:path arrowok="t"/>
              <v:stroke dashstyle="solid"/>
            </v:shape>
            <v:line style="position:absolute" from="2893,1190" to="2893,1335" stroked="true" strokeweight="1.125pt" strokecolor="#006caa">
              <v:stroke dashstyle="solid"/>
            </v:line>
            <v:shape style="position:absolute;left:2891;top:1252;width:38;height:73" coordorigin="2892,1252" coordsize="38,73" path="m2892,1325l2904,1252m2904,1252l2929,1270e" filled="false" stroked="true" strokeweight="1pt" strokecolor="#006caa">
              <v:path arrowok="t"/>
              <v:stroke dashstyle="solid"/>
            </v:shape>
            <v:line style="position:absolute" from="2930,1225" to="2930,1280" stroked="true" strokeweight="1.125pt" strokecolor="#006caa">
              <v:stroke dashstyle="solid"/>
            </v:line>
            <v:shape style="position:absolute;left:2929;top:1234;width:50;height:35" coordorigin="2929,1235" coordsize="50,35" path="m2929,1235l2942,1252m2942,1252l2944,1270m2942,1270l2952,1235m2952,1235l2977,1237m2977,1235l2979,1237e" filled="false" stroked="true" strokeweight="1pt" strokecolor="#006caa">
              <v:path arrowok="t"/>
              <v:stroke dashstyle="solid"/>
            </v:shape>
            <v:line style="position:absolute" from="2983,1117" to="2983,1245" stroked="true" strokeweight="1.625pt" strokecolor="#006caa">
              <v:stroke dashstyle="solid"/>
            </v:line>
            <v:shape style="position:absolute;left:2989;top:1127;width:35;height:23" coordorigin="2989,1127" coordsize="35,23" path="m2989,1127l3002,1147m3002,1147l3004,1150m3002,1147l3024,1150e" filled="false" stroked="true" strokeweight="1pt" strokecolor="#006caa">
              <v:path arrowok="t"/>
              <v:stroke dashstyle="solid"/>
            </v:shape>
            <v:line style="position:absolute" from="3030,1137" to="3030,1317" stroked="true" strokeweight="1.625pt" strokecolor="#006caa">
              <v:stroke dashstyle="solid"/>
            </v:line>
            <v:shape style="position:absolute;left:3036;top:1217;width:48;height:93" coordorigin="3037,1217" coordsize="48,93" path="m3037,1307l3039,1310m3037,1307l3049,1270m3049,1270l3052,1272m3049,1270l3074,1235m3074,1235l3084,1217e" filled="false" stroked="true" strokeweight="1pt" strokecolor="#006caa">
              <v:path arrowok="t"/>
              <v:stroke dashstyle="solid"/>
            </v:shape>
            <v:line style="position:absolute" from="3085,1172" to="3085,1227" stroked="true" strokeweight="1.125pt" strokecolor="#006caa">
              <v:stroke dashstyle="solid"/>
            </v:line>
            <v:shape style="position:absolute;left:3084;top:1022;width:63;height:160" coordorigin="3084,1022" coordsize="63,160" path="m3084,1182l3097,1165m3097,1165l3109,1095m3109,1095l3122,1077m3122,1077l3134,1057m3134,1057l3147,1022e" filled="false" stroked="true" strokeweight="1pt" strokecolor="#006caa">
              <v:path arrowok="t"/>
              <v:stroke dashstyle="solid"/>
            </v:shape>
            <v:line style="position:absolute" from="3148,942" to="3148,1032" stroked="true" strokeweight="1.125pt" strokecolor="#006caa">
              <v:stroke dashstyle="solid"/>
            </v:line>
            <v:shape style="position:absolute;left:3146;top:847;width:35;height:105" coordorigin="3147,847" coordsize="35,105" path="m3147,952l3157,917m3157,917l3182,847e" filled="false" stroked="true" strokeweight="1pt" strokecolor="#006caa">
              <v:path arrowok="t"/>
              <v:stroke dashstyle="solid"/>
            </v:shape>
            <v:line style="position:absolute" from="3183,837" to="3183,927" stroked="true" strokeweight="1.125pt" strokecolor="#006caa">
              <v:stroke dashstyle="solid"/>
            </v:line>
            <v:line style="position:absolute" from="3182,917" to="3194,920" stroked="true" strokeweight="1pt" strokecolor="#006caa">
              <v:stroke dashstyle="solid"/>
            </v:line>
            <v:line style="position:absolute" from="3200,785" to="3200,927" stroked="true" strokeweight="1.625pt" strokecolor="#006caa">
              <v:stroke dashstyle="solid"/>
            </v:line>
            <v:shape style="position:absolute;left:3206;top:759;width:35;height:50" coordorigin="3207,760" coordsize="35,50" path="m3207,795l3209,810m3207,810l3229,777m3229,777l3242,760e" filled="false" stroked="true" strokeweight="1pt" strokecolor="#006caa">
              <v:path arrowok="t"/>
              <v:stroke dashstyle="solid"/>
            </v:shape>
            <v:line style="position:absolute" from="3243,750" to="3243,840" stroked="true" strokeweight="1.125pt" strokecolor="#006caa">
              <v:stroke dashstyle="solid"/>
            </v:line>
            <v:line style="position:absolute" from="3248,820" to="3248,1000" stroked="true" strokeweight="1.625pt" strokecolor="#006caa">
              <v:stroke dashstyle="solid"/>
            </v:line>
            <v:line style="position:absolute" from="3255,980" to="3255,1050" stroked="true" strokeweight="1.125pt" strokecolor="#006caa">
              <v:stroke dashstyle="solid"/>
            </v:line>
            <v:shape style="position:absolute;left:3254;top:952;width:38;height:88" coordorigin="3254,952" coordsize="38,88" path="m3254,1040l3279,1022m3279,1022l3292,952e" filled="false" stroked="true" strokeweight="1pt" strokecolor="#006caa">
              <v:path arrowok="t"/>
              <v:stroke dashstyle="solid"/>
            </v:shape>
            <v:line style="position:absolute" from="3293,942" to="3293,1017" stroked="true" strokeweight="1.125pt" strokecolor="#006caa">
              <v:stroke dashstyle="solid"/>
            </v:line>
            <v:shape style="position:absolute;left:3291;top:989;width:95;height:88" coordorigin="3292,990" coordsize="95,88" path="m3292,1007l3302,990m3302,990l3314,1077m3314,1077l3327,1040m3327,1040l3339,1022m3339,1022l3352,990m3352,990l3354,992m3352,990l3362,1040m3362,1040l3387,1057e" filled="false" stroked="true" strokeweight="1pt" strokecolor="#006caa">
              <v:path arrowok="t"/>
              <v:stroke dashstyle="solid"/>
            </v:shape>
            <v:line style="position:absolute" from="3388,1047" to="3388,1192" stroked="true" strokeweight="1.125pt" strokecolor="#006caa">
              <v:stroke dashstyle="solid"/>
            </v:line>
            <v:line style="position:absolute" from="3387,1182" to="3399,1217" stroked="true" strokeweight="1pt" strokecolor="#006caa">
              <v:stroke dashstyle="solid"/>
            </v:line>
            <v:line style="position:absolute" from="3400,1137" to="3400,1227" stroked="true" strokeweight="1.125pt" strokecolor="#006caa">
              <v:stroke dashstyle="solid"/>
            </v:line>
            <v:line style="position:absolute" from="3405,980" to="3405,1157" stroked="true" strokeweight="1.625pt" strokecolor="#006caa">
              <v:stroke dashstyle="solid"/>
            </v:line>
            <v:line style="position:absolute" from="3412,990" to="3434,882" stroked="true" strokeweight="1pt" strokecolor="#006caa">
              <v:stroke dashstyle="solid"/>
            </v:line>
            <v:line style="position:absolute" from="3435,872" to="3435,927" stroked="true" strokeweight="1.125pt" strokecolor="#006caa">
              <v:stroke dashstyle="solid"/>
            </v:line>
            <v:line style="position:absolute" from="3434,917" to="3459,952" stroked="true" strokeweight="1pt" strokecolor="#006caa">
              <v:stroke dashstyle="solid"/>
            </v:line>
            <v:line style="position:absolute" from="3460,872" to="3460,962" stroked="true" strokeweight="1.125pt" strokecolor="#006caa">
              <v:stroke dashstyle="solid"/>
            </v:line>
            <v:line style="position:absolute" from="3459,882" to="3484,935" stroked="true" strokeweight="1pt" strokecolor="#006caa">
              <v:stroke dashstyle="solid"/>
            </v:line>
            <v:line style="position:absolute" from="3490,820" to="3490,945" stroked="true" strokeweight="1.625pt" strokecolor="#006caa">
              <v:stroke dashstyle="solid"/>
            </v:line>
            <v:line style="position:absolute" from="3497,830" to="3499,810" stroked="true" strokeweight="1pt" strokecolor="#006caa">
              <v:stroke dashstyle="solid"/>
            </v:line>
            <v:line style="position:absolute" from="3502,800" to="3502,980" stroked="true" strokeweight="1.5pt" strokecolor="#006caa">
              <v:stroke dashstyle="solid"/>
            </v:line>
            <v:line style="position:absolute" from="3508,925" to="3508,980" stroked="true" strokeweight="1.125pt" strokecolor="#006caa">
              <v:stroke dashstyle="solid"/>
            </v:line>
            <v:shape style="position:absolute;left:3506;top:934;width:38;height:35" coordorigin="3507,935" coordsize="38,35" path="m3507,935l3532,952m3532,952l3544,970e" filled="false" stroked="true" strokeweight="1pt" strokecolor="#006caa">
              <v:path arrowok="t"/>
              <v:stroke dashstyle="solid"/>
            </v:shape>
            <v:line style="position:absolute" from="3545,960" to="3545,1050" stroked="true" strokeweight="1.125pt" strokecolor="#006caa">
              <v:stroke dashstyle="solid"/>
            </v:line>
            <v:shape style="position:absolute;left:3544;top:917;width:98;height:178" coordorigin="3544,917" coordsize="98,178" path="m3544,1040l3557,1057m3557,1057l3567,1040m3567,1040l3579,1095m3579,1095l3592,1022m3592,1022l3604,990m3604,990l3607,992m3604,990l3617,952m3617,952l3639,917m3639,917l3642,920e" filled="false" stroked="true" strokeweight="1pt" strokecolor="#006caa">
              <v:path arrowok="t"/>
              <v:stroke dashstyle="solid"/>
            </v:shape>
            <v:line style="position:absolute" from="3645,730" to="3645,927" stroked="true" strokeweight="1.625pt" strokecolor="#006caa">
              <v:stroke dashstyle="solid"/>
            </v:line>
            <v:line style="position:absolute" from="3653,695" to="3653,750" stroked="true" strokeweight="1.125pt" strokecolor="#006caa">
              <v:stroke dashstyle="solid"/>
            </v:line>
            <v:shape style="position:absolute;left:3651;top:669;width:50;height:53" coordorigin="3652,670" coordsize="50,53" path="m3652,705l3664,722m3664,722l3689,705m3689,705l3702,670e" filled="false" stroked="true" strokeweight="1pt" strokecolor="#006caa">
              <v:path arrowok="t"/>
              <v:stroke dashstyle="solid"/>
            </v:shape>
            <v:line style="position:absolute" from="3703,660" to="3703,732" stroked="true" strokeweight="1.125pt" strokecolor="#006caa">
              <v:stroke dashstyle="solid"/>
            </v:line>
            <v:line style="position:absolute" from="3707,712" to="3707,840" stroked="true" strokeweight="1.5pt" strokecolor="#006caa">
              <v:stroke dashstyle="solid"/>
            </v:line>
            <v:shape style="position:absolute;left:3711;top:829;width:38;height:18" coordorigin="3712,830" coordsize="38,18" path="m3712,830l3714,832m3712,830l3737,847m3737,847l3749,830e" filled="false" stroked="true" strokeweight="1pt" strokecolor="#006caa">
              <v:path arrowok="t"/>
              <v:stroke dashstyle="solid"/>
            </v:shape>
            <v:line style="position:absolute" from="3750,785" to="3750,840" stroked="true" strokeweight="1.125pt" strokecolor="#006caa">
              <v:stroke dashstyle="solid"/>
            </v:line>
            <v:shape style="position:absolute;left:3749;top:739;width:48;height:55" coordorigin="3749,740" coordsize="48,55" path="m3749,795l3762,740m3762,740l3774,760m3774,760l3784,740m3784,740l3797,742e" filled="false" stroked="true" strokeweight="1pt" strokecolor="#006caa">
              <v:path arrowok="t"/>
              <v:stroke dashstyle="solid"/>
            </v:shape>
            <v:line style="position:absolute" from="3803,607" to="3803,750" stroked="true" strokeweight="1.625pt" strokecolor="#006caa">
              <v:stroke dashstyle="solid"/>
            </v:line>
            <v:shape style="position:absolute;left:3809;top:599;width:35;height:18" coordorigin="3809,600" coordsize="35,18" path="m3809,617l3812,600m3809,600l3822,602m3822,600l3844,602e" filled="false" stroked="true" strokeweight="1pt" strokecolor="#006caa">
              <v:path arrowok="t"/>
              <v:stroke dashstyle="solid"/>
            </v:shape>
            <v:line style="position:absolute" from="3845,432" to="3845,610" stroked="true" strokeweight="1.125pt" strokecolor="#006caa">
              <v:stroke dashstyle="solid"/>
            </v:line>
            <v:line style="position:absolute" from="3844,442" to="3857,387" stroked="true" strokeweight="1pt" strokecolor="#006caa">
              <v:stroke dashstyle="solid"/>
            </v:line>
            <v:line style="position:absolute" from="3858,252" to="3858,397" stroked="true" strokeweight="1.125pt" strokecolor="#006caa">
              <v:stroke dashstyle="solid"/>
            </v:line>
            <v:shape style="position:absolute;left:3856;top:262;width:40;height:75" coordorigin="3857,262" coordsize="40,75" path="m3857,262l3869,335m3869,335l3894,337m3894,335l3897,317e" filled="false" stroked="true" strokeweight="1pt" strokecolor="#006caa">
              <v:path arrowok="t"/>
              <v:stroke dashstyle="solid"/>
            </v:shape>
            <v:line style="position:absolute" from="3900,77" to="3900,327" stroked="true" strokeweight="1.625pt" strokecolor="#006caa">
              <v:stroke dashstyle="solid"/>
            </v:line>
            <v:shape style="position:absolute;left:3979;top:159;width:87;height:2414" coordorigin="3979,159" coordsize="87,2414" path="m3979,159l4066,159m3979,386l4066,386m3979,833l4066,833m3979,1039l4066,1039m3979,1246l4066,1246m3979,1693l4066,1693m3979,1899l4066,1899m3979,2573l4066,2573m3979,2326l4066,2326m3979,590l4066,590m3979,1470l4066,1470m3979,2130l4066,2130e" filled="false" stroked="true" strokeweight=".5pt" strokecolor="#000000">
              <v:path arrowok="t"/>
              <v:stroke dashstyle="solid"/>
            </v:shape>
            <v:line style="position:absolute" from="3919,2120" to="1049,2120" stroked="true" strokeweight=".5pt" strokecolor="#000000">
              <v:stroke dashstyle="solid"/>
            </v:line>
            <v:shape style="position:absolute;left:2856;top:517;width:817;height:134" type="#_x0000_t202" filled="false" stroked="false">
              <v:textbox inset="0,0,0,0">
                <w:txbxContent>
                  <w:p>
                    <w:pPr>
                      <w:spacing w:line="133" w:lineRule="exact" w:before="0"/>
                      <w:ind w:left="0" w:right="0" w:firstLine="0"/>
                      <w:jc w:val="left"/>
                      <w:rPr>
                        <w:sz w:val="12"/>
                      </w:rPr>
                    </w:pPr>
                    <w:r>
                      <w:rPr>
                        <w:sz w:val="12"/>
                      </w:rPr>
                      <w:t>Sterling-euro (a)</w:t>
                    </w:r>
                  </w:p>
                </w:txbxContent>
              </v:textbox>
              <w10:wrap type="none"/>
            </v:shape>
            <v:shape style="position:absolute;left:1481;top:2287;width:1028;height:134" type="#_x0000_t202" filled="false" stroked="false">
              <v:textbox inset="0,0,0,0">
                <w:txbxContent>
                  <w:p>
                    <w:pPr>
                      <w:spacing w:line="133" w:lineRule="exact" w:before="0"/>
                      <w:ind w:left="0" w:right="0" w:firstLine="0"/>
                      <w:jc w:val="left"/>
                      <w:rPr>
                        <w:sz w:val="12"/>
                      </w:rPr>
                    </w:pPr>
                    <w:r>
                      <w:rPr>
                        <w:sz w:val="12"/>
                      </w:rPr>
                      <w:t>Interest rate news (b)</w:t>
                    </w:r>
                  </w:p>
                </w:txbxContent>
              </v:textbox>
              <w10:wrap type="none"/>
            </v:shape>
            <w10:wrap type="none"/>
          </v:group>
        </w:pict>
      </w:r>
      <w:r>
        <w:rPr/>
        <w:pict>
          <v:line style="position:absolute;mso-position-horizontal-relative:page;mso-position-vertical-relative:paragraph;z-index:15948288" from="44.450001pt,7.957379pt" to="48.783001pt,7.957379pt" stroked="true" strokeweight=".5pt" strokecolor="#000000">
            <v:stroke dashstyle="solid"/>
            <w10:wrap type="none"/>
          </v:line>
        </w:pict>
      </w:r>
      <w:r>
        <w:rPr>
          <w:sz w:val="12"/>
        </w:rPr>
        <w:t>18</w:t>
      </w:r>
    </w:p>
    <w:p>
      <w:pPr>
        <w:spacing w:before="89"/>
        <w:ind w:left="0" w:right="172" w:firstLine="0"/>
        <w:jc w:val="right"/>
        <w:rPr>
          <w:sz w:val="12"/>
        </w:rPr>
      </w:pPr>
      <w:r>
        <w:rPr/>
        <w:pict>
          <v:line style="position:absolute;mso-position-horizontal-relative:page;mso-position-vertical-relative:paragraph;z-index:15948800" from="44.450001pt,8.618563pt" to="48.783001pt,8.618563pt" stroked="true" strokeweight=".5pt" strokecolor="#000000">
            <v:stroke dashstyle="solid"/>
            <w10:wrap type="none"/>
          </v:line>
        </w:pict>
      </w:r>
      <w:r>
        <w:rPr>
          <w:sz w:val="12"/>
        </w:rPr>
        <w:t>16</w:t>
      </w:r>
    </w:p>
    <w:p>
      <w:pPr>
        <w:spacing w:before="75"/>
        <w:ind w:left="0" w:right="172" w:firstLine="0"/>
        <w:jc w:val="right"/>
        <w:rPr>
          <w:sz w:val="12"/>
        </w:rPr>
      </w:pPr>
      <w:r>
        <w:rPr/>
        <w:pict>
          <v:line style="position:absolute;mso-position-horizontal-relative:page;mso-position-vertical-relative:paragraph;z-index:15953408" from="44.450001pt,7.476746pt" to="48.783001pt,7.476746pt" stroked="true" strokeweight=".5pt" strokecolor="#000000">
            <v:stroke dashstyle="solid"/>
            <w10:wrap type="none"/>
          </v:line>
        </w:pict>
      </w:r>
      <w:r>
        <w:rPr>
          <w:sz w:val="12"/>
        </w:rPr>
        <w:t>14</w:t>
      </w:r>
    </w:p>
    <w:p>
      <w:pPr>
        <w:spacing w:before="89"/>
        <w:ind w:left="0" w:right="172" w:firstLine="0"/>
        <w:jc w:val="right"/>
        <w:rPr>
          <w:sz w:val="12"/>
        </w:rPr>
      </w:pPr>
      <w:r>
        <w:rPr/>
        <w:pict>
          <v:line style="position:absolute;mso-position-horizontal-relative:page;mso-position-vertical-relative:paragraph;z-index:15949312" from="44.450001pt,8.953990pt" to="48.783001pt,8.953990pt" stroked="true" strokeweight=".5pt" strokecolor="#000000">
            <v:stroke dashstyle="solid"/>
            <w10:wrap type="none"/>
          </v:line>
        </w:pict>
      </w:r>
      <w:r>
        <w:rPr>
          <w:sz w:val="12"/>
        </w:rPr>
        <w:t>12</w:t>
      </w:r>
    </w:p>
    <w:p>
      <w:pPr>
        <w:spacing w:before="77"/>
        <w:ind w:left="0" w:right="172" w:firstLine="0"/>
        <w:jc w:val="right"/>
        <w:rPr>
          <w:sz w:val="12"/>
        </w:rPr>
      </w:pPr>
      <w:r>
        <w:rPr/>
        <w:pict>
          <v:line style="position:absolute;mso-position-horizontal-relative:page;mso-position-vertical-relative:paragraph;z-index:15949824" from="44.450001pt,7.939745pt" to="48.783001pt,7.939745pt" stroked="true" strokeweight=".5pt" strokecolor="#000000">
            <v:stroke dashstyle="solid"/>
            <w10:wrap type="none"/>
          </v:line>
        </w:pict>
      </w:r>
      <w:r>
        <w:rPr>
          <w:sz w:val="12"/>
        </w:rPr>
        <w:t>10</w:t>
      </w:r>
    </w:p>
    <w:p>
      <w:pPr>
        <w:spacing w:before="72"/>
        <w:ind w:left="0" w:right="172" w:firstLine="0"/>
        <w:jc w:val="right"/>
        <w:rPr>
          <w:sz w:val="12"/>
        </w:rPr>
      </w:pPr>
      <w:r>
        <w:rPr/>
        <w:pict>
          <v:line style="position:absolute;mso-position-horizontal-relative:page;mso-position-vertical-relative:paragraph;z-index:15950336" from="44.450001pt,7.524745pt" to="48.783001pt,7.524745pt" stroked="true" strokeweight=".5pt" strokecolor="#000000">
            <v:stroke dashstyle="solid"/>
            <w10:wrap type="none"/>
          </v:line>
        </w:pict>
      </w:r>
      <w:r>
        <w:rPr>
          <w:sz w:val="12"/>
        </w:rPr>
        <w:t>8</w:t>
      </w:r>
    </w:p>
    <w:p>
      <w:pPr>
        <w:spacing w:before="92"/>
        <w:ind w:left="0" w:right="172" w:firstLine="0"/>
        <w:jc w:val="right"/>
        <w:rPr>
          <w:sz w:val="12"/>
        </w:rPr>
      </w:pPr>
      <w:r>
        <w:rPr/>
        <w:pict>
          <v:line style="position:absolute;mso-position-horizontal-relative:page;mso-position-vertical-relative:paragraph;z-index:15953920" from="44.450001pt,8.201563pt" to="48.783001pt,8.201563pt" stroked="true" strokeweight=".5pt" strokecolor="#000000">
            <v:stroke dashstyle="solid"/>
            <w10:wrap type="none"/>
          </v:line>
        </w:pict>
      </w:r>
      <w:r>
        <w:rPr>
          <w:sz w:val="12"/>
        </w:rPr>
        <w:t>6</w:t>
      </w:r>
    </w:p>
    <w:p>
      <w:pPr>
        <w:spacing w:before="75"/>
        <w:ind w:left="0" w:right="172" w:firstLine="0"/>
        <w:jc w:val="right"/>
        <w:rPr>
          <w:sz w:val="12"/>
        </w:rPr>
      </w:pPr>
      <w:r>
        <w:rPr/>
        <w:pict>
          <v:line style="position:absolute;mso-position-horizontal-relative:page;mso-position-vertical-relative:paragraph;z-index:15950848" from="44.450001pt,7.884746pt" to="48.783001pt,7.884746pt" stroked="true" strokeweight=".5pt" strokecolor="#000000">
            <v:stroke dashstyle="solid"/>
            <w10:wrap type="none"/>
          </v:line>
        </w:pict>
      </w:r>
      <w:r>
        <w:rPr>
          <w:sz w:val="12"/>
        </w:rPr>
        <w:t>4</w:t>
      </w:r>
    </w:p>
    <w:p>
      <w:pPr>
        <w:spacing w:line="180" w:lineRule="auto" w:before="82"/>
        <w:ind w:left="3428" w:right="0" w:firstLine="0"/>
        <w:jc w:val="left"/>
        <w:rPr>
          <w:sz w:val="12"/>
        </w:rPr>
      </w:pPr>
      <w:r>
        <w:rPr/>
        <w:pict>
          <v:line style="position:absolute;mso-position-horizontal-relative:page;mso-position-vertical-relative:paragraph;z-index:15951360" from="44.450001pt,7.578558pt" to="48.783001pt,7.578558pt" stroked="true" strokeweight=".5pt" strokecolor="#000000">
            <v:stroke dashstyle="solid"/>
            <w10:wrap type="none"/>
          </v:line>
        </w:pict>
      </w:r>
      <w:r>
        <w:rPr>
          <w:position w:val="-10"/>
          <w:sz w:val="16"/>
        </w:rPr>
        <w:t>+</w:t>
      </w:r>
      <w:r>
        <w:rPr>
          <w:spacing w:val="-21"/>
          <w:position w:val="-10"/>
          <w:sz w:val="16"/>
        </w:rPr>
        <w:t> </w:t>
      </w:r>
      <w:r>
        <w:rPr>
          <w:sz w:val="12"/>
        </w:rPr>
        <w:t>2</w:t>
      </w:r>
    </w:p>
    <w:p>
      <w:pPr>
        <w:spacing w:before="9"/>
        <w:ind w:left="3428" w:right="0" w:firstLine="0"/>
        <w:jc w:val="left"/>
        <w:rPr>
          <w:sz w:val="12"/>
        </w:rPr>
      </w:pPr>
      <w:r>
        <w:rPr/>
        <w:pict>
          <v:line style="position:absolute;mso-position-horizontal-relative:page;mso-position-vertical-relative:paragraph;z-index:15954432" from="44.450001pt,3.926563pt" to="48.783001pt,3.926563pt" stroked="true" strokeweight=".5pt" strokecolor="#000000">
            <v:stroke dashstyle="solid"/>
            <w10:wrap type="none"/>
          </v:line>
        </w:pict>
      </w:r>
      <w:r>
        <w:rPr>
          <w:position w:val="-4"/>
          <w:sz w:val="16"/>
        </w:rPr>
        <w:t>_</w:t>
      </w:r>
      <w:r>
        <w:rPr>
          <w:spacing w:val="-10"/>
          <w:position w:val="-4"/>
          <w:sz w:val="16"/>
        </w:rPr>
        <w:t> </w:t>
      </w:r>
      <w:r>
        <w:rPr>
          <w:sz w:val="12"/>
        </w:rPr>
        <w:t>0</w:t>
      </w:r>
    </w:p>
    <w:p>
      <w:pPr>
        <w:spacing w:before="16"/>
        <w:ind w:left="0" w:right="172" w:firstLine="0"/>
        <w:jc w:val="right"/>
        <w:rPr>
          <w:sz w:val="12"/>
        </w:rPr>
      </w:pPr>
      <w:r>
        <w:rPr/>
        <w:pict>
          <v:line style="position:absolute;mso-position-horizontal-relative:page;mso-position-vertical-relative:paragraph;z-index:15952384" from="44.450001pt,3.980746pt" to="48.783001pt,3.980746pt" stroked="true" strokeweight=".5pt" strokecolor="#000000">
            <v:stroke dashstyle="solid"/>
            <w10:wrap type="none"/>
          </v:line>
        </w:pict>
      </w:r>
      <w:r>
        <w:rPr>
          <w:sz w:val="12"/>
        </w:rPr>
        <w:t>2</w:t>
      </w:r>
    </w:p>
    <w:p>
      <w:pPr>
        <w:spacing w:before="92"/>
        <w:ind w:left="0" w:right="172" w:firstLine="0"/>
        <w:jc w:val="right"/>
        <w:rPr>
          <w:sz w:val="12"/>
        </w:rPr>
      </w:pPr>
      <w:r>
        <w:rPr/>
        <w:pict>
          <v:line style="position:absolute;mso-position-horizontal-relative:page;mso-position-vertical-relative:paragraph;z-index:15951872" from="44.450001pt,8.616563pt" to="48.783001pt,8.616563pt" stroked="true" strokeweight=".5pt" strokecolor="#000000">
            <v:stroke dashstyle="solid"/>
            <w10:wrap type="none"/>
          </v:line>
        </w:pict>
      </w:r>
      <w:r>
        <w:rPr>
          <w:sz w:val="12"/>
        </w:rPr>
        <w:t>4</w:t>
      </w:r>
    </w:p>
    <w:p>
      <w:pPr>
        <w:spacing w:line="119" w:lineRule="exact" w:before="107"/>
        <w:ind w:left="3539" w:right="0" w:firstLine="0"/>
        <w:jc w:val="left"/>
        <w:rPr>
          <w:sz w:val="12"/>
        </w:rPr>
      </w:pPr>
      <w:r>
        <w:rPr/>
        <w:pict>
          <v:shape style="position:absolute;margin-left:44.450001pt;margin-top:2.753562pt;width:158.85pt;height:5.75pt;mso-position-horizontal-relative:page;mso-position-vertical-relative:paragraph;z-index:15947776" coordorigin="889,55" coordsize="3177,115" path="m1049,169l3931,169m1047,102l1047,169m1509,102l1509,169m1951,102l1951,169m2394,102l2394,169m2836,102l2836,169m3299,55l3299,169m3721,102l3721,169m889,149l976,149m3979,149l4066,149e" filled="false" stroked="true" strokeweight=".5pt" strokecolor="#000000">
            <v:path arrowok="t"/>
            <v:stroke dashstyle="solid"/>
            <w10:wrap type="none"/>
          </v:shape>
        </w:pict>
      </w:r>
      <w:r>
        <w:rPr>
          <w:sz w:val="12"/>
        </w:rPr>
        <w:t>6</w:t>
      </w:r>
    </w:p>
    <w:p>
      <w:pPr>
        <w:tabs>
          <w:tab w:pos="768" w:val="left" w:leader="none"/>
          <w:tab w:pos="1191" w:val="left" w:leader="none"/>
          <w:tab w:pos="1636" w:val="left" w:leader="none"/>
          <w:tab w:pos="2071" w:val="left" w:leader="none"/>
          <w:tab w:pos="2541" w:val="left" w:leader="none"/>
          <w:tab w:pos="2963" w:val="left" w:leader="none"/>
        </w:tabs>
        <w:spacing w:line="119" w:lineRule="exact" w:before="0"/>
        <w:ind w:left="299" w:right="0" w:firstLine="0"/>
        <w:jc w:val="left"/>
        <w:rPr>
          <w:sz w:val="12"/>
        </w:rPr>
      </w:pPr>
      <w:r>
        <w:rPr>
          <w:sz w:val="12"/>
        </w:rPr>
        <w:t>April</w:t>
        <w:tab/>
        <w:t>June</w:t>
        <w:tab/>
        <w:t>Aug.</w:t>
        <w:tab/>
        <w:t>Oct.</w:t>
        <w:tab/>
        <w:t>Dec.</w:t>
        <w:tab/>
        <w:t>Feb.</w:t>
        <w:tab/>
        <w:t>April</w:t>
      </w:r>
    </w:p>
    <w:p>
      <w:pPr>
        <w:tabs>
          <w:tab w:pos="2903" w:val="left" w:leader="none"/>
        </w:tabs>
        <w:spacing w:before="85"/>
        <w:ind w:left="888" w:right="0" w:firstLine="0"/>
        <w:jc w:val="left"/>
        <w:rPr>
          <w:sz w:val="12"/>
        </w:rPr>
      </w:pPr>
      <w:r>
        <w:rPr>
          <w:sz w:val="12"/>
        </w:rPr>
        <w:t>1999</w:t>
        <w:tab/>
        <w:t>2000</w:t>
      </w:r>
    </w:p>
    <w:p>
      <w:pPr>
        <w:pStyle w:val="ListParagraph"/>
        <w:numPr>
          <w:ilvl w:val="0"/>
          <w:numId w:val="9"/>
        </w:numPr>
        <w:tabs>
          <w:tab w:pos="409" w:val="left" w:leader="none"/>
        </w:tabs>
        <w:spacing w:line="129" w:lineRule="exact" w:before="13" w:after="0"/>
        <w:ind w:left="408" w:right="0" w:hanging="240"/>
        <w:jc w:val="left"/>
        <w:rPr>
          <w:sz w:val="12"/>
        </w:rPr>
      </w:pPr>
      <w:r>
        <w:rPr>
          <w:sz w:val="12"/>
        </w:rPr>
        <w:t>Cumulative</w:t>
      </w:r>
      <w:r>
        <w:rPr>
          <w:spacing w:val="-9"/>
          <w:sz w:val="12"/>
        </w:rPr>
        <w:t> </w:t>
      </w:r>
      <w:r>
        <w:rPr>
          <w:sz w:val="12"/>
        </w:rPr>
        <w:t>change</w:t>
      </w:r>
      <w:r>
        <w:rPr>
          <w:spacing w:val="-9"/>
          <w:sz w:val="12"/>
        </w:rPr>
        <w:t> </w:t>
      </w:r>
      <w:r>
        <w:rPr>
          <w:sz w:val="12"/>
        </w:rPr>
        <w:t>in</w:t>
      </w:r>
      <w:r>
        <w:rPr>
          <w:spacing w:val="-9"/>
          <w:sz w:val="12"/>
        </w:rPr>
        <w:t> </w:t>
      </w:r>
      <w:r>
        <w:rPr>
          <w:sz w:val="12"/>
        </w:rPr>
        <w:t>sterling-euro</w:t>
      </w:r>
      <w:r>
        <w:rPr>
          <w:spacing w:val="-9"/>
          <w:sz w:val="12"/>
        </w:rPr>
        <w:t> </w:t>
      </w:r>
      <w:r>
        <w:rPr>
          <w:sz w:val="12"/>
        </w:rPr>
        <w:t>exchange</w:t>
      </w:r>
      <w:r>
        <w:rPr>
          <w:spacing w:val="-8"/>
          <w:sz w:val="12"/>
        </w:rPr>
        <w:t> </w:t>
      </w:r>
      <w:r>
        <w:rPr>
          <w:sz w:val="12"/>
        </w:rPr>
        <w:t>rate.</w:t>
      </w:r>
    </w:p>
    <w:p>
      <w:pPr>
        <w:pStyle w:val="ListParagraph"/>
        <w:numPr>
          <w:ilvl w:val="0"/>
          <w:numId w:val="9"/>
        </w:numPr>
        <w:tabs>
          <w:tab w:pos="410" w:val="left" w:leader="none"/>
        </w:tabs>
        <w:spacing w:line="208" w:lineRule="auto" w:before="6" w:after="0"/>
        <w:ind w:left="409" w:right="38" w:hanging="240"/>
        <w:jc w:val="left"/>
        <w:rPr>
          <w:sz w:val="12"/>
        </w:rPr>
      </w:pPr>
      <w:r>
        <w:rPr>
          <w:sz w:val="12"/>
        </w:rPr>
        <w:t>Cumulative</w:t>
      </w:r>
      <w:r>
        <w:rPr>
          <w:spacing w:val="-6"/>
          <w:sz w:val="12"/>
        </w:rPr>
        <w:t> </w:t>
      </w:r>
      <w:r>
        <w:rPr>
          <w:sz w:val="12"/>
        </w:rPr>
        <w:t>percentage</w:t>
      </w:r>
      <w:r>
        <w:rPr>
          <w:spacing w:val="-6"/>
          <w:sz w:val="12"/>
        </w:rPr>
        <w:t> </w:t>
      </w:r>
      <w:r>
        <w:rPr>
          <w:sz w:val="12"/>
        </w:rPr>
        <w:t>point</w:t>
      </w:r>
      <w:r>
        <w:rPr>
          <w:spacing w:val="-6"/>
          <w:sz w:val="12"/>
        </w:rPr>
        <w:t> </w:t>
      </w:r>
      <w:r>
        <w:rPr>
          <w:sz w:val="12"/>
        </w:rPr>
        <w:t>change</w:t>
      </w:r>
      <w:r>
        <w:rPr>
          <w:spacing w:val="-6"/>
          <w:sz w:val="12"/>
        </w:rPr>
        <w:t> </w:t>
      </w:r>
      <w:r>
        <w:rPr>
          <w:sz w:val="12"/>
        </w:rPr>
        <w:t>in</w:t>
      </w:r>
      <w:r>
        <w:rPr>
          <w:spacing w:val="-6"/>
          <w:sz w:val="12"/>
        </w:rPr>
        <w:t> </w:t>
      </w:r>
      <w:r>
        <w:rPr>
          <w:sz w:val="12"/>
        </w:rPr>
        <w:t>differentials</w:t>
      </w:r>
      <w:r>
        <w:rPr>
          <w:spacing w:val="-6"/>
          <w:sz w:val="12"/>
        </w:rPr>
        <w:t> </w:t>
      </w:r>
      <w:r>
        <w:rPr>
          <w:sz w:val="12"/>
        </w:rPr>
        <w:t>between</w:t>
      </w:r>
      <w:r>
        <w:rPr>
          <w:spacing w:val="-6"/>
          <w:sz w:val="12"/>
        </w:rPr>
        <w:t> </w:t>
      </w:r>
      <w:r>
        <w:rPr>
          <w:sz w:val="12"/>
        </w:rPr>
        <w:t>UK</w:t>
      </w:r>
      <w:r>
        <w:rPr>
          <w:spacing w:val="-6"/>
          <w:sz w:val="12"/>
        </w:rPr>
        <w:t> </w:t>
      </w:r>
      <w:r>
        <w:rPr>
          <w:sz w:val="12"/>
        </w:rPr>
        <w:t>and euro-area interest rates up to ten</w:t>
      </w:r>
      <w:r>
        <w:rPr>
          <w:spacing w:val="-9"/>
          <w:sz w:val="12"/>
        </w:rPr>
        <w:t> </w:t>
      </w:r>
      <w:r>
        <w:rPr>
          <w:sz w:val="12"/>
        </w:rPr>
        <w:t>years.</w:t>
      </w:r>
    </w:p>
    <w:p>
      <w:pPr>
        <w:pStyle w:val="Heading6"/>
        <w:spacing w:line="242" w:lineRule="auto" w:before="207"/>
        <w:ind w:left="168" w:right="233"/>
      </w:pPr>
      <w:r>
        <w:rPr/>
        <w:br w:type="column"/>
      </w:r>
      <w:r>
        <w:rPr/>
        <w:t>A further potential reason why sterling may </w:t>
      </w:r>
      <w:r>
        <w:rPr>
          <w:spacing w:val="-3"/>
        </w:rPr>
        <w:t>have </w:t>
      </w:r>
      <w:r>
        <w:rPr/>
        <w:t>appreciated against the euro in recent years is that the equilibrium exchange rate of the United Kingdom has risen relative to that of the euro area. </w:t>
      </w:r>
      <w:r>
        <w:rPr>
          <w:spacing w:val="-10"/>
        </w:rPr>
        <w:t>To </w:t>
      </w:r>
      <w:r>
        <w:rPr/>
        <w:t>date there is little evidence for this in current account or other macroeconomic data. And Chart 1.20 shows that in recent Consensus Economics surveys of long-run nominal exchange rate forecasts, respondents </w:t>
      </w:r>
      <w:r>
        <w:rPr>
          <w:spacing w:val="-3"/>
        </w:rPr>
        <w:t>have </w:t>
      </w:r>
      <w:r>
        <w:rPr/>
        <w:t>continued to expect the euro to appreciate to a similar </w:t>
      </w:r>
      <w:r>
        <w:rPr>
          <w:spacing w:val="-3"/>
        </w:rPr>
        <w:t>level </w:t>
      </w:r>
      <w:r>
        <w:rPr/>
        <w:t>against sterling in coming years as at the time of the March 1999 survey (see Chart 1.20). </w:t>
      </w:r>
      <w:r>
        <w:rPr>
          <w:spacing w:val="-4"/>
        </w:rPr>
        <w:t>However, </w:t>
      </w:r>
      <w:r>
        <w:rPr>
          <w:spacing w:val="-3"/>
        </w:rPr>
        <w:t>over </w:t>
      </w:r>
      <w:r>
        <w:rPr/>
        <w:t>the period since 1996, it appears that respondents </w:t>
      </w:r>
      <w:r>
        <w:rPr>
          <w:spacing w:val="-3"/>
        </w:rPr>
        <w:t>have </w:t>
      </w:r>
      <w:r>
        <w:rPr/>
        <w:t>come to expect the euro to appreciate to a lower rate against sterling in the medium term, perhaps consistent with an upward revision to the expected equilibrium sterling exchange rate </w:t>
      </w:r>
      <w:r>
        <w:rPr>
          <w:spacing w:val="-3"/>
        </w:rPr>
        <w:t>over </w:t>
      </w:r>
      <w:r>
        <w:rPr/>
        <w:t>this period (see Chart</w:t>
      </w:r>
      <w:r>
        <w:rPr>
          <w:spacing w:val="-35"/>
        </w:rPr>
        <w:t> </w:t>
      </w:r>
      <w:r>
        <w:rPr/>
        <w:t>1.20).</w:t>
      </w:r>
    </w:p>
    <w:p>
      <w:pPr>
        <w:pStyle w:val="BodyText"/>
        <w:spacing w:before="10"/>
        <w:rPr>
          <w:sz w:val="22"/>
        </w:rPr>
      </w:pPr>
    </w:p>
    <w:p>
      <w:pPr>
        <w:pStyle w:val="Heading3"/>
        <w:tabs>
          <w:tab w:pos="4266" w:val="left" w:leader="none"/>
        </w:tabs>
        <w:ind w:left="168"/>
      </w:pPr>
      <w:r>
        <w:rPr>
          <w:color w:val="009391"/>
          <w:u w:val="thick" w:color="0092C7"/>
        </w:rPr>
        <w:t>1.3</w:t>
        <w:tab/>
        <w:t>Summary</w:t>
      </w:r>
      <w:r>
        <w:rPr>
          <w:color w:val="009391"/>
          <w:spacing w:val="-10"/>
          <w:u w:val="thick" w:color="0092C7"/>
        </w:rPr>
        <w:t> </w:t>
      </w:r>
    </w:p>
    <w:p>
      <w:pPr>
        <w:spacing w:after="0"/>
        <w:sectPr>
          <w:type w:val="continuous"/>
          <w:pgSz w:w="11900" w:h="16840"/>
          <w:pgMar w:top="1220" w:bottom="280" w:left="640" w:right="620"/>
          <w:cols w:num="2" w:equalWidth="0">
            <w:col w:w="3774" w:space="1037"/>
            <w:col w:w="5829"/>
          </w:cols>
        </w:sectPr>
      </w:pPr>
    </w:p>
    <w:p>
      <w:pPr>
        <w:pStyle w:val="BodyText"/>
        <w:spacing w:before="1"/>
        <w:rPr>
          <w:b/>
          <w:sz w:val="16"/>
        </w:rPr>
      </w:pPr>
    </w:p>
    <w:p>
      <w:pPr>
        <w:spacing w:after="0"/>
        <w:rPr>
          <w:sz w:val="16"/>
        </w:rPr>
        <w:sectPr>
          <w:type w:val="continuous"/>
          <w:pgSz w:w="11900" w:h="16840"/>
          <w:pgMar w:top="1220" w:bottom="280" w:left="640" w:right="620"/>
        </w:sectPr>
      </w:pPr>
    </w:p>
    <w:p>
      <w:pPr>
        <w:pStyle w:val="BodyText"/>
        <w:rPr>
          <w:b/>
          <w:sz w:val="22"/>
        </w:rPr>
      </w:pPr>
    </w:p>
    <w:p>
      <w:pPr>
        <w:spacing w:before="192"/>
        <w:ind w:left="186" w:right="0" w:firstLine="0"/>
        <w:jc w:val="left"/>
        <w:rPr>
          <w:b/>
          <w:sz w:val="20"/>
        </w:rPr>
      </w:pPr>
      <w:r>
        <w:rPr>
          <w:b/>
          <w:color w:val="0092C7"/>
          <w:sz w:val="20"/>
        </w:rPr>
        <w:t>Chart 1.20</w:t>
      </w:r>
    </w:p>
    <w:p>
      <w:pPr>
        <w:spacing w:line="249" w:lineRule="auto" w:before="10"/>
        <w:ind w:left="186" w:right="-17" w:firstLine="0"/>
        <w:jc w:val="left"/>
        <w:rPr>
          <w:b/>
          <w:sz w:val="20"/>
        </w:rPr>
      </w:pPr>
      <w:r>
        <w:rPr>
          <w:b/>
          <w:color w:val="0092C7"/>
          <w:sz w:val="20"/>
        </w:rPr>
        <w:t>Consensus survey for the sterling-euro nominal exchange rate</w:t>
      </w:r>
    </w:p>
    <w:p>
      <w:pPr>
        <w:spacing w:before="56"/>
        <w:ind w:left="0" w:right="0" w:firstLine="0"/>
        <w:jc w:val="right"/>
        <w:rPr>
          <w:sz w:val="12"/>
        </w:rPr>
      </w:pPr>
      <w:r>
        <w:rPr>
          <w:sz w:val="12"/>
        </w:rPr>
        <w:t>Euro per £</w:t>
      </w:r>
    </w:p>
    <w:p>
      <w:pPr>
        <w:pStyle w:val="BodyText"/>
        <w:spacing w:before="3"/>
        <w:rPr>
          <w:sz w:val="3"/>
        </w:rPr>
      </w:pPr>
    </w:p>
    <w:p>
      <w:pPr>
        <w:tabs>
          <w:tab w:pos="3400" w:val="left" w:leader="none"/>
        </w:tabs>
        <w:spacing w:line="20" w:lineRule="exact"/>
        <w:ind w:left="213" w:right="-87"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50"/>
        <w:ind w:left="1385" w:right="1573" w:firstLine="0"/>
        <w:jc w:val="center"/>
        <w:rPr>
          <w:sz w:val="12"/>
        </w:rPr>
      </w:pPr>
      <w:r>
        <w:rPr/>
        <w:pict>
          <v:group style="position:absolute;margin-left:96.154999pt;margin-top:5.102814pt;width:110.5pt;height:79.4pt;mso-position-horizontal-relative:page;mso-position-vertical-relative:paragraph;z-index:-22656000" coordorigin="1923,102" coordsize="2210,1588">
            <v:shape style="position:absolute;left:1933;top:539;width:1468;height:803" coordorigin="1933,540" coordsize="1468,803" path="m1933,540l2218,902m2218,902l2518,1135m2518,1135l2816,1212m2816,1212l3103,1252m3103,1252l3401,1342e" filled="false" stroked="true" strokeweight="1pt" strokecolor="#006caa">
              <v:path arrowok="t"/>
              <v:stroke dashstyle="solid"/>
            </v:shape>
            <v:line style="position:absolute" from="3391,1336" to="3698,1336" stroked="true" strokeweight="1.625pt" strokecolor="#006caa">
              <v:stroke dashstyle="solid"/>
            </v:line>
            <v:shape style="position:absolute;left:1933;top:112;width:883;height:1190" coordorigin="1933,112" coordsize="883,1190" path="m1933,112l2218,525m2218,525l2518,785m2518,785l2816,1302e" filled="false" stroked="true" strokeweight="1pt" strokecolor="#de0035">
              <v:path arrowok="t"/>
              <v:stroke dashstyle="solid"/>
            </v:shape>
            <v:line style="position:absolute" from="2806,1308" to="3113,1308" stroked="true" strokeweight="1.625pt" strokecolor="#de0035">
              <v:stroke dashstyle="solid"/>
            </v:line>
            <v:shape style="position:absolute;left:3103;top:1289;width:883;height:105" coordorigin="3103,1290" coordsize="883,105" path="m3103,1315l3401,1395m3401,1395l3688,1290m3688,1290l3986,1380e" filled="false" stroked="true" strokeweight="1pt" strokecolor="#de0035">
              <v:path arrowok="t"/>
              <v:stroke dashstyle="solid"/>
            </v:shape>
            <v:line style="position:absolute" from="1933,1265" to="2218,1395" stroked="true" strokeweight="1pt" strokecolor="#f6bd61">
              <v:stroke dashstyle="solid"/>
            </v:line>
            <v:line style="position:absolute" from="2208,1407" to="2528,1407" stroked="true" strokeweight="2.25pt" strokecolor="#f6bd61">
              <v:stroke dashstyle="solid"/>
            </v:line>
            <v:shape style="position:absolute;left:2518;top:1419;width:1170;height:260" coordorigin="2518,1420" coordsize="1170,260" path="m2518,1420l2816,1472m2816,1472l3103,1432m3103,1432l3401,1587m3401,1587l3688,1680e" filled="false" stroked="true" strokeweight="1pt" strokecolor="#f6bd61">
              <v:path arrowok="t"/>
              <v:stroke dashstyle="solid"/>
            </v:shape>
            <v:shape style="position:absolute;left:4045;top:482;width:87;height:976" coordorigin="4046,483" coordsize="87,976" path="m4046,483l4132,483m4046,961l4132,961m4046,1459l4132,1459e" filled="false" stroked="true" strokeweight=".5pt" strokecolor="#000000">
              <v:path arrowok="t"/>
              <v:stroke dashstyle="solid"/>
            </v:shape>
            <w10:wrap type="none"/>
          </v:group>
        </w:pict>
      </w:r>
      <w:r>
        <w:rPr>
          <w:sz w:val="12"/>
        </w:rPr>
        <w:t>Feb. 2000</w:t>
      </w:r>
    </w:p>
    <w:p>
      <w:pPr>
        <w:pStyle w:val="BodyText"/>
        <w:spacing w:before="8"/>
        <w:rPr>
          <w:sz w:val="16"/>
        </w:rPr>
      </w:pPr>
    </w:p>
    <w:p>
      <w:pPr>
        <w:spacing w:before="0"/>
        <w:ind w:left="823" w:right="0" w:firstLine="0"/>
        <w:jc w:val="left"/>
        <w:rPr>
          <w:sz w:val="12"/>
        </w:rPr>
      </w:pPr>
      <w:r>
        <w:rPr/>
        <w:pict>
          <v:line style="position:absolute;mso-position-horizontal-relative:page;mso-position-vertical-relative:paragraph;z-index:15955968" from="42.946999pt,5.141027pt" to="47.279999pt,5.141027pt" stroked="true" strokeweight=".5pt" strokecolor="#000000">
            <v:stroke dashstyle="solid"/>
            <w10:wrap type="none"/>
          </v:line>
        </w:pict>
      </w:r>
      <w:r>
        <w:rPr>
          <w:sz w:val="12"/>
        </w:rPr>
        <w:t>Oct. 1999</w:t>
      </w:r>
    </w:p>
    <w:p>
      <w:pPr>
        <w:pStyle w:val="BodyText"/>
        <w:rPr>
          <w:sz w:val="20"/>
        </w:rPr>
      </w:pPr>
    </w:p>
    <w:p>
      <w:pPr>
        <w:pStyle w:val="BodyText"/>
        <w:spacing w:before="7"/>
        <w:rPr>
          <w:sz w:val="14"/>
        </w:rPr>
      </w:pPr>
      <w:r>
        <w:rPr/>
        <w:pict>
          <v:shape style="position:absolute;margin-left:42.946999pt;margin-top:10.638412pt;width:4.350pt;height:.1pt;mso-position-horizontal-relative:page;mso-position-vertical-relative:paragraph;z-index:-15515648;mso-wrap-distance-left:0;mso-wrap-distance-right:0" coordorigin="859,213" coordsize="87,0" path="m859,213l946,213e" filled="false" stroked="true" strokeweight=".5pt" strokecolor="#000000">
            <v:path arrowok="t"/>
            <v:stroke dashstyle="solid"/>
            <w10:wrap type="topAndBottom"/>
          </v:shape>
        </w:pict>
      </w:r>
    </w:p>
    <w:p>
      <w:pPr>
        <w:spacing w:before="105"/>
        <w:ind w:left="853" w:right="0" w:firstLine="0"/>
        <w:jc w:val="left"/>
        <w:rPr>
          <w:sz w:val="12"/>
        </w:rPr>
      </w:pPr>
      <w:r>
        <w:rPr>
          <w:sz w:val="12"/>
        </w:rPr>
        <w:t>Mar. 1999</w:t>
      </w:r>
    </w:p>
    <w:p>
      <w:pPr>
        <w:pStyle w:val="BodyText"/>
        <w:spacing w:before="4"/>
        <w:rPr>
          <w:sz w:val="15"/>
        </w:rPr>
      </w:pPr>
      <w:r>
        <w:rPr/>
        <w:pict>
          <v:shape style="position:absolute;margin-left:42.946999pt;margin-top:11.042586pt;width:4.350pt;height:.1pt;mso-position-horizontal-relative:page;mso-position-vertical-relative:paragraph;z-index:-15515136;mso-wrap-distance-left:0;mso-wrap-distance-right:0" coordorigin="859,221" coordsize="87,0" path="m859,221l946,221e" filled="false" stroked="true" strokeweight=".5pt" strokecolor="#000000">
            <v:path arrowok="t"/>
            <v:stroke dashstyle="solid"/>
            <w10:wrap type="topAndBottom"/>
          </v:shape>
        </w:pict>
      </w:r>
    </w:p>
    <w:p>
      <w:pPr>
        <w:pStyle w:val="BodyText"/>
        <w:rPr>
          <w:sz w:val="20"/>
        </w:rPr>
      </w:pPr>
    </w:p>
    <w:p>
      <w:pPr>
        <w:pStyle w:val="BodyText"/>
        <w:spacing w:before="10"/>
        <w:rPr>
          <w:sz w:val="19"/>
        </w:rPr>
      </w:pPr>
    </w:p>
    <w:p>
      <w:pPr>
        <w:tabs>
          <w:tab w:pos="3400" w:val="left" w:leader="none"/>
        </w:tabs>
        <w:spacing w:line="20" w:lineRule="exact"/>
        <w:ind w:left="213" w:right="-87"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0"/>
        <w:ind w:left="568" w:right="0" w:firstLine="0"/>
        <w:jc w:val="left"/>
        <w:rPr>
          <w:sz w:val="12"/>
        </w:rPr>
      </w:pPr>
      <w:r>
        <w:rPr>
          <w:sz w:val="12"/>
        </w:rPr>
        <w:t>June 1996</w:t>
      </w:r>
    </w:p>
    <w:p>
      <w:pPr>
        <w:pStyle w:val="BodyText"/>
        <w:ind w:left="400"/>
        <w:rPr>
          <w:sz w:val="20"/>
        </w:rPr>
      </w:pPr>
      <w:r>
        <w:rPr>
          <w:sz w:val="20"/>
        </w:rPr>
        <w:pict>
          <v:group style="width:89.25pt;height:13.9pt;mso-position-horizontal-relative:char;mso-position-vertical-relative:line" coordorigin="0,0" coordsize="1785,278">
            <v:shape style="position:absolute;left:10;top:10;width:883;height:183" coordorigin="10,10" coordsize="883,183" path="m10,10l308,73m308,73l595,190m595,190l893,193e" filled="false" stroked="true" strokeweight="1pt" strokecolor="#44af34">
              <v:path arrowok="t"/>
              <v:stroke dashstyle="solid"/>
            </v:shape>
            <v:line style="position:absolute" from="883,203" to="1188,203" stroked="true" strokeweight="2.25pt" strokecolor="#44af34">
              <v:stroke dashstyle="solid"/>
            </v:line>
            <v:line style="position:absolute" from="1168,209" to="1488,209" stroked="true" strokeweight="1.625pt" strokecolor="#44af34">
              <v:stroke dashstyle="solid"/>
            </v:line>
            <v:line style="position:absolute" from="1478,203" to="1775,268" stroked="true" strokeweight="1pt" strokecolor="#44af34">
              <v:stroke dashstyle="solid"/>
            </v:line>
          </v:group>
        </w:pict>
      </w:r>
      <w:r>
        <w:rPr>
          <w:sz w:val="20"/>
        </w:rPr>
      </w:r>
    </w:p>
    <w:p>
      <w:pPr>
        <w:pStyle w:val="BodyText"/>
        <w:spacing w:before="1"/>
        <w:rPr>
          <w:sz w:val="3"/>
        </w:rPr>
      </w:pPr>
    </w:p>
    <w:p>
      <w:pPr>
        <w:tabs>
          <w:tab w:pos="3400" w:val="left" w:leader="none"/>
        </w:tabs>
        <w:spacing w:line="20" w:lineRule="exact"/>
        <w:ind w:left="213" w:right="-87"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rPr>
          <w:sz w:val="15"/>
        </w:rPr>
      </w:pPr>
    </w:p>
    <w:p>
      <w:pPr>
        <w:spacing w:line="77" w:lineRule="exact"/>
        <w:ind w:left="213" w:right="-87" w:firstLine="0"/>
        <w:rPr>
          <w:sz w:val="7"/>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pacing w:val="55"/>
          <w:sz w:val="7"/>
        </w:rPr>
        <w:t> </w:t>
      </w:r>
      <w:r>
        <w:rPr>
          <w:spacing w:val="55"/>
          <w:position w:val="-1"/>
          <w:sz w:val="7"/>
        </w:rPr>
        <w:pict>
          <v:group style="width:154.5pt;height:3.65pt;mso-position-horizontal-relative:char;mso-position-vertical-relative:line" coordorigin="0,0" coordsize="3090,73">
            <v:shape style="position:absolute;left:5;top:0;width:3085;height:68" coordorigin="5,0" coordsize="3085,68" path="m8,67l2943,67m5,0l5,67m309,0l309,67m593,0l593,67m1161,0l1161,67m1770,0l1770,67m2358,0l2358,67m2642,0l2642,67m2946,0l2946,67m877,0l877,67m1465,0l1465,67m2054,0l2054,67m3003,56l3090,56e" filled="false" stroked="true" strokeweight=".5pt" strokecolor="#000000">
              <v:path arrowok="t"/>
              <v:stroke dashstyle="solid"/>
            </v:shape>
          </v:group>
        </w:pict>
      </w:r>
      <w:r>
        <w:rPr>
          <w:spacing w:val="55"/>
          <w:position w:val="-1"/>
          <w:sz w:val="7"/>
        </w:rPr>
      </w:r>
    </w:p>
    <w:p>
      <w:pPr>
        <w:tabs>
          <w:tab w:pos="644" w:val="left" w:leader="none"/>
          <w:tab w:pos="1144" w:val="left" w:leader="none"/>
          <w:tab w:pos="1792" w:val="left" w:leader="none"/>
          <w:tab w:pos="2412" w:val="left" w:leader="none"/>
          <w:tab w:pos="2979" w:val="left" w:leader="none"/>
        </w:tabs>
        <w:spacing w:before="87"/>
        <w:ind w:left="0" w:right="81" w:firstLine="0"/>
        <w:jc w:val="right"/>
        <w:rPr>
          <w:sz w:val="12"/>
        </w:rPr>
      </w:pPr>
      <w:r>
        <w:rPr>
          <w:sz w:val="12"/>
        </w:rPr>
        <w:t>1996</w:t>
        <w:tab/>
        <w:t>98</w:t>
        <w:tab/>
        <w:t>2000</w:t>
        <w:tab/>
        <w:t>02</w:t>
        <w:tab/>
        <w:t>04</w:t>
        <w:tab/>
        <w:t>06</w:t>
      </w:r>
    </w:p>
    <w:p>
      <w:pPr>
        <w:spacing w:before="81"/>
        <w:ind w:left="169" w:right="0" w:firstLine="0"/>
        <w:jc w:val="left"/>
        <w:rPr>
          <w:sz w:val="12"/>
        </w:rPr>
      </w:pPr>
      <w:r>
        <w:rPr>
          <w:sz w:val="12"/>
        </w:rPr>
        <w:t>Source: Consensus Economics.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3"/>
        <w:ind w:left="81" w:right="0" w:firstLine="0"/>
        <w:jc w:val="left"/>
        <w:rPr>
          <w:sz w:val="12"/>
        </w:rPr>
      </w:pPr>
      <w:r>
        <w:rPr>
          <w:sz w:val="12"/>
        </w:rPr>
        <w:t>1.60</w:t>
      </w:r>
    </w:p>
    <w:p>
      <w:pPr>
        <w:pStyle w:val="BodyText"/>
        <w:rPr>
          <w:sz w:val="12"/>
        </w:rPr>
      </w:pPr>
    </w:p>
    <w:p>
      <w:pPr>
        <w:pStyle w:val="BodyText"/>
        <w:rPr>
          <w:sz w:val="12"/>
        </w:rPr>
      </w:pPr>
    </w:p>
    <w:p>
      <w:pPr>
        <w:spacing w:before="78"/>
        <w:ind w:left="81" w:right="0" w:firstLine="0"/>
        <w:jc w:val="left"/>
        <w:rPr>
          <w:sz w:val="12"/>
        </w:rPr>
      </w:pPr>
      <w:r>
        <w:rPr>
          <w:sz w:val="12"/>
        </w:rPr>
        <w:t>1.50</w:t>
      </w:r>
    </w:p>
    <w:p>
      <w:pPr>
        <w:pStyle w:val="BodyText"/>
        <w:rPr>
          <w:sz w:val="12"/>
        </w:rPr>
      </w:pPr>
    </w:p>
    <w:p>
      <w:pPr>
        <w:pStyle w:val="BodyText"/>
        <w:spacing w:before="6"/>
        <w:rPr>
          <w:sz w:val="17"/>
        </w:rPr>
      </w:pPr>
    </w:p>
    <w:p>
      <w:pPr>
        <w:spacing w:before="0"/>
        <w:ind w:left="81" w:right="0" w:firstLine="0"/>
        <w:jc w:val="left"/>
        <w:rPr>
          <w:sz w:val="12"/>
        </w:rPr>
      </w:pPr>
      <w:r>
        <w:rPr>
          <w:sz w:val="12"/>
        </w:rPr>
        <w:t>1.40</w:t>
      </w:r>
    </w:p>
    <w:p>
      <w:pPr>
        <w:pStyle w:val="BodyText"/>
        <w:rPr>
          <w:sz w:val="12"/>
        </w:rPr>
      </w:pPr>
    </w:p>
    <w:p>
      <w:pPr>
        <w:pStyle w:val="BodyText"/>
        <w:rPr>
          <w:sz w:val="12"/>
        </w:rPr>
      </w:pPr>
    </w:p>
    <w:p>
      <w:pPr>
        <w:spacing w:before="79"/>
        <w:ind w:left="81" w:right="0" w:firstLine="0"/>
        <w:jc w:val="left"/>
        <w:rPr>
          <w:sz w:val="12"/>
        </w:rPr>
      </w:pPr>
      <w:r>
        <w:rPr>
          <w:sz w:val="12"/>
        </w:rPr>
        <w:t>1.30</w:t>
      </w:r>
    </w:p>
    <w:p>
      <w:pPr>
        <w:pStyle w:val="BodyText"/>
        <w:rPr>
          <w:sz w:val="12"/>
        </w:rPr>
      </w:pPr>
    </w:p>
    <w:p>
      <w:pPr>
        <w:pStyle w:val="BodyText"/>
        <w:rPr>
          <w:sz w:val="12"/>
        </w:rPr>
      </w:pPr>
    </w:p>
    <w:p>
      <w:pPr>
        <w:spacing w:before="78"/>
        <w:ind w:left="81" w:right="0" w:firstLine="0"/>
        <w:jc w:val="left"/>
        <w:rPr>
          <w:sz w:val="12"/>
        </w:rPr>
      </w:pPr>
      <w:r>
        <w:rPr>
          <w:sz w:val="12"/>
        </w:rPr>
        <w:t>1.20</w:t>
      </w:r>
    </w:p>
    <w:p>
      <w:pPr>
        <w:pStyle w:val="BodyText"/>
        <w:rPr>
          <w:sz w:val="12"/>
        </w:rPr>
      </w:pPr>
    </w:p>
    <w:p>
      <w:pPr>
        <w:pStyle w:val="BodyText"/>
        <w:spacing w:before="9"/>
        <w:rPr>
          <w:sz w:val="17"/>
        </w:rPr>
      </w:pPr>
    </w:p>
    <w:p>
      <w:pPr>
        <w:spacing w:before="0"/>
        <w:ind w:left="81" w:right="0" w:firstLine="0"/>
        <w:jc w:val="left"/>
        <w:rPr>
          <w:sz w:val="12"/>
        </w:rPr>
      </w:pPr>
      <w:r>
        <w:rPr>
          <w:sz w:val="12"/>
        </w:rPr>
        <w:t>1.10</w:t>
      </w:r>
    </w:p>
    <w:p>
      <w:pPr>
        <w:pStyle w:val="BodyText"/>
        <w:rPr>
          <w:sz w:val="12"/>
        </w:rPr>
      </w:pPr>
    </w:p>
    <w:p>
      <w:pPr>
        <w:pStyle w:val="BodyText"/>
        <w:rPr>
          <w:sz w:val="12"/>
        </w:rPr>
      </w:pPr>
    </w:p>
    <w:p>
      <w:pPr>
        <w:spacing w:before="78"/>
        <w:ind w:left="81" w:right="0" w:firstLine="0"/>
        <w:jc w:val="left"/>
        <w:rPr>
          <w:sz w:val="12"/>
        </w:rPr>
      </w:pPr>
      <w:r>
        <w:rPr>
          <w:sz w:val="12"/>
        </w:rPr>
        <w:t>1.00</w:t>
      </w:r>
    </w:p>
    <w:p>
      <w:pPr>
        <w:pStyle w:val="Heading6"/>
        <w:spacing w:line="242" w:lineRule="auto" w:before="90"/>
        <w:ind w:left="168" w:right="222"/>
      </w:pPr>
      <w:r>
        <w:rPr/>
        <w:br w:type="column"/>
      </w:r>
      <w:r>
        <w:rPr/>
        <w:t>Narrow money growth has fallen from unusually high </w:t>
      </w:r>
      <w:r>
        <w:rPr>
          <w:spacing w:val="-3"/>
        </w:rPr>
        <w:t>levels </w:t>
      </w:r>
      <w:r>
        <w:rPr/>
        <w:t>around the turn of the </w:t>
      </w:r>
      <w:r>
        <w:rPr>
          <w:spacing w:val="-3"/>
        </w:rPr>
        <w:t>new </w:t>
      </w:r>
      <w:r>
        <w:rPr/>
        <w:t>millennium, but remains well above nominal spending growth. Annual broad money growth increased in 2000 Q1, owing to higher OFCs’ M4 deposits at the end of the </w:t>
      </w:r>
      <w:r>
        <w:rPr>
          <w:spacing w:val="-3"/>
        </w:rPr>
        <w:t>quarter. </w:t>
      </w:r>
      <w:r>
        <w:rPr/>
        <w:t>By contrast, growth in other broad money deposits eased </w:t>
      </w:r>
      <w:r>
        <w:rPr>
          <w:spacing w:val="-3"/>
        </w:rPr>
        <w:t>slightly. </w:t>
      </w:r>
      <w:r>
        <w:rPr/>
        <w:t>Annual lending growth has strengthened further, consistent with a growing financial deficit of the UK </w:t>
      </w:r>
      <w:r>
        <w:rPr>
          <w:spacing w:val="-3"/>
        </w:rPr>
        <w:t>private sector.  </w:t>
      </w:r>
      <w:r>
        <w:rPr/>
        <w:t>Equity prices </w:t>
      </w:r>
      <w:r>
        <w:rPr>
          <w:spacing w:val="-3"/>
        </w:rPr>
        <w:t>have </w:t>
      </w:r>
      <w:r>
        <w:rPr/>
        <w:t>fallen slightly </w:t>
      </w:r>
      <w:r>
        <w:rPr>
          <w:spacing w:val="-3"/>
        </w:rPr>
        <w:t>over </w:t>
      </w:r>
      <w:r>
        <w:rPr/>
        <w:t>the past three months, with particularly large falls in high-technology sector share indices. House price inflation</w:t>
      </w:r>
      <w:r>
        <w:rPr>
          <w:spacing w:val="-8"/>
        </w:rPr>
        <w:t> </w:t>
      </w:r>
      <w:r>
        <w:rPr/>
        <w:t>remains</w:t>
      </w:r>
      <w:r>
        <w:rPr>
          <w:spacing w:val="-7"/>
        </w:rPr>
        <w:t> </w:t>
      </w:r>
      <w:r>
        <w:rPr/>
        <w:t>rapid</w:t>
      </w:r>
      <w:r>
        <w:rPr>
          <w:spacing w:val="-7"/>
        </w:rPr>
        <w:t> </w:t>
      </w:r>
      <w:r>
        <w:rPr/>
        <w:t>but</w:t>
      </w:r>
      <w:r>
        <w:rPr>
          <w:spacing w:val="-7"/>
        </w:rPr>
        <w:t> </w:t>
      </w:r>
      <w:r>
        <w:rPr/>
        <w:t>there</w:t>
      </w:r>
      <w:r>
        <w:rPr>
          <w:spacing w:val="-7"/>
        </w:rPr>
        <w:t> </w:t>
      </w:r>
      <w:r>
        <w:rPr/>
        <w:t>are</w:t>
      </w:r>
      <w:r>
        <w:rPr>
          <w:spacing w:val="-7"/>
        </w:rPr>
        <w:t> </w:t>
      </w:r>
      <w:r>
        <w:rPr/>
        <w:t>some</w:t>
      </w:r>
      <w:r>
        <w:rPr>
          <w:spacing w:val="-7"/>
        </w:rPr>
        <w:t> </w:t>
      </w:r>
      <w:r>
        <w:rPr/>
        <w:t>tentative</w:t>
      </w:r>
      <w:r>
        <w:rPr>
          <w:spacing w:val="-7"/>
        </w:rPr>
        <w:t> </w:t>
      </w:r>
      <w:r>
        <w:rPr/>
        <w:t>signs that it may be</w:t>
      </w:r>
      <w:r>
        <w:rPr>
          <w:spacing w:val="-5"/>
        </w:rPr>
        <w:t> </w:t>
      </w:r>
      <w:r>
        <w:rPr/>
        <w:t>easing.</w:t>
      </w:r>
    </w:p>
    <w:p>
      <w:pPr>
        <w:pStyle w:val="BodyText"/>
        <w:spacing w:before="9"/>
        <w:rPr>
          <w:sz w:val="25"/>
        </w:rPr>
      </w:pPr>
    </w:p>
    <w:p>
      <w:pPr>
        <w:spacing w:line="242" w:lineRule="auto" w:before="0"/>
        <w:ind w:left="168" w:right="233" w:firstLine="0"/>
        <w:jc w:val="left"/>
        <w:rPr>
          <w:sz w:val="24"/>
        </w:rPr>
      </w:pPr>
      <w:r>
        <w:rPr>
          <w:sz w:val="24"/>
        </w:rPr>
        <w:t>Sterling remains very high, reflecting persistent euro weakness against a range of currencies including sterling. Estimated UK short real rates have risen over the past year. But short-term nominal interest rate expectations have eased in recent months and long-term interest rates have fallen. The market still expects the repo rate to rise in the near term but now anticipates a lower peak in official interest rates.</w:t>
      </w:r>
    </w:p>
    <w:p>
      <w:pPr>
        <w:spacing w:after="0" w:line="242" w:lineRule="auto"/>
        <w:jc w:val="left"/>
        <w:rPr>
          <w:sz w:val="24"/>
        </w:rPr>
        <w:sectPr>
          <w:type w:val="continuous"/>
          <w:pgSz w:w="11900" w:h="16840"/>
          <w:pgMar w:top="1220" w:bottom="280" w:left="640" w:right="620"/>
          <w:cols w:num="3" w:equalWidth="0">
            <w:col w:w="3478" w:space="40"/>
            <w:col w:w="332" w:space="961"/>
            <w:col w:w="5829"/>
          </w:cols>
        </w:sectPr>
      </w:pPr>
    </w:p>
    <w:p>
      <w:pPr>
        <w:pStyle w:val="BodyText"/>
        <w:spacing w:line="20" w:lineRule="exact"/>
        <w:ind w:left="13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40.090pt;margin-top:12.000977pt;width:516pt;height:48pt;mso-position-horizontal-relative:page;mso-position-vertical-relative:paragraph;z-index:-15500288;mso-wrap-distance-left:0;mso-wrap-distance-right:0" type="#_x0000_t202" filled="true" fillcolor="#cee2e0" stroked="false">
            <v:textbox inset="0,0,0,0">
              <w:txbxContent>
                <w:p>
                  <w:pPr>
                    <w:tabs>
                      <w:tab w:pos="5993" w:val="left" w:leader="none"/>
                    </w:tabs>
                    <w:spacing w:before="51"/>
                    <w:ind w:left="260" w:right="0" w:firstLine="0"/>
                    <w:jc w:val="left"/>
                    <w:rPr>
                      <w:b/>
                      <w:sz w:val="48"/>
                    </w:rPr>
                  </w:pPr>
                  <w:bookmarkStart w:name="Demand and output" w:id="35"/>
                  <w:bookmarkEnd w:id="35"/>
                  <w:r>
                    <w:rPr/>
                  </w:r>
                  <w:bookmarkStart w:name="External demand" w:id="36"/>
                  <w:bookmarkEnd w:id="36"/>
                  <w:r>
                    <w:rPr/>
                  </w:r>
                  <w:bookmarkStart w:name="_bookmark17" w:id="37"/>
                  <w:bookmarkEnd w:id="37"/>
                  <w:r>
                    <w:rPr/>
                  </w:r>
                  <w:bookmarkStart w:name="_bookmark18" w:id="38"/>
                  <w:bookmarkEnd w:id="38"/>
                  <w:r>
                    <w:rPr/>
                  </w:r>
                  <w:r>
                    <w:rPr>
                      <w:b/>
                      <w:color w:val="009391"/>
                      <w:sz w:val="72"/>
                    </w:rPr>
                    <w:t>2</w:t>
                    <w:tab/>
                  </w:r>
                  <w:r>
                    <w:rPr>
                      <w:b/>
                      <w:color w:val="009391"/>
                      <w:sz w:val="48"/>
                    </w:rPr>
                    <w:t>Demand and</w:t>
                  </w:r>
                  <w:r>
                    <w:rPr>
                      <w:b/>
                      <w:color w:val="009391"/>
                      <w:spacing w:val="-9"/>
                      <w:sz w:val="48"/>
                    </w:rPr>
                    <w:t> </w:t>
                  </w:r>
                  <w:r>
                    <w:rPr>
                      <w:b/>
                      <w:color w:val="009391"/>
                      <w:sz w:val="48"/>
                    </w:rPr>
                    <w:t>output</w:t>
                  </w:r>
                </w:p>
              </w:txbxContent>
            </v:textbox>
            <v:fill type="solid"/>
            <w10:wrap type="topAndBottom"/>
          </v:shape>
        </w:pict>
      </w:r>
    </w:p>
    <w:p>
      <w:pPr>
        <w:pStyle w:val="BodyText"/>
        <w:rPr>
          <w:sz w:val="20"/>
        </w:rPr>
      </w:pPr>
    </w:p>
    <w:p>
      <w:pPr>
        <w:pStyle w:val="BodyText"/>
        <w:spacing w:before="5"/>
        <w:rPr>
          <w:sz w:val="29"/>
        </w:rPr>
      </w:pPr>
    </w:p>
    <w:p>
      <w:pPr>
        <w:spacing w:line="242" w:lineRule="auto" w:before="90"/>
        <w:ind w:left="4960" w:right="208" w:firstLine="0"/>
        <w:jc w:val="left"/>
        <w:rPr>
          <w:sz w:val="24"/>
        </w:rPr>
      </w:pPr>
      <w:r>
        <w:rPr>
          <w:sz w:val="24"/>
        </w:rPr>
        <w:t>Continued strength in final domestic demand underpinned GDP growth of 0.8% in 1999 Q4, with the expansion of consumption remaining particularly robust. By contrast, the contribution of net trade to GDP growth was sharply </w:t>
      </w:r>
      <w:r>
        <w:rPr>
          <w:spacing w:val="-3"/>
          <w:sz w:val="24"/>
        </w:rPr>
        <w:t>negative </w:t>
      </w:r>
      <w:r>
        <w:rPr>
          <w:sz w:val="24"/>
        </w:rPr>
        <w:t>in Q4. Overseas demand picked up further, but the net trade position was dampened by the strength of the exchange rate and some unwinding of the very sharp rise in exports observed in the previous </w:t>
      </w:r>
      <w:r>
        <w:rPr>
          <w:spacing w:val="-3"/>
          <w:sz w:val="24"/>
        </w:rPr>
        <w:t>quarter. </w:t>
      </w:r>
      <w:r>
        <w:rPr>
          <w:sz w:val="24"/>
        </w:rPr>
        <w:t>Growth in the service sector remains robust, but industrial production has weakened in recent months, and preliminary estimates suggest that overall output growth slowed to 0.4% in 2000</w:t>
      </w:r>
      <w:r>
        <w:rPr>
          <w:spacing w:val="-2"/>
          <w:sz w:val="24"/>
        </w:rPr>
        <w:t> </w:t>
      </w:r>
      <w:r>
        <w:rPr>
          <w:sz w:val="24"/>
        </w:rPr>
        <w:t>Q1.</w:t>
      </w:r>
    </w:p>
    <w:p>
      <w:pPr>
        <w:pStyle w:val="BodyText"/>
        <w:rPr>
          <w:sz w:val="20"/>
        </w:rPr>
      </w:pPr>
    </w:p>
    <w:p>
      <w:pPr>
        <w:pStyle w:val="Heading3"/>
        <w:numPr>
          <w:ilvl w:val="1"/>
          <w:numId w:val="10"/>
        </w:numPr>
        <w:tabs>
          <w:tab w:pos="8167" w:val="left" w:leader="none"/>
          <w:tab w:pos="8168" w:val="left" w:leader="none"/>
        </w:tabs>
        <w:spacing w:line="240" w:lineRule="auto" w:before="88" w:after="0"/>
        <w:ind w:left="8167" w:right="0" w:hanging="3208"/>
        <w:jc w:val="left"/>
      </w:pPr>
      <w:r>
        <w:rPr>
          <w:color w:val="009391"/>
          <w:u w:val="thick" w:color="0092C7"/>
        </w:rPr>
        <w:t>External</w:t>
      </w:r>
      <w:r>
        <w:rPr>
          <w:color w:val="009391"/>
          <w:spacing w:val="-4"/>
          <w:u w:val="thick" w:color="0092C7"/>
        </w:rPr>
        <w:t> </w:t>
      </w:r>
      <w:r>
        <w:rPr>
          <w:color w:val="009391"/>
          <w:u w:val="thick" w:color="0092C7"/>
        </w:rPr>
        <w:t>demand</w:t>
      </w:r>
      <w:r>
        <w:rPr>
          <w:color w:val="009391"/>
          <w:spacing w:val="-11"/>
          <w:u w:val="thick" w:color="0092C7"/>
        </w:rPr>
        <w:t> </w:t>
      </w:r>
    </w:p>
    <w:p>
      <w:pPr>
        <w:spacing w:line="242" w:lineRule="auto" w:before="264"/>
        <w:ind w:left="4959" w:right="254" w:firstLine="0"/>
        <w:jc w:val="left"/>
        <w:rPr>
          <w:sz w:val="24"/>
        </w:rPr>
      </w:pPr>
      <w:r>
        <w:rPr>
          <w:sz w:val="24"/>
        </w:rPr>
        <w:t>The outlook for growth in UK export markets has strengthened further since the February </w:t>
      </w:r>
      <w:r>
        <w:rPr>
          <w:i/>
          <w:sz w:val="24"/>
        </w:rPr>
        <w:t>Report</w:t>
      </w:r>
      <w:r>
        <w:rPr>
          <w:sz w:val="24"/>
        </w:rPr>
        <w:t>.</w:t>
      </w:r>
      <w:r>
        <w:rPr>
          <w:position w:val="5"/>
          <w:sz w:val="16"/>
        </w:rPr>
        <w:t>(1) </w:t>
      </w:r>
      <w:r>
        <w:rPr>
          <w:sz w:val="24"/>
        </w:rPr>
        <w:t>The pace of expansion in the United States in recent quarters has again been faster than expected, with estimates of GDP growth revised up to 1.8% in 1999 Q4 and growth of 1.3% in 2000 Q1. Output in the United States grew by 4.1% in 1999 as a whole compared with 1998, but domestic demand grew </w:t>
      </w:r>
      <w:r>
        <w:rPr>
          <w:spacing w:val="-3"/>
          <w:sz w:val="24"/>
        </w:rPr>
        <w:t>even </w:t>
      </w:r>
      <w:r>
        <w:rPr>
          <w:sz w:val="24"/>
        </w:rPr>
        <w:t>more strongly and the </w:t>
      </w:r>
      <w:r>
        <w:rPr>
          <w:spacing w:val="-3"/>
          <w:sz w:val="24"/>
        </w:rPr>
        <w:t>trade </w:t>
      </w:r>
      <w:r>
        <w:rPr>
          <w:sz w:val="24"/>
        </w:rPr>
        <w:t>deficit widened </w:t>
      </w:r>
      <w:r>
        <w:rPr>
          <w:spacing w:val="-3"/>
          <w:sz w:val="24"/>
        </w:rPr>
        <w:t>further. </w:t>
      </w:r>
      <w:r>
        <w:rPr>
          <w:sz w:val="24"/>
        </w:rPr>
        <w:t>The </w:t>
      </w:r>
      <w:r>
        <w:rPr>
          <w:spacing w:val="-4"/>
          <w:sz w:val="24"/>
        </w:rPr>
        <w:t>MPC’s </w:t>
      </w:r>
      <w:r>
        <w:rPr>
          <w:sz w:val="24"/>
        </w:rPr>
        <w:t>expected profile for US growth has been raised since February, although domestic demand growth is still projected to slow </w:t>
      </w:r>
      <w:r>
        <w:rPr>
          <w:spacing w:val="-3"/>
          <w:sz w:val="24"/>
        </w:rPr>
        <w:t>over </w:t>
      </w:r>
      <w:r>
        <w:rPr>
          <w:sz w:val="24"/>
        </w:rPr>
        <w:t>the next two years. The outlook for demand growth in the euro area has also improved since</w:t>
      </w:r>
      <w:r>
        <w:rPr>
          <w:spacing w:val="-16"/>
          <w:sz w:val="24"/>
        </w:rPr>
        <w:t> </w:t>
      </w:r>
      <w:r>
        <w:rPr>
          <w:spacing w:val="-3"/>
          <w:sz w:val="24"/>
        </w:rPr>
        <w:t>February.</w:t>
      </w:r>
    </w:p>
    <w:p>
      <w:pPr>
        <w:spacing w:line="242" w:lineRule="auto" w:before="16"/>
        <w:ind w:left="4959" w:right="190" w:firstLine="0"/>
        <w:jc w:val="left"/>
        <w:rPr>
          <w:sz w:val="24"/>
        </w:rPr>
      </w:pPr>
      <w:r>
        <w:rPr>
          <w:sz w:val="24"/>
        </w:rPr>
        <w:t>Euro-area GDP rose by 0.9% in 1999 Q4, with domestic demand somewhat stronger than expected, and estimates of growth in the earlier quarters of 1999 were revised up slightly. High levels of consumer and industrial confidence continue to support the outlook for growth in the euro area. Economic activity in emerging market economies has picked up further since February. By contrast, growth in Japan remains muted and uneven.</w:t>
      </w:r>
    </w:p>
    <w:p>
      <w:pPr>
        <w:spacing w:line="242" w:lineRule="auto" w:before="10"/>
        <w:ind w:left="4959" w:right="214" w:firstLine="0"/>
        <w:jc w:val="left"/>
        <w:rPr>
          <w:sz w:val="24"/>
        </w:rPr>
      </w:pPr>
      <w:r>
        <w:rPr>
          <w:sz w:val="24"/>
        </w:rPr>
        <w:t>Japanese GDP declined by 1.4% in 1999 Q4, which was weaker than expected at the time of the February </w:t>
      </w:r>
      <w:r>
        <w:rPr>
          <w:i/>
          <w:sz w:val="24"/>
        </w:rPr>
        <w:t>Report</w:t>
      </w:r>
      <w:r>
        <w:rPr>
          <w:sz w:val="24"/>
        </w:rPr>
        <w:t>. There are signs of recovery in non-residential </w:t>
      </w:r>
      <w:r>
        <w:rPr>
          <w:spacing w:val="-3"/>
          <w:sz w:val="24"/>
        </w:rPr>
        <w:t>investment </w:t>
      </w:r>
      <w:r>
        <w:rPr>
          <w:sz w:val="24"/>
        </w:rPr>
        <w:t>and industrial production in Japan, but other areas of economic activity remain weak. Overall, the MPC judges that UK export markets will grow faster over</w:t>
      </w:r>
      <w:r>
        <w:rPr>
          <w:spacing w:val="-21"/>
          <w:sz w:val="24"/>
        </w:rPr>
        <w:t> </w:t>
      </w:r>
      <w:r>
        <w:rPr>
          <w:sz w:val="24"/>
        </w:rPr>
        <w:t>the</w:t>
      </w:r>
    </w:p>
    <w:p>
      <w:pPr>
        <w:pStyle w:val="BodyText"/>
        <w:rPr>
          <w:sz w:val="38"/>
        </w:rPr>
      </w:pPr>
    </w:p>
    <w:p>
      <w:pPr>
        <w:spacing w:line="208" w:lineRule="auto" w:before="0"/>
        <w:ind w:left="5200" w:right="741" w:hanging="240"/>
        <w:jc w:val="left"/>
        <w:rPr>
          <w:sz w:val="16"/>
        </w:rPr>
      </w:pPr>
      <w:r>
        <w:rPr>
          <w:sz w:val="16"/>
        </w:rPr>
        <w:t>(1) For a detailed discussion of international economic developments, see ‘The international environment’ article in the </w:t>
      </w:r>
      <w:r>
        <w:rPr>
          <w:i/>
          <w:sz w:val="16"/>
        </w:rPr>
        <w:t>Bank of England Quarterly </w:t>
      </w:r>
      <w:r>
        <w:rPr>
          <w:i/>
          <w:sz w:val="16"/>
        </w:rPr>
        <w:t>Bulletin</w:t>
      </w:r>
      <w:r>
        <w:rPr>
          <w:sz w:val="16"/>
        </w:rPr>
        <w:t>, May 2000, pages 135–49.</w:t>
      </w:r>
    </w:p>
    <w:p>
      <w:pPr>
        <w:spacing w:after="0" w:line="208" w:lineRule="auto"/>
        <w:jc w:val="left"/>
        <w:rPr>
          <w:sz w:val="16"/>
        </w:rPr>
        <w:sectPr>
          <w:headerReference w:type="default" r:id="rId67"/>
          <w:footerReference w:type="default" r:id="rId68"/>
          <w:footerReference w:type="even" r:id="rId69"/>
          <w:pgSz w:w="11900" w:h="16840"/>
          <w:pgMar w:header="0" w:footer="934" w:top="780" w:bottom="1120" w:left="640" w:right="620"/>
        </w:sectPr>
      </w:pPr>
    </w:p>
    <w:p>
      <w:pPr>
        <w:pStyle w:val="BodyText"/>
        <w:rPr>
          <w:sz w:val="20"/>
        </w:rPr>
      </w:pPr>
    </w:p>
    <w:p>
      <w:pPr>
        <w:spacing w:after="0"/>
        <w:rPr>
          <w:sz w:val="20"/>
        </w:rPr>
        <w:sectPr>
          <w:headerReference w:type="even" r:id="rId70"/>
          <w:headerReference w:type="default" r:id="rId71"/>
          <w:pgSz w:w="11900" w:h="16840"/>
          <w:pgMar w:header="586" w:footer="617" w:top="780" w:bottom="800" w:left="640" w:right="620"/>
        </w:sectPr>
      </w:pPr>
    </w:p>
    <w:p>
      <w:pPr>
        <w:pStyle w:val="BodyText"/>
        <w:spacing w:before="6"/>
        <w:rPr>
          <w:sz w:val="20"/>
        </w:rPr>
      </w:pPr>
    </w:p>
    <w:p>
      <w:pPr>
        <w:spacing w:before="0"/>
        <w:ind w:left="160" w:right="0" w:firstLine="0"/>
        <w:jc w:val="left"/>
        <w:rPr>
          <w:b/>
          <w:sz w:val="20"/>
        </w:rPr>
      </w:pPr>
      <w:r>
        <w:rPr>
          <w:b/>
          <w:color w:val="0092C7"/>
          <w:sz w:val="20"/>
        </w:rPr>
        <w:t>Chart 2.1</w:t>
      </w:r>
    </w:p>
    <w:p>
      <w:pPr>
        <w:spacing w:before="10"/>
        <w:ind w:left="160" w:right="0" w:firstLine="0"/>
        <w:jc w:val="left"/>
        <w:rPr>
          <w:b/>
          <w:sz w:val="20"/>
        </w:rPr>
      </w:pPr>
      <w:r>
        <w:rPr>
          <w:b/>
          <w:color w:val="0092C7"/>
          <w:sz w:val="20"/>
        </w:rPr>
        <w:t>UK export volumes</w:t>
      </w:r>
    </w:p>
    <w:p>
      <w:pPr>
        <w:pStyle w:val="BodyText"/>
        <w:spacing w:before="7"/>
        <w:rPr>
          <w:b/>
        </w:rPr>
      </w:pPr>
    </w:p>
    <w:p>
      <w:pPr>
        <w:spacing w:before="0"/>
        <w:ind w:left="1570" w:right="0" w:firstLine="0"/>
        <w:jc w:val="left"/>
        <w:rPr>
          <w:sz w:val="11"/>
        </w:rPr>
      </w:pPr>
      <w:r>
        <w:rPr/>
        <w:pict>
          <v:line style="position:absolute;mso-position-horizontal-relative:page;mso-position-vertical-relative:paragraph;z-index:15969280" from="48.237999pt,7.739087pt" to="43.904999pt,7.739087pt" stroked="true" strokeweight=".5pt" strokecolor="#000000">
            <v:stroke dashstyle="solid"/>
            <w10:wrap type="none"/>
          </v:line>
        </w:pict>
      </w:r>
      <w:r>
        <w:rPr>
          <w:w w:val="105"/>
          <w:sz w:val="11"/>
        </w:rPr>
        <w:t>Percentage changes on a quarter earli</w:t>
      </w:r>
      <w:r>
        <w:rPr>
          <w:w w:val="105"/>
          <w:sz w:val="11"/>
          <w:u w:val="single"/>
        </w:rPr>
        <w:t>er</w:t>
      </w:r>
      <w:r>
        <w:rPr>
          <w:spacing w:val="13"/>
          <w:w w:val="105"/>
          <w:sz w:val="11"/>
        </w:rPr>
        <w:t> </w:t>
      </w:r>
      <w:r>
        <w:rPr>
          <w:w w:val="105"/>
          <w:position w:val="-7"/>
          <w:sz w:val="11"/>
        </w:rPr>
        <w:t>10</w:t>
      </w:r>
    </w:p>
    <w:p>
      <w:pPr>
        <w:tabs>
          <w:tab w:pos="3544" w:val="right" w:leader="none"/>
        </w:tabs>
        <w:spacing w:before="287"/>
        <w:ind w:left="2706" w:right="0" w:firstLine="0"/>
        <w:jc w:val="left"/>
        <w:rPr>
          <w:sz w:val="11"/>
        </w:rPr>
      </w:pPr>
      <w:r>
        <w:rPr/>
        <w:pict>
          <v:group style="position:absolute;margin-left:43.904999pt;margin-top:17.776644pt;width:159.65pt;height:105.5pt;mso-position-horizontal-relative:page;mso-position-vertical-relative:paragraph;z-index:-22643200" coordorigin="878,356" coordsize="3193,2110">
            <v:line style="position:absolute" from="1023,1620" to="1211,1700" stroked="true" strokeweight="1pt" strokecolor="#de0035">
              <v:stroke dashstyle="solid"/>
            </v:line>
            <v:line style="position:absolute" from="1201,1691" to="1411,1691" stroked="true" strokeweight="1.875pt" strokecolor="#de0035">
              <v:stroke dashstyle="solid"/>
            </v:line>
            <v:shape style="position:absolute;left:1400;top:817;width:2498;height:1510" coordorigin="1401,817" coordsize="2498,1510" path="m1401,1682l1603,1462m1603,1462l1791,1572m1791,1572l1981,1495m1981,1495l2171,1620m2171,1620l2361,1857m2361,1857l2561,2170m2561,2170l2751,1682m2751,1682l2941,1997m2941,1997l3128,2235m3128,2235l3318,2280m3318,2280l3521,1367m3521,1367l3708,817m3708,817l3898,2327e" filled="false" stroked="true" strokeweight="1pt" strokecolor="#de0035">
              <v:path arrowok="t"/>
              <v:stroke dashstyle="solid"/>
            </v:shape>
            <v:shape style="position:absolute;left:1023;top:1384;width:1538;height:660" coordorigin="1023,1385" coordsize="1538,660" path="m1023,1605l1211,1700m1211,1700l1401,1385m1401,1385l1603,1920m1603,1920l1791,1447m1791,1447l1981,1385m1981,1385l2171,2045m2171,2045l2361,1620m2361,1620l2561,1902e" filled="false" stroked="true" strokeweight="1pt" strokecolor="#a64991">
              <v:path arrowok="t"/>
              <v:stroke dashstyle="solid"/>
            </v:shape>
            <v:line style="position:absolute" from="2551,1911" to="2761,1911" stroked="true" strokeweight="1.875pt" strokecolor="#a64991">
              <v:stroke dashstyle="solid"/>
            </v:line>
            <v:shape style="position:absolute;left:2750;top:439;width:1148;height:2015" coordorigin="2751,440" coordsize="1148,2015" path="m2751,1920l2941,2045m3128,2045l3318,2455m3318,2455l3521,1557m3521,1557l3708,440m3708,440l3898,2375e" filled="false" stroked="true" strokeweight="1pt" strokecolor="#a64991">
              <v:path arrowok="t"/>
              <v:stroke dashstyle="solid"/>
            </v:shape>
            <v:shape style="position:absolute;left:1023;top:722;width:2875;height:1528" coordorigin="1023,722" coordsize="2875,1528" path="m1023,1605l1401,1982m1401,1982l1603,722m1603,722l1791,1825m1791,1825l1981,1480m1981,1480l2171,1337m2171,1337l2361,1887m2361,1887l2561,1920m2561,1920l2751,1447m2751,1447l2941,1635m2941,1635l3128,2250m3128,2250l3318,1810m3318,1810l3521,1195m3521,1195l3708,2045m3708,2045l3898,1902e" filled="false" stroked="true" strokeweight="1pt" strokecolor="#f6bd61">
              <v:path arrowok="t"/>
              <v:stroke dashstyle="solid"/>
            </v:shape>
            <v:shape style="position:absolute;left:878;top:360;width:3173;height:2061" coordorigin="878,361" coordsize="3173,2061" path="m965,768l878,768m965,1181l878,1181m965,1601l878,1601m965,2421l878,2421m965,361l878,361m4051,769l3964,769m4051,1181l3964,1181m4051,1602l3964,1602m4051,2421l3964,2421m2788,1223l2788,1630e" filled="false" stroked="true" strokeweight=".5pt" strokecolor="#000000">
              <v:path arrowok="t"/>
              <v:stroke dashstyle="solid"/>
            </v:shape>
            <v:shape style="position:absolute;left:2762;top:1612;width:51;height:85" coordorigin="2762,1613" coordsize="51,85" path="m2813,1613l2762,1613,2769,1629,2773,1641,2788,1697,2789,1689,2791,1678,2794,1666,2798,1653,2802,1642,2813,1613xe" filled="true" fillcolor="#000000" stroked="false">
              <v:path arrowok="t"/>
              <v:fill type="solid"/>
            </v:shape>
            <v:shape style="position:absolute;left:1508;top:580;width:417;height:130" type="#_x0000_t202" filled="false" stroked="false">
              <v:textbox inset="0,0,0,0">
                <w:txbxContent>
                  <w:p>
                    <w:pPr>
                      <w:spacing w:before="1"/>
                      <w:ind w:left="0" w:right="0" w:firstLine="0"/>
                      <w:jc w:val="left"/>
                      <w:rPr>
                        <w:sz w:val="11"/>
                      </w:rPr>
                    </w:pPr>
                    <w:r>
                      <w:rPr>
                        <w:w w:val="105"/>
                        <w:sz w:val="11"/>
                      </w:rPr>
                      <w:t>Services</w:t>
                    </w:r>
                  </w:p>
                </w:txbxContent>
              </v:textbox>
              <w10:wrap type="none"/>
            </v:shape>
            <v:shape style="position:absolute;left:2679;top:1065;width:267;height:130" type="#_x0000_t202" filled="false" stroked="false">
              <v:textbox inset="0,0,0,0">
                <w:txbxContent>
                  <w:p>
                    <w:pPr>
                      <w:spacing w:before="1"/>
                      <w:ind w:left="0" w:right="0" w:firstLine="0"/>
                      <w:jc w:val="left"/>
                      <w:rPr>
                        <w:sz w:val="11"/>
                      </w:rPr>
                    </w:pPr>
                    <w:r>
                      <w:rPr>
                        <w:w w:val="105"/>
                        <w:sz w:val="11"/>
                      </w:rPr>
                      <w:t>Total</w:t>
                    </w:r>
                  </w:p>
                </w:txbxContent>
              </v:textbox>
              <w10:wrap type="none"/>
            </v:shape>
            <v:shape style="position:absolute;left:878;top:1935;width:2280;height:130" type="#_x0000_t202" filled="false" stroked="false">
              <v:textbox inset="0,0,0,0">
                <w:txbxContent>
                  <w:p>
                    <w:pPr>
                      <w:tabs>
                        <w:tab w:pos="2052" w:val="left" w:leader="none"/>
                      </w:tabs>
                      <w:spacing w:before="2"/>
                      <w:ind w:left="0" w:right="0" w:firstLine="0"/>
                      <w:jc w:val="left"/>
                      <w:rPr>
                        <w:sz w:val="11"/>
                      </w:rPr>
                    </w:pPr>
                    <w:r>
                      <w:rPr>
                        <w:w w:val="106"/>
                        <w:sz w:val="11"/>
                        <w:u w:val="single"/>
                      </w:rPr>
                      <w:t> </w:t>
                    </w:r>
                    <w:r>
                      <w:rPr>
                        <w:sz w:val="11"/>
                        <w:u w:val="single"/>
                      </w:rPr>
                      <w:tab/>
                    </w:r>
                    <w:r>
                      <w:rPr>
                        <w:w w:val="106"/>
                        <w:sz w:val="11"/>
                        <w:u w:val="single"/>
                      </w:rPr>
                      <w:t> </w:t>
                    </w:r>
                    <w:r>
                      <w:rPr>
                        <w:spacing w:val="13"/>
                        <w:sz w:val="11"/>
                        <w:u w:val="single"/>
                      </w:rPr>
                      <w:t> </w:t>
                    </w:r>
                  </w:p>
                </w:txbxContent>
              </v:textbox>
              <w10:wrap type="none"/>
            </v:shape>
            <v:shape style="position:absolute;left:3963;top:1935;width:107;height:130" type="#_x0000_t202" filled="false" stroked="false">
              <v:textbox inset="0,0,0,0">
                <w:txbxContent>
                  <w:p>
                    <w:pPr>
                      <w:spacing w:before="1"/>
                      <w:ind w:left="0" w:right="0" w:firstLine="0"/>
                      <w:jc w:val="left"/>
                      <w:rPr>
                        <w:sz w:val="11"/>
                      </w:rPr>
                    </w:pPr>
                    <w:r>
                      <w:rPr>
                        <w:w w:val="106"/>
                        <w:sz w:val="11"/>
                        <w:u w:val="single"/>
                      </w:rPr>
                      <w:t> </w:t>
                    </w:r>
                    <w:r>
                      <w:rPr>
                        <w:spacing w:val="2"/>
                        <w:sz w:val="11"/>
                        <w:u w:val="single"/>
                      </w:rPr>
                      <w:t> </w:t>
                    </w:r>
                  </w:p>
                </w:txbxContent>
              </v:textbox>
              <w10:wrap type="none"/>
            </v:shape>
            <w10:wrap type="none"/>
          </v:group>
        </w:pict>
      </w:r>
      <w:r>
        <w:rPr>
          <w:w w:val="105"/>
          <w:sz w:val="11"/>
        </w:rPr>
        <w:t>Goods (a)</w:t>
        <w:tab/>
        <w:t>8</w:t>
      </w:r>
    </w:p>
    <w:p>
      <w:pPr>
        <w:pStyle w:val="BodyText"/>
        <w:rPr>
          <w:sz w:val="12"/>
        </w:rPr>
      </w:pPr>
    </w:p>
    <w:p>
      <w:pPr>
        <w:pStyle w:val="BodyText"/>
        <w:spacing w:before="5"/>
        <w:rPr>
          <w:sz w:val="12"/>
        </w:rPr>
      </w:pPr>
    </w:p>
    <w:p>
      <w:pPr>
        <w:spacing w:before="0"/>
        <w:ind w:left="0" w:right="191" w:firstLine="0"/>
        <w:jc w:val="right"/>
        <w:rPr>
          <w:sz w:val="11"/>
        </w:rPr>
      </w:pPr>
      <w:r>
        <w:rPr>
          <w:w w:val="106"/>
          <w:sz w:val="11"/>
        </w:rPr>
        <w:t>6</w:t>
      </w:r>
    </w:p>
    <w:p>
      <w:pPr>
        <w:pStyle w:val="BodyText"/>
        <w:rPr>
          <w:sz w:val="12"/>
        </w:rPr>
      </w:pPr>
    </w:p>
    <w:p>
      <w:pPr>
        <w:pStyle w:val="BodyText"/>
        <w:spacing w:before="7"/>
        <w:rPr>
          <w:sz w:val="12"/>
        </w:rPr>
      </w:pPr>
    </w:p>
    <w:p>
      <w:pPr>
        <w:spacing w:before="0"/>
        <w:ind w:left="0" w:right="191" w:firstLine="0"/>
        <w:jc w:val="right"/>
        <w:rPr>
          <w:sz w:val="11"/>
        </w:rPr>
      </w:pPr>
      <w:r>
        <w:rPr>
          <w:w w:val="106"/>
          <w:sz w:val="11"/>
        </w:rPr>
        <w:t>4</w:t>
      </w:r>
    </w:p>
    <w:p>
      <w:pPr>
        <w:pStyle w:val="BodyText"/>
        <w:rPr>
          <w:sz w:val="12"/>
        </w:rPr>
      </w:pPr>
    </w:p>
    <w:p>
      <w:pPr>
        <w:pStyle w:val="BodyText"/>
        <w:rPr>
          <w:sz w:val="14"/>
        </w:rPr>
      </w:pPr>
    </w:p>
    <w:p>
      <w:pPr>
        <w:spacing w:line="124" w:lineRule="exact" w:before="0"/>
        <w:ind w:left="3486" w:right="0" w:firstLine="0"/>
        <w:jc w:val="left"/>
        <w:rPr>
          <w:sz w:val="11"/>
        </w:rPr>
      </w:pPr>
      <w:r>
        <w:rPr>
          <w:w w:val="106"/>
          <w:sz w:val="11"/>
        </w:rPr>
        <w:t>2</w:t>
      </w:r>
    </w:p>
    <w:p>
      <w:pPr>
        <w:spacing w:line="182" w:lineRule="exact" w:before="0"/>
        <w:ind w:left="3437" w:right="0" w:firstLine="0"/>
        <w:jc w:val="left"/>
        <w:rPr>
          <w:sz w:val="16"/>
        </w:rPr>
      </w:pPr>
      <w:r>
        <w:rPr>
          <w:w w:val="100"/>
          <w:sz w:val="16"/>
        </w:rPr>
        <w:t>+</w:t>
      </w:r>
    </w:p>
    <w:p>
      <w:pPr>
        <w:spacing w:before="102"/>
        <w:ind w:left="0" w:right="191" w:firstLine="0"/>
        <w:jc w:val="right"/>
        <w:rPr>
          <w:sz w:val="11"/>
        </w:rPr>
      </w:pPr>
      <w:r>
        <w:rPr>
          <w:w w:val="106"/>
          <w:sz w:val="11"/>
        </w:rPr>
        <w:t>0</w:t>
      </w:r>
    </w:p>
    <w:p>
      <w:pPr>
        <w:spacing w:before="47"/>
        <w:ind w:left="3447" w:right="0" w:firstLine="0"/>
        <w:jc w:val="left"/>
        <w:rPr>
          <w:sz w:val="16"/>
        </w:rPr>
      </w:pPr>
      <w:r>
        <w:rPr>
          <w:sz w:val="16"/>
        </w:rPr>
        <w:t>–</w:t>
      </w:r>
    </w:p>
    <w:p>
      <w:pPr>
        <w:spacing w:before="52"/>
        <w:ind w:left="0" w:right="191" w:firstLine="0"/>
        <w:jc w:val="right"/>
        <w:rPr>
          <w:sz w:val="11"/>
        </w:rPr>
      </w:pPr>
      <w:r>
        <w:rPr>
          <w:w w:val="106"/>
          <w:sz w:val="11"/>
        </w:rPr>
        <w:t>2</w:t>
      </w:r>
    </w:p>
    <w:p>
      <w:pPr>
        <w:pStyle w:val="BodyText"/>
        <w:rPr>
          <w:sz w:val="12"/>
        </w:rPr>
      </w:pPr>
    </w:p>
    <w:p>
      <w:pPr>
        <w:pStyle w:val="BodyText"/>
        <w:spacing w:before="8"/>
        <w:rPr>
          <w:sz w:val="12"/>
        </w:rPr>
      </w:pPr>
    </w:p>
    <w:p>
      <w:pPr>
        <w:spacing w:line="118" w:lineRule="exact" w:before="0"/>
        <w:ind w:left="3486" w:right="0" w:firstLine="0"/>
        <w:jc w:val="left"/>
        <w:rPr>
          <w:sz w:val="11"/>
        </w:rPr>
      </w:pPr>
      <w:r>
        <w:rPr/>
        <w:pict>
          <v:shape style="position:absolute;margin-left:43.904999pt;margin-top:1.155766pt;width:158.65pt;height:2.7pt;mso-position-horizontal-relative:page;mso-position-vertical-relative:paragraph;z-index:15968768" coordorigin="878,23" coordsize="3173,54" path="m965,70l878,70m1021,23l1021,76m1787,23l1787,76m2561,23l2561,76m3314,23l3314,76m4051,71l3964,71m1021,71l3894,71e" filled="false" stroked="true" strokeweight=".5pt" strokecolor="#000000">
            <v:path arrowok="t"/>
            <v:stroke dashstyle="solid"/>
            <w10:wrap type="none"/>
          </v:shape>
        </w:pict>
      </w:r>
      <w:r>
        <w:rPr>
          <w:w w:val="106"/>
          <w:sz w:val="11"/>
        </w:rPr>
        <w:t>4</w:t>
      </w:r>
    </w:p>
    <w:p>
      <w:pPr>
        <w:tabs>
          <w:tab w:pos="1475" w:val="left" w:leader="none"/>
          <w:tab w:pos="2245" w:val="left" w:leader="none"/>
          <w:tab w:pos="3003" w:val="left" w:leader="none"/>
        </w:tabs>
        <w:spacing w:line="118" w:lineRule="exact" w:before="0"/>
        <w:ind w:left="655" w:right="0" w:firstLine="0"/>
        <w:jc w:val="left"/>
        <w:rPr>
          <w:sz w:val="11"/>
        </w:rPr>
      </w:pPr>
      <w:r>
        <w:rPr>
          <w:w w:val="105"/>
          <w:sz w:val="11"/>
        </w:rPr>
        <w:t>1996</w:t>
        <w:tab/>
        <w:t>97</w:t>
        <w:tab/>
        <w:t>98</w:t>
        <w:tab/>
        <w:t>99</w:t>
      </w:r>
    </w:p>
    <w:p>
      <w:pPr>
        <w:pStyle w:val="BodyText"/>
        <w:spacing w:before="10"/>
        <w:rPr>
          <w:sz w:val="13"/>
        </w:rPr>
      </w:pPr>
    </w:p>
    <w:p>
      <w:pPr>
        <w:spacing w:line="208" w:lineRule="auto" w:before="0"/>
        <w:ind w:left="410" w:right="0" w:hanging="240"/>
        <w:jc w:val="left"/>
        <w:rPr>
          <w:sz w:val="12"/>
        </w:rPr>
      </w:pPr>
      <w:r>
        <w:rPr>
          <w:sz w:val="12"/>
        </w:rPr>
        <w:t>(a) Excludes oil and erratic components of goods exports, which are included in the series shown for total export volumes.</w:t>
      </w:r>
    </w:p>
    <w:p>
      <w:pPr>
        <w:pStyle w:val="BodyText"/>
        <w:rPr>
          <w:sz w:val="12"/>
        </w:rPr>
      </w:pPr>
    </w:p>
    <w:p>
      <w:pPr>
        <w:pStyle w:val="BodyText"/>
        <w:rPr>
          <w:sz w:val="12"/>
        </w:rPr>
      </w:pPr>
    </w:p>
    <w:p>
      <w:pPr>
        <w:pStyle w:val="BodyText"/>
        <w:spacing w:before="7"/>
        <w:rPr>
          <w:sz w:val="16"/>
        </w:rPr>
      </w:pPr>
    </w:p>
    <w:p>
      <w:pPr>
        <w:spacing w:before="0"/>
        <w:ind w:left="160" w:right="0" w:firstLine="0"/>
        <w:jc w:val="left"/>
        <w:rPr>
          <w:b/>
          <w:sz w:val="20"/>
        </w:rPr>
      </w:pPr>
      <w:r>
        <w:rPr>
          <w:b/>
          <w:color w:val="0092C7"/>
          <w:sz w:val="20"/>
        </w:rPr>
        <w:t>Chart 2.2</w:t>
      </w:r>
    </w:p>
    <w:p>
      <w:pPr>
        <w:spacing w:line="249" w:lineRule="auto" w:before="10"/>
        <w:ind w:left="160" w:right="20" w:firstLine="0"/>
        <w:jc w:val="left"/>
        <w:rPr>
          <w:b/>
          <w:sz w:val="20"/>
        </w:rPr>
      </w:pPr>
      <w:r>
        <w:rPr/>
        <w:drawing>
          <wp:anchor distT="0" distB="0" distL="0" distR="0" allowOverlap="1" layoutInCell="1" locked="0" behindDoc="1" simplePos="0" relativeHeight="480677376">
            <wp:simplePos x="0" y="0"/>
            <wp:positionH relativeFrom="page">
              <wp:posOffset>1557185</wp:posOffset>
            </wp:positionH>
            <wp:positionV relativeFrom="paragraph">
              <wp:posOffset>408685</wp:posOffset>
            </wp:positionV>
            <wp:extent cx="112179" cy="219265"/>
            <wp:effectExtent l="0" t="0" r="0" b="0"/>
            <wp:wrapNone/>
            <wp:docPr id="179" name="image32.png"/>
            <wp:cNvGraphicFramePr>
              <a:graphicFrameLocks noChangeAspect="1"/>
            </wp:cNvGraphicFramePr>
            <a:graphic>
              <a:graphicData uri="http://schemas.openxmlformats.org/drawingml/2006/picture">
                <pic:pic>
                  <pic:nvPicPr>
                    <pic:cNvPr id="180" name="image32.png"/>
                    <pic:cNvPicPr/>
                  </pic:nvPicPr>
                  <pic:blipFill>
                    <a:blip r:embed="rId72" cstate="print"/>
                    <a:stretch>
                      <a:fillRect/>
                    </a:stretch>
                  </pic:blipFill>
                  <pic:spPr>
                    <a:xfrm>
                      <a:off x="0" y="0"/>
                      <a:ext cx="112179" cy="219265"/>
                    </a:xfrm>
                    <a:prstGeom prst="rect">
                      <a:avLst/>
                    </a:prstGeom>
                  </pic:spPr>
                </pic:pic>
              </a:graphicData>
            </a:graphic>
          </wp:anchor>
        </w:drawing>
      </w:r>
      <w:r>
        <w:rPr>
          <w:b/>
          <w:color w:val="0092C7"/>
          <w:sz w:val="20"/>
        </w:rPr>
        <w:t>Contributions to quarterly manufactured goods export volume growth</w:t>
      </w:r>
    </w:p>
    <w:p>
      <w:pPr>
        <w:spacing w:line="242" w:lineRule="auto" w:before="207"/>
        <w:ind w:left="160" w:right="0" w:firstLine="0"/>
        <w:jc w:val="left"/>
        <w:rPr>
          <w:sz w:val="24"/>
        </w:rPr>
      </w:pPr>
      <w:r>
        <w:rPr/>
        <w:br w:type="column"/>
      </w:r>
      <w:r>
        <w:rPr>
          <w:sz w:val="24"/>
        </w:rPr>
        <w:t>forecast period than assumed in February, as world trade continues to expand strongly.</w:t>
      </w:r>
    </w:p>
    <w:p>
      <w:pPr>
        <w:pStyle w:val="BodyText"/>
        <w:spacing w:before="9"/>
        <w:rPr>
          <w:sz w:val="22"/>
        </w:rPr>
      </w:pPr>
    </w:p>
    <w:p>
      <w:pPr>
        <w:spacing w:line="242" w:lineRule="auto" w:before="1"/>
        <w:ind w:left="160" w:right="234" w:firstLine="0"/>
        <w:jc w:val="left"/>
        <w:rPr>
          <w:sz w:val="24"/>
        </w:rPr>
      </w:pPr>
      <w:r>
        <w:rPr>
          <w:sz w:val="24"/>
        </w:rPr>
        <w:t>The profile of UK exports </w:t>
      </w:r>
      <w:r>
        <w:rPr>
          <w:spacing w:val="-3"/>
          <w:sz w:val="24"/>
        </w:rPr>
        <w:t>over </w:t>
      </w:r>
      <w:r>
        <w:rPr>
          <w:sz w:val="24"/>
        </w:rPr>
        <w:t>recent quarters has been rather volatile (see Chart 2.1). The jump in export volumes in 1999 Q3 was partly reversed in Q4, when exports fell by 1.5%.  That reflected movements in goods export volumes, as the volume of services exports remained relatively steady during the second half of 1999. The decline in exports in Q4, in common with the strength of exports in Q3, was seen in sales of goods to most major geographical regions and was also broadly based across the main product groupings (see Chart </w:t>
      </w:r>
      <w:r>
        <w:rPr>
          <w:spacing w:val="-3"/>
          <w:sz w:val="24"/>
        </w:rPr>
        <w:t>2.2). </w:t>
      </w:r>
      <w:r>
        <w:rPr>
          <w:spacing w:val="-4"/>
          <w:sz w:val="24"/>
        </w:rPr>
        <w:t>However, </w:t>
      </w:r>
      <w:r>
        <w:rPr>
          <w:sz w:val="24"/>
        </w:rPr>
        <w:t>monthly data for this year so far suggest that the underlying trend in exports remains upwards. In particular,</w:t>
      </w:r>
      <w:r>
        <w:rPr>
          <w:spacing w:val="-9"/>
          <w:sz w:val="24"/>
        </w:rPr>
        <w:t> </w:t>
      </w:r>
      <w:r>
        <w:rPr>
          <w:sz w:val="24"/>
        </w:rPr>
        <w:t>exports</w:t>
      </w:r>
      <w:r>
        <w:rPr>
          <w:spacing w:val="-9"/>
          <w:sz w:val="24"/>
        </w:rPr>
        <w:t> </w:t>
      </w:r>
      <w:r>
        <w:rPr>
          <w:sz w:val="24"/>
        </w:rPr>
        <w:t>to</w:t>
      </w:r>
      <w:r>
        <w:rPr>
          <w:spacing w:val="-9"/>
          <w:sz w:val="24"/>
        </w:rPr>
        <w:t> </w:t>
      </w:r>
      <w:r>
        <w:rPr>
          <w:sz w:val="24"/>
        </w:rPr>
        <w:t>non-EU</w:t>
      </w:r>
      <w:r>
        <w:rPr>
          <w:spacing w:val="-9"/>
          <w:sz w:val="24"/>
        </w:rPr>
        <w:t> </w:t>
      </w:r>
      <w:r>
        <w:rPr>
          <w:sz w:val="24"/>
        </w:rPr>
        <w:t>countries—which</w:t>
      </w:r>
      <w:r>
        <w:rPr>
          <w:spacing w:val="-9"/>
          <w:sz w:val="24"/>
        </w:rPr>
        <w:t> </w:t>
      </w:r>
      <w:r>
        <w:rPr>
          <w:sz w:val="24"/>
        </w:rPr>
        <w:t>fell</w:t>
      </w:r>
      <w:r>
        <w:rPr>
          <w:spacing w:val="-9"/>
          <w:sz w:val="24"/>
        </w:rPr>
        <w:t> </w:t>
      </w:r>
      <w:r>
        <w:rPr>
          <w:sz w:val="24"/>
        </w:rPr>
        <w:t>back sharply in Q4—recovered strongly in 2000 Q1 (see Chart 2.3). By contrast, exports to EU countries continued to fall, perhaps owing to the fact that the recent rise in the sterling </w:t>
      </w:r>
      <w:r>
        <w:rPr>
          <w:spacing w:val="-3"/>
          <w:sz w:val="24"/>
        </w:rPr>
        <w:t>effective </w:t>
      </w:r>
      <w:r>
        <w:rPr>
          <w:sz w:val="24"/>
        </w:rPr>
        <w:t>exchange rate</w:t>
      </w:r>
      <w:r>
        <w:rPr>
          <w:spacing w:val="-19"/>
          <w:sz w:val="24"/>
        </w:rPr>
        <w:t> </w:t>
      </w:r>
      <w:r>
        <w:rPr>
          <w:sz w:val="24"/>
        </w:rPr>
        <w:t>has</w:t>
      </w:r>
    </w:p>
    <w:p>
      <w:pPr>
        <w:spacing w:after="0" w:line="242" w:lineRule="auto"/>
        <w:jc w:val="left"/>
        <w:rPr>
          <w:sz w:val="24"/>
        </w:rPr>
        <w:sectPr>
          <w:type w:val="continuous"/>
          <w:pgSz w:w="11900" w:h="16840"/>
          <w:pgMar w:top="1220" w:bottom="280" w:left="640" w:right="620"/>
          <w:cols w:num="2" w:equalWidth="0">
            <w:col w:w="3739" w:space="1046"/>
            <w:col w:w="5855"/>
          </w:cols>
        </w:sectPr>
      </w:pPr>
    </w:p>
    <w:p>
      <w:pPr>
        <w:spacing w:before="103"/>
        <w:ind w:left="476" w:right="0" w:firstLine="0"/>
        <w:jc w:val="left"/>
        <w:rPr>
          <w:sz w:val="12"/>
        </w:rPr>
      </w:pPr>
      <w:r>
        <w:rPr/>
        <w:drawing>
          <wp:anchor distT="0" distB="0" distL="0" distR="0" allowOverlap="1" layoutInCell="1" locked="0" behindDoc="0" simplePos="0" relativeHeight="15971840">
            <wp:simplePos x="0" y="0"/>
            <wp:positionH relativeFrom="page">
              <wp:posOffset>561301</wp:posOffset>
            </wp:positionH>
            <wp:positionV relativeFrom="paragraph">
              <wp:posOffset>59813</wp:posOffset>
            </wp:positionV>
            <wp:extent cx="112179" cy="326351"/>
            <wp:effectExtent l="0" t="0" r="0" b="0"/>
            <wp:wrapNone/>
            <wp:docPr id="181" name="image33.png"/>
            <wp:cNvGraphicFramePr>
              <a:graphicFrameLocks noChangeAspect="1"/>
            </wp:cNvGraphicFramePr>
            <a:graphic>
              <a:graphicData uri="http://schemas.openxmlformats.org/drawingml/2006/picture">
                <pic:pic>
                  <pic:nvPicPr>
                    <pic:cNvPr id="182" name="image33.png"/>
                    <pic:cNvPicPr/>
                  </pic:nvPicPr>
                  <pic:blipFill>
                    <a:blip r:embed="rId73" cstate="print"/>
                    <a:stretch>
                      <a:fillRect/>
                    </a:stretch>
                  </pic:blipFill>
                  <pic:spPr>
                    <a:xfrm>
                      <a:off x="0" y="0"/>
                      <a:ext cx="112179" cy="326351"/>
                    </a:xfrm>
                    <a:prstGeom prst="rect">
                      <a:avLst/>
                    </a:prstGeom>
                  </pic:spPr>
                </pic:pic>
              </a:graphicData>
            </a:graphic>
          </wp:anchor>
        </w:drawing>
      </w:r>
      <w:r>
        <w:rPr>
          <w:sz w:val="12"/>
        </w:rPr>
        <w:t>Capital goods</w:t>
      </w:r>
    </w:p>
    <w:p>
      <w:pPr>
        <w:spacing w:before="103"/>
        <w:ind w:left="243" w:right="0" w:firstLine="0"/>
        <w:jc w:val="left"/>
        <w:rPr>
          <w:sz w:val="12"/>
        </w:rPr>
      </w:pPr>
      <w:r>
        <w:rPr/>
        <w:br w:type="column"/>
      </w:r>
      <w:r>
        <w:rPr>
          <w:sz w:val="12"/>
        </w:rPr>
        <w:t>Semi-finished goods</w:t>
      </w:r>
    </w:p>
    <w:p>
      <w:pPr>
        <w:pStyle w:val="Heading6"/>
        <w:spacing w:line="258" w:lineRule="exact" w:before="21"/>
        <w:ind w:left="243"/>
      </w:pPr>
      <w:r>
        <w:rPr/>
        <w:br w:type="column"/>
      </w:r>
      <w:r>
        <w:rPr/>
        <w:t>primarily reflected appreciation of sterling against the</w:t>
      </w:r>
    </w:p>
    <w:p>
      <w:pPr>
        <w:spacing w:after="0" w:line="258" w:lineRule="exact"/>
        <w:sectPr>
          <w:type w:val="continuous"/>
          <w:pgSz w:w="11900" w:h="16840"/>
          <w:pgMar w:top="1220" w:bottom="280" w:left="640" w:right="620"/>
          <w:cols w:num="3" w:equalWidth="0">
            <w:col w:w="1180" w:space="617"/>
            <w:col w:w="1274" w:space="1630"/>
            <w:col w:w="5939"/>
          </w:cols>
        </w:sectPr>
      </w:pPr>
    </w:p>
    <w:p>
      <w:pPr>
        <w:tabs>
          <w:tab w:pos="1797" w:val="left" w:leader="none"/>
        </w:tabs>
        <w:spacing w:line="134" w:lineRule="exact" w:before="0"/>
        <w:ind w:left="476" w:right="0" w:firstLine="0"/>
        <w:jc w:val="left"/>
        <w:rPr>
          <w:sz w:val="12"/>
        </w:rPr>
      </w:pPr>
      <w:r>
        <w:rPr>
          <w:sz w:val="12"/>
        </w:rPr>
        <w:t>Intermediate goods</w:t>
        <w:tab/>
      </w:r>
      <w:r>
        <w:rPr>
          <w:sz w:val="12"/>
          <w:u w:val="single" w:color="006CAA"/>
        </w:rPr>
        <w:t> </w:t>
      </w:r>
      <w:r>
        <w:rPr>
          <w:sz w:val="12"/>
        </w:rPr>
        <w:t>Erratics</w:t>
      </w:r>
    </w:p>
    <w:p>
      <w:pPr>
        <w:pStyle w:val="Heading6"/>
        <w:spacing w:line="149" w:lineRule="exact" w:before="22"/>
        <w:ind w:left="243"/>
      </w:pPr>
      <w:r>
        <w:rPr/>
        <w:br w:type="column"/>
      </w:r>
      <w:r>
        <w:rPr/>
        <w:t>euro.</w:t>
      </w:r>
    </w:p>
    <w:p>
      <w:pPr>
        <w:spacing w:after="0" w:line="149" w:lineRule="exact"/>
        <w:sectPr>
          <w:type w:val="continuous"/>
          <w:pgSz w:w="11900" w:h="16840"/>
          <w:pgMar w:top="1220" w:bottom="280" w:left="640" w:right="620"/>
          <w:cols w:num="2" w:equalWidth="0">
            <w:col w:w="2455" w:space="2247"/>
            <w:col w:w="5938"/>
          </w:cols>
        </w:sectPr>
      </w:pPr>
    </w:p>
    <w:p>
      <w:pPr>
        <w:spacing w:line="134" w:lineRule="exact" w:before="0"/>
        <w:ind w:left="476" w:right="0" w:firstLine="0"/>
        <w:jc w:val="left"/>
        <w:rPr>
          <w:sz w:val="12"/>
        </w:rPr>
      </w:pPr>
      <w:r>
        <w:rPr>
          <w:sz w:val="12"/>
        </w:rPr>
        <w:t>Cars and consumer goods</w:t>
      </w:r>
    </w:p>
    <w:p>
      <w:pPr>
        <w:pStyle w:val="BodyText"/>
        <w:spacing w:before="7" w:after="40"/>
        <w:rPr>
          <w:sz w:val="15"/>
        </w:rPr>
      </w:pPr>
    </w:p>
    <w:p>
      <w:pPr>
        <w:pStyle w:val="BodyText"/>
        <w:spacing w:line="20" w:lineRule="exact"/>
        <w:ind w:left="23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7"/>
        <w:rPr>
          <w:sz w:val="10"/>
        </w:rPr>
      </w:pPr>
      <w:r>
        <w:rPr/>
        <w:pict>
          <v:shape style="position:absolute;margin-left:44.196999pt;margin-top:8.331977pt;width:4.350pt;height:.1pt;mso-position-horizontal-relative:page;mso-position-vertical-relative:paragraph;z-index:-15499264;mso-wrap-distance-left:0;mso-wrap-distance-right:0" coordorigin="884,167" coordsize="87,0" path="m884,167l971,167e" filled="false" stroked="true" strokeweight=".5pt" strokecolor="#000000">
            <v:path arrowok="t"/>
            <v:stroke dashstyle="solid"/>
            <w10:wrap type="topAndBottom"/>
          </v:shape>
        </w:pict>
      </w:r>
      <w:r>
        <w:rPr/>
        <w:pict>
          <v:shape style="position:absolute;margin-left:44.196999pt;margin-top:28.911976pt;width:4.350pt;height:.1pt;mso-position-horizontal-relative:page;mso-position-vertical-relative:paragraph;z-index:-15498752;mso-wrap-distance-left:0;mso-wrap-distance-right:0" coordorigin="884,578" coordsize="87,0" path="m884,578l971,578e" filled="false" stroked="true" strokeweight=".5pt" strokecolor="#000000">
            <v:path arrowok="t"/>
            <v:stroke dashstyle="solid"/>
            <w10:wrap type="topAndBottom"/>
          </v:shape>
        </w:pict>
      </w:r>
      <w:r>
        <w:rPr/>
        <w:pict>
          <v:shape style="position:absolute;margin-left:44.196999pt;margin-top:49.491978pt;width:4.350pt;height:.1pt;mso-position-horizontal-relative:page;mso-position-vertical-relative:paragraph;z-index:-15498240;mso-wrap-distance-left:0;mso-wrap-distance-right:0" coordorigin="884,990" coordsize="87,0" path="m884,990l971,990e" filled="false" stroked="true" strokeweight=".5pt" strokecolor="#000000">
            <v:path arrowok="t"/>
            <v:stroke dashstyle="solid"/>
            <w10:wrap type="topAndBottom"/>
          </v:shape>
        </w:pict>
      </w:r>
      <w:r>
        <w:rPr/>
        <w:pict>
          <v:shape style="position:absolute;margin-left:44.196999pt;margin-top:70.072975pt;width:4.350pt;height:.1pt;mso-position-horizontal-relative:page;mso-position-vertical-relative:paragraph;z-index:-15497728;mso-wrap-distance-left:0;mso-wrap-distance-right:0" coordorigin="884,1401" coordsize="87,0" path="m884,1401l971,1401e" filled="false" stroked="true" strokeweight=".5pt" strokecolor="#000000">
            <v:path arrowok="t"/>
            <v:stroke dashstyle="solid"/>
            <w10:wrap type="topAndBottom"/>
          </v:shape>
        </w:pict>
      </w:r>
      <w:r>
        <w:rPr/>
        <w:pict>
          <v:shape style="position:absolute;margin-left:44.196999pt;margin-top:90.652977pt;width:4.350pt;height:.1pt;mso-position-horizontal-relative:page;mso-position-vertical-relative:paragraph;z-index:-15497216;mso-wrap-distance-left:0;mso-wrap-distance-right:0" coordorigin="884,1813" coordsize="87,0" path="m884,1813l971,1813e" filled="false" stroked="true" strokeweight=".5pt" strokecolor="#000000">
            <v:path arrowok="t"/>
            <v:stroke dashstyle="solid"/>
            <w10:wrap type="topAndBottom"/>
          </v:shape>
        </w:pict>
      </w:r>
      <w:r>
        <w:rPr/>
        <w:pict>
          <v:shape style="position:absolute;margin-left:44.196999pt;margin-top:111.232979pt;width:4.350pt;height:.1pt;mso-position-horizontal-relative:page;mso-position-vertical-relative:paragraph;z-index:-15496704;mso-wrap-distance-left:0;mso-wrap-distance-right:0" coordorigin="884,2225" coordsize="87,0" path="m884,2225l971,2225e" filled="false" stroked="true" strokeweight=".5pt" strokecolor="#000000">
            <v:path arrowok="t"/>
            <v:stroke dashstyle="solid"/>
            <w10:wrap type="topAndBottom"/>
          </v:shape>
        </w:pict>
      </w:r>
    </w:p>
    <w:p>
      <w:pPr>
        <w:pStyle w:val="BodyText"/>
        <w:rPr>
          <w:sz w:val="29"/>
        </w:rPr>
      </w:pPr>
    </w:p>
    <w:p>
      <w:pPr>
        <w:pStyle w:val="BodyText"/>
        <w:rPr>
          <w:sz w:val="29"/>
        </w:rPr>
      </w:pPr>
    </w:p>
    <w:p>
      <w:pPr>
        <w:pStyle w:val="BodyText"/>
        <w:rPr>
          <w:sz w:val="29"/>
        </w:rPr>
      </w:pPr>
    </w:p>
    <w:p>
      <w:pPr>
        <w:pStyle w:val="BodyText"/>
        <w:rPr>
          <w:sz w:val="29"/>
        </w:rPr>
      </w:pPr>
    </w:p>
    <w:p>
      <w:pPr>
        <w:pStyle w:val="BodyText"/>
        <w:rPr>
          <w:sz w:val="29"/>
        </w:rPr>
      </w:pPr>
    </w:p>
    <w:p>
      <w:pPr>
        <w:spacing w:line="134" w:lineRule="exact" w:before="0"/>
        <w:ind w:left="243" w:right="0" w:firstLine="0"/>
        <w:jc w:val="left"/>
        <w:rPr>
          <w:sz w:val="12"/>
        </w:rPr>
      </w:pPr>
      <w:r>
        <w:rPr/>
        <w:br w:type="column"/>
      </w:r>
      <w:r>
        <w:rPr>
          <w:sz w:val="12"/>
        </w:rPr>
        <w:t>Manufactured goods exports</w:t>
      </w:r>
    </w:p>
    <w:p>
      <w:pPr>
        <w:spacing w:before="61"/>
        <w:ind w:left="813" w:right="0" w:firstLine="0"/>
        <w:jc w:val="left"/>
        <w:rPr>
          <w:sz w:val="12"/>
        </w:rPr>
      </w:pPr>
      <w:r>
        <w:rPr/>
        <w:pict>
          <v:line style="position:absolute;mso-position-horizontal-relative:page;mso-position-vertical-relative:paragraph;z-index:-22640128" from="200.697006pt,11.182059pt" to="205.030006pt,11.182059pt" stroked="true" strokeweight=".5pt" strokecolor="#000000">
            <v:stroke dashstyle="solid"/>
            <w10:wrap type="none"/>
          </v:line>
        </w:pict>
      </w:r>
      <w:r>
        <w:rPr>
          <w:sz w:val="12"/>
        </w:rPr>
        <w:t>Percentage points </w:t>
      </w:r>
      <w:r>
        <w:rPr>
          <w:position w:val="-8"/>
          <w:sz w:val="12"/>
        </w:rPr>
        <w:t>10</w:t>
      </w:r>
    </w:p>
    <w:p>
      <w:pPr>
        <w:pStyle w:val="BodyText"/>
        <w:spacing w:before="5"/>
        <w:rPr>
          <w:sz w:val="23"/>
        </w:rPr>
      </w:pPr>
    </w:p>
    <w:p>
      <w:pPr>
        <w:spacing w:before="0"/>
        <w:ind w:left="0" w:right="38" w:firstLine="0"/>
        <w:jc w:val="right"/>
        <w:rPr>
          <w:sz w:val="12"/>
        </w:rPr>
      </w:pPr>
      <w:r>
        <w:rPr/>
        <w:pict>
          <v:group style="position:absolute;margin-left:52.862999pt;margin-top:-3.576835pt;width:152.2pt;height:118.9pt;mso-position-horizontal-relative:page;mso-position-vertical-relative:paragraph;z-index:15969792" coordorigin="1057,-72" coordsize="3044,2378">
            <v:rect style="position:absolute;left:1062;top:1618;width:65;height:103" filled="true" fillcolor="#f5d4e1" stroked="false">
              <v:fill type="solid"/>
            </v:rect>
            <v:rect style="position:absolute;left:1062;top:1618;width:65;height:103" filled="false" stroked="true" strokeweight=".5pt" strokecolor="#000000">
              <v:stroke dashstyle="solid"/>
            </v:rect>
            <v:rect style="position:absolute;left:1062;top:1500;width:65;height:120" filled="true" fillcolor="#fdeecc" stroked="false">
              <v:fill type="solid"/>
            </v:rect>
            <v:rect style="position:absolute;left:1062;top:1500;width:65;height:120" filled="false" stroked="true" strokeweight=".5pt" strokecolor="#000000">
              <v:stroke dashstyle="solid"/>
            </v:rect>
            <v:rect style="position:absolute;left:1062;top:1355;width:65;height:148" filled="true" fillcolor="#c0a2c7" stroked="false">
              <v:fill type="solid"/>
            </v:rect>
            <v:rect style="position:absolute;left:1062;top:1355;width:65;height:148" filled="false" stroked="true" strokeweight=".5pt" strokecolor="#000000">
              <v:stroke dashstyle="solid"/>
            </v:rect>
            <v:rect style="position:absolute;left:1062;top:1080;width:65;height:278" filled="true" fillcolor="#cee7e8" stroked="false">
              <v:fill type="solid"/>
            </v:rect>
            <v:rect style="position:absolute;left:1062;top:1080;width:65;height:278" filled="false" stroked="true" strokeweight=".5pt" strokecolor="#000000">
              <v:stroke dashstyle="solid"/>
            </v:rect>
            <v:rect style="position:absolute;left:1062;top:1038;width:65;height:45" filled="true" fillcolor="#f5b37a" stroked="false">
              <v:fill type="solid"/>
            </v:rect>
            <v:rect style="position:absolute;left:1062;top:1038;width:65;height:45" filled="false" stroked="true" strokeweight=".5pt" strokecolor="#000000">
              <v:stroke dashstyle="solid"/>
            </v:rect>
            <v:rect style="position:absolute;left:1247;top:1588;width:65;height:133" filled="true" fillcolor="#f5d4e1" stroked="false">
              <v:fill type="solid"/>
            </v:rect>
            <v:rect style="position:absolute;left:1247;top:1588;width:65;height:133" filled="false" stroked="true" strokeweight=".5pt" strokecolor="#000000">
              <v:stroke dashstyle="solid"/>
            </v:rect>
            <v:rect style="position:absolute;left:1247;top:1558;width:65;height:33" filled="true" fillcolor="#fdeecc" stroked="false">
              <v:fill type="solid"/>
            </v:rect>
            <v:rect style="position:absolute;left:1247;top:1558;width:65;height:33" filled="false" stroked="true" strokeweight=".5pt" strokecolor="#000000">
              <v:stroke dashstyle="solid"/>
            </v:rect>
            <v:rect style="position:absolute;left:1247;top:1385;width:65;height:175" filled="true" fillcolor="#c0a2c7" stroked="false">
              <v:fill type="solid"/>
            </v:rect>
            <v:rect style="position:absolute;left:1247;top:1385;width:65;height:175" filled="false" stroked="true" strokeweight=".5pt" strokecolor="#000000">
              <v:stroke dashstyle="solid"/>
            </v:rect>
            <v:rect style="position:absolute;left:1247;top:1718;width:65;height:33" filled="true" fillcolor="#cee7e8" stroked="false">
              <v:fill type="solid"/>
            </v:rect>
            <v:rect style="position:absolute;left:1247;top:1718;width:65;height:33" filled="false" stroked="true" strokeweight=".5pt" strokecolor="#000000">
              <v:stroke dashstyle="solid"/>
            </v:rect>
            <v:rect style="position:absolute;left:1247;top:1240;width:65;height:148" filled="true" fillcolor="#f5b37a" stroked="false">
              <v:fill type="solid"/>
            </v:rect>
            <v:rect style="position:absolute;left:1247;top:1240;width:65;height:148" filled="false" stroked="true" strokeweight=".5pt" strokecolor="#000000">
              <v:stroke dashstyle="solid"/>
            </v:rect>
            <v:rect style="position:absolute;left:1432;top:1718;width:65;height:175" filled="true" fillcolor="#f5d4e1" stroked="false">
              <v:fill type="solid"/>
            </v:rect>
            <v:rect style="position:absolute;left:1432;top:1718;width:65;height:175" filled="false" stroked="true" strokeweight=".5pt" strokecolor="#000000">
              <v:stroke dashstyle="solid"/>
            </v:rect>
            <v:rect style="position:absolute;left:1432;top:1530;width:65;height:190" filled="true" fillcolor="#fdeecc" stroked="false">
              <v:fill type="solid"/>
            </v:rect>
            <v:rect style="position:absolute;left:1432;top:1530;width:65;height:190" filled="false" stroked="true" strokeweight=".5pt" strokecolor="#000000">
              <v:stroke dashstyle="solid"/>
            </v:rect>
            <v:rect style="position:absolute;left:1432;top:1270;width:65;height:263" filled="true" fillcolor="#c0a2c7" stroked="false">
              <v:fill type="solid"/>
            </v:rect>
            <v:rect style="position:absolute;left:1432;top:1270;width:65;height:263" filled="false" stroked="true" strokeweight=".5pt" strokecolor="#000000">
              <v:stroke dashstyle="solid"/>
            </v:rect>
            <v:rect style="position:absolute;left:1432;top:1255;width:65;height:18" filled="true" fillcolor="#cee7e8" stroked="false">
              <v:fill type="solid"/>
            </v:rect>
            <v:rect style="position:absolute;left:1432;top:1255;width:65;height:18" filled="false" stroked="true" strokeweight=".5pt" strokecolor="#000000">
              <v:stroke dashstyle="solid"/>
            </v:rect>
            <v:rect style="position:absolute;left:1432;top:1125;width:65;height:133" filled="true" fillcolor="#f5b37a" stroked="false">
              <v:fill type="solid"/>
            </v:rect>
            <v:rect style="position:absolute;left:1432;top:1125;width:65;height:133" filled="false" stroked="true" strokeweight=".5pt" strokecolor="#000000">
              <v:stroke dashstyle="solid"/>
            </v:rect>
            <v:rect style="position:absolute;left:1629;top:1515;width:63;height:205" filled="true" fillcolor="#f5d4e1" stroked="false">
              <v:fill type="solid"/>
            </v:rect>
            <v:rect style="position:absolute;left:1629;top:1515;width:63;height:205" filled="false" stroked="true" strokeweight=".5pt" strokecolor="#000000">
              <v:stroke dashstyle="solid"/>
            </v:rect>
            <v:rect style="position:absolute;left:1629;top:1718;width:63;height:45" filled="true" fillcolor="#fdeecc" stroked="false">
              <v:fill type="solid"/>
            </v:rect>
            <v:rect style="position:absolute;left:1629;top:1718;width:63;height:45" filled="false" stroked="true" strokeweight=".5pt" strokecolor="#000000">
              <v:stroke dashstyle="solid"/>
            </v:rect>
            <v:rect style="position:absolute;left:1629;top:1760;width:63;height:18" filled="true" fillcolor="#c0a2c7" stroked="false">
              <v:fill type="solid"/>
            </v:rect>
            <v:rect style="position:absolute;left:1629;top:1760;width:63;height:18" filled="false" stroked="true" strokeweight=".5pt" strokecolor="#000000">
              <v:stroke dashstyle="solid"/>
            </v:rect>
            <v:rect style="position:absolute;left:1629;top:1775;width:63;height:75" filled="true" fillcolor="#cee7e8" stroked="false">
              <v:fill type="solid"/>
            </v:rect>
            <v:rect style="position:absolute;left:1629;top:1775;width:63;height:75" filled="false" stroked="true" strokeweight=".5pt" strokecolor="#000000">
              <v:stroke dashstyle="solid"/>
            </v:rect>
            <v:rect style="position:absolute;left:1629;top:1343;width:63;height:175" filled="true" fillcolor="#f5b37a" stroked="false">
              <v:fill type="solid"/>
            </v:rect>
            <v:rect style="position:absolute;left:1629;top:1343;width:63;height:175" filled="false" stroked="true" strokeweight=".5pt" strokecolor="#000000">
              <v:stroke dashstyle="solid"/>
            </v:rect>
            <v:rect style="position:absolute;left:1814;top:1645;width:65;height:75" filled="true" fillcolor="#f5d4e1" stroked="false">
              <v:fill type="solid"/>
            </v:rect>
            <v:rect style="position:absolute;left:1814;top:1645;width:65;height:75" filled="false" stroked="true" strokeweight=".5pt" strokecolor="#000000">
              <v:stroke dashstyle="solid"/>
            </v:rect>
            <v:rect style="position:absolute;left:1814;top:1588;width:65;height:60" filled="true" fillcolor="#fdeecc" stroked="false">
              <v:fill type="solid"/>
            </v:rect>
            <v:rect style="position:absolute;left:1814;top:1588;width:65;height:60" filled="false" stroked="true" strokeweight=".5pt" strokecolor="#000000">
              <v:stroke dashstyle="solid"/>
            </v:rect>
            <v:rect style="position:absolute;left:1814;top:1515;width:65;height:75" filled="true" fillcolor="#c0a2c7" stroked="false">
              <v:fill type="solid"/>
            </v:rect>
            <v:rect style="position:absolute;left:1814;top:1515;width:65;height:75" filled="false" stroked="true" strokeweight=".5pt" strokecolor="#000000">
              <v:stroke dashstyle="solid"/>
            </v:rect>
            <v:rect style="position:absolute;left:1814;top:1225;width:65;height:293" filled="true" fillcolor="#cee7e8" stroked="false">
              <v:fill type="solid"/>
            </v:rect>
            <v:rect style="position:absolute;left:1814;top:1225;width:65;height:293" filled="false" stroked="true" strokeweight=".5pt" strokecolor="#000000">
              <v:stroke dashstyle="solid"/>
            </v:rect>
            <v:rect style="position:absolute;left:1814;top:1038;width:65;height:190" filled="true" fillcolor="#f5b37a" stroked="false">
              <v:fill type="solid"/>
            </v:rect>
            <v:rect style="position:absolute;left:1814;top:1038;width:65;height:190" filled="false" stroked="true" strokeweight=".5pt" strokecolor="#000000">
              <v:stroke dashstyle="solid"/>
            </v:rect>
            <v:rect style="position:absolute;left:1999;top:1703;width:65;height:18" filled="true" fillcolor="#f5d4e1" stroked="false">
              <v:fill type="solid"/>
            </v:rect>
            <v:rect style="position:absolute;left:1999;top:1703;width:65;height:18" filled="false" stroked="true" strokeweight=".5pt" strokecolor="#000000">
              <v:stroke dashstyle="solid"/>
            </v:rect>
            <v:rect style="position:absolute;left:1999;top:1545;width:65;height:160" filled="true" fillcolor="#fdeecc" stroked="false">
              <v:fill type="solid"/>
            </v:rect>
            <v:rect style="position:absolute;left:1999;top:1545;width:65;height:160" filled="false" stroked="true" strokeweight=".5pt" strokecolor="#000000">
              <v:stroke dashstyle="solid"/>
            </v:rect>
            <v:rect style="position:absolute;left:1999;top:1718;width:65;height:18" filled="true" fillcolor="#c0a2c7" stroked="false">
              <v:fill type="solid"/>
            </v:rect>
            <v:rect style="position:absolute;left:1999;top:1718;width:65;height:18" filled="false" stroked="true" strokeweight=".5pt" strokecolor="#000000">
              <v:stroke dashstyle="solid"/>
            </v:rect>
            <v:rect style="position:absolute;left:1999;top:1270;width:65;height:278" filled="true" fillcolor="#cee7e8" stroked="false">
              <v:fill type="solid"/>
            </v:rect>
            <v:rect style="position:absolute;left:1999;top:1270;width:65;height:278" filled="false" stroked="true" strokeweight=".5pt" strokecolor="#000000">
              <v:stroke dashstyle="solid"/>
            </v:rect>
            <v:rect style="position:absolute;left:1999;top:1210;width:65;height:63" filled="true" fillcolor="#f5b37a" stroked="false">
              <v:fill type="solid"/>
            </v:rect>
            <v:rect style="position:absolute;left:1999;top:1210;width:65;height:63" filled="false" stroked="true" strokeweight=".5pt" strokecolor="#000000">
              <v:stroke dashstyle="solid"/>
            </v:rect>
            <v:rect style="position:absolute;left:2184;top:1400;width:65;height:320" filled="true" fillcolor="#f5d4e1" stroked="false">
              <v:fill type="solid"/>
            </v:rect>
            <v:rect style="position:absolute;left:2184;top:1400;width:65;height:320" filled="false" stroked="true" strokeweight=".5pt" strokecolor="#000000">
              <v:stroke dashstyle="solid"/>
            </v:rect>
            <v:rect style="position:absolute;left:2184;top:1718;width:65;height:45" filled="true" fillcolor="#fdeecc" stroked="false">
              <v:fill type="solid"/>
            </v:rect>
            <v:rect style="position:absolute;left:2184;top:1718;width:65;height:45" filled="false" stroked="true" strokeweight=".5pt" strokecolor="#000000">
              <v:stroke dashstyle="solid"/>
            </v:rect>
            <v:rect style="position:absolute;left:2184;top:1760;width:65;height:33" filled="true" fillcolor="#c0a2c7" stroked="false">
              <v:fill type="solid"/>
            </v:rect>
            <v:rect style="position:absolute;left:2184;top:1760;width:65;height:33" filled="false" stroked="true" strokeweight=".5pt" strokecolor="#000000">
              <v:stroke dashstyle="solid"/>
            </v:rect>
            <v:rect style="position:absolute;left:2184;top:1370;width:65;height:33" filled="true" fillcolor="#cee7e8" stroked="false">
              <v:fill type="solid"/>
            </v:rect>
            <v:rect style="position:absolute;left:2184;top:1370;width:65;height:33" filled="false" stroked="true" strokeweight=".5pt" strokecolor="#000000">
              <v:stroke dashstyle="solid"/>
            </v:rect>
            <v:rect style="position:absolute;left:2184;top:1240;width:65;height:133" filled="true" fillcolor="#f5b37a" stroked="false">
              <v:fill type="solid"/>
            </v:rect>
            <v:rect style="position:absolute;left:2184;top:1240;width:65;height:133" filled="false" stroked="true" strokeweight=".5pt" strokecolor="#000000">
              <v:stroke dashstyle="solid"/>
            </v:rect>
            <v:rect style="position:absolute;left:2369;top:1718;width:65;height:175" filled="true" fillcolor="#f5d4e1" stroked="false">
              <v:fill type="solid"/>
            </v:rect>
            <v:rect style="position:absolute;left:2369;top:1718;width:65;height:175" filled="false" stroked="true" strokeweight=".5pt" strokecolor="#000000">
              <v:stroke dashstyle="solid"/>
            </v:rect>
            <v:rect style="position:absolute;left:2369;top:1618;width:65;height:103" filled="true" fillcolor="#fdeecc" stroked="false">
              <v:fill type="solid"/>
            </v:rect>
            <v:rect style="position:absolute;left:2369;top:1618;width:65;height:103" filled="false" stroked="true" strokeweight=".5pt" strokecolor="#000000">
              <v:stroke dashstyle="solid"/>
            </v:rect>
            <v:rect style="position:absolute;left:2369;top:1485;width:65;height:135" filled="true" fillcolor="#cee7e8" stroked="false">
              <v:fill type="solid"/>
            </v:rect>
            <v:rect style="position:absolute;left:2369;top:1485;width:65;height:135" filled="false" stroked="true" strokeweight=".5pt" strokecolor="#000000">
              <v:stroke dashstyle="solid"/>
            </v:rect>
            <v:rect style="position:absolute;left:2369;top:1385;width:65;height:103" filled="true" fillcolor="#f5b37a" stroked="false">
              <v:fill type="solid"/>
            </v:rect>
            <v:rect style="position:absolute;left:2369;top:1385;width:65;height:103" filled="false" stroked="true" strokeweight=".5pt" strokecolor="#000000">
              <v:stroke dashstyle="solid"/>
            </v:rect>
            <v:rect style="position:absolute;left:2567;top:1718;width:63;height:408" filled="true" fillcolor="#f5d4e1" stroked="false">
              <v:fill type="solid"/>
            </v:rect>
            <v:rect style="position:absolute;left:2567;top:1718;width:63;height:408" filled="false" stroked="true" strokeweight=".5pt" strokecolor="#000000">
              <v:stroke dashstyle="solid"/>
            </v:rect>
            <v:rect style="position:absolute;left:2567;top:1630;width:63;height:90" filled="true" fillcolor="#fdeecc" stroked="false">
              <v:fill type="solid"/>
            </v:rect>
            <v:rect style="position:absolute;left:2567;top:1630;width:63;height:90" filled="false" stroked="true" strokeweight=".5pt" strokecolor="#000000">
              <v:stroke dashstyle="solid"/>
            </v:rect>
            <v:rect style="position:absolute;left:2567;top:2123;width:63;height:90" filled="true" fillcolor="#c0a2c7" stroked="false">
              <v:fill type="solid"/>
            </v:rect>
            <v:rect style="position:absolute;left:2567;top:2123;width:63;height:90" filled="false" stroked="true" strokeweight=".5pt" strokecolor="#000000">
              <v:stroke dashstyle="solid"/>
            </v:rect>
            <v:rect style="position:absolute;left:2567;top:2210;width:63;height:45" filled="true" fillcolor="#cee7e8" stroked="false">
              <v:fill type="solid"/>
            </v:rect>
            <v:rect style="position:absolute;left:2567;top:2210;width:63;height:45" filled="false" stroked="true" strokeweight=".5pt" strokecolor="#000000">
              <v:stroke dashstyle="solid"/>
            </v:rect>
            <v:rect style="position:absolute;left:2567;top:1473;width:63;height:160" filled="true" fillcolor="#f5b37a" stroked="false">
              <v:fill type="solid"/>
            </v:rect>
            <v:rect style="position:absolute;left:2567;top:1473;width:63;height:160" filled="false" stroked="true" strokeweight=".5pt" strokecolor="#000000">
              <v:stroke dashstyle="solid"/>
            </v:rect>
            <v:rect style="position:absolute;left:2752;top:1473;width:65;height:248" filled="true" fillcolor="#f5d4e1" stroked="false">
              <v:fill type="solid"/>
            </v:rect>
            <v:rect style="position:absolute;left:2752;top:1473;width:65;height:248" filled="false" stroked="true" strokeweight=".5pt" strokecolor="#000000">
              <v:stroke dashstyle="solid"/>
            </v:rect>
            <v:rect style="position:absolute;left:2752;top:1718;width:65;height:105" filled="true" fillcolor="#fdeecc" stroked="false">
              <v:fill type="solid"/>
            </v:rect>
            <v:rect style="position:absolute;left:2752;top:1718;width:65;height:105" filled="false" stroked="true" strokeweight=".5pt" strokecolor="#000000">
              <v:stroke dashstyle="solid"/>
            </v:rect>
            <v:rect style="position:absolute;left:2752;top:1370;width:65;height:105" filled="true" fillcolor="#c0a2c7" stroked="false">
              <v:fill type="solid"/>
            </v:rect>
            <v:rect style="position:absolute;left:2752;top:1370;width:65;height:105" filled="false" stroked="true" strokeweight=".5pt" strokecolor="#000000">
              <v:stroke dashstyle="solid"/>
            </v:rect>
            <v:rect style="position:absolute;left:2752;top:1328;width:65;height:45" filled="true" fillcolor="#cee7e8" stroked="false">
              <v:fill type="solid"/>
            </v:rect>
            <v:rect style="position:absolute;left:2752;top:1328;width:65;height:45" filled="false" stroked="true" strokeweight=".5pt" strokecolor="#000000">
              <v:stroke dashstyle="solid"/>
            </v:rect>
            <v:rect style="position:absolute;left:2752;top:1210;width:65;height:120" filled="true" fillcolor="#f5b37a" stroked="false">
              <v:fill type="solid"/>
            </v:rect>
            <v:rect style="position:absolute;left:2752;top:1210;width:65;height:120" filled="false" stroked="true" strokeweight=".5pt" strokecolor="#000000">
              <v:stroke dashstyle="solid"/>
            </v:rect>
            <v:rect style="position:absolute;left:2937;top:1718;width:65;height:45" filled="true" fillcolor="#f5d4e1" stroked="false">
              <v:fill type="solid"/>
            </v:rect>
            <v:rect style="position:absolute;left:2937;top:1718;width:65;height:45" filled="false" stroked="true" strokeweight=".5pt" strokecolor="#000000">
              <v:stroke dashstyle="solid"/>
            </v:rect>
            <v:rect style="position:absolute;left:2937;top:1630;width:65;height:90" filled="true" fillcolor="#fdeecc" stroked="false">
              <v:fill type="solid"/>
            </v:rect>
            <v:rect style="position:absolute;left:2937;top:1630;width:65;height:90" filled="false" stroked="true" strokeweight=".5pt" strokecolor="#000000">
              <v:stroke dashstyle="solid"/>
            </v:rect>
            <v:rect style="position:absolute;left:2937;top:1760;width:65;height:120" filled="true" fillcolor="#c0a2c7" stroked="false">
              <v:fill type="solid"/>
            </v:rect>
            <v:rect style="position:absolute;left:2937;top:1760;width:65;height:120" filled="false" stroked="true" strokeweight=".5pt" strokecolor="#000000">
              <v:stroke dashstyle="solid"/>
            </v:rect>
            <v:rect style="position:absolute;left:2937;top:1878;width:65;height:30" filled="true" fillcolor="#cee7e8" stroked="false">
              <v:fill type="solid"/>
            </v:rect>
            <v:rect style="position:absolute;left:2937;top:1878;width:65;height:30" filled="false" stroked="true" strokeweight=".5pt" strokecolor="#000000">
              <v:stroke dashstyle="solid"/>
            </v:rect>
            <v:rect style="position:absolute;left:3122;top:1718;width:65;height:175" filled="true" fillcolor="#f5d4e1" stroked="false">
              <v:fill type="solid"/>
            </v:rect>
            <v:rect style="position:absolute;left:3122;top:1718;width:65;height:175" filled="false" stroked="true" strokeweight=".5pt" strokecolor="#000000">
              <v:stroke dashstyle="solid"/>
            </v:rect>
            <v:rect style="position:absolute;left:3122;top:1890;width:65;height:208" filled="true" fillcolor="#fdeecc" stroked="false">
              <v:fill type="solid"/>
            </v:rect>
            <v:rect style="position:absolute;left:3122;top:1890;width:65;height:208" filled="false" stroked="true" strokeweight=".5pt" strokecolor="#000000">
              <v:stroke dashstyle="solid"/>
            </v:rect>
            <v:rect style="position:absolute;left:3122;top:1603;width:65;height:118" filled="true" fillcolor="#c0a2c7" stroked="false">
              <v:fill type="solid"/>
            </v:rect>
            <v:rect style="position:absolute;left:3122;top:1603;width:65;height:118" filled="false" stroked="true" strokeweight=".5pt" strokecolor="#000000">
              <v:stroke dashstyle="solid"/>
            </v:rect>
            <v:rect style="position:absolute;left:3122;top:1545;width:65;height:60" filled="true" fillcolor="#cee7e8" stroked="false">
              <v:fill type="solid"/>
            </v:rect>
            <v:rect style="position:absolute;left:3122;top:1545;width:65;height:60" filled="false" stroked="true" strokeweight=".5pt" strokecolor="#000000">
              <v:stroke dashstyle="solid"/>
            </v:rect>
            <v:rect style="position:absolute;left:3122;top:1500;width:65;height:48" filled="true" fillcolor="#f5b37a" stroked="false">
              <v:fill type="solid"/>
            </v:rect>
            <v:rect style="position:absolute;left:3122;top:1500;width:65;height:48" filled="false" stroked="true" strokeweight=".5pt" strokecolor="#000000">
              <v:stroke dashstyle="solid"/>
            </v:rect>
            <v:rect style="position:absolute;left:3307;top:1703;width:65;height:18" filled="true" fillcolor="#f5d4e1" stroked="false">
              <v:fill type="solid"/>
            </v:rect>
            <v:rect style="position:absolute;left:3307;top:1703;width:65;height:18" filled="false" stroked="true" strokeweight=".5pt" strokecolor="#000000">
              <v:stroke dashstyle="solid"/>
            </v:rect>
            <v:rect style="position:absolute;left:3307;top:1718;width:65;height:163" filled="true" fillcolor="#c0a2c7" stroked="false">
              <v:fill type="solid"/>
            </v:rect>
            <v:rect style="position:absolute;left:3307;top:1718;width:65;height:163" filled="false" stroked="true" strokeweight=".5pt" strokecolor="#000000">
              <v:stroke dashstyle="solid"/>
            </v:rect>
            <v:rect style="position:absolute;left:3307;top:1878;width:65;height:45" filled="true" fillcolor="#cee7e8" stroked="false">
              <v:fill type="solid"/>
            </v:rect>
            <v:rect style="position:absolute;left:3307;top:1878;width:65;height:45" filled="false" stroked="true" strokeweight=".5pt" strokecolor="#000000">
              <v:stroke dashstyle="solid"/>
            </v:rect>
            <v:rect style="position:absolute;left:3307;top:1920;width:65;height:205" filled="true" fillcolor="#f5b37a" stroked="false">
              <v:fill type="solid"/>
            </v:rect>
            <v:rect style="position:absolute;left:3307;top:1920;width:65;height:205" filled="false" stroked="true" strokeweight=".5pt" strokecolor="#000000">
              <v:stroke dashstyle="solid"/>
            </v:rect>
            <v:rect style="position:absolute;left:3504;top:1558;width:63;height:163" filled="true" fillcolor="#f5d4e1" stroked="false">
              <v:fill type="solid"/>
            </v:rect>
            <v:rect style="position:absolute;left:3504;top:1558;width:63;height:163" filled="false" stroked="true" strokeweight=".5pt" strokecolor="#000000">
              <v:stroke dashstyle="solid"/>
            </v:rect>
            <v:rect style="position:absolute;left:3504;top:1545;width:63;height:15" filled="true" fillcolor="#fdeecc" stroked="false">
              <v:fill type="solid"/>
            </v:rect>
            <v:rect style="position:absolute;left:3504;top:1545;width:63;height:15" filled="false" stroked="true" strokeweight=".5pt" strokecolor="#000000">
              <v:stroke dashstyle="solid"/>
            </v:rect>
            <v:rect style="position:absolute;left:3504;top:1428;width:63;height:120" filled="true" fillcolor="#c0a2c7" stroked="false">
              <v:fill type="solid"/>
            </v:rect>
            <v:rect style="position:absolute;left:3504;top:1428;width:63;height:120" filled="false" stroked="true" strokeweight=".5pt" strokecolor="#000000">
              <v:stroke dashstyle="solid"/>
            </v:rect>
            <v:rect style="position:absolute;left:3504;top:1355;width:63;height:75" filled="true" fillcolor="#cee7e8" stroked="false">
              <v:fill type="solid"/>
            </v:rect>
            <v:rect style="position:absolute;left:3504;top:1355;width:63;height:75" filled="false" stroked="true" strokeweight=".5pt" strokecolor="#000000">
              <v:stroke dashstyle="solid"/>
            </v:rect>
            <v:rect style="position:absolute;left:3504;top:1153;width:63;height:205" filled="true" fillcolor="#f5b37a" stroked="false">
              <v:fill type="solid"/>
            </v:rect>
            <v:rect style="position:absolute;left:3504;top:1153;width:63;height:205" filled="false" stroked="true" strokeweight=".5pt" strokecolor="#000000">
              <v:stroke dashstyle="solid"/>
            </v:rect>
            <v:rect style="position:absolute;left:3689;top:1530;width:65;height:190" filled="true" fillcolor="#f5d4e1" stroked="false">
              <v:fill type="solid"/>
            </v:rect>
            <v:rect style="position:absolute;left:3689;top:1530;width:65;height:190" filled="false" stroked="true" strokeweight=".5pt" strokecolor="#000000">
              <v:stroke dashstyle="solid"/>
            </v:rect>
            <v:rect style="position:absolute;left:3689;top:1038;width:65;height:495" filled="true" fillcolor="#fdeecc" stroked="false">
              <v:fill type="solid"/>
            </v:rect>
            <v:rect style="position:absolute;left:3689;top:1038;width:65;height:495" filled="false" stroked="true" strokeweight=".5pt" strokecolor="#000000">
              <v:stroke dashstyle="solid"/>
            </v:rect>
            <v:rect style="position:absolute;left:3689;top:878;width:65;height:163" filled="true" fillcolor="#c0a2c7" stroked="false">
              <v:fill type="solid"/>
            </v:rect>
            <v:rect style="position:absolute;left:3689;top:878;width:65;height:163" filled="false" stroked="true" strokeweight=".5pt" strokecolor="#000000">
              <v:stroke dashstyle="solid"/>
            </v:rect>
            <v:rect style="position:absolute;left:3689;top:315;width:65;height:565" filled="true" fillcolor="#cee7e8" stroked="false">
              <v:fill type="solid"/>
            </v:rect>
            <v:rect style="position:absolute;left:3689;top:315;width:65;height:565" filled="false" stroked="true" strokeweight=".5pt" strokecolor="#000000">
              <v:stroke dashstyle="solid"/>
            </v:rect>
            <v:rect style="position:absolute;left:3689;top:-62;width:65;height:380" filled="true" fillcolor="#f5b37a" stroked="false">
              <v:fill type="solid"/>
            </v:rect>
            <v:rect style="position:absolute;left:3689;top:-62;width:65;height:380" filled="false" stroked="true" strokeweight=".5pt" strokecolor="#000000">
              <v:stroke dashstyle="solid"/>
            </v:rect>
            <v:rect style="position:absolute;left:3874;top:1718;width:65;height:163" filled="true" fillcolor="#f5d4e1" stroked="false">
              <v:fill type="solid"/>
            </v:rect>
            <v:rect style="position:absolute;left:3874;top:1718;width:65;height:163" filled="false" stroked="true" strokeweight=".5pt" strokecolor="#000000">
              <v:stroke dashstyle="solid"/>
            </v:rect>
            <v:rect style="position:absolute;left:3874;top:1878;width:65;height:75" filled="true" fillcolor="#fdeecc" stroked="false">
              <v:fill type="solid"/>
            </v:rect>
            <v:rect style="position:absolute;left:3874;top:1878;width:65;height:75" filled="false" stroked="true" strokeweight=".5pt" strokecolor="#000000">
              <v:stroke dashstyle="solid"/>
            </v:rect>
            <v:rect style="position:absolute;left:3874;top:1703;width:65;height:18" filled="true" fillcolor="#c0a2c7" stroked="false">
              <v:fill type="solid"/>
            </v:rect>
            <v:rect style="position:absolute;left:3874;top:1703;width:65;height:18" filled="false" stroked="true" strokeweight=".5pt" strokecolor="#000000">
              <v:stroke dashstyle="solid"/>
            </v:rect>
            <v:rect style="position:absolute;left:3874;top:1950;width:65;height:118" filled="true" fillcolor="#cee7e8" stroked="false">
              <v:fill type="solid"/>
            </v:rect>
            <v:rect style="position:absolute;left:3874;top:1950;width:65;height:118" filled="false" stroked="true" strokeweight=".5pt" strokecolor="#000000">
              <v:stroke dashstyle="solid"/>
            </v:rect>
            <v:rect style="position:absolute;left:3874;top:2065;width:65;height:235" filled="true" fillcolor="#f5b37a" stroked="false">
              <v:fill type="solid"/>
            </v:rect>
            <v:shape style="position:absolute;left:1062;top:1718;width:2878;height:583" coordorigin="1062,1718" coordsize="2878,583" path="m3875,2066l3940,2066,3940,2301,3875,2301,3875,2066xm1062,1718l3937,1721e" filled="false" stroked="true" strokeweight=".5pt" strokecolor="#000000">
              <v:path arrowok="t"/>
              <v:stroke dashstyle="solid"/>
            </v:shape>
            <v:shape style="position:absolute;left:1092;top:1038;width:1875;height:780" coordorigin="1092,1038" coordsize="1875,780" path="m2782,1311l2967,1818m1092,1038l1280,1271e" filled="false" stroked="true" strokeweight="1pt" strokecolor="#006caa">
              <v:path arrowok="t"/>
              <v:stroke dashstyle="solid"/>
            </v:shape>
            <v:line style="position:absolute" from="1270,1277" to="1475,1277" stroked="true" strokeweight="1.625pt" strokecolor="#006caa">
              <v:stroke dashstyle="solid"/>
            </v:line>
            <v:shape style="position:absolute;left:1464;top:-62;width:2440;height:2330" coordorigin="1465,-62" coordsize="2440,2330" path="m1465,1283l1660,1473m1660,1473l1845,1038m1845,1038l2030,1226m2030,1226l2217,1298m2217,1298l2402,1558m2402,1558l2597,1993m2597,1993l2782,1313m2967,1821l3155,1878m3155,1878l3340,2096m3340,2096l3535,1153m3535,1153l3720,-62m3720,-62l3905,2268e" filled="false" stroked="true" strokeweight="1pt" strokecolor="#006caa">
              <v:path arrowok="t"/>
              <v:stroke dashstyle="solid"/>
            </v:shape>
            <v:shape style="position:absolute;left:4013;top:76;width:87;height:2059" coordorigin="4014,77" coordsize="87,2059" path="m4014,77l4101,77m4014,488l4101,488m4014,900l4101,900m4014,1311l4101,1311m4014,2135l4101,2135m4014,1723l4101,1723e" filled="false" stroked="true" strokeweight=".5pt" strokecolor="#000000">
              <v:path arrowok="t"/>
              <v:stroke dashstyle="solid"/>
            </v:shape>
            <w10:wrap type="none"/>
          </v:group>
        </w:pict>
      </w:r>
      <w:r>
        <w:rPr>
          <w:sz w:val="12"/>
        </w:rPr>
        <w:t>8</w:t>
      </w:r>
    </w:p>
    <w:p>
      <w:pPr>
        <w:pStyle w:val="BodyText"/>
        <w:rPr>
          <w:sz w:val="12"/>
        </w:rPr>
      </w:pPr>
    </w:p>
    <w:p>
      <w:pPr>
        <w:pStyle w:val="BodyText"/>
        <w:spacing w:before="9"/>
        <w:rPr>
          <w:sz w:val="11"/>
        </w:rPr>
      </w:pPr>
    </w:p>
    <w:p>
      <w:pPr>
        <w:spacing w:before="0"/>
        <w:ind w:left="0" w:right="38" w:firstLine="0"/>
        <w:jc w:val="right"/>
        <w:rPr>
          <w:sz w:val="12"/>
        </w:rPr>
      </w:pPr>
      <w:r>
        <w:rPr>
          <w:sz w:val="12"/>
        </w:rPr>
        <w:t>6</w:t>
      </w:r>
    </w:p>
    <w:p>
      <w:pPr>
        <w:pStyle w:val="BodyText"/>
        <w:rPr>
          <w:sz w:val="12"/>
        </w:rPr>
      </w:pPr>
    </w:p>
    <w:p>
      <w:pPr>
        <w:pStyle w:val="BodyText"/>
        <w:spacing w:before="8"/>
        <w:rPr>
          <w:sz w:val="11"/>
        </w:rPr>
      </w:pPr>
    </w:p>
    <w:p>
      <w:pPr>
        <w:spacing w:before="0"/>
        <w:ind w:left="0" w:right="38" w:firstLine="0"/>
        <w:jc w:val="right"/>
        <w:rPr>
          <w:sz w:val="12"/>
        </w:rPr>
      </w:pPr>
      <w:r>
        <w:rPr>
          <w:sz w:val="12"/>
        </w:rPr>
        <w:t>4</w:t>
      </w:r>
    </w:p>
    <w:p>
      <w:pPr>
        <w:pStyle w:val="BodyText"/>
        <w:rPr>
          <w:sz w:val="12"/>
        </w:rPr>
      </w:pPr>
    </w:p>
    <w:p>
      <w:pPr>
        <w:pStyle w:val="BodyText"/>
        <w:spacing w:before="9"/>
        <w:rPr>
          <w:sz w:val="11"/>
        </w:rPr>
      </w:pPr>
    </w:p>
    <w:p>
      <w:pPr>
        <w:spacing w:before="0"/>
        <w:ind w:left="0" w:right="38" w:firstLine="0"/>
        <w:jc w:val="right"/>
        <w:rPr>
          <w:sz w:val="12"/>
        </w:rPr>
      </w:pPr>
      <w:r>
        <w:rPr>
          <w:sz w:val="12"/>
        </w:rPr>
        <w:t>2</w:t>
      </w:r>
    </w:p>
    <w:p>
      <w:pPr>
        <w:spacing w:before="78"/>
        <w:ind w:left="1666" w:right="0" w:firstLine="0"/>
        <w:jc w:val="left"/>
        <w:rPr>
          <w:sz w:val="16"/>
        </w:rPr>
      </w:pPr>
      <w:r>
        <w:rPr>
          <w:w w:val="100"/>
          <w:sz w:val="16"/>
        </w:rPr>
        <w:t>+</w:t>
      </w:r>
    </w:p>
    <w:p>
      <w:pPr>
        <w:spacing w:line="115" w:lineRule="exact" w:before="11"/>
        <w:ind w:left="1742" w:right="0" w:firstLine="0"/>
        <w:jc w:val="left"/>
        <w:rPr>
          <w:sz w:val="12"/>
        </w:rPr>
      </w:pPr>
      <w:r>
        <w:rPr>
          <w:sz w:val="12"/>
        </w:rPr>
        <w:t>0</w:t>
      </w:r>
    </w:p>
    <w:p>
      <w:pPr>
        <w:spacing w:line="161" w:lineRule="exact" w:before="0"/>
        <w:ind w:left="1680" w:right="0" w:firstLine="0"/>
        <w:jc w:val="left"/>
        <w:rPr>
          <w:sz w:val="16"/>
        </w:rPr>
      </w:pPr>
      <w:r>
        <w:rPr>
          <w:sz w:val="16"/>
        </w:rPr>
        <w:t>–</w:t>
      </w:r>
    </w:p>
    <w:p>
      <w:pPr>
        <w:spacing w:before="135"/>
        <w:ind w:left="0" w:right="38" w:firstLine="0"/>
        <w:jc w:val="right"/>
        <w:rPr>
          <w:sz w:val="12"/>
        </w:rPr>
      </w:pPr>
      <w:r>
        <w:rPr>
          <w:sz w:val="12"/>
        </w:rPr>
        <w:t>2</w:t>
      </w:r>
    </w:p>
    <w:p>
      <w:pPr>
        <w:pStyle w:val="BodyText"/>
        <w:spacing w:before="6"/>
        <w:rPr>
          <w:sz w:val="30"/>
        </w:rPr>
      </w:pPr>
      <w:r>
        <w:rPr/>
        <w:br w:type="column"/>
      </w:r>
      <w:r>
        <w:rPr>
          <w:sz w:val="30"/>
        </w:rPr>
      </w:r>
    </w:p>
    <w:p>
      <w:pPr>
        <w:pStyle w:val="Heading6"/>
        <w:spacing w:line="242" w:lineRule="auto" w:before="1"/>
        <w:ind w:left="243" w:right="253"/>
      </w:pPr>
      <w:r>
        <w:rPr/>
        <w:t>Most</w:t>
      </w:r>
      <w:r>
        <w:rPr>
          <w:spacing w:val="-9"/>
        </w:rPr>
        <w:t> </w:t>
      </w:r>
      <w:r>
        <w:rPr/>
        <w:t>survey</w:t>
      </w:r>
      <w:r>
        <w:rPr>
          <w:spacing w:val="-8"/>
        </w:rPr>
        <w:t> </w:t>
      </w:r>
      <w:r>
        <w:rPr/>
        <w:t>evidence</w:t>
      </w:r>
      <w:r>
        <w:rPr>
          <w:spacing w:val="-8"/>
        </w:rPr>
        <w:t> </w:t>
      </w:r>
      <w:r>
        <w:rPr/>
        <w:t>in</w:t>
      </w:r>
      <w:r>
        <w:rPr>
          <w:spacing w:val="-7"/>
        </w:rPr>
        <w:t> </w:t>
      </w:r>
      <w:r>
        <w:rPr/>
        <w:t>Q1</w:t>
      </w:r>
      <w:r>
        <w:rPr>
          <w:spacing w:val="-8"/>
        </w:rPr>
        <w:t> </w:t>
      </w:r>
      <w:r>
        <w:rPr/>
        <w:t>suggested</w:t>
      </w:r>
      <w:r>
        <w:rPr>
          <w:spacing w:val="-8"/>
        </w:rPr>
        <w:t> </w:t>
      </w:r>
      <w:r>
        <w:rPr/>
        <w:t>continued</w:t>
      </w:r>
      <w:r>
        <w:rPr>
          <w:spacing w:val="-8"/>
        </w:rPr>
        <w:t> </w:t>
      </w:r>
      <w:r>
        <w:rPr/>
        <w:t>growth in exports in the near term (see </w:t>
      </w:r>
      <w:r>
        <w:rPr>
          <w:spacing w:val="-5"/>
        </w:rPr>
        <w:t>Table </w:t>
      </w:r>
      <w:r>
        <w:rPr/>
        <w:t>2.A). </w:t>
      </w:r>
      <w:r>
        <w:rPr>
          <w:spacing w:val="-4"/>
        </w:rPr>
        <w:t>However, </w:t>
      </w:r>
      <w:r>
        <w:rPr/>
        <w:t>export indicators relating to the manufacturing sector alone were generally weaker than in Q4, and the CIPS index indicated a decline in new manufacturing export orders in April for the first time in a </w:t>
      </w:r>
      <w:r>
        <w:rPr>
          <w:spacing w:val="-4"/>
        </w:rPr>
        <w:t>year. </w:t>
      </w:r>
      <w:r>
        <w:rPr/>
        <w:t>Survey responses indicate that manufacturers continue to register considerable concerns about the </w:t>
      </w:r>
      <w:r>
        <w:rPr>
          <w:spacing w:val="-3"/>
        </w:rPr>
        <w:t>level </w:t>
      </w:r>
      <w:r>
        <w:rPr/>
        <w:t>of the exchange rate. Consistent with recent official data on export volumes and the particular strength of</w:t>
      </w:r>
      <w:r>
        <w:rPr>
          <w:spacing w:val="-5"/>
        </w:rPr>
        <w:t> </w:t>
      </w:r>
      <w:r>
        <w:rPr/>
        <w:t>sterling</w:t>
      </w:r>
    </w:p>
    <w:p>
      <w:pPr>
        <w:spacing w:after="0" w:line="242" w:lineRule="auto"/>
        <w:sectPr>
          <w:type w:val="continuous"/>
          <w:pgSz w:w="11900" w:h="16840"/>
          <w:pgMar w:top="1220" w:bottom="280" w:left="640" w:right="620"/>
          <w:cols w:num="3" w:equalWidth="0">
            <w:col w:w="1753" w:space="44"/>
            <w:col w:w="1843" w:space="1062"/>
            <w:col w:w="5938"/>
          </w:cols>
        </w:sectPr>
      </w:pPr>
    </w:p>
    <w:p>
      <w:pPr>
        <w:spacing w:line="124" w:lineRule="exact" w:before="20"/>
        <w:ind w:left="3539" w:right="0" w:firstLine="0"/>
        <w:jc w:val="left"/>
        <w:rPr>
          <w:sz w:val="12"/>
        </w:rPr>
      </w:pPr>
      <w:r>
        <w:rPr/>
        <w:pict>
          <v:shape style="position:absolute;margin-left:52.758999pt;margin-top:-.06543pt;width:152.3pt;height:5.1pt;mso-position-horizontal-relative:page;mso-position-vertical-relative:paragraph;z-index:15970304" coordorigin="1055,-1" coordsize="3046,102" path="m1055,99l3944,99m1091,-1l1091,99m1279,52l1279,99m1467,52l1467,99m1655,52l1655,99m4014,100l4101,100m1843,-1l1843,99m2031,52l2031,99m2219,52l2219,99m2407,52l2407,99m2595,-1l2595,99m2783,52l2783,99m2971,52l2971,99m3159,52l3159,99m3347,-1l3347,99m3535,52l3535,99m3723,52l3723,99m3911,52l3911,99e" filled="false" stroked="true" strokeweight=".5pt" strokecolor="#000000">
            <v:path arrowok="t"/>
            <v:stroke dashstyle="solid"/>
            <w10:wrap type="none"/>
          </v:shape>
        </w:pict>
      </w:r>
      <w:r>
        <w:rPr/>
        <w:pict>
          <v:line style="position:absolute;mso-position-horizontal-relative:page;mso-position-vertical-relative:paragraph;z-index:15970816" from="44.196999pt,4.997571pt" to="48.529999pt,4.997571pt" stroked="true" strokeweight=".5pt" strokecolor="#000000">
            <v:stroke dashstyle="solid"/>
            <w10:wrap type="none"/>
          </v:line>
        </w:pict>
      </w:r>
      <w:r>
        <w:rPr>
          <w:sz w:val="12"/>
        </w:rPr>
        <w:t>4</w:t>
      </w:r>
    </w:p>
    <w:p>
      <w:pPr>
        <w:tabs>
          <w:tab w:pos="1494" w:val="left" w:leader="none"/>
          <w:tab w:pos="2244" w:val="left" w:leader="none"/>
          <w:tab w:pos="2987" w:val="left" w:leader="none"/>
        </w:tabs>
        <w:spacing w:line="124" w:lineRule="exact" w:before="0"/>
        <w:ind w:left="682" w:right="0" w:firstLine="0"/>
        <w:jc w:val="left"/>
        <w:rPr>
          <w:sz w:val="12"/>
        </w:rPr>
      </w:pPr>
      <w:r>
        <w:rPr>
          <w:sz w:val="12"/>
        </w:rPr>
        <w:t>1996</w:t>
        <w:tab/>
        <w:t>97</w:t>
        <w:tab/>
        <w:t>98</w:t>
        <w:tab/>
        <w:t>99</w:t>
      </w:r>
    </w:p>
    <w:p>
      <w:pPr>
        <w:pStyle w:val="BodyText"/>
        <w:rPr>
          <w:sz w:val="12"/>
        </w:rPr>
      </w:pPr>
    </w:p>
    <w:p>
      <w:pPr>
        <w:pStyle w:val="BodyText"/>
        <w:rPr>
          <w:sz w:val="12"/>
        </w:rPr>
      </w:pPr>
    </w:p>
    <w:p>
      <w:pPr>
        <w:pStyle w:val="BodyText"/>
        <w:spacing w:before="1"/>
        <w:rPr>
          <w:sz w:val="11"/>
        </w:rPr>
      </w:pPr>
    </w:p>
    <w:p>
      <w:pPr>
        <w:spacing w:before="0"/>
        <w:ind w:left="185" w:right="0" w:firstLine="0"/>
        <w:jc w:val="left"/>
        <w:rPr>
          <w:b/>
          <w:sz w:val="20"/>
        </w:rPr>
      </w:pPr>
      <w:r>
        <w:rPr>
          <w:b/>
          <w:color w:val="0092C7"/>
          <w:sz w:val="20"/>
        </w:rPr>
        <w:t>Chart 2.3</w:t>
      </w:r>
    </w:p>
    <w:p>
      <w:pPr>
        <w:spacing w:line="249" w:lineRule="auto" w:before="10"/>
        <w:ind w:left="185" w:right="38" w:firstLine="0"/>
        <w:jc w:val="left"/>
        <w:rPr>
          <w:sz w:val="12"/>
        </w:rPr>
      </w:pPr>
      <w:r>
        <w:rPr>
          <w:b/>
          <w:color w:val="0092C7"/>
          <w:sz w:val="20"/>
        </w:rPr>
        <w:t>Volumes of UK goods exports to EU and non-EU countries</w:t>
      </w:r>
      <w:r>
        <w:rPr>
          <w:position w:val="4"/>
          <w:sz w:val="12"/>
        </w:rPr>
        <w:t>(a)</w:t>
      </w:r>
    </w:p>
    <w:p>
      <w:pPr>
        <w:spacing w:line="242" w:lineRule="auto" w:before="12"/>
        <w:ind w:left="185" w:right="18" w:firstLine="0"/>
        <w:jc w:val="left"/>
        <w:rPr>
          <w:sz w:val="24"/>
        </w:rPr>
      </w:pPr>
      <w:r>
        <w:rPr/>
        <w:br w:type="column"/>
      </w:r>
      <w:r>
        <w:rPr>
          <w:sz w:val="24"/>
        </w:rPr>
        <w:t>against the euro, the CIPS survey suggests that the most marked adverse effects of the exchange rate appreciation on manufacturers’ competitiveness are being reported in relation to trade with European countries.</w:t>
      </w:r>
    </w:p>
    <w:p>
      <w:pPr>
        <w:spacing w:after="0" w:line="242" w:lineRule="auto"/>
        <w:jc w:val="left"/>
        <w:rPr>
          <w:sz w:val="24"/>
        </w:rPr>
        <w:sectPr>
          <w:type w:val="continuous"/>
          <w:pgSz w:w="11900" w:h="16840"/>
          <w:pgMar w:top="1220" w:bottom="280" w:left="640" w:right="620"/>
          <w:cols w:num="2" w:equalWidth="0">
            <w:col w:w="3675" w:space="1085"/>
            <w:col w:w="5880"/>
          </w:cols>
        </w:sectPr>
      </w:pPr>
    </w:p>
    <w:p>
      <w:pPr>
        <w:pStyle w:val="BodyText"/>
        <w:spacing w:before="6"/>
        <w:rPr>
          <w:sz w:val="9"/>
        </w:rPr>
      </w:pPr>
    </w:p>
    <w:p>
      <w:pPr>
        <w:spacing w:before="0"/>
        <w:ind w:left="0" w:right="0" w:firstLine="0"/>
        <w:jc w:val="right"/>
        <w:rPr>
          <w:sz w:val="12"/>
        </w:rPr>
      </w:pPr>
      <w:r>
        <w:rPr/>
        <w:pict>
          <v:group style="position:absolute;margin-left:55.029999pt;margin-top:30.309418pt;width:151.9pt;height:116pt;mso-position-horizontal-relative:page;mso-position-vertical-relative:paragraph;z-index:15964160" coordorigin="1101,606" coordsize="3038,2320">
            <v:shape style="position:absolute;left:1110;top:1243;width:225;height:1178" coordorigin="1111,1244" coordsize="225,1178" path="m1111,1244l1183,1926m1183,1926l1266,2421m1266,2421l1336,1489e" filled="false" stroked="true" strokeweight="1pt" strokecolor="#44af34">
              <v:path arrowok="t"/>
              <v:stroke dashstyle="solid"/>
            </v:shape>
            <v:shape style="position:absolute;left:1325;top:1478;width:483;height:403" type="#_x0000_t75" stroked="false">
              <v:imagedata r:id="rId74" o:title=""/>
            </v:shape>
            <v:shape style="position:absolute;left:1798;top:1338;width:225;height:723" coordorigin="1798,1339" coordsize="225,723" path="m1798,1546l1871,2061m1871,2061l1941,1339m1941,1339l2023,1889e" filled="false" stroked="true" strokeweight="1pt" strokecolor="#44af34">
              <v:path arrowok="t"/>
              <v:stroke dashstyle="solid"/>
            </v:shape>
            <v:shape style="position:absolute;left:2013;top:1889;width:175;height:2" coordorigin="2013,1890" coordsize="175,0" path="m2013,1890l2106,1890m2086,1890l2188,1890e" filled="false" stroked="true" strokeweight="1.125pt" strokecolor="#44af34">
              <v:path arrowok="t"/>
              <v:stroke dashstyle="solid"/>
            </v:shape>
            <v:shape style="position:absolute;left:2178;top:786;width:1813;height:2130" coordorigin="2178,786" coordsize="1813,2130" path="m2178,1889l2248,1909m2248,1909l2321,2211m2321,2211l2403,1851m2403,1851l2473,1871m2473,1871l2556,2136m2556,2136l2628,2499m2628,2499l2698,2269m2698,2269l2781,2309m2781,2309l2853,2231m2853,2231l2923,2916m2923,2916l3006,2251m3006,2251l3078,1719m3078,1719l3161,2269m3161,2269l3233,2194m3233,2194l3303,2079m3303,2079l3386,1946m3386,1946l3458,786m3458,786l3541,1186m3541,1186l3611,2021m3611,2021l3683,1451m3683,1451l3766,1776m3766,1776l3836,1414m3836,1414l3918,1054m3918,1054l3991,996e" filled="false" stroked="true" strokeweight="1pt" strokecolor="#44af34">
              <v:path arrowok="t"/>
              <v:stroke dashstyle="solid"/>
            </v:shape>
            <v:shape style="position:absolute;left:1110;top:1071;width:1518;height:1293" coordorigin="1111,1071" coordsize="1518,1293" path="m1111,2041l1183,2231m1183,2231l1266,2364m1266,2364l1336,1871m1336,1871l1418,2309m1418,2309l1491,1831m1491,1831l1561,1871m1561,1871l1643,2021m1643,2021l1716,1909m1716,1909l1798,1681m1798,1681l1871,1926m1871,1926l1941,1509m1941,1509l2023,1624m2023,1624l2096,1394m2096,1394l2178,1376m2178,1376l2248,1451m2248,1451l2321,1244m2321,1244l2403,1319m2403,1319l2473,1299m2473,1299l2556,1071m2556,1071l2628,1339e" filled="false" stroked="true" strokeweight="1pt" strokecolor="#de0035">
              <v:path arrowok="t"/>
              <v:stroke dashstyle="solid"/>
            </v:shape>
            <v:line style="position:absolute" from="2618,1340" to="2708,1340" stroked="true" strokeweight="1.125pt" strokecolor="#de0035">
              <v:stroke dashstyle="solid"/>
            </v:line>
            <v:shape style="position:absolute;left:2698;top:1091;width:308;height:455" coordorigin="2698,1091" coordsize="308,455" path="m2698,1339l2781,1091m2781,1091l2853,1129m2853,1129l2923,1414m2923,1414l3006,1546e" filled="false" stroked="true" strokeweight="1pt" strokecolor="#de0035">
              <v:path arrowok="t"/>
              <v:stroke dashstyle="solid"/>
            </v:shape>
            <v:line style="position:absolute" from="2996,1547" to="3088,1547" stroked="true" strokeweight="1.125pt" strokecolor="#de0035">
              <v:stroke dashstyle="solid"/>
            </v:line>
            <v:shape style="position:absolute;left:3078;top:616;width:840;height:930" coordorigin="3078,616" coordsize="840,930" path="m3078,1546l3161,1376m3161,1376l3233,1244m3233,1244l3303,1166m3303,1166l3386,996m3386,996l3458,654m3458,654l3541,616m3541,616l3611,654m3611,654l3683,786m3683,786l3766,711m3766,711l3836,806m3836,806l3918,901e" filled="false" stroked="true" strokeweight="1pt" strokecolor="#de0035">
              <v:path arrowok="t"/>
              <v:stroke dashstyle="solid"/>
            </v:shape>
            <v:shape style="position:absolute;left:1110;top:1718;width:225;height:665" coordorigin="1111,1719" coordsize="225,665" path="m1111,1719l1183,2099m1183,2099l1266,2384m1266,2384l1336,1719e" filled="false" stroked="true" strokeweight="1pt" strokecolor="#006caa">
              <v:path arrowok="t"/>
              <v:stroke dashstyle="solid"/>
            </v:shape>
            <v:shape style="position:absolute;left:1325;top:1631;width:555;height:420" type="#_x0000_t75" stroked="false">
              <v:imagedata r:id="rId75" o:title=""/>
            </v:shape>
            <v:shape style="position:absolute;left:1870;top:1433;width:378;height:550" coordorigin="1871,1434" coordsize="378,550" path="m1871,1984l1941,1434m1941,1434l2023,1719m2023,1719l2096,1604m2096,1604l2178,1586m2178,1586l2248,1641e" filled="false" stroked="true" strokeweight="1pt" strokecolor="#006caa">
              <v:path arrowok="t"/>
              <v:stroke dashstyle="solid"/>
            </v:shape>
            <v:line style="position:absolute" from="2238,1642" to="2331,1642" stroked="true" strokeweight="1.125pt" strokecolor="#006caa">
              <v:stroke dashstyle="solid"/>
            </v:line>
            <v:shape style="position:absolute;left:2320;top:1508;width:603;height:513" coordorigin="2321,1509" coordsize="603,513" path="m2321,1641l2403,1546m2403,1546l2473,1529m2473,1529l2556,1509m2556,1509l2628,1814m2628,1814l2698,1719m2698,1719l2781,1604m2781,1604l2853,1586m2853,1586l2923,2021e" filled="false" stroked="true" strokeweight="1pt" strokecolor="#006caa">
              <v:path arrowok="t"/>
              <v:stroke dashstyle="solid"/>
            </v:shape>
            <v:shape style="position:absolute;left:2913;top:1366;width:483;height:665" type="#_x0000_t75" stroked="false">
              <v:imagedata r:id="rId76" o:title=""/>
            </v:shape>
            <v:line style="position:absolute" from="3386,1376" to="3458,711" stroked="true" strokeweight="1pt" strokecolor="#006caa">
              <v:stroke dashstyle="solid"/>
            </v:line>
            <v:shape style="position:absolute;left:3448;top:701;width:480;height:533" type="#_x0000_t75" stroked="false">
              <v:imagedata r:id="rId77" o:title=""/>
            </v:shape>
            <v:shape style="position:absolute;left:4051;top:860;width:87;height:1428" coordorigin="4051,861" coordsize="87,1428" path="m4138,861l4051,861m4138,1588l4051,1588m4138,2289l4051,2289e" filled="false" stroked="true" strokeweight=".5pt" strokecolor="#000000">
              <v:path arrowok="t"/>
              <v:stroke dashstyle="solid"/>
            </v:shape>
            <v:shape style="position:absolute;left:2472;top:947;width:180;height:133" type="#_x0000_t202" filled="false" stroked="false">
              <v:textbox inset="0,0,0,0">
                <w:txbxContent>
                  <w:p>
                    <w:pPr>
                      <w:spacing w:line="133" w:lineRule="exact" w:before="0"/>
                      <w:ind w:left="0" w:right="0" w:firstLine="0"/>
                      <w:jc w:val="left"/>
                      <w:rPr>
                        <w:sz w:val="12"/>
                      </w:rPr>
                    </w:pPr>
                    <w:r>
                      <w:rPr>
                        <w:sz w:val="12"/>
                      </w:rPr>
                      <w:t>EU</w:t>
                    </w:r>
                  </w:p>
                </w:txbxContent>
              </v:textbox>
              <w10:wrap type="none"/>
            </v:shape>
            <v:shape style="position:absolute;left:2612;top:1445;width:274;height:133" type="#_x0000_t202" filled="false" stroked="false">
              <v:textbox inset="0,0,0,0">
                <w:txbxContent>
                  <w:p>
                    <w:pPr>
                      <w:spacing w:line="133" w:lineRule="exact" w:before="0"/>
                      <w:ind w:left="0" w:right="0" w:firstLine="0"/>
                      <w:jc w:val="left"/>
                      <w:rPr>
                        <w:sz w:val="12"/>
                      </w:rPr>
                    </w:pPr>
                    <w:r>
                      <w:rPr>
                        <w:sz w:val="12"/>
                      </w:rPr>
                      <w:t>Total</w:t>
                    </w:r>
                  </w:p>
                </w:txbxContent>
              </v:textbox>
              <w10:wrap type="none"/>
            </v:shape>
            <v:shape style="position:absolute;left:2225;top:2506;width:427;height:133" type="#_x0000_t202" filled="false" stroked="false">
              <v:textbox inset="0,0,0,0">
                <w:txbxContent>
                  <w:p>
                    <w:pPr>
                      <w:spacing w:line="133" w:lineRule="exact" w:before="0"/>
                      <w:ind w:left="0" w:right="0" w:firstLine="0"/>
                      <w:jc w:val="left"/>
                      <w:rPr>
                        <w:sz w:val="12"/>
                      </w:rPr>
                    </w:pPr>
                    <w:r>
                      <w:rPr>
                        <w:sz w:val="12"/>
                      </w:rPr>
                      <w:t>Non-EU</w:t>
                    </w:r>
                  </w:p>
                </w:txbxContent>
              </v:textbox>
              <w10:wrap type="none"/>
            </v:shape>
            <w10:wrap type="none"/>
          </v:group>
        </w:pict>
      </w:r>
      <w:r>
        <w:rPr/>
        <w:pict>
          <v:line style="position:absolute;mso-position-horizontal-relative:page;mso-position-vertical-relative:paragraph;z-index:15964672" from="51.071999pt,42.767418pt" to="46.737999pt,42.767418pt" stroked="true" strokeweight=".5pt" strokecolor="#000000">
            <v:stroke dashstyle="solid"/>
            <w10:wrap type="none"/>
          </v:line>
        </w:pict>
      </w:r>
      <w:r>
        <w:rPr/>
        <w:pict>
          <v:line style="position:absolute;mso-position-horizontal-relative:page;mso-position-vertical-relative:paragraph;z-index:15965184" from="51.071999pt,79.101418pt" to="46.737999pt,79.101418pt" stroked="true" strokeweight=".5pt" strokecolor="#000000">
            <v:stroke dashstyle="solid"/>
            <w10:wrap type="none"/>
          </v:line>
        </w:pict>
      </w:r>
      <w:r>
        <w:rPr>
          <w:sz w:val="12"/>
        </w:rPr>
        <w:t>1995 = 1</w:t>
      </w:r>
      <w:r>
        <w:rPr>
          <w:sz w:val="12"/>
          <w:u w:val="single"/>
        </w:rPr>
        <w:t>00</w:t>
      </w:r>
    </w:p>
    <w:p>
      <w:pPr>
        <w:pStyle w:val="BodyText"/>
        <w:spacing w:line="20" w:lineRule="exact"/>
        <w:ind w:left="289"/>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7"/>
        </w:rPr>
      </w:pPr>
    </w:p>
    <w:p>
      <w:pPr>
        <w:spacing w:line="115" w:lineRule="exact"/>
        <w:ind w:left="289" w:right="-72" w:firstLine="0"/>
        <w:rPr>
          <w:sz w:val="11"/>
        </w:rPr>
      </w:pPr>
      <w:r>
        <w:rPr>
          <w:position w:val="8"/>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position w:val="8"/>
          <w:sz w:val="2"/>
        </w:rPr>
      </w:r>
      <w:r>
        <w:rPr>
          <w:spacing w:val="25"/>
          <w:position w:val="8"/>
          <w:sz w:val="11"/>
        </w:rPr>
        <w:t> </w:t>
      </w:r>
      <w:r>
        <w:rPr>
          <w:spacing w:val="25"/>
          <w:position w:val="-1"/>
          <w:sz w:val="11"/>
        </w:rPr>
        <w:pict>
          <v:group style="width:152.050pt;height:5.55pt;mso-position-horizontal-relative:char;mso-position-vertical-relative:line" coordorigin="0,0" coordsize="3041,111">
            <v:shape style="position:absolute;left:5;top:5;width:3036;height:106" coordorigin="5,5" coordsize="3036,106" path="m5,10l5,110m82,57l82,110m158,57l158,110m235,57l235,110m312,57l312,110m925,10l925,110m5,105l2885,105m1825,10l1825,110m2738,10l2738,110m388,57l388,110m465,57l465,110m542,57l542,110m618,57l618,110m695,57l695,110m772,57l772,110m848,57l848,110m1000,57l1000,110m1075,57l1075,110m1150,57l1150,110m1225,57l1225,110m1300,57l1300,110m1375,57l1375,110m1450,57l1450,110m1525,57l1525,110m1600,57l1600,110m1675,57l1675,110m1750,57l1750,110m1901,57l1901,110m1977,57l1977,110m2053,57l2053,110m2129,57l2129,110m2206,57l2206,110m2282,57l2282,110m2358,57l2358,110m2434,57l2434,110m2510,57l2510,110m2586,57l2586,110m2662,57l2662,110m2805,57l2805,110m2882,57l2882,110m3040,5l2954,5e" filled="false" stroked="true" strokeweight=".5pt" strokecolor="#000000">
              <v:path arrowok="t"/>
              <v:stroke dashstyle="solid"/>
            </v:shape>
          </v:group>
        </w:pict>
      </w:r>
      <w:r>
        <w:rPr>
          <w:spacing w:val="25"/>
          <w:position w:val="-1"/>
          <w:sz w:val="11"/>
        </w:rPr>
      </w:r>
    </w:p>
    <w:p>
      <w:pPr>
        <w:tabs>
          <w:tab w:pos="972" w:val="left" w:leader="none"/>
          <w:tab w:pos="1862" w:val="left" w:leader="none"/>
          <w:tab w:pos="2384" w:val="left" w:leader="none"/>
        </w:tabs>
        <w:spacing w:before="17"/>
        <w:ind w:left="0" w:right="60" w:firstLine="0"/>
        <w:jc w:val="right"/>
        <w:rPr>
          <w:sz w:val="12"/>
        </w:rPr>
      </w:pPr>
      <w:r>
        <w:rPr/>
        <w:pict>
          <v:line style="position:absolute;mso-position-horizontal-relative:page;mso-position-vertical-relative:paragraph;z-index:15965696" from="51.071999pt,-41.819790pt" to="46.737999pt,-41.819790pt" stroked="true" strokeweight=".5pt" strokecolor="#000000">
            <v:stroke dashstyle="solid"/>
            <w10:wrap type="none"/>
          </v:line>
        </w:pict>
      </w:r>
      <w:r>
        <w:rPr>
          <w:sz w:val="12"/>
        </w:rPr>
        <w:t>1997</w:t>
        <w:tab/>
        <w:t>98</w:t>
        <w:tab/>
        <w:t>99</w:t>
        <w:tab/>
        <w:t>2000</w:t>
      </w:r>
    </w:p>
    <w:p>
      <w:pPr>
        <w:pStyle w:val="BodyText"/>
        <w:spacing w:before="10"/>
        <w:rPr>
          <w:sz w:val="17"/>
        </w:rPr>
      </w:pPr>
    </w:p>
    <w:p>
      <w:pPr>
        <w:spacing w:before="1"/>
        <w:ind w:left="185" w:right="0" w:firstLine="0"/>
        <w:jc w:val="left"/>
        <w:rPr>
          <w:sz w:val="12"/>
        </w:rPr>
      </w:pPr>
      <w:r>
        <w:rPr>
          <w:sz w:val="12"/>
        </w:rPr>
        <w:t>(a) Excludes oil and erratic components.</w:t>
      </w:r>
    </w:p>
    <w:p>
      <w:pPr>
        <w:pStyle w:val="BodyText"/>
        <w:spacing w:before="9"/>
        <w:rPr>
          <w:sz w:val="15"/>
        </w:rPr>
      </w:pPr>
      <w:r>
        <w:rPr/>
        <w:br w:type="column"/>
      </w:r>
      <w:r>
        <w:rPr>
          <w:sz w:val="15"/>
        </w:rPr>
      </w:r>
    </w:p>
    <w:p>
      <w:pPr>
        <w:spacing w:before="0"/>
        <w:ind w:left="-23" w:right="0" w:firstLine="0"/>
        <w:jc w:val="left"/>
        <w:rPr>
          <w:sz w:val="12"/>
        </w:rPr>
      </w:pPr>
      <w:r>
        <w:rPr>
          <w:sz w:val="12"/>
        </w:rPr>
        <w:t>140</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1"/>
        <w:ind w:left="-23" w:right="0" w:firstLine="0"/>
        <w:jc w:val="left"/>
        <w:rPr>
          <w:sz w:val="12"/>
        </w:rPr>
      </w:pPr>
      <w:r>
        <w:rPr>
          <w:sz w:val="12"/>
        </w:rPr>
        <w:t>130</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23" w:right="0" w:firstLine="0"/>
        <w:jc w:val="left"/>
        <w:rPr>
          <w:sz w:val="12"/>
        </w:rPr>
      </w:pPr>
      <w:r>
        <w:rPr>
          <w:sz w:val="12"/>
        </w:rPr>
        <w:t>120</w:t>
      </w:r>
    </w:p>
    <w:p>
      <w:pPr>
        <w:pStyle w:val="BodyText"/>
        <w:rPr>
          <w:sz w:val="12"/>
        </w:rPr>
      </w:pPr>
    </w:p>
    <w:p>
      <w:pPr>
        <w:pStyle w:val="BodyText"/>
        <w:rPr>
          <w:sz w:val="12"/>
        </w:rPr>
      </w:pPr>
    </w:p>
    <w:p>
      <w:pPr>
        <w:pStyle w:val="BodyText"/>
        <w:rPr>
          <w:sz w:val="12"/>
        </w:rPr>
      </w:pPr>
    </w:p>
    <w:p>
      <w:pPr>
        <w:pStyle w:val="BodyText"/>
        <w:spacing w:before="4"/>
        <w:rPr>
          <w:sz w:val="13"/>
        </w:rPr>
      </w:pPr>
    </w:p>
    <w:p>
      <w:pPr>
        <w:spacing w:before="0"/>
        <w:ind w:left="-23" w:right="0" w:firstLine="0"/>
        <w:jc w:val="left"/>
        <w:rPr>
          <w:sz w:val="12"/>
        </w:rPr>
      </w:pPr>
      <w:r>
        <w:rPr>
          <w:sz w:val="12"/>
        </w:rPr>
        <w:t>110</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23" w:right="0" w:firstLine="0"/>
        <w:jc w:val="left"/>
        <w:rPr>
          <w:sz w:val="12"/>
        </w:rPr>
      </w:pPr>
      <w:r>
        <w:rPr>
          <w:sz w:val="12"/>
        </w:rPr>
        <w:t>100</w:t>
      </w:r>
    </w:p>
    <w:p>
      <w:pPr>
        <w:pStyle w:val="Heading6"/>
        <w:spacing w:line="239" w:lineRule="exact"/>
        <w:ind w:left="185"/>
      </w:pPr>
      <w:r>
        <w:rPr/>
        <w:br w:type="column"/>
      </w:r>
      <w:r>
        <w:rPr/>
        <w:t>Net trade made a negative contribution of 1.2 percentage</w:t>
      </w:r>
    </w:p>
    <w:p>
      <w:pPr>
        <w:spacing w:line="242" w:lineRule="auto" w:before="4"/>
        <w:ind w:left="185" w:right="296" w:firstLine="0"/>
        <w:jc w:val="left"/>
        <w:rPr>
          <w:sz w:val="24"/>
        </w:rPr>
      </w:pPr>
      <w:r>
        <w:rPr>
          <w:sz w:val="24"/>
        </w:rPr>
        <w:t>points to GDP growth in Q4, partly reflecting the weakness of exports compared with Q3. </w:t>
      </w:r>
      <w:r>
        <w:rPr>
          <w:spacing w:val="-4"/>
          <w:sz w:val="24"/>
        </w:rPr>
        <w:t>However, </w:t>
      </w:r>
      <w:r>
        <w:rPr>
          <w:sz w:val="24"/>
        </w:rPr>
        <w:t>it also reflected the fact that import volumes rose by 2.0% in Q4. That was a slower rate of increase than in the previous quarter, but was faster than had been projected in the February </w:t>
      </w:r>
      <w:r>
        <w:rPr>
          <w:i/>
          <w:sz w:val="24"/>
        </w:rPr>
        <w:t>Report</w:t>
      </w:r>
      <w:r>
        <w:rPr>
          <w:sz w:val="24"/>
        </w:rPr>
        <w:t>. The continued strength of import growth probably reflects both the rapid pace of growth of domestic demand in Q4 and the effect on import penetration of the appreciation of sterling during 1999. Reports from the </w:t>
      </w:r>
      <w:r>
        <w:rPr>
          <w:spacing w:val="-3"/>
          <w:sz w:val="24"/>
        </w:rPr>
        <w:t>Bank’s </w:t>
      </w:r>
      <w:r>
        <w:rPr>
          <w:sz w:val="24"/>
        </w:rPr>
        <w:t>regional Agents suggest that one aspect of this may be that UK firms are increasing the proportion of their inputs that they </w:t>
      </w:r>
      <w:r>
        <w:rPr>
          <w:spacing w:val="-3"/>
          <w:sz w:val="24"/>
        </w:rPr>
        <w:t>source </w:t>
      </w:r>
      <w:r>
        <w:rPr>
          <w:sz w:val="24"/>
        </w:rPr>
        <w:t>from abroad. Growth in imports of intermediate</w:t>
      </w:r>
      <w:r>
        <w:rPr>
          <w:spacing w:val="-30"/>
          <w:sz w:val="24"/>
        </w:rPr>
        <w:t> </w:t>
      </w:r>
      <w:r>
        <w:rPr>
          <w:sz w:val="24"/>
        </w:rPr>
        <w:t>and</w:t>
      </w:r>
    </w:p>
    <w:p>
      <w:pPr>
        <w:spacing w:after="0" w:line="242" w:lineRule="auto"/>
        <w:jc w:val="left"/>
        <w:rPr>
          <w:sz w:val="24"/>
        </w:rPr>
        <w:sectPr>
          <w:type w:val="continuous"/>
          <w:pgSz w:w="11900" w:h="16840"/>
          <w:pgMar w:top="1220" w:bottom="280" w:left="640" w:right="620"/>
          <w:cols w:num="3" w:equalWidth="0">
            <w:col w:w="3496" w:space="40"/>
            <w:col w:w="198" w:space="1026"/>
            <w:col w:w="5880"/>
          </w:cols>
        </w:sectPr>
      </w:pPr>
    </w:p>
    <w:p>
      <w:pPr>
        <w:pStyle w:val="BodyText"/>
        <w:rPr>
          <w:sz w:val="20"/>
        </w:rPr>
      </w:pPr>
    </w:p>
    <w:p>
      <w:pPr>
        <w:spacing w:after="0"/>
        <w:rPr>
          <w:sz w:val="20"/>
        </w:rPr>
        <w:sectPr>
          <w:footerReference w:type="even" r:id="rId78"/>
          <w:footerReference w:type="default" r:id="rId79"/>
          <w:pgSz w:w="11900" w:h="16840"/>
          <w:pgMar w:footer="597" w:header="586" w:top="780" w:bottom="780" w:left="640" w:right="620"/>
          <w:pgNumType w:start="16"/>
        </w:sectPr>
      </w:pPr>
    </w:p>
    <w:p>
      <w:pPr>
        <w:pStyle w:val="BodyText"/>
        <w:spacing w:before="3"/>
        <w:rPr>
          <w:sz w:val="22"/>
        </w:rPr>
      </w:pPr>
    </w:p>
    <w:p>
      <w:pPr>
        <w:spacing w:before="0"/>
        <w:ind w:left="174" w:right="0" w:firstLine="0"/>
        <w:jc w:val="left"/>
        <w:rPr>
          <w:b/>
          <w:sz w:val="20"/>
        </w:rPr>
      </w:pPr>
      <w:bookmarkStart w:name="Domestic demand" w:id="39"/>
      <w:bookmarkEnd w:id="39"/>
      <w:r>
        <w:rPr/>
      </w:r>
      <w:bookmarkStart w:name="Consumption" w:id="40"/>
      <w:bookmarkEnd w:id="40"/>
      <w:r>
        <w:rPr/>
      </w:r>
      <w:bookmarkStart w:name="_bookmark19" w:id="41"/>
      <w:bookmarkEnd w:id="41"/>
      <w:r>
        <w:rPr/>
      </w:r>
      <w:r>
        <w:rPr>
          <w:b/>
          <w:color w:val="0092C7"/>
          <w:sz w:val="20"/>
        </w:rPr>
        <w:t>Table 2.A</w:t>
      </w:r>
    </w:p>
    <w:p>
      <w:pPr>
        <w:spacing w:before="10"/>
        <w:ind w:left="174" w:right="0" w:firstLine="0"/>
        <w:jc w:val="left"/>
        <w:rPr>
          <w:sz w:val="12"/>
        </w:rPr>
      </w:pPr>
      <w:r>
        <w:rPr/>
        <w:pict>
          <v:shape style="position:absolute;margin-left:38.219898pt;margin-top:26.598055pt;width:216.05pt;height:70.8pt;mso-position-horizontal-relative:page;mso-position-vertical-relative:paragraph;z-index:159733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84"/>
                    <w:gridCol w:w="389"/>
                    <w:gridCol w:w="403"/>
                    <w:gridCol w:w="388"/>
                    <w:gridCol w:w="413"/>
                    <w:gridCol w:w="446"/>
                  </w:tblGrid>
                  <w:tr>
                    <w:trPr>
                      <w:trHeight w:val="287" w:hRule="atLeast"/>
                    </w:trPr>
                    <w:tc>
                      <w:tcPr>
                        <w:tcW w:w="2284" w:type="dxa"/>
                      </w:tcPr>
                      <w:p>
                        <w:pPr>
                          <w:pStyle w:val="TableParagraph"/>
                          <w:spacing w:line="133" w:lineRule="exact" w:before="134"/>
                          <w:ind w:left="50"/>
                          <w:rPr>
                            <w:sz w:val="14"/>
                          </w:rPr>
                        </w:pPr>
                        <w:r>
                          <w:rPr>
                            <w:sz w:val="14"/>
                          </w:rPr>
                          <w:t>BCC export orders</w:t>
                        </w:r>
                      </w:p>
                    </w:tc>
                    <w:tc>
                      <w:tcPr>
                        <w:tcW w:w="389" w:type="dxa"/>
                      </w:tcPr>
                      <w:p>
                        <w:pPr>
                          <w:pStyle w:val="TableParagraph"/>
                          <w:spacing w:line="155" w:lineRule="exact"/>
                          <w:ind w:right="75"/>
                          <w:jc w:val="right"/>
                          <w:rPr>
                            <w:sz w:val="14"/>
                          </w:rPr>
                        </w:pPr>
                        <w:r>
                          <w:rPr>
                            <w:sz w:val="14"/>
                            <w:u w:val="single"/>
                          </w:rPr>
                          <w:t>Q1 </w:t>
                        </w:r>
                      </w:p>
                    </w:tc>
                    <w:tc>
                      <w:tcPr>
                        <w:tcW w:w="403" w:type="dxa"/>
                      </w:tcPr>
                      <w:p>
                        <w:pPr>
                          <w:pStyle w:val="TableParagraph"/>
                          <w:spacing w:line="155" w:lineRule="exact"/>
                          <w:ind w:right="58"/>
                          <w:jc w:val="right"/>
                          <w:rPr>
                            <w:sz w:val="14"/>
                          </w:rPr>
                        </w:pPr>
                        <w:r>
                          <w:rPr>
                            <w:sz w:val="14"/>
                            <w:u w:val="single"/>
                          </w:rPr>
                          <w:t>Q2 </w:t>
                        </w:r>
                      </w:p>
                    </w:tc>
                    <w:tc>
                      <w:tcPr>
                        <w:tcW w:w="388" w:type="dxa"/>
                      </w:tcPr>
                      <w:p>
                        <w:pPr>
                          <w:pStyle w:val="TableParagraph"/>
                          <w:spacing w:line="155" w:lineRule="exact"/>
                          <w:ind w:right="111"/>
                          <w:jc w:val="right"/>
                          <w:rPr>
                            <w:sz w:val="14"/>
                          </w:rPr>
                        </w:pPr>
                        <w:r>
                          <w:rPr>
                            <w:w w:val="95"/>
                            <w:sz w:val="14"/>
                            <w:u w:val="single"/>
                          </w:rPr>
                          <w:t>Q3</w:t>
                        </w:r>
                      </w:p>
                    </w:tc>
                    <w:tc>
                      <w:tcPr>
                        <w:tcW w:w="413" w:type="dxa"/>
                      </w:tcPr>
                      <w:p>
                        <w:pPr>
                          <w:pStyle w:val="TableParagraph"/>
                          <w:spacing w:line="155" w:lineRule="exact"/>
                          <w:ind w:right="89"/>
                          <w:jc w:val="right"/>
                          <w:rPr>
                            <w:sz w:val="14"/>
                          </w:rPr>
                        </w:pPr>
                        <w:r>
                          <w:rPr>
                            <w:sz w:val="14"/>
                            <w:u w:val="single"/>
                          </w:rPr>
                          <w:t> Q4 </w:t>
                        </w:r>
                      </w:p>
                    </w:tc>
                    <w:tc>
                      <w:tcPr>
                        <w:tcW w:w="446" w:type="dxa"/>
                      </w:tcPr>
                      <w:p>
                        <w:pPr>
                          <w:pStyle w:val="TableParagraph"/>
                          <w:spacing w:line="155" w:lineRule="exact"/>
                          <w:ind w:right="65"/>
                          <w:jc w:val="right"/>
                          <w:rPr>
                            <w:sz w:val="14"/>
                          </w:rPr>
                        </w:pPr>
                        <w:r>
                          <w:rPr>
                            <w:sz w:val="14"/>
                            <w:u w:val="single"/>
                          </w:rPr>
                          <w:t>Q1 </w:t>
                        </w:r>
                      </w:p>
                    </w:tc>
                  </w:tr>
                  <w:tr>
                    <w:trPr>
                      <w:trHeight w:val="140" w:hRule="atLeast"/>
                    </w:trPr>
                    <w:tc>
                      <w:tcPr>
                        <w:tcW w:w="2284" w:type="dxa"/>
                      </w:tcPr>
                      <w:p>
                        <w:pPr>
                          <w:pStyle w:val="TableParagraph"/>
                          <w:ind w:left="150"/>
                          <w:rPr>
                            <w:i/>
                            <w:sz w:val="14"/>
                          </w:rPr>
                        </w:pPr>
                        <w:r>
                          <w:rPr>
                            <w:i/>
                            <w:sz w:val="14"/>
                          </w:rPr>
                          <w:t>Services</w:t>
                        </w:r>
                      </w:p>
                    </w:tc>
                    <w:tc>
                      <w:tcPr>
                        <w:tcW w:w="389" w:type="dxa"/>
                      </w:tcPr>
                      <w:p>
                        <w:pPr>
                          <w:pStyle w:val="TableParagraph"/>
                          <w:ind w:right="70"/>
                          <w:jc w:val="right"/>
                          <w:rPr>
                            <w:sz w:val="14"/>
                          </w:rPr>
                        </w:pPr>
                        <w:r>
                          <w:rPr>
                            <w:sz w:val="14"/>
                          </w:rPr>
                          <w:t>+1</w:t>
                        </w:r>
                      </w:p>
                    </w:tc>
                    <w:tc>
                      <w:tcPr>
                        <w:tcW w:w="403" w:type="dxa"/>
                      </w:tcPr>
                      <w:p>
                        <w:pPr>
                          <w:pStyle w:val="TableParagraph"/>
                          <w:ind w:right="83"/>
                          <w:jc w:val="right"/>
                          <w:rPr>
                            <w:sz w:val="14"/>
                          </w:rPr>
                        </w:pPr>
                        <w:r>
                          <w:rPr>
                            <w:sz w:val="14"/>
                          </w:rPr>
                          <w:t>+4</w:t>
                        </w:r>
                      </w:p>
                    </w:tc>
                    <w:tc>
                      <w:tcPr>
                        <w:tcW w:w="388" w:type="dxa"/>
                      </w:tcPr>
                      <w:p>
                        <w:pPr>
                          <w:pStyle w:val="TableParagraph"/>
                          <w:ind w:right="81"/>
                          <w:jc w:val="right"/>
                          <w:rPr>
                            <w:sz w:val="14"/>
                          </w:rPr>
                        </w:pPr>
                        <w:r>
                          <w:rPr>
                            <w:sz w:val="14"/>
                          </w:rPr>
                          <w:t>+15</w:t>
                        </w:r>
                      </w:p>
                    </w:tc>
                    <w:tc>
                      <w:tcPr>
                        <w:tcW w:w="413" w:type="dxa"/>
                      </w:tcPr>
                      <w:p>
                        <w:pPr>
                          <w:pStyle w:val="TableParagraph"/>
                          <w:ind w:right="84"/>
                          <w:jc w:val="right"/>
                          <w:rPr>
                            <w:sz w:val="14"/>
                          </w:rPr>
                        </w:pPr>
                        <w:r>
                          <w:rPr>
                            <w:sz w:val="14"/>
                          </w:rPr>
                          <w:t>+5</w:t>
                        </w:r>
                      </w:p>
                    </w:tc>
                    <w:tc>
                      <w:tcPr>
                        <w:tcW w:w="446" w:type="dxa"/>
                      </w:tcPr>
                      <w:p>
                        <w:pPr>
                          <w:pStyle w:val="TableParagraph"/>
                          <w:ind w:right="50"/>
                          <w:jc w:val="right"/>
                          <w:rPr>
                            <w:sz w:val="14"/>
                          </w:rPr>
                        </w:pPr>
                        <w:r>
                          <w:rPr>
                            <w:sz w:val="14"/>
                          </w:rPr>
                          <w:t>+10</w:t>
                        </w:r>
                      </w:p>
                    </w:tc>
                  </w:tr>
                  <w:tr>
                    <w:trPr>
                      <w:trHeight w:val="210" w:hRule="atLeast"/>
                    </w:trPr>
                    <w:tc>
                      <w:tcPr>
                        <w:tcW w:w="2284" w:type="dxa"/>
                      </w:tcPr>
                      <w:p>
                        <w:pPr>
                          <w:pStyle w:val="TableParagraph"/>
                          <w:spacing w:line="148" w:lineRule="exact"/>
                          <w:ind w:left="150"/>
                          <w:rPr>
                            <w:i/>
                            <w:sz w:val="14"/>
                          </w:rPr>
                        </w:pPr>
                        <w:r>
                          <w:rPr>
                            <w:i/>
                            <w:sz w:val="14"/>
                          </w:rPr>
                          <w:t>Manufacturing</w:t>
                        </w:r>
                      </w:p>
                    </w:tc>
                    <w:tc>
                      <w:tcPr>
                        <w:tcW w:w="389" w:type="dxa"/>
                      </w:tcPr>
                      <w:p>
                        <w:pPr>
                          <w:pStyle w:val="TableParagraph"/>
                          <w:spacing w:line="148" w:lineRule="exact"/>
                          <w:ind w:right="70"/>
                          <w:jc w:val="right"/>
                          <w:rPr>
                            <w:sz w:val="14"/>
                          </w:rPr>
                        </w:pPr>
                        <w:r>
                          <w:rPr>
                            <w:sz w:val="14"/>
                          </w:rPr>
                          <w:t>-9</w:t>
                        </w:r>
                      </w:p>
                    </w:tc>
                    <w:tc>
                      <w:tcPr>
                        <w:tcW w:w="403" w:type="dxa"/>
                      </w:tcPr>
                      <w:p>
                        <w:pPr>
                          <w:pStyle w:val="TableParagraph"/>
                          <w:spacing w:line="148" w:lineRule="exact"/>
                          <w:ind w:right="83"/>
                          <w:jc w:val="right"/>
                          <w:rPr>
                            <w:sz w:val="14"/>
                          </w:rPr>
                        </w:pPr>
                        <w:r>
                          <w:rPr>
                            <w:sz w:val="14"/>
                          </w:rPr>
                          <w:t>-3</w:t>
                        </w:r>
                      </w:p>
                    </w:tc>
                    <w:tc>
                      <w:tcPr>
                        <w:tcW w:w="388" w:type="dxa"/>
                      </w:tcPr>
                      <w:p>
                        <w:pPr>
                          <w:pStyle w:val="TableParagraph"/>
                          <w:spacing w:line="148" w:lineRule="exact"/>
                          <w:ind w:right="81"/>
                          <w:jc w:val="right"/>
                          <w:rPr>
                            <w:sz w:val="14"/>
                          </w:rPr>
                        </w:pPr>
                        <w:r>
                          <w:rPr>
                            <w:sz w:val="14"/>
                          </w:rPr>
                          <w:t>+10</w:t>
                        </w:r>
                      </w:p>
                    </w:tc>
                    <w:tc>
                      <w:tcPr>
                        <w:tcW w:w="413" w:type="dxa"/>
                      </w:tcPr>
                      <w:p>
                        <w:pPr>
                          <w:pStyle w:val="TableParagraph"/>
                          <w:spacing w:line="148" w:lineRule="exact"/>
                          <w:ind w:right="84"/>
                          <w:jc w:val="right"/>
                          <w:rPr>
                            <w:sz w:val="14"/>
                          </w:rPr>
                        </w:pPr>
                        <w:r>
                          <w:rPr>
                            <w:sz w:val="14"/>
                          </w:rPr>
                          <w:t>+11</w:t>
                        </w:r>
                      </w:p>
                    </w:tc>
                    <w:tc>
                      <w:tcPr>
                        <w:tcW w:w="446" w:type="dxa"/>
                      </w:tcPr>
                      <w:p>
                        <w:pPr>
                          <w:pStyle w:val="TableParagraph"/>
                          <w:spacing w:line="148" w:lineRule="exact"/>
                          <w:ind w:right="50"/>
                          <w:jc w:val="right"/>
                          <w:rPr>
                            <w:sz w:val="14"/>
                          </w:rPr>
                        </w:pPr>
                        <w:r>
                          <w:rPr>
                            <w:sz w:val="14"/>
                          </w:rPr>
                          <w:t>+8</w:t>
                        </w:r>
                      </w:p>
                    </w:tc>
                  </w:tr>
                  <w:tr>
                    <w:trPr>
                      <w:trHeight w:val="210" w:hRule="atLeast"/>
                    </w:trPr>
                    <w:tc>
                      <w:tcPr>
                        <w:tcW w:w="2284" w:type="dxa"/>
                      </w:tcPr>
                      <w:p>
                        <w:pPr>
                          <w:pStyle w:val="TableParagraph"/>
                          <w:spacing w:line="67" w:lineRule="exact"/>
                          <w:ind w:left="50"/>
                          <w:rPr>
                            <w:sz w:val="12"/>
                          </w:rPr>
                        </w:pPr>
                        <w:r>
                          <w:rPr>
                            <w:sz w:val="14"/>
                          </w:rPr>
                          <w:t>CIPS export orders </w:t>
                        </w:r>
                        <w:r>
                          <w:rPr>
                            <w:sz w:val="12"/>
                          </w:rPr>
                          <w:t>(b)</w:t>
                        </w:r>
                      </w:p>
                      <w:p>
                        <w:pPr>
                          <w:pStyle w:val="TableParagraph"/>
                          <w:spacing w:line="123" w:lineRule="exact"/>
                          <w:ind w:left="150"/>
                          <w:rPr>
                            <w:i/>
                            <w:sz w:val="14"/>
                          </w:rPr>
                        </w:pPr>
                        <w:r>
                          <w:rPr>
                            <w:i/>
                            <w:sz w:val="14"/>
                          </w:rPr>
                          <w:t>Manufacturing</w:t>
                        </w:r>
                      </w:p>
                    </w:tc>
                    <w:tc>
                      <w:tcPr>
                        <w:tcW w:w="389" w:type="dxa"/>
                      </w:tcPr>
                      <w:p>
                        <w:pPr>
                          <w:pStyle w:val="TableParagraph"/>
                          <w:spacing w:line="133" w:lineRule="exact" w:before="56"/>
                          <w:ind w:right="72"/>
                          <w:jc w:val="right"/>
                          <w:rPr>
                            <w:sz w:val="14"/>
                          </w:rPr>
                        </w:pPr>
                        <w:r>
                          <w:rPr>
                            <w:sz w:val="14"/>
                          </w:rPr>
                          <w:t>47.3</w:t>
                        </w:r>
                      </w:p>
                    </w:tc>
                    <w:tc>
                      <w:tcPr>
                        <w:tcW w:w="403" w:type="dxa"/>
                      </w:tcPr>
                      <w:p>
                        <w:pPr>
                          <w:pStyle w:val="TableParagraph"/>
                          <w:spacing w:line="133" w:lineRule="exact" w:before="56"/>
                          <w:ind w:right="85"/>
                          <w:jc w:val="right"/>
                          <w:rPr>
                            <w:sz w:val="14"/>
                          </w:rPr>
                        </w:pPr>
                        <w:r>
                          <w:rPr>
                            <w:sz w:val="14"/>
                          </w:rPr>
                          <w:t>50.5</w:t>
                        </w:r>
                      </w:p>
                    </w:tc>
                    <w:tc>
                      <w:tcPr>
                        <w:tcW w:w="388" w:type="dxa"/>
                      </w:tcPr>
                      <w:p>
                        <w:pPr>
                          <w:pStyle w:val="TableParagraph"/>
                          <w:spacing w:line="133" w:lineRule="exact" w:before="56"/>
                          <w:ind w:right="82"/>
                          <w:jc w:val="right"/>
                          <w:rPr>
                            <w:sz w:val="14"/>
                          </w:rPr>
                        </w:pPr>
                        <w:r>
                          <w:rPr>
                            <w:sz w:val="14"/>
                          </w:rPr>
                          <w:t>54.7</w:t>
                        </w:r>
                      </w:p>
                    </w:tc>
                    <w:tc>
                      <w:tcPr>
                        <w:tcW w:w="413" w:type="dxa"/>
                      </w:tcPr>
                      <w:p>
                        <w:pPr>
                          <w:pStyle w:val="TableParagraph"/>
                          <w:spacing w:line="133" w:lineRule="exact" w:before="56"/>
                          <w:ind w:right="86"/>
                          <w:jc w:val="right"/>
                          <w:rPr>
                            <w:sz w:val="14"/>
                          </w:rPr>
                        </w:pPr>
                        <w:r>
                          <w:rPr>
                            <w:sz w:val="14"/>
                          </w:rPr>
                          <w:t>52.9</w:t>
                        </w:r>
                      </w:p>
                    </w:tc>
                    <w:tc>
                      <w:tcPr>
                        <w:tcW w:w="446" w:type="dxa"/>
                      </w:tcPr>
                      <w:p>
                        <w:pPr>
                          <w:pStyle w:val="TableParagraph"/>
                          <w:spacing w:line="133" w:lineRule="exact" w:before="56"/>
                          <w:ind w:right="52"/>
                          <w:jc w:val="right"/>
                          <w:rPr>
                            <w:sz w:val="14"/>
                          </w:rPr>
                        </w:pPr>
                        <w:r>
                          <w:rPr>
                            <w:sz w:val="14"/>
                          </w:rPr>
                          <w:t>52.2</w:t>
                        </w:r>
                      </w:p>
                    </w:tc>
                  </w:tr>
                  <w:tr>
                    <w:trPr>
                      <w:trHeight w:val="350" w:hRule="atLeast"/>
                    </w:trPr>
                    <w:tc>
                      <w:tcPr>
                        <w:tcW w:w="2284" w:type="dxa"/>
                      </w:tcPr>
                      <w:p>
                        <w:pPr>
                          <w:pStyle w:val="TableParagraph"/>
                          <w:spacing w:line="137" w:lineRule="exact"/>
                          <w:ind w:left="50"/>
                          <w:rPr>
                            <w:sz w:val="14"/>
                          </w:rPr>
                        </w:pPr>
                        <w:r>
                          <w:rPr>
                            <w:sz w:val="14"/>
                          </w:rPr>
                          <w:t>CBI industrial trends</w:t>
                        </w:r>
                      </w:p>
                      <w:p>
                        <w:pPr>
                          <w:pStyle w:val="TableParagraph"/>
                          <w:spacing w:line="150" w:lineRule="exact"/>
                          <w:ind w:left="150"/>
                          <w:rPr>
                            <w:i/>
                            <w:sz w:val="14"/>
                          </w:rPr>
                        </w:pPr>
                        <w:r>
                          <w:rPr>
                            <w:i/>
                            <w:sz w:val="14"/>
                          </w:rPr>
                          <w:t>Optimism about exports</w:t>
                        </w:r>
                      </w:p>
                    </w:tc>
                    <w:tc>
                      <w:tcPr>
                        <w:tcW w:w="389" w:type="dxa"/>
                      </w:tcPr>
                      <w:p>
                        <w:pPr>
                          <w:pStyle w:val="TableParagraph"/>
                          <w:spacing w:line="240" w:lineRule="auto" w:before="126"/>
                          <w:ind w:right="70"/>
                          <w:jc w:val="right"/>
                          <w:rPr>
                            <w:sz w:val="14"/>
                          </w:rPr>
                        </w:pPr>
                        <w:r>
                          <w:rPr>
                            <w:sz w:val="14"/>
                          </w:rPr>
                          <w:t>-17</w:t>
                        </w:r>
                      </w:p>
                    </w:tc>
                    <w:tc>
                      <w:tcPr>
                        <w:tcW w:w="403" w:type="dxa"/>
                      </w:tcPr>
                      <w:p>
                        <w:pPr>
                          <w:pStyle w:val="TableParagraph"/>
                          <w:spacing w:line="240" w:lineRule="auto" w:before="126"/>
                          <w:ind w:right="83"/>
                          <w:jc w:val="right"/>
                          <w:rPr>
                            <w:sz w:val="14"/>
                          </w:rPr>
                        </w:pPr>
                        <w:r>
                          <w:rPr>
                            <w:sz w:val="14"/>
                          </w:rPr>
                          <w:t>-9</w:t>
                        </w:r>
                      </w:p>
                    </w:tc>
                    <w:tc>
                      <w:tcPr>
                        <w:tcW w:w="388" w:type="dxa"/>
                      </w:tcPr>
                      <w:p>
                        <w:pPr>
                          <w:pStyle w:val="TableParagraph"/>
                          <w:spacing w:line="240" w:lineRule="auto" w:before="126"/>
                          <w:ind w:right="81"/>
                          <w:jc w:val="right"/>
                          <w:rPr>
                            <w:sz w:val="14"/>
                          </w:rPr>
                        </w:pPr>
                        <w:r>
                          <w:rPr>
                            <w:sz w:val="14"/>
                          </w:rPr>
                          <w:t>-5</w:t>
                        </w:r>
                      </w:p>
                    </w:tc>
                    <w:tc>
                      <w:tcPr>
                        <w:tcW w:w="413" w:type="dxa"/>
                      </w:tcPr>
                      <w:p>
                        <w:pPr>
                          <w:pStyle w:val="TableParagraph"/>
                          <w:spacing w:line="240" w:lineRule="auto" w:before="126"/>
                          <w:ind w:right="84"/>
                          <w:jc w:val="right"/>
                          <w:rPr>
                            <w:sz w:val="14"/>
                          </w:rPr>
                        </w:pPr>
                        <w:r>
                          <w:rPr>
                            <w:sz w:val="14"/>
                          </w:rPr>
                          <w:t>+2</w:t>
                        </w:r>
                      </w:p>
                    </w:tc>
                    <w:tc>
                      <w:tcPr>
                        <w:tcW w:w="446" w:type="dxa"/>
                      </w:tcPr>
                      <w:p>
                        <w:pPr>
                          <w:pStyle w:val="TableParagraph"/>
                          <w:spacing w:line="240" w:lineRule="auto" w:before="126"/>
                          <w:ind w:right="50"/>
                          <w:jc w:val="right"/>
                          <w:rPr>
                            <w:sz w:val="14"/>
                          </w:rPr>
                        </w:pPr>
                        <w:r>
                          <w:rPr>
                            <w:sz w:val="14"/>
                          </w:rPr>
                          <w:t>-10</w:t>
                        </w:r>
                      </w:p>
                    </w:tc>
                  </w:tr>
                  <w:tr>
                    <w:trPr>
                      <w:trHeight w:val="217" w:hRule="atLeast"/>
                    </w:trPr>
                    <w:tc>
                      <w:tcPr>
                        <w:tcW w:w="2284" w:type="dxa"/>
                      </w:tcPr>
                      <w:p>
                        <w:pPr>
                          <w:pStyle w:val="TableParagraph"/>
                          <w:spacing w:line="67" w:lineRule="exact"/>
                          <w:ind w:left="50"/>
                          <w:rPr>
                            <w:sz w:val="14"/>
                          </w:rPr>
                        </w:pPr>
                        <w:r>
                          <w:rPr>
                            <w:sz w:val="14"/>
                          </w:rPr>
                          <w:t>DHL quarterly export indicator</w:t>
                        </w:r>
                      </w:p>
                      <w:p>
                        <w:pPr>
                          <w:pStyle w:val="TableParagraph"/>
                          <w:spacing w:line="130" w:lineRule="exact"/>
                          <w:ind w:left="150"/>
                          <w:rPr>
                            <w:i/>
                            <w:sz w:val="14"/>
                          </w:rPr>
                        </w:pPr>
                        <w:r>
                          <w:rPr>
                            <w:i/>
                            <w:sz w:val="14"/>
                          </w:rPr>
                          <w:t>Export confidence, next three months</w:t>
                        </w:r>
                      </w:p>
                    </w:tc>
                    <w:tc>
                      <w:tcPr>
                        <w:tcW w:w="389" w:type="dxa"/>
                      </w:tcPr>
                      <w:p>
                        <w:pPr>
                          <w:pStyle w:val="TableParagraph"/>
                          <w:spacing w:line="141" w:lineRule="exact" w:before="56"/>
                          <w:ind w:right="70"/>
                          <w:jc w:val="right"/>
                          <w:rPr>
                            <w:sz w:val="14"/>
                          </w:rPr>
                        </w:pPr>
                        <w:r>
                          <w:rPr>
                            <w:sz w:val="14"/>
                          </w:rPr>
                          <w:t>+23</w:t>
                        </w:r>
                      </w:p>
                    </w:tc>
                    <w:tc>
                      <w:tcPr>
                        <w:tcW w:w="403" w:type="dxa"/>
                      </w:tcPr>
                      <w:p>
                        <w:pPr>
                          <w:pStyle w:val="TableParagraph"/>
                          <w:spacing w:line="141" w:lineRule="exact" w:before="56"/>
                          <w:ind w:right="83"/>
                          <w:jc w:val="right"/>
                          <w:rPr>
                            <w:sz w:val="14"/>
                          </w:rPr>
                        </w:pPr>
                        <w:r>
                          <w:rPr>
                            <w:sz w:val="14"/>
                          </w:rPr>
                          <w:t>+26</w:t>
                        </w:r>
                      </w:p>
                    </w:tc>
                    <w:tc>
                      <w:tcPr>
                        <w:tcW w:w="388" w:type="dxa"/>
                      </w:tcPr>
                      <w:p>
                        <w:pPr>
                          <w:pStyle w:val="TableParagraph"/>
                          <w:spacing w:line="141" w:lineRule="exact" w:before="56"/>
                          <w:ind w:right="81"/>
                          <w:jc w:val="right"/>
                          <w:rPr>
                            <w:sz w:val="14"/>
                          </w:rPr>
                        </w:pPr>
                        <w:r>
                          <w:rPr>
                            <w:sz w:val="14"/>
                          </w:rPr>
                          <w:t>+29</w:t>
                        </w:r>
                      </w:p>
                    </w:tc>
                    <w:tc>
                      <w:tcPr>
                        <w:tcW w:w="413" w:type="dxa"/>
                      </w:tcPr>
                      <w:p>
                        <w:pPr>
                          <w:pStyle w:val="TableParagraph"/>
                          <w:spacing w:line="141" w:lineRule="exact" w:before="56"/>
                          <w:ind w:right="84"/>
                          <w:jc w:val="right"/>
                          <w:rPr>
                            <w:sz w:val="14"/>
                          </w:rPr>
                        </w:pPr>
                        <w:r>
                          <w:rPr>
                            <w:sz w:val="14"/>
                          </w:rPr>
                          <w:t>+28</w:t>
                        </w:r>
                      </w:p>
                    </w:tc>
                    <w:tc>
                      <w:tcPr>
                        <w:tcW w:w="446" w:type="dxa"/>
                      </w:tcPr>
                      <w:p>
                        <w:pPr>
                          <w:pStyle w:val="TableParagraph"/>
                          <w:spacing w:line="141" w:lineRule="exact" w:before="56"/>
                          <w:ind w:right="50"/>
                          <w:jc w:val="right"/>
                          <w:rPr>
                            <w:sz w:val="14"/>
                          </w:rPr>
                        </w:pPr>
                        <w:r>
                          <w:rPr>
                            <w:sz w:val="14"/>
                          </w:rPr>
                          <w:t>+38</w:t>
                        </w:r>
                      </w:p>
                    </w:tc>
                  </w:tr>
                </w:tbl>
                <w:p>
                  <w:pPr>
                    <w:pStyle w:val="BodyText"/>
                  </w:pPr>
                </w:p>
              </w:txbxContent>
            </v:textbox>
            <w10:wrap type="none"/>
          </v:shape>
        </w:pict>
      </w:r>
      <w:r>
        <w:rPr>
          <w:b/>
          <w:color w:val="0092C7"/>
          <w:sz w:val="20"/>
        </w:rPr>
        <w:t>UK export outlook</w:t>
      </w:r>
      <w:r>
        <w:rPr>
          <w:position w:val="4"/>
          <w:sz w:val="12"/>
        </w:rPr>
        <w:t>(a)</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6"/>
        </w:rPr>
      </w:pPr>
    </w:p>
    <w:p>
      <w:pPr>
        <w:spacing w:before="0"/>
        <w:ind w:left="174" w:right="0" w:firstLine="0"/>
        <w:jc w:val="left"/>
        <w:rPr>
          <w:sz w:val="12"/>
        </w:rPr>
      </w:pPr>
      <w:r>
        <w:rPr>
          <w:sz w:val="12"/>
        </w:rPr>
        <w:t>Sources: BCC, CIPS, CBI and DHL.</w:t>
      </w:r>
    </w:p>
    <w:p>
      <w:pPr>
        <w:pStyle w:val="BodyText"/>
        <w:rPr>
          <w:sz w:val="16"/>
        </w:rPr>
      </w:pPr>
      <w:r>
        <w:rPr/>
        <w:br w:type="column"/>
      </w:r>
      <w:r>
        <w:rPr>
          <w:sz w:val="16"/>
        </w:rPr>
      </w:r>
    </w:p>
    <w:p>
      <w:pPr>
        <w:pStyle w:val="BodyText"/>
        <w:rPr>
          <w:sz w:val="16"/>
        </w:rPr>
      </w:pPr>
    </w:p>
    <w:p>
      <w:pPr>
        <w:pStyle w:val="BodyText"/>
        <w:rPr>
          <w:sz w:val="16"/>
        </w:rPr>
      </w:pPr>
    </w:p>
    <w:p>
      <w:pPr>
        <w:pStyle w:val="BodyText"/>
        <w:rPr>
          <w:sz w:val="16"/>
        </w:rPr>
      </w:pPr>
    </w:p>
    <w:p>
      <w:pPr>
        <w:tabs>
          <w:tab w:pos="1629" w:val="left" w:leader="none"/>
        </w:tabs>
        <w:spacing w:before="96"/>
        <w:ind w:left="174" w:right="0" w:firstLine="0"/>
        <w:jc w:val="left"/>
        <w:rPr>
          <w:sz w:val="14"/>
        </w:rPr>
      </w:pPr>
      <w:r>
        <w:rPr>
          <w:sz w:val="14"/>
          <w:u w:val="single"/>
        </w:rPr>
        <w:t>1999</w:t>
        <w:tab/>
        <w:t>2000</w:t>
      </w:r>
    </w:p>
    <w:p>
      <w:pPr>
        <w:pStyle w:val="Heading6"/>
        <w:spacing w:line="242" w:lineRule="auto" w:before="207"/>
        <w:ind w:left="174" w:right="727"/>
      </w:pPr>
      <w:r>
        <w:rPr/>
        <w:br w:type="column"/>
      </w:r>
      <w:r>
        <w:rPr/>
        <w:t>capital goods has indeed been particularly strong in recent quarters (see Table 2.B).</w:t>
      </w:r>
    </w:p>
    <w:p>
      <w:pPr>
        <w:pStyle w:val="BodyText"/>
        <w:spacing w:before="9"/>
        <w:rPr>
          <w:sz w:val="22"/>
        </w:rPr>
      </w:pPr>
    </w:p>
    <w:p>
      <w:pPr>
        <w:spacing w:line="242" w:lineRule="auto" w:before="1"/>
        <w:ind w:left="174" w:right="68" w:firstLine="0"/>
        <w:jc w:val="left"/>
        <w:rPr>
          <w:sz w:val="24"/>
        </w:rPr>
      </w:pPr>
      <w:r>
        <w:rPr>
          <w:sz w:val="24"/>
        </w:rPr>
        <w:t>Monthly data suggest that the recent rapid growth in imports may slow somewhat in Q1. However, overall import growth in the next two years is likely to remain strong, owing to the effects of the higher exchange rate and the fact that domestic demand growth is projected to remain above trend. Reflecting the positive outlook for</w:t>
      </w:r>
    </w:p>
    <w:p>
      <w:pPr>
        <w:spacing w:after="0" w:line="242" w:lineRule="auto"/>
        <w:jc w:val="left"/>
        <w:rPr>
          <w:sz w:val="24"/>
        </w:rPr>
        <w:sectPr>
          <w:type w:val="continuous"/>
          <w:pgSz w:w="11900" w:h="16840"/>
          <w:pgMar w:top="1220" w:bottom="280" w:left="640" w:right="620"/>
          <w:cols w:num="3" w:equalWidth="0">
            <w:col w:w="2012" w:space="268"/>
            <w:col w:w="2125" w:space="375"/>
            <w:col w:w="5860"/>
          </w:cols>
        </w:sectPr>
      </w:pPr>
    </w:p>
    <w:p>
      <w:pPr>
        <w:pStyle w:val="ListParagraph"/>
        <w:numPr>
          <w:ilvl w:val="0"/>
          <w:numId w:val="11"/>
        </w:numPr>
        <w:tabs>
          <w:tab w:pos="415" w:val="left" w:leader="none"/>
        </w:tabs>
        <w:spacing w:line="208" w:lineRule="auto" w:before="110" w:after="0"/>
        <w:ind w:left="414" w:right="117" w:hanging="240"/>
        <w:jc w:val="left"/>
        <w:rPr>
          <w:sz w:val="14"/>
        </w:rPr>
      </w:pPr>
      <w:r>
        <w:rPr>
          <w:sz w:val="14"/>
        </w:rPr>
        <w:t>Numbers reported are survey balances unless otherwise shown. An increase suggests a rise in the proportion of respondents reporting ‘higher’ relative to</w:t>
      </w:r>
      <w:r>
        <w:rPr>
          <w:spacing w:val="-4"/>
          <w:sz w:val="14"/>
        </w:rPr>
        <w:t> </w:t>
      </w:r>
      <w:r>
        <w:rPr>
          <w:sz w:val="14"/>
        </w:rPr>
        <w:t>‘lower’.</w:t>
      </w:r>
    </w:p>
    <w:p>
      <w:pPr>
        <w:pStyle w:val="ListParagraph"/>
        <w:numPr>
          <w:ilvl w:val="0"/>
          <w:numId w:val="11"/>
        </w:numPr>
        <w:tabs>
          <w:tab w:pos="415" w:val="left" w:leader="none"/>
        </w:tabs>
        <w:spacing w:line="208" w:lineRule="auto" w:before="0" w:after="0"/>
        <w:ind w:left="414" w:right="43" w:hanging="240"/>
        <w:jc w:val="left"/>
        <w:rPr>
          <w:sz w:val="14"/>
        </w:rPr>
      </w:pPr>
      <w:r>
        <w:rPr>
          <w:sz w:val="14"/>
        </w:rPr>
        <w:t>A reading above 50 suggests expansion, a reading below 50 suggests contraction.</w:t>
      </w:r>
    </w:p>
    <w:p>
      <w:pPr>
        <w:pStyle w:val="BodyText"/>
        <w:rPr>
          <w:sz w:val="16"/>
        </w:rPr>
      </w:pPr>
    </w:p>
    <w:p>
      <w:pPr>
        <w:pStyle w:val="BodyText"/>
        <w:rPr>
          <w:sz w:val="16"/>
        </w:rPr>
      </w:pPr>
    </w:p>
    <w:p>
      <w:pPr>
        <w:pStyle w:val="BodyText"/>
        <w:spacing w:before="11"/>
        <w:rPr>
          <w:sz w:val="15"/>
        </w:rPr>
      </w:pPr>
    </w:p>
    <w:p>
      <w:pPr>
        <w:spacing w:before="0"/>
        <w:ind w:left="170" w:right="0" w:firstLine="0"/>
        <w:jc w:val="left"/>
        <w:rPr>
          <w:b/>
          <w:sz w:val="20"/>
        </w:rPr>
      </w:pPr>
      <w:r>
        <w:rPr>
          <w:b/>
          <w:color w:val="0092C7"/>
          <w:sz w:val="20"/>
        </w:rPr>
        <w:t>Table 2.B</w:t>
      </w:r>
    </w:p>
    <w:p>
      <w:pPr>
        <w:spacing w:before="10"/>
        <w:ind w:left="170" w:right="0" w:firstLine="0"/>
        <w:jc w:val="left"/>
        <w:rPr>
          <w:b/>
          <w:sz w:val="20"/>
        </w:rPr>
      </w:pPr>
      <w:r>
        <w:rPr>
          <w:b/>
          <w:color w:val="0092C7"/>
          <w:sz w:val="20"/>
        </w:rPr>
        <w:t>Composition of UK goods import growth</w:t>
      </w:r>
    </w:p>
    <w:p>
      <w:pPr>
        <w:tabs>
          <w:tab w:pos="4119" w:val="left" w:leader="none"/>
        </w:tabs>
        <w:spacing w:before="106"/>
        <w:ind w:left="2470" w:right="0" w:firstLine="0"/>
        <w:jc w:val="center"/>
        <w:rPr>
          <w:sz w:val="14"/>
        </w:rPr>
      </w:pPr>
      <w:r>
        <w:rPr>
          <w:sz w:val="14"/>
          <w:u w:val="single"/>
        </w:rPr>
        <w:t>1999</w:t>
        <w:tab/>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3"/>
        <w:gridCol w:w="435"/>
        <w:gridCol w:w="470"/>
        <w:gridCol w:w="458"/>
        <w:gridCol w:w="410"/>
      </w:tblGrid>
      <w:tr>
        <w:trPr>
          <w:trHeight w:val="637" w:hRule="atLeast"/>
        </w:trPr>
        <w:tc>
          <w:tcPr>
            <w:tcW w:w="2373" w:type="dxa"/>
          </w:tcPr>
          <w:p>
            <w:pPr>
              <w:pStyle w:val="TableParagraph"/>
              <w:spacing w:line="240" w:lineRule="auto" w:before="9"/>
              <w:rPr>
                <w:sz w:val="23"/>
              </w:rPr>
            </w:pPr>
          </w:p>
          <w:p>
            <w:pPr>
              <w:pStyle w:val="TableParagraph"/>
              <w:spacing w:line="150" w:lineRule="exact"/>
              <w:ind w:left="50"/>
              <w:rPr>
                <w:sz w:val="14"/>
              </w:rPr>
            </w:pPr>
            <w:r>
              <w:rPr>
                <w:sz w:val="14"/>
              </w:rPr>
              <w:t>Total goods imports,</w:t>
            </w:r>
          </w:p>
          <w:p>
            <w:pPr>
              <w:pStyle w:val="TableParagraph"/>
              <w:spacing w:line="150" w:lineRule="exact"/>
              <w:ind w:left="120"/>
              <w:rPr>
                <w:sz w:val="14"/>
              </w:rPr>
            </w:pPr>
            <w:r>
              <w:rPr>
                <w:sz w:val="14"/>
              </w:rPr>
              <w:t>percentage changes on a quarter earlier</w:t>
            </w:r>
          </w:p>
        </w:tc>
        <w:tc>
          <w:tcPr>
            <w:tcW w:w="435" w:type="dxa"/>
          </w:tcPr>
          <w:p>
            <w:pPr>
              <w:pStyle w:val="TableParagraph"/>
              <w:spacing w:line="155" w:lineRule="exact"/>
              <w:ind w:left="77"/>
              <w:rPr>
                <w:sz w:val="14"/>
              </w:rPr>
            </w:pPr>
            <w:r>
              <w:rPr>
                <w:sz w:val="14"/>
                <w:u w:val="single"/>
              </w:rPr>
              <w:t>Q1</w:t>
            </w:r>
            <w:r>
              <w:rPr>
                <w:spacing w:val="-6"/>
                <w:sz w:val="14"/>
                <w:u w:val="single"/>
              </w:rPr>
              <w:t> </w:t>
            </w:r>
          </w:p>
          <w:p>
            <w:pPr>
              <w:pStyle w:val="TableParagraph"/>
              <w:spacing w:line="240" w:lineRule="auto" w:before="6"/>
              <w:rPr>
                <w:sz w:val="22"/>
              </w:rPr>
            </w:pPr>
          </w:p>
          <w:p>
            <w:pPr>
              <w:pStyle w:val="TableParagraph"/>
              <w:spacing w:line="240" w:lineRule="auto"/>
              <w:ind w:left="112"/>
              <w:rPr>
                <w:sz w:val="14"/>
              </w:rPr>
            </w:pPr>
            <w:r>
              <w:rPr>
                <w:sz w:val="14"/>
              </w:rPr>
              <w:t>0.9</w:t>
            </w:r>
          </w:p>
        </w:tc>
        <w:tc>
          <w:tcPr>
            <w:tcW w:w="470" w:type="dxa"/>
          </w:tcPr>
          <w:p>
            <w:pPr>
              <w:pStyle w:val="TableParagraph"/>
              <w:spacing w:line="155" w:lineRule="exact"/>
              <w:ind w:left="101"/>
              <w:rPr>
                <w:sz w:val="14"/>
              </w:rPr>
            </w:pPr>
            <w:r>
              <w:rPr>
                <w:sz w:val="14"/>
                <w:u w:val="single"/>
              </w:rPr>
              <w:t>Q2 </w:t>
            </w:r>
          </w:p>
          <w:p>
            <w:pPr>
              <w:pStyle w:val="TableParagraph"/>
              <w:spacing w:line="240" w:lineRule="auto" w:before="6"/>
              <w:rPr>
                <w:sz w:val="22"/>
              </w:rPr>
            </w:pPr>
          </w:p>
          <w:p>
            <w:pPr>
              <w:pStyle w:val="TableParagraph"/>
              <w:spacing w:line="240" w:lineRule="auto"/>
              <w:ind w:left="137"/>
              <w:rPr>
                <w:sz w:val="14"/>
              </w:rPr>
            </w:pPr>
            <w:r>
              <w:rPr>
                <w:sz w:val="14"/>
              </w:rPr>
              <w:t>0.4</w:t>
            </w:r>
          </w:p>
        </w:tc>
        <w:tc>
          <w:tcPr>
            <w:tcW w:w="458" w:type="dxa"/>
          </w:tcPr>
          <w:p>
            <w:pPr>
              <w:pStyle w:val="TableParagraph"/>
              <w:spacing w:line="155" w:lineRule="exact"/>
              <w:ind w:left="102"/>
              <w:rPr>
                <w:sz w:val="14"/>
              </w:rPr>
            </w:pPr>
            <w:r>
              <w:rPr>
                <w:spacing w:val="-16"/>
                <w:sz w:val="14"/>
                <w:u w:val="single"/>
              </w:rPr>
              <w:t> </w:t>
            </w:r>
            <w:r>
              <w:rPr>
                <w:sz w:val="14"/>
                <w:u w:val="single"/>
              </w:rPr>
              <w:t>Q3</w:t>
            </w:r>
            <w:r>
              <w:rPr>
                <w:spacing w:val="-11"/>
                <w:sz w:val="14"/>
                <w:u w:val="single"/>
              </w:rPr>
              <w:t> </w:t>
            </w:r>
          </w:p>
          <w:p>
            <w:pPr>
              <w:pStyle w:val="TableParagraph"/>
              <w:spacing w:line="240" w:lineRule="auto" w:before="6"/>
              <w:rPr>
                <w:sz w:val="22"/>
              </w:rPr>
            </w:pPr>
          </w:p>
          <w:p>
            <w:pPr>
              <w:pStyle w:val="TableParagraph"/>
              <w:spacing w:line="240" w:lineRule="auto"/>
              <w:ind w:left="117"/>
              <w:rPr>
                <w:sz w:val="14"/>
              </w:rPr>
            </w:pPr>
            <w:r>
              <w:rPr>
                <w:sz w:val="14"/>
              </w:rPr>
              <w:t>5.8</w:t>
            </w:r>
          </w:p>
        </w:tc>
        <w:tc>
          <w:tcPr>
            <w:tcW w:w="410" w:type="dxa"/>
          </w:tcPr>
          <w:p>
            <w:pPr>
              <w:pStyle w:val="TableParagraph"/>
              <w:spacing w:line="155" w:lineRule="exact"/>
              <w:ind w:left="153"/>
              <w:rPr>
                <w:sz w:val="14"/>
              </w:rPr>
            </w:pPr>
            <w:r>
              <w:rPr>
                <w:sz w:val="14"/>
                <w:u w:val="single"/>
              </w:rPr>
              <w:t>Q4</w:t>
            </w:r>
            <w:r>
              <w:rPr>
                <w:spacing w:val="4"/>
                <w:sz w:val="14"/>
                <w:u w:val="single"/>
              </w:rPr>
              <w:t> </w:t>
            </w:r>
          </w:p>
          <w:p>
            <w:pPr>
              <w:pStyle w:val="TableParagraph"/>
              <w:spacing w:line="240" w:lineRule="auto" w:before="6"/>
              <w:rPr>
                <w:sz w:val="22"/>
              </w:rPr>
            </w:pPr>
          </w:p>
          <w:p>
            <w:pPr>
              <w:pStyle w:val="TableParagraph"/>
              <w:spacing w:line="240" w:lineRule="auto"/>
              <w:ind w:left="159"/>
              <w:rPr>
                <w:sz w:val="14"/>
              </w:rPr>
            </w:pPr>
            <w:r>
              <w:rPr>
                <w:sz w:val="14"/>
              </w:rPr>
              <w:t>1.9</w:t>
            </w:r>
          </w:p>
        </w:tc>
      </w:tr>
      <w:tr>
        <w:trPr>
          <w:trHeight w:val="349" w:hRule="atLeast"/>
        </w:trPr>
        <w:tc>
          <w:tcPr>
            <w:tcW w:w="2373" w:type="dxa"/>
          </w:tcPr>
          <w:p>
            <w:pPr>
              <w:pStyle w:val="TableParagraph"/>
              <w:spacing w:line="150" w:lineRule="exact" w:before="56"/>
              <w:ind w:left="50"/>
              <w:rPr>
                <w:sz w:val="12"/>
              </w:rPr>
            </w:pPr>
            <w:r>
              <w:rPr>
                <w:sz w:val="14"/>
              </w:rPr>
              <w:t>Contributions of: </w:t>
            </w:r>
            <w:r>
              <w:rPr>
                <w:sz w:val="12"/>
              </w:rPr>
              <w:t>(a)</w:t>
            </w:r>
          </w:p>
          <w:p>
            <w:pPr>
              <w:pStyle w:val="TableParagraph"/>
              <w:spacing w:line="123" w:lineRule="exact"/>
              <w:ind w:left="50"/>
              <w:rPr>
                <w:sz w:val="14"/>
              </w:rPr>
            </w:pPr>
            <w:r>
              <w:rPr>
                <w:sz w:val="14"/>
              </w:rPr>
              <w:t>Non-manufactured goods</w:t>
            </w:r>
          </w:p>
        </w:tc>
        <w:tc>
          <w:tcPr>
            <w:tcW w:w="435" w:type="dxa"/>
          </w:tcPr>
          <w:p>
            <w:pPr>
              <w:pStyle w:val="TableParagraph"/>
              <w:spacing w:line="240" w:lineRule="auto" w:before="1"/>
              <w:rPr>
                <w:sz w:val="17"/>
              </w:rPr>
            </w:pPr>
          </w:p>
          <w:p>
            <w:pPr>
              <w:pStyle w:val="TableParagraph"/>
              <w:spacing w:line="133" w:lineRule="exact"/>
              <w:ind w:right="146"/>
              <w:jc w:val="right"/>
              <w:rPr>
                <w:sz w:val="14"/>
              </w:rPr>
            </w:pPr>
            <w:r>
              <w:rPr>
                <w:sz w:val="14"/>
              </w:rPr>
              <w:t>0.3</w:t>
            </w:r>
          </w:p>
        </w:tc>
        <w:tc>
          <w:tcPr>
            <w:tcW w:w="470" w:type="dxa"/>
          </w:tcPr>
          <w:p>
            <w:pPr>
              <w:pStyle w:val="TableParagraph"/>
              <w:spacing w:line="240" w:lineRule="auto" w:before="1"/>
              <w:rPr>
                <w:sz w:val="17"/>
              </w:rPr>
            </w:pPr>
          </w:p>
          <w:p>
            <w:pPr>
              <w:pStyle w:val="TableParagraph"/>
              <w:spacing w:line="133" w:lineRule="exact"/>
              <w:ind w:left="136"/>
              <w:rPr>
                <w:sz w:val="14"/>
              </w:rPr>
            </w:pPr>
            <w:r>
              <w:rPr>
                <w:sz w:val="14"/>
              </w:rPr>
              <w:t>0.2</w:t>
            </w:r>
          </w:p>
        </w:tc>
        <w:tc>
          <w:tcPr>
            <w:tcW w:w="458" w:type="dxa"/>
          </w:tcPr>
          <w:p>
            <w:pPr>
              <w:pStyle w:val="TableParagraph"/>
              <w:spacing w:line="240" w:lineRule="auto" w:before="1"/>
              <w:rPr>
                <w:sz w:val="17"/>
              </w:rPr>
            </w:pPr>
          </w:p>
          <w:p>
            <w:pPr>
              <w:pStyle w:val="TableParagraph"/>
              <w:spacing w:line="133" w:lineRule="exact"/>
              <w:ind w:left="116"/>
              <w:rPr>
                <w:sz w:val="14"/>
              </w:rPr>
            </w:pPr>
            <w:r>
              <w:rPr>
                <w:sz w:val="14"/>
              </w:rPr>
              <w:t>0.6</w:t>
            </w:r>
          </w:p>
        </w:tc>
        <w:tc>
          <w:tcPr>
            <w:tcW w:w="410" w:type="dxa"/>
          </w:tcPr>
          <w:p>
            <w:pPr>
              <w:pStyle w:val="TableParagraph"/>
              <w:spacing w:line="240" w:lineRule="auto" w:before="1"/>
              <w:rPr>
                <w:sz w:val="17"/>
              </w:rPr>
            </w:pPr>
          </w:p>
          <w:p>
            <w:pPr>
              <w:pStyle w:val="TableParagraph"/>
              <w:spacing w:line="133" w:lineRule="exact"/>
              <w:ind w:right="74"/>
              <w:jc w:val="right"/>
              <w:rPr>
                <w:sz w:val="14"/>
              </w:rPr>
            </w:pPr>
            <w:r>
              <w:rPr>
                <w:sz w:val="14"/>
              </w:rPr>
              <w:t>0.2</w:t>
            </w:r>
          </w:p>
        </w:tc>
      </w:tr>
      <w:tr>
        <w:trPr>
          <w:trHeight w:val="140" w:hRule="atLeast"/>
        </w:trPr>
        <w:tc>
          <w:tcPr>
            <w:tcW w:w="2373" w:type="dxa"/>
          </w:tcPr>
          <w:p>
            <w:pPr>
              <w:pStyle w:val="TableParagraph"/>
              <w:ind w:left="50"/>
              <w:rPr>
                <w:sz w:val="14"/>
              </w:rPr>
            </w:pPr>
            <w:r>
              <w:rPr>
                <w:sz w:val="14"/>
              </w:rPr>
              <w:t>Manufactured goods</w:t>
            </w:r>
          </w:p>
        </w:tc>
        <w:tc>
          <w:tcPr>
            <w:tcW w:w="435" w:type="dxa"/>
          </w:tcPr>
          <w:p>
            <w:pPr>
              <w:pStyle w:val="TableParagraph"/>
              <w:ind w:right="145"/>
              <w:jc w:val="right"/>
              <w:rPr>
                <w:sz w:val="14"/>
              </w:rPr>
            </w:pPr>
            <w:r>
              <w:rPr>
                <w:sz w:val="14"/>
              </w:rPr>
              <w:t>0.6</w:t>
            </w:r>
          </w:p>
        </w:tc>
        <w:tc>
          <w:tcPr>
            <w:tcW w:w="470" w:type="dxa"/>
          </w:tcPr>
          <w:p>
            <w:pPr>
              <w:pStyle w:val="TableParagraph"/>
              <w:ind w:left="137"/>
              <w:rPr>
                <w:sz w:val="14"/>
              </w:rPr>
            </w:pPr>
            <w:r>
              <w:rPr>
                <w:sz w:val="14"/>
              </w:rPr>
              <w:t>0.3</w:t>
            </w:r>
          </w:p>
        </w:tc>
        <w:tc>
          <w:tcPr>
            <w:tcW w:w="458" w:type="dxa"/>
          </w:tcPr>
          <w:p>
            <w:pPr>
              <w:pStyle w:val="TableParagraph"/>
              <w:ind w:left="117"/>
              <w:rPr>
                <w:sz w:val="14"/>
              </w:rPr>
            </w:pPr>
            <w:r>
              <w:rPr>
                <w:sz w:val="14"/>
              </w:rPr>
              <w:t>5.2</w:t>
            </w:r>
          </w:p>
        </w:tc>
        <w:tc>
          <w:tcPr>
            <w:tcW w:w="410" w:type="dxa"/>
          </w:tcPr>
          <w:p>
            <w:pPr>
              <w:pStyle w:val="TableParagraph"/>
              <w:ind w:right="73"/>
              <w:jc w:val="right"/>
              <w:rPr>
                <w:sz w:val="14"/>
              </w:rPr>
            </w:pPr>
            <w:r>
              <w:rPr>
                <w:sz w:val="14"/>
              </w:rPr>
              <w:t>1.7</w:t>
            </w:r>
          </w:p>
        </w:tc>
      </w:tr>
      <w:tr>
        <w:trPr>
          <w:trHeight w:val="140" w:hRule="atLeast"/>
        </w:trPr>
        <w:tc>
          <w:tcPr>
            <w:tcW w:w="2373" w:type="dxa"/>
          </w:tcPr>
          <w:p>
            <w:pPr>
              <w:pStyle w:val="TableParagraph"/>
              <w:ind w:left="150"/>
              <w:rPr>
                <w:i/>
                <w:sz w:val="14"/>
              </w:rPr>
            </w:pPr>
            <w:r>
              <w:rPr>
                <w:i/>
                <w:sz w:val="14"/>
              </w:rPr>
              <w:t>of which: Intermediate goods</w:t>
            </w:r>
          </w:p>
        </w:tc>
        <w:tc>
          <w:tcPr>
            <w:tcW w:w="435" w:type="dxa"/>
          </w:tcPr>
          <w:p>
            <w:pPr>
              <w:pStyle w:val="TableParagraph"/>
              <w:ind w:right="145"/>
              <w:jc w:val="right"/>
              <w:rPr>
                <w:sz w:val="14"/>
              </w:rPr>
            </w:pPr>
            <w:r>
              <w:rPr>
                <w:sz w:val="14"/>
              </w:rPr>
              <w:t>0.5</w:t>
            </w:r>
          </w:p>
        </w:tc>
        <w:tc>
          <w:tcPr>
            <w:tcW w:w="470" w:type="dxa"/>
          </w:tcPr>
          <w:p>
            <w:pPr>
              <w:pStyle w:val="TableParagraph"/>
              <w:ind w:left="137"/>
              <w:rPr>
                <w:sz w:val="14"/>
              </w:rPr>
            </w:pPr>
            <w:r>
              <w:rPr>
                <w:sz w:val="14"/>
              </w:rPr>
              <w:t>0.1</w:t>
            </w:r>
          </w:p>
        </w:tc>
        <w:tc>
          <w:tcPr>
            <w:tcW w:w="458" w:type="dxa"/>
          </w:tcPr>
          <w:p>
            <w:pPr>
              <w:pStyle w:val="TableParagraph"/>
              <w:ind w:left="117"/>
              <w:rPr>
                <w:sz w:val="14"/>
              </w:rPr>
            </w:pPr>
            <w:r>
              <w:rPr>
                <w:sz w:val="14"/>
              </w:rPr>
              <w:t>1.5</w:t>
            </w:r>
          </w:p>
        </w:tc>
        <w:tc>
          <w:tcPr>
            <w:tcW w:w="410" w:type="dxa"/>
          </w:tcPr>
          <w:p>
            <w:pPr>
              <w:pStyle w:val="TableParagraph"/>
              <w:ind w:right="75"/>
              <w:jc w:val="right"/>
              <w:rPr>
                <w:sz w:val="14"/>
              </w:rPr>
            </w:pPr>
            <w:r>
              <w:rPr>
                <w:sz w:val="14"/>
              </w:rPr>
              <w:t>1.2</w:t>
            </w:r>
          </w:p>
        </w:tc>
      </w:tr>
      <w:tr>
        <w:trPr>
          <w:trHeight w:val="140" w:hRule="atLeast"/>
        </w:trPr>
        <w:tc>
          <w:tcPr>
            <w:tcW w:w="2373" w:type="dxa"/>
          </w:tcPr>
          <w:p>
            <w:pPr>
              <w:pStyle w:val="TableParagraph"/>
              <w:ind w:left="770"/>
              <w:rPr>
                <w:i/>
                <w:sz w:val="14"/>
              </w:rPr>
            </w:pPr>
            <w:r>
              <w:rPr>
                <w:i/>
                <w:sz w:val="14"/>
              </w:rPr>
              <w:t>Capital goods</w:t>
            </w:r>
          </w:p>
        </w:tc>
        <w:tc>
          <w:tcPr>
            <w:tcW w:w="435" w:type="dxa"/>
          </w:tcPr>
          <w:p>
            <w:pPr>
              <w:pStyle w:val="TableParagraph"/>
              <w:ind w:right="145"/>
              <w:jc w:val="right"/>
              <w:rPr>
                <w:sz w:val="14"/>
              </w:rPr>
            </w:pPr>
            <w:r>
              <w:rPr>
                <w:sz w:val="14"/>
              </w:rPr>
              <w:t>0.4</w:t>
            </w:r>
          </w:p>
        </w:tc>
        <w:tc>
          <w:tcPr>
            <w:tcW w:w="470" w:type="dxa"/>
          </w:tcPr>
          <w:p>
            <w:pPr>
              <w:pStyle w:val="TableParagraph"/>
              <w:ind w:left="137"/>
              <w:rPr>
                <w:sz w:val="14"/>
              </w:rPr>
            </w:pPr>
            <w:r>
              <w:rPr>
                <w:sz w:val="14"/>
              </w:rPr>
              <w:t>0.1</w:t>
            </w:r>
          </w:p>
        </w:tc>
        <w:tc>
          <w:tcPr>
            <w:tcW w:w="458" w:type="dxa"/>
          </w:tcPr>
          <w:p>
            <w:pPr>
              <w:pStyle w:val="TableParagraph"/>
              <w:ind w:left="117"/>
              <w:rPr>
                <w:sz w:val="14"/>
              </w:rPr>
            </w:pPr>
            <w:r>
              <w:rPr>
                <w:sz w:val="14"/>
              </w:rPr>
              <w:t>1.1</w:t>
            </w:r>
          </w:p>
        </w:tc>
        <w:tc>
          <w:tcPr>
            <w:tcW w:w="410" w:type="dxa"/>
          </w:tcPr>
          <w:p>
            <w:pPr>
              <w:pStyle w:val="TableParagraph"/>
              <w:ind w:right="75"/>
              <w:jc w:val="right"/>
              <w:rPr>
                <w:sz w:val="14"/>
              </w:rPr>
            </w:pPr>
            <w:r>
              <w:rPr>
                <w:sz w:val="14"/>
              </w:rPr>
              <w:t>1.0</w:t>
            </w:r>
          </w:p>
        </w:tc>
      </w:tr>
      <w:tr>
        <w:trPr>
          <w:trHeight w:val="140" w:hRule="atLeast"/>
        </w:trPr>
        <w:tc>
          <w:tcPr>
            <w:tcW w:w="2373" w:type="dxa"/>
          </w:tcPr>
          <w:p>
            <w:pPr>
              <w:pStyle w:val="TableParagraph"/>
              <w:ind w:left="770"/>
              <w:rPr>
                <w:i/>
                <w:sz w:val="14"/>
              </w:rPr>
            </w:pPr>
            <w:r>
              <w:rPr>
                <w:i/>
                <w:sz w:val="14"/>
              </w:rPr>
              <w:t>Consumer goods</w:t>
            </w:r>
          </w:p>
        </w:tc>
        <w:tc>
          <w:tcPr>
            <w:tcW w:w="435" w:type="dxa"/>
          </w:tcPr>
          <w:p>
            <w:pPr>
              <w:pStyle w:val="TableParagraph"/>
              <w:ind w:right="145"/>
              <w:jc w:val="right"/>
              <w:rPr>
                <w:sz w:val="14"/>
              </w:rPr>
            </w:pPr>
            <w:r>
              <w:rPr>
                <w:sz w:val="14"/>
              </w:rPr>
              <w:t>0.3</w:t>
            </w:r>
          </w:p>
        </w:tc>
        <w:tc>
          <w:tcPr>
            <w:tcW w:w="470" w:type="dxa"/>
          </w:tcPr>
          <w:p>
            <w:pPr>
              <w:pStyle w:val="TableParagraph"/>
              <w:ind w:left="137"/>
              <w:rPr>
                <w:sz w:val="14"/>
              </w:rPr>
            </w:pPr>
            <w:r>
              <w:rPr>
                <w:sz w:val="14"/>
              </w:rPr>
              <w:t>0.3</w:t>
            </w:r>
          </w:p>
        </w:tc>
        <w:tc>
          <w:tcPr>
            <w:tcW w:w="458" w:type="dxa"/>
          </w:tcPr>
          <w:p>
            <w:pPr>
              <w:pStyle w:val="TableParagraph"/>
              <w:ind w:left="117"/>
              <w:rPr>
                <w:sz w:val="14"/>
              </w:rPr>
            </w:pPr>
            <w:r>
              <w:rPr>
                <w:sz w:val="14"/>
              </w:rPr>
              <w:t>0.3</w:t>
            </w:r>
          </w:p>
        </w:tc>
        <w:tc>
          <w:tcPr>
            <w:tcW w:w="410" w:type="dxa"/>
          </w:tcPr>
          <w:p>
            <w:pPr>
              <w:pStyle w:val="TableParagraph"/>
              <w:ind w:right="75"/>
              <w:jc w:val="right"/>
              <w:rPr>
                <w:sz w:val="14"/>
              </w:rPr>
            </w:pPr>
            <w:r>
              <w:rPr>
                <w:sz w:val="14"/>
              </w:rPr>
              <w:t>0.4</w:t>
            </w:r>
          </w:p>
        </w:tc>
      </w:tr>
      <w:tr>
        <w:trPr>
          <w:trHeight w:val="140" w:hRule="atLeast"/>
        </w:trPr>
        <w:tc>
          <w:tcPr>
            <w:tcW w:w="2373" w:type="dxa"/>
          </w:tcPr>
          <w:p>
            <w:pPr>
              <w:pStyle w:val="TableParagraph"/>
              <w:ind w:left="770"/>
              <w:rPr>
                <w:i/>
                <w:sz w:val="14"/>
              </w:rPr>
            </w:pPr>
            <w:r>
              <w:rPr>
                <w:i/>
                <w:sz w:val="14"/>
              </w:rPr>
              <w:t>Semi-finished goods</w:t>
            </w:r>
          </w:p>
        </w:tc>
        <w:tc>
          <w:tcPr>
            <w:tcW w:w="435" w:type="dxa"/>
          </w:tcPr>
          <w:p>
            <w:pPr>
              <w:pStyle w:val="TableParagraph"/>
              <w:ind w:right="145"/>
              <w:jc w:val="right"/>
              <w:rPr>
                <w:sz w:val="14"/>
              </w:rPr>
            </w:pPr>
            <w:r>
              <w:rPr>
                <w:sz w:val="14"/>
              </w:rPr>
              <w:t>0.4</w:t>
            </w:r>
          </w:p>
        </w:tc>
        <w:tc>
          <w:tcPr>
            <w:tcW w:w="470" w:type="dxa"/>
          </w:tcPr>
          <w:p>
            <w:pPr>
              <w:pStyle w:val="TableParagraph"/>
              <w:ind w:left="137"/>
              <w:rPr>
                <w:sz w:val="14"/>
              </w:rPr>
            </w:pPr>
            <w:r>
              <w:rPr>
                <w:sz w:val="14"/>
              </w:rPr>
              <w:t>0.1</w:t>
            </w:r>
          </w:p>
        </w:tc>
        <w:tc>
          <w:tcPr>
            <w:tcW w:w="458" w:type="dxa"/>
          </w:tcPr>
          <w:p>
            <w:pPr>
              <w:pStyle w:val="TableParagraph"/>
              <w:ind w:left="117"/>
              <w:rPr>
                <w:sz w:val="14"/>
              </w:rPr>
            </w:pPr>
            <w:r>
              <w:rPr>
                <w:sz w:val="14"/>
              </w:rPr>
              <w:t>1.9</w:t>
            </w:r>
          </w:p>
        </w:tc>
        <w:tc>
          <w:tcPr>
            <w:tcW w:w="410" w:type="dxa"/>
          </w:tcPr>
          <w:p>
            <w:pPr>
              <w:pStyle w:val="TableParagraph"/>
              <w:ind w:right="73"/>
              <w:jc w:val="right"/>
              <w:rPr>
                <w:sz w:val="14"/>
              </w:rPr>
            </w:pPr>
            <w:r>
              <w:rPr>
                <w:sz w:val="14"/>
              </w:rPr>
              <w:t>-0.4</w:t>
            </w:r>
          </w:p>
        </w:tc>
      </w:tr>
      <w:tr>
        <w:trPr>
          <w:trHeight w:val="147" w:hRule="atLeast"/>
        </w:trPr>
        <w:tc>
          <w:tcPr>
            <w:tcW w:w="2373" w:type="dxa"/>
          </w:tcPr>
          <w:p>
            <w:pPr>
              <w:pStyle w:val="TableParagraph"/>
              <w:spacing w:line="128" w:lineRule="exact"/>
              <w:ind w:left="770"/>
              <w:rPr>
                <w:i/>
                <w:sz w:val="14"/>
              </w:rPr>
            </w:pPr>
            <w:r>
              <w:rPr>
                <w:i/>
                <w:sz w:val="14"/>
              </w:rPr>
              <w:t>Other</w:t>
            </w:r>
          </w:p>
        </w:tc>
        <w:tc>
          <w:tcPr>
            <w:tcW w:w="435" w:type="dxa"/>
          </w:tcPr>
          <w:p>
            <w:pPr>
              <w:pStyle w:val="TableParagraph"/>
              <w:spacing w:line="128" w:lineRule="exact"/>
              <w:ind w:right="145"/>
              <w:jc w:val="right"/>
              <w:rPr>
                <w:sz w:val="14"/>
              </w:rPr>
            </w:pPr>
            <w:r>
              <w:rPr>
                <w:sz w:val="14"/>
              </w:rPr>
              <w:t>-1.0</w:t>
            </w:r>
          </w:p>
        </w:tc>
        <w:tc>
          <w:tcPr>
            <w:tcW w:w="470" w:type="dxa"/>
          </w:tcPr>
          <w:p>
            <w:pPr>
              <w:pStyle w:val="TableParagraph"/>
              <w:spacing w:line="128" w:lineRule="exact"/>
              <w:ind w:left="90"/>
              <w:rPr>
                <w:sz w:val="14"/>
              </w:rPr>
            </w:pPr>
            <w:r>
              <w:rPr>
                <w:sz w:val="14"/>
              </w:rPr>
              <w:t>-0.4</w:t>
            </w:r>
          </w:p>
        </w:tc>
        <w:tc>
          <w:tcPr>
            <w:tcW w:w="458" w:type="dxa"/>
          </w:tcPr>
          <w:p>
            <w:pPr>
              <w:pStyle w:val="TableParagraph"/>
              <w:spacing w:line="128" w:lineRule="exact"/>
              <w:ind w:left="117"/>
              <w:rPr>
                <w:sz w:val="14"/>
              </w:rPr>
            </w:pPr>
            <w:r>
              <w:rPr>
                <w:sz w:val="14"/>
              </w:rPr>
              <w:t>0.4</w:t>
            </w:r>
          </w:p>
        </w:tc>
        <w:tc>
          <w:tcPr>
            <w:tcW w:w="410" w:type="dxa"/>
          </w:tcPr>
          <w:p>
            <w:pPr>
              <w:pStyle w:val="TableParagraph"/>
              <w:spacing w:line="128" w:lineRule="exact"/>
              <w:ind w:right="73"/>
              <w:jc w:val="right"/>
              <w:rPr>
                <w:sz w:val="14"/>
              </w:rPr>
            </w:pPr>
            <w:r>
              <w:rPr>
                <w:sz w:val="14"/>
              </w:rPr>
              <w:t>-0.4</w:t>
            </w:r>
          </w:p>
        </w:tc>
      </w:tr>
    </w:tbl>
    <w:p>
      <w:pPr>
        <w:spacing w:before="122"/>
        <w:ind w:left="170" w:right="0" w:firstLine="0"/>
        <w:jc w:val="left"/>
        <w:rPr>
          <w:sz w:val="12"/>
        </w:rPr>
      </w:pPr>
      <w:r>
        <w:rPr>
          <w:sz w:val="12"/>
        </w:rPr>
        <w:t>(a) Contributions may not sum to total because of rounding.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6"/>
        </w:rPr>
      </w:pPr>
    </w:p>
    <w:p>
      <w:pPr>
        <w:spacing w:before="0"/>
        <w:ind w:left="170" w:right="0" w:firstLine="0"/>
        <w:jc w:val="left"/>
        <w:rPr>
          <w:b/>
          <w:sz w:val="20"/>
        </w:rPr>
      </w:pPr>
      <w:r>
        <w:rPr>
          <w:b/>
          <w:color w:val="0092C7"/>
          <w:sz w:val="20"/>
        </w:rPr>
        <w:t>Table 2.C</w:t>
      </w:r>
    </w:p>
    <w:p>
      <w:pPr>
        <w:spacing w:before="10"/>
        <w:ind w:left="170" w:right="0" w:firstLine="0"/>
        <w:jc w:val="left"/>
        <w:rPr>
          <w:sz w:val="12"/>
        </w:rPr>
      </w:pPr>
      <w:r>
        <w:rPr>
          <w:b/>
          <w:color w:val="0092C7"/>
          <w:sz w:val="20"/>
        </w:rPr>
        <w:t>GDP and expenditure components</w:t>
      </w:r>
      <w:r>
        <w:rPr>
          <w:position w:val="4"/>
          <w:sz w:val="12"/>
        </w:rPr>
        <w:t>(a)</w:t>
      </w:r>
    </w:p>
    <w:p>
      <w:pPr>
        <w:spacing w:line="150" w:lineRule="exact" w:before="106"/>
        <w:ind w:left="170" w:right="0" w:firstLine="0"/>
        <w:jc w:val="left"/>
        <w:rPr>
          <w:sz w:val="14"/>
        </w:rPr>
      </w:pPr>
      <w:r>
        <w:rPr>
          <w:sz w:val="14"/>
        </w:rPr>
        <w:t>Percentage changes on a quarter earlier</w:t>
      </w:r>
    </w:p>
    <w:p>
      <w:pPr>
        <w:tabs>
          <w:tab w:pos="4239" w:val="left" w:leader="none"/>
        </w:tabs>
        <w:spacing w:line="150" w:lineRule="exact" w:before="0"/>
        <w:ind w:left="2390" w:right="0" w:firstLine="0"/>
        <w:jc w:val="center"/>
        <w:rPr>
          <w:sz w:val="14"/>
        </w:rPr>
      </w:pPr>
      <w:r>
        <w:rPr>
          <w:sz w:val="14"/>
          <w:u w:val="single"/>
        </w:rPr>
        <w:t>1998 </w:t>
      </w:r>
      <w:r>
        <w:rPr>
          <w:sz w:val="14"/>
        </w:rPr>
        <w:t>  </w:t>
      </w:r>
      <w:r>
        <w:rPr>
          <w:spacing w:val="10"/>
          <w:sz w:val="14"/>
        </w:rPr>
        <w:t> </w:t>
      </w:r>
      <w:r>
        <w:rPr>
          <w:sz w:val="14"/>
          <w:u w:val="single"/>
        </w:rPr>
        <w:t>1999</w:t>
        <w:tab/>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9"/>
        <w:gridCol w:w="370"/>
        <w:gridCol w:w="435"/>
        <w:gridCol w:w="420"/>
        <w:gridCol w:w="395"/>
        <w:gridCol w:w="321"/>
      </w:tblGrid>
      <w:tr>
        <w:trPr>
          <w:trHeight w:val="155" w:hRule="atLeast"/>
        </w:trPr>
        <w:tc>
          <w:tcPr>
            <w:tcW w:w="3064" w:type="dxa"/>
            <w:gridSpan w:val="3"/>
          </w:tcPr>
          <w:p>
            <w:pPr>
              <w:pStyle w:val="TableParagraph"/>
              <w:spacing w:line="135" w:lineRule="exact"/>
              <w:ind w:right="83"/>
              <w:jc w:val="right"/>
              <w:rPr>
                <w:sz w:val="14"/>
              </w:rPr>
            </w:pPr>
            <w:r>
              <w:rPr>
                <w:sz w:val="14"/>
                <w:u w:val="single"/>
              </w:rPr>
              <w:t>Q4</w:t>
            </w:r>
            <w:r>
              <w:rPr>
                <w:sz w:val="14"/>
              </w:rPr>
              <w:t> </w:t>
            </w:r>
            <w:r>
              <w:rPr>
                <w:sz w:val="14"/>
                <w:u w:val="single"/>
              </w:rPr>
              <w:t>Q1 </w:t>
            </w:r>
          </w:p>
        </w:tc>
        <w:tc>
          <w:tcPr>
            <w:tcW w:w="420" w:type="dxa"/>
          </w:tcPr>
          <w:p>
            <w:pPr>
              <w:pStyle w:val="TableParagraph"/>
              <w:spacing w:line="135" w:lineRule="exact"/>
              <w:ind w:left="110" w:right="39"/>
              <w:jc w:val="center"/>
              <w:rPr>
                <w:sz w:val="14"/>
              </w:rPr>
            </w:pPr>
            <w:r>
              <w:rPr>
                <w:sz w:val="14"/>
                <w:u w:val="single"/>
              </w:rPr>
              <w:t>Q2 </w:t>
            </w:r>
          </w:p>
        </w:tc>
        <w:tc>
          <w:tcPr>
            <w:tcW w:w="395" w:type="dxa"/>
          </w:tcPr>
          <w:p>
            <w:pPr>
              <w:pStyle w:val="TableParagraph"/>
              <w:spacing w:line="135" w:lineRule="exact"/>
              <w:ind w:left="27"/>
              <w:jc w:val="center"/>
              <w:rPr>
                <w:sz w:val="14"/>
              </w:rPr>
            </w:pPr>
            <w:r>
              <w:rPr>
                <w:sz w:val="14"/>
                <w:u w:val="single"/>
              </w:rPr>
              <w:t> Q3 </w:t>
            </w:r>
          </w:p>
        </w:tc>
        <w:tc>
          <w:tcPr>
            <w:tcW w:w="321" w:type="dxa"/>
          </w:tcPr>
          <w:p>
            <w:pPr>
              <w:pStyle w:val="TableParagraph"/>
              <w:spacing w:line="135" w:lineRule="exact"/>
              <w:ind w:left="40" w:right="29"/>
              <w:jc w:val="center"/>
              <w:rPr>
                <w:sz w:val="14"/>
              </w:rPr>
            </w:pPr>
            <w:r>
              <w:rPr>
                <w:sz w:val="14"/>
                <w:u w:val="single"/>
              </w:rPr>
              <w:t>Q4</w:t>
            </w:r>
          </w:p>
        </w:tc>
      </w:tr>
      <w:tr>
        <w:trPr>
          <w:trHeight w:val="420" w:hRule="atLeast"/>
        </w:trPr>
        <w:tc>
          <w:tcPr>
            <w:tcW w:w="2259" w:type="dxa"/>
          </w:tcPr>
          <w:p>
            <w:pPr>
              <w:pStyle w:val="TableParagraph"/>
              <w:spacing w:line="150" w:lineRule="exact" w:before="119"/>
              <w:ind w:left="50"/>
              <w:rPr>
                <w:sz w:val="14"/>
              </w:rPr>
            </w:pPr>
            <w:r>
              <w:rPr>
                <w:sz w:val="14"/>
              </w:rPr>
              <w:t>Consumption:</w:t>
            </w:r>
          </w:p>
          <w:p>
            <w:pPr>
              <w:pStyle w:val="TableParagraph"/>
              <w:spacing w:line="130" w:lineRule="exact"/>
              <w:ind w:left="150"/>
              <w:rPr>
                <w:sz w:val="12"/>
              </w:rPr>
            </w:pPr>
            <w:r>
              <w:rPr>
                <w:i/>
                <w:sz w:val="14"/>
              </w:rPr>
              <w:t>Households </w:t>
            </w:r>
            <w:r>
              <w:rPr>
                <w:sz w:val="12"/>
              </w:rPr>
              <w:t>(b)</w:t>
            </w:r>
          </w:p>
        </w:tc>
        <w:tc>
          <w:tcPr>
            <w:tcW w:w="370" w:type="dxa"/>
          </w:tcPr>
          <w:p>
            <w:pPr>
              <w:pStyle w:val="TableParagraph"/>
              <w:spacing w:line="240" w:lineRule="auto" w:before="6"/>
              <w:rPr>
                <w:sz w:val="22"/>
              </w:rPr>
            </w:pPr>
          </w:p>
          <w:p>
            <w:pPr>
              <w:pStyle w:val="TableParagraph"/>
              <w:spacing w:line="141" w:lineRule="exact"/>
              <w:ind w:left="96"/>
              <w:rPr>
                <w:i/>
                <w:sz w:val="14"/>
              </w:rPr>
            </w:pPr>
            <w:r>
              <w:rPr>
                <w:i/>
                <w:sz w:val="14"/>
              </w:rPr>
              <w:t>0.5</w:t>
            </w:r>
          </w:p>
        </w:tc>
        <w:tc>
          <w:tcPr>
            <w:tcW w:w="435" w:type="dxa"/>
          </w:tcPr>
          <w:p>
            <w:pPr>
              <w:pStyle w:val="TableParagraph"/>
              <w:spacing w:line="240" w:lineRule="auto" w:before="6"/>
              <w:rPr>
                <w:sz w:val="22"/>
              </w:rPr>
            </w:pPr>
          </w:p>
          <w:p>
            <w:pPr>
              <w:pStyle w:val="TableParagraph"/>
              <w:spacing w:line="141" w:lineRule="exact"/>
              <w:ind w:left="80" w:right="48"/>
              <w:jc w:val="center"/>
              <w:rPr>
                <w:i/>
                <w:sz w:val="14"/>
              </w:rPr>
            </w:pPr>
            <w:r>
              <w:rPr>
                <w:i/>
                <w:sz w:val="14"/>
              </w:rPr>
              <w:t>1.8</w:t>
            </w:r>
          </w:p>
        </w:tc>
        <w:tc>
          <w:tcPr>
            <w:tcW w:w="420" w:type="dxa"/>
          </w:tcPr>
          <w:p>
            <w:pPr>
              <w:pStyle w:val="TableParagraph"/>
              <w:spacing w:line="240" w:lineRule="auto" w:before="6"/>
              <w:rPr>
                <w:sz w:val="22"/>
              </w:rPr>
            </w:pPr>
          </w:p>
          <w:p>
            <w:pPr>
              <w:pStyle w:val="TableParagraph"/>
              <w:spacing w:line="141" w:lineRule="exact"/>
              <w:ind w:left="85" w:right="68"/>
              <w:jc w:val="center"/>
              <w:rPr>
                <w:i/>
                <w:sz w:val="14"/>
              </w:rPr>
            </w:pPr>
            <w:r>
              <w:rPr>
                <w:i/>
                <w:sz w:val="14"/>
              </w:rPr>
              <w:t>0.9</w:t>
            </w:r>
          </w:p>
        </w:tc>
        <w:tc>
          <w:tcPr>
            <w:tcW w:w="395" w:type="dxa"/>
          </w:tcPr>
          <w:p>
            <w:pPr>
              <w:pStyle w:val="TableParagraph"/>
              <w:spacing w:line="240" w:lineRule="auto" w:before="6"/>
              <w:rPr>
                <w:sz w:val="22"/>
              </w:rPr>
            </w:pPr>
          </w:p>
          <w:p>
            <w:pPr>
              <w:pStyle w:val="TableParagraph"/>
              <w:spacing w:line="141" w:lineRule="exact"/>
              <w:ind w:left="27" w:right="44"/>
              <w:jc w:val="center"/>
              <w:rPr>
                <w:i/>
                <w:sz w:val="14"/>
              </w:rPr>
            </w:pPr>
            <w:r>
              <w:rPr>
                <w:i/>
                <w:sz w:val="14"/>
              </w:rPr>
              <w:t>0.6</w:t>
            </w:r>
          </w:p>
        </w:tc>
        <w:tc>
          <w:tcPr>
            <w:tcW w:w="321" w:type="dxa"/>
          </w:tcPr>
          <w:p>
            <w:pPr>
              <w:pStyle w:val="TableParagraph"/>
              <w:spacing w:line="240" w:lineRule="auto" w:before="6"/>
              <w:rPr>
                <w:sz w:val="22"/>
              </w:rPr>
            </w:pPr>
          </w:p>
          <w:p>
            <w:pPr>
              <w:pStyle w:val="TableParagraph"/>
              <w:spacing w:line="141" w:lineRule="exact"/>
              <w:ind w:left="60" w:right="15"/>
              <w:jc w:val="center"/>
              <w:rPr>
                <w:i/>
                <w:sz w:val="14"/>
              </w:rPr>
            </w:pPr>
            <w:r>
              <w:rPr>
                <w:i/>
                <w:sz w:val="14"/>
              </w:rPr>
              <w:t>1.1</w:t>
            </w:r>
          </w:p>
        </w:tc>
      </w:tr>
      <w:tr>
        <w:trPr>
          <w:trHeight w:val="132" w:hRule="atLeast"/>
        </w:trPr>
        <w:tc>
          <w:tcPr>
            <w:tcW w:w="2259" w:type="dxa"/>
          </w:tcPr>
          <w:p>
            <w:pPr>
              <w:pStyle w:val="TableParagraph"/>
              <w:spacing w:line="128" w:lineRule="exact"/>
              <w:ind w:left="150"/>
              <w:rPr>
                <w:i/>
                <w:sz w:val="14"/>
              </w:rPr>
            </w:pPr>
            <w:r>
              <w:rPr>
                <w:i/>
                <w:sz w:val="14"/>
              </w:rPr>
              <w:t>Government</w:t>
            </w:r>
          </w:p>
        </w:tc>
        <w:tc>
          <w:tcPr>
            <w:tcW w:w="370" w:type="dxa"/>
          </w:tcPr>
          <w:p>
            <w:pPr>
              <w:pStyle w:val="TableParagraph"/>
              <w:spacing w:line="128" w:lineRule="exact"/>
              <w:ind w:left="96"/>
              <w:rPr>
                <w:i/>
                <w:sz w:val="14"/>
              </w:rPr>
            </w:pPr>
            <w:r>
              <w:rPr>
                <w:i/>
                <w:sz w:val="14"/>
              </w:rPr>
              <w:t>0.5</w:t>
            </w:r>
          </w:p>
        </w:tc>
        <w:tc>
          <w:tcPr>
            <w:tcW w:w="435" w:type="dxa"/>
          </w:tcPr>
          <w:p>
            <w:pPr>
              <w:pStyle w:val="TableParagraph"/>
              <w:spacing w:line="128" w:lineRule="exact"/>
              <w:ind w:left="80" w:right="48"/>
              <w:jc w:val="center"/>
              <w:rPr>
                <w:i/>
                <w:sz w:val="14"/>
              </w:rPr>
            </w:pPr>
            <w:r>
              <w:rPr>
                <w:i/>
                <w:sz w:val="14"/>
              </w:rPr>
              <w:t>1.9</w:t>
            </w:r>
          </w:p>
        </w:tc>
        <w:tc>
          <w:tcPr>
            <w:tcW w:w="420" w:type="dxa"/>
          </w:tcPr>
          <w:p>
            <w:pPr>
              <w:pStyle w:val="TableParagraph"/>
              <w:spacing w:line="128" w:lineRule="exact"/>
              <w:ind w:left="85" w:right="68"/>
              <w:jc w:val="center"/>
              <w:rPr>
                <w:i/>
                <w:sz w:val="14"/>
              </w:rPr>
            </w:pPr>
            <w:r>
              <w:rPr>
                <w:i/>
                <w:sz w:val="14"/>
              </w:rPr>
              <w:t>0.9</w:t>
            </w:r>
          </w:p>
        </w:tc>
        <w:tc>
          <w:tcPr>
            <w:tcW w:w="395" w:type="dxa"/>
          </w:tcPr>
          <w:p>
            <w:pPr>
              <w:pStyle w:val="TableParagraph"/>
              <w:spacing w:line="128" w:lineRule="exact"/>
              <w:ind w:left="27" w:right="43"/>
              <w:jc w:val="center"/>
              <w:rPr>
                <w:i/>
                <w:sz w:val="14"/>
              </w:rPr>
            </w:pPr>
            <w:r>
              <w:rPr>
                <w:i/>
                <w:sz w:val="14"/>
              </w:rPr>
              <w:t>0.6</w:t>
            </w:r>
          </w:p>
        </w:tc>
        <w:tc>
          <w:tcPr>
            <w:tcW w:w="321" w:type="dxa"/>
          </w:tcPr>
          <w:p>
            <w:pPr>
              <w:pStyle w:val="TableParagraph"/>
              <w:spacing w:line="128" w:lineRule="exact"/>
              <w:ind w:left="60" w:right="15"/>
              <w:jc w:val="center"/>
              <w:rPr>
                <w:i/>
                <w:sz w:val="14"/>
              </w:rPr>
            </w:pPr>
            <w:r>
              <w:rPr>
                <w:i/>
                <w:sz w:val="14"/>
              </w:rPr>
              <w:t>1.2</w:t>
            </w:r>
          </w:p>
        </w:tc>
      </w:tr>
      <w:tr>
        <w:trPr>
          <w:trHeight w:val="140" w:hRule="atLeast"/>
        </w:trPr>
        <w:tc>
          <w:tcPr>
            <w:tcW w:w="2259" w:type="dxa"/>
          </w:tcPr>
          <w:p>
            <w:pPr>
              <w:pStyle w:val="TableParagraph"/>
              <w:ind w:left="50"/>
              <w:rPr>
                <w:sz w:val="14"/>
              </w:rPr>
            </w:pPr>
            <w:r>
              <w:rPr>
                <w:sz w:val="14"/>
              </w:rPr>
              <w:t>Investment</w:t>
            </w:r>
          </w:p>
        </w:tc>
        <w:tc>
          <w:tcPr>
            <w:tcW w:w="370" w:type="dxa"/>
          </w:tcPr>
          <w:p>
            <w:pPr>
              <w:pStyle w:val="TableParagraph"/>
              <w:ind w:left="96"/>
              <w:rPr>
                <w:sz w:val="14"/>
              </w:rPr>
            </w:pPr>
            <w:r>
              <w:rPr>
                <w:sz w:val="14"/>
              </w:rPr>
              <w:t>1.2</w:t>
            </w:r>
          </w:p>
        </w:tc>
        <w:tc>
          <w:tcPr>
            <w:tcW w:w="435" w:type="dxa"/>
          </w:tcPr>
          <w:p>
            <w:pPr>
              <w:pStyle w:val="TableParagraph"/>
              <w:ind w:left="80" w:right="48"/>
              <w:jc w:val="center"/>
              <w:rPr>
                <w:sz w:val="14"/>
              </w:rPr>
            </w:pPr>
            <w:r>
              <w:rPr>
                <w:sz w:val="14"/>
              </w:rPr>
              <w:t>0.6</w:t>
            </w:r>
          </w:p>
        </w:tc>
        <w:tc>
          <w:tcPr>
            <w:tcW w:w="420" w:type="dxa"/>
          </w:tcPr>
          <w:p>
            <w:pPr>
              <w:pStyle w:val="TableParagraph"/>
              <w:ind w:left="85" w:right="68"/>
              <w:jc w:val="center"/>
              <w:rPr>
                <w:sz w:val="14"/>
              </w:rPr>
            </w:pPr>
            <w:r>
              <w:rPr>
                <w:sz w:val="14"/>
              </w:rPr>
              <w:t>0.9</w:t>
            </w:r>
          </w:p>
        </w:tc>
        <w:tc>
          <w:tcPr>
            <w:tcW w:w="395" w:type="dxa"/>
          </w:tcPr>
          <w:p>
            <w:pPr>
              <w:pStyle w:val="TableParagraph"/>
              <w:ind w:left="27" w:right="42"/>
              <w:jc w:val="center"/>
              <w:rPr>
                <w:sz w:val="14"/>
              </w:rPr>
            </w:pPr>
            <w:r>
              <w:rPr>
                <w:sz w:val="14"/>
              </w:rPr>
              <w:t>0.7</w:t>
            </w:r>
          </w:p>
        </w:tc>
        <w:tc>
          <w:tcPr>
            <w:tcW w:w="321" w:type="dxa"/>
          </w:tcPr>
          <w:p>
            <w:pPr>
              <w:pStyle w:val="TableParagraph"/>
              <w:ind w:left="60" w:right="14"/>
              <w:jc w:val="center"/>
              <w:rPr>
                <w:sz w:val="14"/>
              </w:rPr>
            </w:pPr>
            <w:r>
              <w:rPr>
                <w:sz w:val="14"/>
              </w:rPr>
              <w:t>1.6</w:t>
            </w:r>
          </w:p>
        </w:tc>
      </w:tr>
      <w:tr>
        <w:trPr>
          <w:trHeight w:val="140" w:hRule="atLeast"/>
        </w:trPr>
        <w:tc>
          <w:tcPr>
            <w:tcW w:w="2259" w:type="dxa"/>
          </w:tcPr>
          <w:p>
            <w:pPr>
              <w:pStyle w:val="TableParagraph"/>
              <w:ind w:left="150"/>
              <w:rPr>
                <w:i/>
                <w:sz w:val="14"/>
              </w:rPr>
            </w:pPr>
            <w:r>
              <w:rPr>
                <w:i/>
                <w:sz w:val="14"/>
              </w:rPr>
              <w:t>of which, business investment</w:t>
            </w:r>
          </w:p>
        </w:tc>
        <w:tc>
          <w:tcPr>
            <w:tcW w:w="370" w:type="dxa"/>
          </w:tcPr>
          <w:p>
            <w:pPr>
              <w:pStyle w:val="TableParagraph"/>
              <w:ind w:left="96"/>
              <w:rPr>
                <w:i/>
                <w:sz w:val="14"/>
              </w:rPr>
            </w:pPr>
            <w:r>
              <w:rPr>
                <w:i/>
                <w:sz w:val="14"/>
              </w:rPr>
              <w:t>2.9</w:t>
            </w:r>
          </w:p>
        </w:tc>
        <w:tc>
          <w:tcPr>
            <w:tcW w:w="435" w:type="dxa"/>
          </w:tcPr>
          <w:p>
            <w:pPr>
              <w:pStyle w:val="TableParagraph"/>
              <w:ind w:left="80" w:right="48"/>
              <w:jc w:val="center"/>
              <w:rPr>
                <w:i/>
                <w:sz w:val="14"/>
              </w:rPr>
            </w:pPr>
            <w:r>
              <w:rPr>
                <w:i/>
                <w:sz w:val="14"/>
              </w:rPr>
              <w:t>0.3</w:t>
            </w:r>
          </w:p>
        </w:tc>
        <w:tc>
          <w:tcPr>
            <w:tcW w:w="420" w:type="dxa"/>
          </w:tcPr>
          <w:p>
            <w:pPr>
              <w:pStyle w:val="TableParagraph"/>
              <w:ind w:left="85" w:right="68"/>
              <w:jc w:val="center"/>
              <w:rPr>
                <w:i/>
                <w:sz w:val="14"/>
              </w:rPr>
            </w:pPr>
            <w:r>
              <w:rPr>
                <w:i/>
                <w:sz w:val="14"/>
              </w:rPr>
              <w:t>1.6</w:t>
            </w:r>
          </w:p>
        </w:tc>
        <w:tc>
          <w:tcPr>
            <w:tcW w:w="395" w:type="dxa"/>
          </w:tcPr>
          <w:p>
            <w:pPr>
              <w:pStyle w:val="TableParagraph"/>
              <w:ind w:left="27" w:right="89"/>
              <w:jc w:val="center"/>
              <w:rPr>
                <w:i/>
                <w:sz w:val="14"/>
              </w:rPr>
            </w:pPr>
            <w:r>
              <w:rPr>
                <w:i/>
                <w:sz w:val="14"/>
              </w:rPr>
              <w:t>-1.0</w:t>
            </w:r>
          </w:p>
        </w:tc>
        <w:tc>
          <w:tcPr>
            <w:tcW w:w="321" w:type="dxa"/>
          </w:tcPr>
          <w:p>
            <w:pPr>
              <w:pStyle w:val="TableParagraph"/>
              <w:ind w:left="60" w:right="14"/>
              <w:jc w:val="center"/>
              <w:rPr>
                <w:i/>
                <w:sz w:val="14"/>
              </w:rPr>
            </w:pPr>
            <w:r>
              <w:rPr>
                <w:i/>
                <w:sz w:val="14"/>
              </w:rPr>
              <w:t>1.1</w:t>
            </w:r>
          </w:p>
        </w:tc>
      </w:tr>
      <w:tr>
        <w:trPr>
          <w:trHeight w:val="140" w:hRule="atLeast"/>
        </w:trPr>
        <w:tc>
          <w:tcPr>
            <w:tcW w:w="2259" w:type="dxa"/>
          </w:tcPr>
          <w:p>
            <w:pPr>
              <w:pStyle w:val="TableParagraph"/>
              <w:ind w:left="50"/>
              <w:rPr>
                <w:b/>
                <w:sz w:val="14"/>
              </w:rPr>
            </w:pPr>
            <w:r>
              <w:rPr>
                <w:b/>
                <w:sz w:val="14"/>
              </w:rPr>
              <w:t>Final domestic demand</w:t>
            </w:r>
          </w:p>
        </w:tc>
        <w:tc>
          <w:tcPr>
            <w:tcW w:w="370" w:type="dxa"/>
          </w:tcPr>
          <w:p>
            <w:pPr>
              <w:pStyle w:val="TableParagraph"/>
              <w:ind w:left="96"/>
              <w:rPr>
                <w:b/>
                <w:sz w:val="14"/>
              </w:rPr>
            </w:pPr>
            <w:r>
              <w:rPr>
                <w:b/>
                <w:sz w:val="14"/>
              </w:rPr>
              <w:t>0.6</w:t>
            </w:r>
          </w:p>
        </w:tc>
        <w:tc>
          <w:tcPr>
            <w:tcW w:w="435" w:type="dxa"/>
          </w:tcPr>
          <w:p>
            <w:pPr>
              <w:pStyle w:val="TableParagraph"/>
              <w:ind w:left="80" w:right="49"/>
              <w:jc w:val="center"/>
              <w:rPr>
                <w:b/>
                <w:sz w:val="14"/>
              </w:rPr>
            </w:pPr>
            <w:r>
              <w:rPr>
                <w:b/>
                <w:sz w:val="14"/>
              </w:rPr>
              <w:t>1.5</w:t>
            </w:r>
          </w:p>
        </w:tc>
        <w:tc>
          <w:tcPr>
            <w:tcW w:w="420" w:type="dxa"/>
          </w:tcPr>
          <w:p>
            <w:pPr>
              <w:pStyle w:val="TableParagraph"/>
              <w:ind w:left="84" w:right="68"/>
              <w:jc w:val="center"/>
              <w:rPr>
                <w:b/>
                <w:sz w:val="14"/>
              </w:rPr>
            </w:pPr>
            <w:r>
              <w:rPr>
                <w:b/>
                <w:sz w:val="14"/>
              </w:rPr>
              <w:t>1.0</w:t>
            </w:r>
          </w:p>
        </w:tc>
        <w:tc>
          <w:tcPr>
            <w:tcW w:w="395" w:type="dxa"/>
          </w:tcPr>
          <w:p>
            <w:pPr>
              <w:pStyle w:val="TableParagraph"/>
              <w:ind w:left="27" w:right="43"/>
              <w:jc w:val="center"/>
              <w:rPr>
                <w:b/>
                <w:sz w:val="14"/>
              </w:rPr>
            </w:pPr>
            <w:r>
              <w:rPr>
                <w:b/>
                <w:sz w:val="14"/>
              </w:rPr>
              <w:t>0.5</w:t>
            </w:r>
          </w:p>
        </w:tc>
        <w:tc>
          <w:tcPr>
            <w:tcW w:w="321" w:type="dxa"/>
          </w:tcPr>
          <w:p>
            <w:pPr>
              <w:pStyle w:val="TableParagraph"/>
              <w:ind w:left="60" w:right="15"/>
              <w:jc w:val="center"/>
              <w:rPr>
                <w:b/>
                <w:sz w:val="14"/>
              </w:rPr>
            </w:pPr>
            <w:r>
              <w:rPr>
                <w:b/>
                <w:sz w:val="14"/>
              </w:rPr>
              <w:t>1.3</w:t>
            </w:r>
          </w:p>
        </w:tc>
      </w:tr>
      <w:tr>
        <w:trPr>
          <w:trHeight w:val="140" w:hRule="atLeast"/>
        </w:trPr>
        <w:tc>
          <w:tcPr>
            <w:tcW w:w="2259" w:type="dxa"/>
          </w:tcPr>
          <w:p>
            <w:pPr>
              <w:pStyle w:val="TableParagraph"/>
              <w:ind w:left="50"/>
              <w:rPr>
                <w:sz w:val="12"/>
              </w:rPr>
            </w:pPr>
            <w:r>
              <w:rPr>
                <w:sz w:val="14"/>
              </w:rPr>
              <w:t>Change in inventories </w:t>
            </w:r>
            <w:r>
              <w:rPr>
                <w:sz w:val="12"/>
              </w:rPr>
              <w:t>(c)</w:t>
            </w:r>
          </w:p>
        </w:tc>
        <w:tc>
          <w:tcPr>
            <w:tcW w:w="370" w:type="dxa"/>
          </w:tcPr>
          <w:p>
            <w:pPr>
              <w:pStyle w:val="TableParagraph"/>
              <w:ind w:left="96"/>
              <w:rPr>
                <w:sz w:val="14"/>
              </w:rPr>
            </w:pPr>
            <w:r>
              <w:rPr>
                <w:sz w:val="14"/>
              </w:rPr>
              <w:t>0.2</w:t>
            </w:r>
          </w:p>
        </w:tc>
        <w:tc>
          <w:tcPr>
            <w:tcW w:w="435" w:type="dxa"/>
          </w:tcPr>
          <w:p>
            <w:pPr>
              <w:pStyle w:val="TableParagraph"/>
              <w:ind w:left="80" w:right="92"/>
              <w:jc w:val="center"/>
              <w:rPr>
                <w:sz w:val="14"/>
              </w:rPr>
            </w:pPr>
            <w:r>
              <w:rPr>
                <w:sz w:val="14"/>
              </w:rPr>
              <w:t>-0.2</w:t>
            </w:r>
          </w:p>
        </w:tc>
        <w:tc>
          <w:tcPr>
            <w:tcW w:w="420" w:type="dxa"/>
          </w:tcPr>
          <w:p>
            <w:pPr>
              <w:pStyle w:val="TableParagraph"/>
              <w:ind w:left="41" w:right="68"/>
              <w:jc w:val="center"/>
              <w:rPr>
                <w:sz w:val="14"/>
              </w:rPr>
            </w:pPr>
            <w:r>
              <w:rPr>
                <w:sz w:val="14"/>
              </w:rPr>
              <w:t>-1.0</w:t>
            </w:r>
          </w:p>
        </w:tc>
        <w:tc>
          <w:tcPr>
            <w:tcW w:w="395" w:type="dxa"/>
          </w:tcPr>
          <w:p>
            <w:pPr>
              <w:pStyle w:val="TableParagraph"/>
              <w:ind w:left="27" w:right="42"/>
              <w:jc w:val="center"/>
              <w:rPr>
                <w:sz w:val="14"/>
              </w:rPr>
            </w:pPr>
            <w:r>
              <w:rPr>
                <w:sz w:val="14"/>
              </w:rPr>
              <w:t>0.3</w:t>
            </w:r>
          </w:p>
        </w:tc>
        <w:tc>
          <w:tcPr>
            <w:tcW w:w="321" w:type="dxa"/>
          </w:tcPr>
          <w:p>
            <w:pPr>
              <w:pStyle w:val="TableParagraph"/>
              <w:ind w:left="60" w:right="14"/>
              <w:jc w:val="center"/>
              <w:rPr>
                <w:sz w:val="14"/>
              </w:rPr>
            </w:pPr>
            <w:r>
              <w:rPr>
                <w:sz w:val="14"/>
              </w:rPr>
              <w:t>0.6</w:t>
            </w:r>
          </w:p>
        </w:tc>
      </w:tr>
      <w:tr>
        <w:trPr>
          <w:trHeight w:val="140" w:hRule="atLeast"/>
        </w:trPr>
        <w:tc>
          <w:tcPr>
            <w:tcW w:w="2259" w:type="dxa"/>
          </w:tcPr>
          <w:p>
            <w:pPr>
              <w:pStyle w:val="TableParagraph"/>
              <w:ind w:left="150"/>
              <w:rPr>
                <w:i/>
                <w:sz w:val="12"/>
              </w:rPr>
            </w:pPr>
            <w:r>
              <w:rPr>
                <w:i/>
                <w:sz w:val="14"/>
              </w:rPr>
              <w:t>excluding alignment adjustment </w:t>
            </w:r>
            <w:r>
              <w:rPr>
                <w:i/>
                <w:sz w:val="12"/>
              </w:rPr>
              <w:t>(c)</w:t>
            </w:r>
          </w:p>
        </w:tc>
        <w:tc>
          <w:tcPr>
            <w:tcW w:w="370" w:type="dxa"/>
          </w:tcPr>
          <w:p>
            <w:pPr>
              <w:pStyle w:val="TableParagraph"/>
              <w:ind w:left="96"/>
              <w:rPr>
                <w:i/>
                <w:sz w:val="14"/>
              </w:rPr>
            </w:pPr>
            <w:r>
              <w:rPr>
                <w:i/>
                <w:sz w:val="14"/>
              </w:rPr>
              <w:t>0.3</w:t>
            </w:r>
          </w:p>
        </w:tc>
        <w:tc>
          <w:tcPr>
            <w:tcW w:w="435" w:type="dxa"/>
          </w:tcPr>
          <w:p>
            <w:pPr>
              <w:pStyle w:val="TableParagraph"/>
              <w:ind w:left="80" w:right="92"/>
              <w:jc w:val="center"/>
              <w:rPr>
                <w:i/>
                <w:sz w:val="14"/>
              </w:rPr>
            </w:pPr>
            <w:r>
              <w:rPr>
                <w:i/>
                <w:sz w:val="14"/>
              </w:rPr>
              <w:t>-0.6</w:t>
            </w:r>
          </w:p>
        </w:tc>
        <w:tc>
          <w:tcPr>
            <w:tcW w:w="420" w:type="dxa"/>
          </w:tcPr>
          <w:p>
            <w:pPr>
              <w:pStyle w:val="TableParagraph"/>
              <w:ind w:left="41" w:right="68"/>
              <w:jc w:val="center"/>
              <w:rPr>
                <w:i/>
                <w:sz w:val="14"/>
              </w:rPr>
            </w:pPr>
            <w:r>
              <w:rPr>
                <w:i/>
                <w:sz w:val="14"/>
              </w:rPr>
              <w:t>-0.6</w:t>
            </w:r>
          </w:p>
        </w:tc>
        <w:tc>
          <w:tcPr>
            <w:tcW w:w="395" w:type="dxa"/>
          </w:tcPr>
          <w:p>
            <w:pPr>
              <w:pStyle w:val="TableParagraph"/>
              <w:ind w:left="27" w:right="42"/>
              <w:jc w:val="center"/>
              <w:rPr>
                <w:i/>
                <w:sz w:val="14"/>
              </w:rPr>
            </w:pPr>
            <w:r>
              <w:rPr>
                <w:i/>
                <w:sz w:val="14"/>
              </w:rPr>
              <w:t>0.6</w:t>
            </w:r>
          </w:p>
        </w:tc>
        <w:tc>
          <w:tcPr>
            <w:tcW w:w="321" w:type="dxa"/>
          </w:tcPr>
          <w:p>
            <w:pPr>
              <w:pStyle w:val="TableParagraph"/>
              <w:ind w:left="29" w:right="29"/>
              <w:jc w:val="center"/>
              <w:rPr>
                <w:i/>
                <w:sz w:val="14"/>
              </w:rPr>
            </w:pPr>
            <w:r>
              <w:rPr>
                <w:i/>
                <w:sz w:val="14"/>
              </w:rPr>
              <w:t>-0.2</w:t>
            </w:r>
          </w:p>
        </w:tc>
      </w:tr>
      <w:tr>
        <w:trPr>
          <w:trHeight w:val="140" w:hRule="atLeast"/>
        </w:trPr>
        <w:tc>
          <w:tcPr>
            <w:tcW w:w="2259" w:type="dxa"/>
          </w:tcPr>
          <w:p>
            <w:pPr>
              <w:pStyle w:val="TableParagraph"/>
              <w:ind w:left="50"/>
              <w:rPr>
                <w:b/>
                <w:sz w:val="14"/>
              </w:rPr>
            </w:pPr>
            <w:r>
              <w:rPr>
                <w:b/>
                <w:sz w:val="14"/>
              </w:rPr>
              <w:t>Domestic demand</w:t>
            </w:r>
          </w:p>
        </w:tc>
        <w:tc>
          <w:tcPr>
            <w:tcW w:w="370" w:type="dxa"/>
          </w:tcPr>
          <w:p>
            <w:pPr>
              <w:pStyle w:val="TableParagraph"/>
              <w:ind w:left="96"/>
              <w:rPr>
                <w:b/>
                <w:sz w:val="14"/>
              </w:rPr>
            </w:pPr>
            <w:r>
              <w:rPr>
                <w:b/>
                <w:sz w:val="14"/>
              </w:rPr>
              <w:t>0.8</w:t>
            </w:r>
          </w:p>
        </w:tc>
        <w:tc>
          <w:tcPr>
            <w:tcW w:w="435" w:type="dxa"/>
          </w:tcPr>
          <w:p>
            <w:pPr>
              <w:pStyle w:val="TableParagraph"/>
              <w:ind w:left="80" w:right="48"/>
              <w:jc w:val="center"/>
              <w:rPr>
                <w:b/>
                <w:sz w:val="14"/>
              </w:rPr>
            </w:pPr>
            <w:r>
              <w:rPr>
                <w:b/>
                <w:sz w:val="14"/>
              </w:rPr>
              <w:t>1.3</w:t>
            </w:r>
          </w:p>
        </w:tc>
        <w:tc>
          <w:tcPr>
            <w:tcW w:w="420" w:type="dxa"/>
          </w:tcPr>
          <w:p>
            <w:pPr>
              <w:pStyle w:val="TableParagraph"/>
              <w:ind w:left="85" w:right="68"/>
              <w:jc w:val="center"/>
              <w:rPr>
                <w:b/>
                <w:sz w:val="14"/>
              </w:rPr>
            </w:pPr>
            <w:r>
              <w:rPr>
                <w:b/>
                <w:sz w:val="14"/>
              </w:rPr>
              <w:t>0.0</w:t>
            </w:r>
          </w:p>
        </w:tc>
        <w:tc>
          <w:tcPr>
            <w:tcW w:w="395" w:type="dxa"/>
          </w:tcPr>
          <w:p>
            <w:pPr>
              <w:pStyle w:val="TableParagraph"/>
              <w:ind w:left="27" w:right="42"/>
              <w:jc w:val="center"/>
              <w:rPr>
                <w:b/>
                <w:sz w:val="14"/>
              </w:rPr>
            </w:pPr>
            <w:r>
              <w:rPr>
                <w:b/>
                <w:sz w:val="14"/>
              </w:rPr>
              <w:t>0.8</w:t>
            </w:r>
          </w:p>
        </w:tc>
        <w:tc>
          <w:tcPr>
            <w:tcW w:w="321" w:type="dxa"/>
          </w:tcPr>
          <w:p>
            <w:pPr>
              <w:pStyle w:val="TableParagraph"/>
              <w:ind w:left="60" w:right="15"/>
              <w:jc w:val="center"/>
              <w:rPr>
                <w:b/>
                <w:sz w:val="14"/>
              </w:rPr>
            </w:pPr>
            <w:r>
              <w:rPr>
                <w:b/>
                <w:sz w:val="14"/>
              </w:rPr>
              <w:t>1.9</w:t>
            </w:r>
          </w:p>
        </w:tc>
      </w:tr>
      <w:tr>
        <w:trPr>
          <w:trHeight w:val="140" w:hRule="atLeast"/>
        </w:trPr>
        <w:tc>
          <w:tcPr>
            <w:tcW w:w="2259" w:type="dxa"/>
          </w:tcPr>
          <w:p>
            <w:pPr>
              <w:pStyle w:val="TableParagraph"/>
              <w:ind w:left="50"/>
              <w:rPr>
                <w:sz w:val="12"/>
              </w:rPr>
            </w:pPr>
            <w:r>
              <w:rPr>
                <w:sz w:val="14"/>
              </w:rPr>
              <w:t>Net trade </w:t>
            </w:r>
            <w:r>
              <w:rPr>
                <w:sz w:val="12"/>
              </w:rPr>
              <w:t>(c)</w:t>
            </w:r>
          </w:p>
        </w:tc>
        <w:tc>
          <w:tcPr>
            <w:tcW w:w="370" w:type="dxa"/>
          </w:tcPr>
          <w:p>
            <w:pPr>
              <w:pStyle w:val="TableParagraph"/>
              <w:ind w:left="49"/>
              <w:rPr>
                <w:sz w:val="14"/>
              </w:rPr>
            </w:pPr>
            <w:r>
              <w:rPr>
                <w:sz w:val="14"/>
              </w:rPr>
              <w:t>-0.8</w:t>
            </w:r>
          </w:p>
        </w:tc>
        <w:tc>
          <w:tcPr>
            <w:tcW w:w="435" w:type="dxa"/>
          </w:tcPr>
          <w:p>
            <w:pPr>
              <w:pStyle w:val="TableParagraph"/>
              <w:ind w:left="80" w:right="92"/>
              <w:jc w:val="center"/>
              <w:rPr>
                <w:sz w:val="14"/>
              </w:rPr>
            </w:pPr>
            <w:r>
              <w:rPr>
                <w:sz w:val="14"/>
              </w:rPr>
              <w:t>-0.9</w:t>
            </w:r>
          </w:p>
        </w:tc>
        <w:tc>
          <w:tcPr>
            <w:tcW w:w="420" w:type="dxa"/>
          </w:tcPr>
          <w:p>
            <w:pPr>
              <w:pStyle w:val="TableParagraph"/>
              <w:ind w:left="85" w:right="68"/>
              <w:jc w:val="center"/>
              <w:rPr>
                <w:sz w:val="14"/>
              </w:rPr>
            </w:pPr>
            <w:r>
              <w:rPr>
                <w:sz w:val="14"/>
              </w:rPr>
              <w:t>0.7</w:t>
            </w:r>
          </w:p>
        </w:tc>
        <w:tc>
          <w:tcPr>
            <w:tcW w:w="395" w:type="dxa"/>
          </w:tcPr>
          <w:p>
            <w:pPr>
              <w:pStyle w:val="TableParagraph"/>
              <w:ind w:left="27" w:right="42"/>
              <w:jc w:val="center"/>
              <w:rPr>
                <w:sz w:val="14"/>
              </w:rPr>
            </w:pPr>
            <w:r>
              <w:rPr>
                <w:sz w:val="14"/>
              </w:rPr>
              <w:t>0.1</w:t>
            </w:r>
          </w:p>
        </w:tc>
        <w:tc>
          <w:tcPr>
            <w:tcW w:w="321" w:type="dxa"/>
          </w:tcPr>
          <w:p>
            <w:pPr>
              <w:pStyle w:val="TableParagraph"/>
              <w:ind w:left="29" w:right="29"/>
              <w:jc w:val="center"/>
              <w:rPr>
                <w:sz w:val="14"/>
              </w:rPr>
            </w:pPr>
            <w:r>
              <w:rPr>
                <w:sz w:val="14"/>
              </w:rPr>
              <w:t>-1.2</w:t>
            </w:r>
          </w:p>
        </w:tc>
      </w:tr>
      <w:tr>
        <w:trPr>
          <w:trHeight w:val="147" w:hRule="atLeast"/>
        </w:trPr>
        <w:tc>
          <w:tcPr>
            <w:tcW w:w="2259" w:type="dxa"/>
          </w:tcPr>
          <w:p>
            <w:pPr>
              <w:pStyle w:val="TableParagraph"/>
              <w:spacing w:line="128" w:lineRule="exact"/>
              <w:ind w:left="50"/>
              <w:rPr>
                <w:b/>
                <w:sz w:val="14"/>
              </w:rPr>
            </w:pPr>
            <w:r>
              <w:rPr>
                <w:b/>
                <w:sz w:val="14"/>
              </w:rPr>
              <w:t>GDP at market prices</w:t>
            </w:r>
          </w:p>
        </w:tc>
        <w:tc>
          <w:tcPr>
            <w:tcW w:w="370" w:type="dxa"/>
          </w:tcPr>
          <w:p>
            <w:pPr>
              <w:pStyle w:val="TableParagraph"/>
              <w:spacing w:line="128" w:lineRule="exact"/>
              <w:ind w:left="95"/>
              <w:rPr>
                <w:b/>
                <w:sz w:val="14"/>
              </w:rPr>
            </w:pPr>
            <w:r>
              <w:rPr>
                <w:b/>
                <w:sz w:val="14"/>
              </w:rPr>
              <w:t>0.0</w:t>
            </w:r>
          </w:p>
        </w:tc>
        <w:tc>
          <w:tcPr>
            <w:tcW w:w="435" w:type="dxa"/>
          </w:tcPr>
          <w:p>
            <w:pPr>
              <w:pStyle w:val="TableParagraph"/>
              <w:spacing w:line="128" w:lineRule="exact"/>
              <w:ind w:left="80" w:right="49"/>
              <w:jc w:val="center"/>
              <w:rPr>
                <w:b/>
                <w:sz w:val="14"/>
              </w:rPr>
            </w:pPr>
            <w:r>
              <w:rPr>
                <w:b/>
                <w:sz w:val="14"/>
              </w:rPr>
              <w:t>0.4</w:t>
            </w:r>
          </w:p>
        </w:tc>
        <w:tc>
          <w:tcPr>
            <w:tcW w:w="420" w:type="dxa"/>
          </w:tcPr>
          <w:p>
            <w:pPr>
              <w:pStyle w:val="TableParagraph"/>
              <w:spacing w:line="128" w:lineRule="exact"/>
              <w:ind w:left="84" w:right="68"/>
              <w:jc w:val="center"/>
              <w:rPr>
                <w:b/>
                <w:sz w:val="14"/>
              </w:rPr>
            </w:pPr>
            <w:r>
              <w:rPr>
                <w:b/>
                <w:sz w:val="14"/>
              </w:rPr>
              <w:t>0.7</w:t>
            </w:r>
          </w:p>
        </w:tc>
        <w:tc>
          <w:tcPr>
            <w:tcW w:w="395" w:type="dxa"/>
          </w:tcPr>
          <w:p>
            <w:pPr>
              <w:pStyle w:val="TableParagraph"/>
              <w:spacing w:line="128" w:lineRule="exact"/>
              <w:ind w:left="27" w:right="43"/>
              <w:jc w:val="center"/>
              <w:rPr>
                <w:b/>
                <w:sz w:val="14"/>
              </w:rPr>
            </w:pPr>
            <w:r>
              <w:rPr>
                <w:b/>
                <w:sz w:val="14"/>
              </w:rPr>
              <w:t>1.0</w:t>
            </w:r>
          </w:p>
        </w:tc>
        <w:tc>
          <w:tcPr>
            <w:tcW w:w="321" w:type="dxa"/>
          </w:tcPr>
          <w:p>
            <w:pPr>
              <w:pStyle w:val="TableParagraph"/>
              <w:spacing w:line="128" w:lineRule="exact"/>
              <w:ind w:left="60" w:right="15"/>
              <w:jc w:val="center"/>
              <w:rPr>
                <w:b/>
                <w:sz w:val="14"/>
              </w:rPr>
            </w:pPr>
            <w:r>
              <w:rPr>
                <w:b/>
                <w:sz w:val="14"/>
              </w:rPr>
              <w:t>0.8</w:t>
            </w:r>
          </w:p>
        </w:tc>
      </w:tr>
    </w:tbl>
    <w:p>
      <w:pPr>
        <w:pStyle w:val="ListParagraph"/>
        <w:numPr>
          <w:ilvl w:val="0"/>
          <w:numId w:val="12"/>
        </w:numPr>
        <w:tabs>
          <w:tab w:pos="410" w:val="left" w:leader="none"/>
        </w:tabs>
        <w:spacing w:line="129" w:lineRule="exact" w:before="103" w:after="0"/>
        <w:ind w:left="409" w:right="0" w:hanging="240"/>
        <w:jc w:val="left"/>
        <w:rPr>
          <w:sz w:val="12"/>
        </w:rPr>
      </w:pPr>
      <w:r>
        <w:rPr>
          <w:sz w:val="12"/>
        </w:rPr>
        <w:t>At constant 1995 market</w:t>
      </w:r>
      <w:r>
        <w:rPr>
          <w:spacing w:val="-6"/>
          <w:sz w:val="12"/>
        </w:rPr>
        <w:t> </w:t>
      </w:r>
      <w:r>
        <w:rPr>
          <w:sz w:val="12"/>
        </w:rPr>
        <w:t>prices.</w:t>
      </w:r>
    </w:p>
    <w:p>
      <w:pPr>
        <w:pStyle w:val="ListParagraph"/>
        <w:numPr>
          <w:ilvl w:val="0"/>
          <w:numId w:val="12"/>
        </w:numPr>
        <w:tabs>
          <w:tab w:pos="411" w:val="left" w:leader="none"/>
        </w:tabs>
        <w:spacing w:line="120" w:lineRule="exact" w:before="0" w:after="0"/>
        <w:ind w:left="410" w:right="0" w:hanging="241"/>
        <w:jc w:val="left"/>
        <w:rPr>
          <w:sz w:val="12"/>
        </w:rPr>
      </w:pPr>
      <w:r>
        <w:rPr>
          <w:sz w:val="12"/>
        </w:rPr>
        <w:t>Includes non profit making institutions serving</w:t>
      </w:r>
      <w:r>
        <w:rPr>
          <w:spacing w:val="-13"/>
          <w:sz w:val="12"/>
        </w:rPr>
        <w:t> </w:t>
      </w:r>
      <w:r>
        <w:rPr>
          <w:sz w:val="12"/>
        </w:rPr>
        <w:t>households.</w:t>
      </w:r>
    </w:p>
    <w:p>
      <w:pPr>
        <w:pStyle w:val="ListParagraph"/>
        <w:numPr>
          <w:ilvl w:val="0"/>
          <w:numId w:val="12"/>
        </w:numPr>
        <w:tabs>
          <w:tab w:pos="410" w:val="left" w:leader="none"/>
        </w:tabs>
        <w:spacing w:line="129" w:lineRule="exact" w:before="0" w:after="0"/>
        <w:ind w:left="410" w:right="0" w:hanging="240"/>
        <w:jc w:val="left"/>
        <w:rPr>
          <w:sz w:val="12"/>
        </w:rPr>
      </w:pPr>
      <w:r>
        <w:rPr>
          <w:sz w:val="12"/>
        </w:rPr>
        <w:t>Contribution to quarterly growth.</w:t>
      </w:r>
    </w:p>
    <w:p>
      <w:pPr>
        <w:pStyle w:val="Heading6"/>
        <w:spacing w:line="242" w:lineRule="auto" w:before="7"/>
        <w:ind w:right="187"/>
      </w:pPr>
      <w:r>
        <w:rPr/>
        <w:br w:type="column"/>
      </w:r>
      <w:r>
        <w:rPr/>
        <w:t>overseas demand, the MPC judges that export growth will be somewhat stronger than previously forecast, though it is expected to remain slower than import growth over the forecast period. The MPC’s central assumptions therefore imply that the overall contribution of net trade to GDP growth over the next couple of years will remain negative, as in the February </w:t>
      </w:r>
      <w:r>
        <w:rPr>
          <w:i/>
        </w:rPr>
        <w:t>Report</w:t>
      </w:r>
      <w:r>
        <w:rPr/>
        <w:t>.</w:t>
      </w:r>
    </w:p>
    <w:p>
      <w:pPr>
        <w:pStyle w:val="BodyText"/>
        <w:spacing w:before="7"/>
        <w:rPr>
          <w:sz w:val="23"/>
        </w:rPr>
      </w:pPr>
    </w:p>
    <w:p>
      <w:pPr>
        <w:pStyle w:val="Heading3"/>
        <w:numPr>
          <w:ilvl w:val="1"/>
          <w:numId w:val="10"/>
        </w:numPr>
        <w:tabs>
          <w:tab w:pos="3311" w:val="left" w:leader="none"/>
          <w:tab w:pos="3312" w:val="left" w:leader="none"/>
          <w:tab w:pos="5695" w:val="left" w:leader="none"/>
        </w:tabs>
        <w:spacing w:line="240" w:lineRule="auto" w:before="0" w:after="0"/>
        <w:ind w:left="3311" w:right="0" w:hanging="3142"/>
        <w:jc w:val="left"/>
      </w:pPr>
      <w:r>
        <w:rPr>
          <w:color w:val="009391"/>
          <w:u w:val="thick" w:color="0092C7"/>
        </w:rPr>
        <w:t>Domestic</w:t>
      </w:r>
      <w:r>
        <w:rPr>
          <w:color w:val="009391"/>
          <w:spacing w:val="-13"/>
          <w:u w:val="thick" w:color="0092C7"/>
        </w:rPr>
        <w:t> </w:t>
      </w:r>
      <w:r>
        <w:rPr>
          <w:color w:val="009391"/>
          <w:u w:val="thick" w:color="0092C7"/>
        </w:rPr>
        <w:t>demand</w:t>
        <w:tab/>
      </w:r>
    </w:p>
    <w:p>
      <w:pPr>
        <w:spacing w:line="242" w:lineRule="auto" w:before="264"/>
        <w:ind w:left="170" w:right="265" w:firstLine="0"/>
        <w:jc w:val="left"/>
        <w:rPr>
          <w:sz w:val="24"/>
        </w:rPr>
      </w:pPr>
      <w:r>
        <w:rPr>
          <w:sz w:val="24"/>
        </w:rPr>
        <w:t>Domestic demand grew by 1.9% in the fourth quarter of 1999, and was 4.1% higher than a year earlier. The strength of domestic demand in Q4 partly reflected a large contribution to growth of 0.6 percentage points from stockbuilding. That in turn was accounted for by an increase in the size of the alignment adjustment, which is used by the ONS to help balance estimates of growth in the income, expenditure and output measures of </w:t>
      </w:r>
      <w:r>
        <w:rPr>
          <w:spacing w:val="-7"/>
          <w:sz w:val="24"/>
        </w:rPr>
        <w:t>GDP. </w:t>
      </w:r>
      <w:r>
        <w:rPr>
          <w:sz w:val="24"/>
        </w:rPr>
        <w:t>But final domestic demand growth—which excludes inventory investment—also picked up</w:t>
      </w:r>
      <w:r>
        <w:rPr>
          <w:spacing w:val="-28"/>
          <w:sz w:val="24"/>
        </w:rPr>
        <w:t> </w:t>
      </w:r>
      <w:r>
        <w:rPr>
          <w:spacing w:val="-4"/>
          <w:sz w:val="24"/>
        </w:rPr>
        <w:t>strongly. </w:t>
      </w:r>
      <w:r>
        <w:rPr>
          <w:sz w:val="24"/>
        </w:rPr>
        <w:t>It rose to 1.3% in Q4 from 0.5% in Q3 (see </w:t>
      </w:r>
      <w:r>
        <w:rPr>
          <w:spacing w:val="-5"/>
          <w:sz w:val="24"/>
        </w:rPr>
        <w:t>Table </w:t>
      </w:r>
      <w:r>
        <w:rPr>
          <w:sz w:val="24"/>
        </w:rPr>
        <w:t>2.C), reflecting an increase in the growth rates of both consumption and investment. Final domestic demand was 4.4% higher than in the same quarter a year</w:t>
      </w:r>
      <w:r>
        <w:rPr>
          <w:spacing w:val="-15"/>
          <w:sz w:val="24"/>
        </w:rPr>
        <w:t> </w:t>
      </w:r>
      <w:r>
        <w:rPr>
          <w:sz w:val="24"/>
        </w:rPr>
        <w:t>earlier.</w:t>
      </w:r>
    </w:p>
    <w:p>
      <w:pPr>
        <w:pStyle w:val="BodyText"/>
        <w:spacing w:before="5"/>
        <w:rPr>
          <w:sz w:val="22"/>
        </w:rPr>
      </w:pPr>
    </w:p>
    <w:p>
      <w:pPr>
        <w:pStyle w:val="Heading7"/>
        <w:ind w:left="170"/>
        <w:rPr>
          <w:i/>
        </w:rPr>
      </w:pPr>
      <w:r>
        <w:rPr>
          <w:i/>
          <w:color w:val="009391"/>
        </w:rPr>
        <w:t>Consumption</w:t>
      </w:r>
    </w:p>
    <w:p>
      <w:pPr>
        <w:spacing w:line="242" w:lineRule="auto" w:before="124"/>
        <w:ind w:left="170" w:right="170" w:firstLine="0"/>
        <w:jc w:val="left"/>
        <w:rPr>
          <w:sz w:val="24"/>
        </w:rPr>
      </w:pPr>
      <w:r>
        <w:rPr>
          <w:sz w:val="24"/>
        </w:rPr>
        <w:t>Quarterly growth of consumers’ expenditure picked up </w:t>
      </w:r>
      <w:r>
        <w:rPr>
          <w:spacing w:val="-9"/>
          <w:sz w:val="24"/>
        </w:rPr>
        <w:t>in </w:t>
      </w:r>
      <w:r>
        <w:rPr>
          <w:sz w:val="24"/>
        </w:rPr>
        <w:t>1999 Q4, to 1.1% (see Chart 2.4). The level of consumption in Q4 was 4.4% higher than a year earlier, and was higher than was expected in the February </w:t>
      </w:r>
      <w:r>
        <w:rPr>
          <w:i/>
          <w:sz w:val="24"/>
        </w:rPr>
        <w:t>Report</w:t>
      </w:r>
      <w:r>
        <w:rPr>
          <w:sz w:val="24"/>
        </w:rPr>
        <w:t>. The strength of consumer demand in Q4 was concentrated in expenditure on services and on durable goods other than vehicles. These categories of spending rose by 2.2% and 1.7% respectively in Q4</w:t>
      </w:r>
      <w:r>
        <w:rPr>
          <w:spacing w:val="-4"/>
          <w:sz w:val="24"/>
        </w:rPr>
        <w:t> </w:t>
      </w:r>
      <w:r>
        <w:rPr>
          <w:sz w:val="24"/>
        </w:rPr>
        <w:t>(see</w:t>
      </w:r>
    </w:p>
    <w:p>
      <w:pPr>
        <w:spacing w:line="242" w:lineRule="auto" w:before="10"/>
        <w:ind w:left="170" w:right="213" w:firstLine="0"/>
        <w:jc w:val="left"/>
        <w:rPr>
          <w:sz w:val="24"/>
        </w:rPr>
      </w:pPr>
      <w:r>
        <w:rPr>
          <w:sz w:val="24"/>
        </w:rPr>
        <w:t>Chart 2.5), and </w:t>
      </w:r>
      <w:r>
        <w:rPr>
          <w:spacing w:val="-3"/>
          <w:sz w:val="24"/>
        </w:rPr>
        <w:t>have </w:t>
      </w:r>
      <w:r>
        <w:rPr>
          <w:sz w:val="24"/>
        </w:rPr>
        <w:t>increased by 5.0% and 12.9% </w:t>
      </w:r>
      <w:r>
        <w:rPr>
          <w:spacing w:val="-3"/>
          <w:sz w:val="24"/>
        </w:rPr>
        <w:t>over </w:t>
      </w:r>
      <w:r>
        <w:rPr>
          <w:sz w:val="24"/>
        </w:rPr>
        <w:t>the past </w:t>
      </w:r>
      <w:r>
        <w:rPr>
          <w:spacing w:val="-3"/>
          <w:sz w:val="24"/>
        </w:rPr>
        <w:t>year. </w:t>
      </w:r>
      <w:r>
        <w:rPr>
          <w:sz w:val="24"/>
        </w:rPr>
        <w:t>By contrast, spending on vehicles continued to fall, in line with survey evidence</w:t>
      </w:r>
      <w:r>
        <w:rPr>
          <w:spacing w:val="-32"/>
          <w:sz w:val="24"/>
        </w:rPr>
        <w:t> </w:t>
      </w:r>
      <w:r>
        <w:rPr>
          <w:sz w:val="24"/>
        </w:rPr>
        <w:t>suggesting that consumer demand for cars was depressed because of consumers’ expectations about possible future changes in car prices.</w:t>
      </w:r>
      <w:r>
        <w:rPr>
          <w:position w:val="5"/>
          <w:sz w:val="16"/>
        </w:rPr>
        <w:t>(1) </w:t>
      </w:r>
      <w:r>
        <w:rPr>
          <w:sz w:val="24"/>
        </w:rPr>
        <w:t>Growth in</w:t>
      </w:r>
      <w:r>
        <w:rPr>
          <w:spacing w:val="-3"/>
          <w:sz w:val="24"/>
        </w:rPr>
        <w:t> </w:t>
      </w:r>
      <w:r>
        <w:rPr>
          <w:sz w:val="24"/>
        </w:rPr>
        <w:t>non-durables</w:t>
      </w:r>
    </w:p>
    <w:p>
      <w:pPr>
        <w:pStyle w:val="BodyText"/>
        <w:spacing w:before="10"/>
        <w:rPr>
          <w:sz w:val="16"/>
        </w:rPr>
      </w:pPr>
      <w:r>
        <w:rPr/>
        <w:pict>
          <v:shape style="position:absolute;margin-left:279pt;margin-top:11.778213pt;width:278pt;height:.1pt;mso-position-horizontal-relative:page;mso-position-vertical-relative:paragraph;z-index:-15484416;mso-wrap-distance-left:0;mso-wrap-distance-right:0" coordorigin="5580,236" coordsize="5560,0" path="m5580,236l11140,236e" filled="false" stroked="true" strokeweight=".125pt" strokecolor="#000000">
            <v:path arrowok="t"/>
            <v:stroke dashstyle="solid"/>
            <w10:wrap type="topAndBottom"/>
          </v:shape>
        </w:pict>
      </w:r>
    </w:p>
    <w:p>
      <w:pPr>
        <w:spacing w:line="208" w:lineRule="auto" w:before="1"/>
        <w:ind w:left="430" w:right="1149" w:hanging="240"/>
        <w:jc w:val="left"/>
        <w:rPr>
          <w:sz w:val="16"/>
        </w:rPr>
      </w:pPr>
      <w:r>
        <w:rPr>
          <w:sz w:val="16"/>
        </w:rPr>
        <w:t>(1) Factors affecting the demand for cars were discussed in the box on pages 16–17 of the February 2000 </w:t>
      </w:r>
      <w:r>
        <w:rPr>
          <w:i/>
          <w:sz w:val="16"/>
        </w:rPr>
        <w:t>Inflation Report</w:t>
      </w:r>
      <w:r>
        <w:rPr>
          <w:sz w:val="16"/>
        </w:rPr>
        <w:t>.</w:t>
      </w:r>
    </w:p>
    <w:p>
      <w:pPr>
        <w:spacing w:after="0" w:line="208" w:lineRule="auto"/>
        <w:jc w:val="left"/>
        <w:rPr>
          <w:sz w:val="16"/>
        </w:rPr>
        <w:sectPr>
          <w:type w:val="continuous"/>
          <w:pgSz w:w="11900" w:h="16840"/>
          <w:pgMar w:top="1220" w:bottom="280" w:left="640" w:right="620"/>
          <w:cols w:num="2" w:equalWidth="0">
            <w:col w:w="4320" w:space="464"/>
            <w:col w:w="5856"/>
          </w:cols>
        </w:sectPr>
      </w:pPr>
    </w:p>
    <w:p>
      <w:pPr>
        <w:pStyle w:val="BodyText"/>
        <w:rPr>
          <w:sz w:val="20"/>
        </w:rPr>
      </w:pPr>
    </w:p>
    <w:p>
      <w:pPr>
        <w:spacing w:after="0"/>
        <w:rPr>
          <w:sz w:val="20"/>
        </w:rPr>
        <w:sectPr>
          <w:headerReference w:type="even" r:id="rId80"/>
          <w:headerReference w:type="default" r:id="rId81"/>
          <w:pgSz w:w="11900" w:h="16840"/>
          <w:pgMar w:header="586" w:footer="597" w:top="780" w:bottom="800" w:left="640" w:right="620"/>
        </w:sectPr>
      </w:pPr>
    </w:p>
    <w:p>
      <w:pPr>
        <w:pStyle w:val="BodyText"/>
        <w:spacing w:before="1"/>
        <w:rPr>
          <w:sz w:val="20"/>
        </w:rPr>
      </w:pPr>
    </w:p>
    <w:p>
      <w:pPr>
        <w:spacing w:before="0"/>
        <w:ind w:left="165" w:right="0" w:firstLine="0"/>
        <w:jc w:val="left"/>
        <w:rPr>
          <w:b/>
          <w:sz w:val="20"/>
        </w:rPr>
      </w:pPr>
      <w:r>
        <w:rPr>
          <w:b/>
          <w:color w:val="0092C7"/>
          <w:sz w:val="20"/>
        </w:rPr>
        <w:t>Chart 2.4</w:t>
      </w:r>
    </w:p>
    <w:p>
      <w:pPr>
        <w:spacing w:before="10"/>
        <w:ind w:left="165" w:right="0" w:firstLine="0"/>
        <w:jc w:val="left"/>
        <w:rPr>
          <w:sz w:val="12"/>
        </w:rPr>
      </w:pPr>
      <w:r>
        <w:rPr>
          <w:b/>
          <w:color w:val="0092C7"/>
          <w:sz w:val="20"/>
        </w:rPr>
        <w:t>Household consumption growth</w:t>
      </w:r>
      <w:r>
        <w:rPr>
          <w:position w:val="4"/>
          <w:sz w:val="12"/>
        </w:rPr>
        <w:t>(a)</w:t>
      </w:r>
    </w:p>
    <w:p>
      <w:pPr>
        <w:spacing w:line="280" w:lineRule="auto" w:before="175"/>
        <w:ind w:left="1874" w:right="34" w:firstLine="615"/>
        <w:jc w:val="left"/>
        <w:rPr>
          <w:sz w:val="12"/>
        </w:rPr>
      </w:pPr>
      <w:r>
        <w:rPr/>
        <w:drawing>
          <wp:anchor distT="0" distB="0" distL="0" distR="0" allowOverlap="1" layoutInCell="1" locked="0" behindDoc="1" simplePos="0" relativeHeight="480695296">
            <wp:simplePos x="0" y="0"/>
            <wp:positionH relativeFrom="page">
              <wp:posOffset>666076</wp:posOffset>
            </wp:positionH>
            <wp:positionV relativeFrom="paragraph">
              <wp:posOffset>304494</wp:posOffset>
            </wp:positionV>
            <wp:extent cx="1920341" cy="1729320"/>
            <wp:effectExtent l="0" t="0" r="0" b="0"/>
            <wp:wrapNone/>
            <wp:docPr id="183" name="image38.png"/>
            <wp:cNvGraphicFramePr>
              <a:graphicFrameLocks noChangeAspect="1"/>
            </wp:cNvGraphicFramePr>
            <a:graphic>
              <a:graphicData uri="http://schemas.openxmlformats.org/drawingml/2006/picture">
                <pic:pic>
                  <pic:nvPicPr>
                    <pic:cNvPr id="184" name="image38.png"/>
                    <pic:cNvPicPr/>
                  </pic:nvPicPr>
                  <pic:blipFill>
                    <a:blip r:embed="rId82" cstate="print"/>
                    <a:stretch>
                      <a:fillRect/>
                    </a:stretch>
                  </pic:blipFill>
                  <pic:spPr>
                    <a:xfrm>
                      <a:off x="0" y="0"/>
                      <a:ext cx="1920341" cy="1729320"/>
                    </a:xfrm>
                    <a:prstGeom prst="rect">
                      <a:avLst/>
                    </a:prstGeom>
                  </pic:spPr>
                </pic:pic>
              </a:graphicData>
            </a:graphic>
          </wp:anchor>
        </w:drawing>
      </w:r>
      <w:r>
        <w:rPr/>
        <w:drawing>
          <wp:anchor distT="0" distB="0" distL="0" distR="0" allowOverlap="1" layoutInCell="1" locked="0" behindDoc="0" simplePos="0" relativeHeight="15992320">
            <wp:simplePos x="0" y="0"/>
            <wp:positionH relativeFrom="page">
              <wp:posOffset>561162</wp:posOffset>
            </wp:positionH>
            <wp:positionV relativeFrom="paragraph">
              <wp:posOffset>202754</wp:posOffset>
            </wp:positionV>
            <wp:extent cx="55041" cy="6350"/>
            <wp:effectExtent l="0" t="0" r="0" b="0"/>
            <wp:wrapNone/>
            <wp:docPr id="185" name="image19.png"/>
            <wp:cNvGraphicFramePr>
              <a:graphicFrameLocks noChangeAspect="1"/>
            </wp:cNvGraphicFramePr>
            <a:graphic>
              <a:graphicData uri="http://schemas.openxmlformats.org/drawingml/2006/picture">
                <pic:pic>
                  <pic:nvPicPr>
                    <pic:cNvPr id="186" name="image19.png"/>
                    <pic:cNvPicPr/>
                  </pic:nvPicPr>
                  <pic:blipFill>
                    <a:blip r:embed="rId50"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1" simplePos="0" relativeHeight="480697856">
            <wp:simplePos x="0" y="0"/>
            <wp:positionH relativeFrom="page">
              <wp:posOffset>2531389</wp:posOffset>
            </wp:positionH>
            <wp:positionV relativeFrom="paragraph">
              <wp:posOffset>206869</wp:posOffset>
            </wp:positionV>
            <wp:extent cx="55029" cy="6350"/>
            <wp:effectExtent l="0" t="0" r="0" b="0"/>
            <wp:wrapNone/>
            <wp:docPr id="187" name="image15.png"/>
            <wp:cNvGraphicFramePr>
              <a:graphicFrameLocks noChangeAspect="1"/>
            </wp:cNvGraphicFramePr>
            <a:graphic>
              <a:graphicData uri="http://schemas.openxmlformats.org/drawingml/2006/picture">
                <pic:pic>
                  <pic:nvPicPr>
                    <pic:cNvPr id="188"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Percentage changes </w:t>
      </w:r>
      <w:r>
        <w:rPr>
          <w:position w:val="-7"/>
          <w:sz w:val="12"/>
        </w:rPr>
        <w:t>5 </w:t>
      </w:r>
      <w:r>
        <w:rPr>
          <w:sz w:val="12"/>
        </w:rPr>
        <w:t>Quarter on previous year</w:t>
      </w:r>
    </w:p>
    <w:p>
      <w:pPr>
        <w:pStyle w:val="Heading6"/>
        <w:spacing w:line="242" w:lineRule="auto" w:before="207"/>
        <w:ind w:left="165" w:right="582"/>
      </w:pPr>
      <w:r>
        <w:rPr/>
        <w:br w:type="column"/>
      </w:r>
      <w:r>
        <w:rPr/>
        <w:t>goods spending also remained weak in Q4, slowing to 0.2%.</w:t>
      </w:r>
    </w:p>
    <w:p>
      <w:pPr>
        <w:pStyle w:val="BodyText"/>
        <w:spacing w:before="3"/>
        <w:rPr>
          <w:sz w:val="26"/>
        </w:rPr>
      </w:pPr>
    </w:p>
    <w:p>
      <w:pPr>
        <w:spacing w:line="250" w:lineRule="exact" w:before="1"/>
        <w:ind w:left="165" w:right="0" w:firstLine="0"/>
        <w:jc w:val="left"/>
        <w:rPr>
          <w:sz w:val="24"/>
        </w:rPr>
      </w:pPr>
      <w:r>
        <w:rPr>
          <w:sz w:val="24"/>
        </w:rPr>
        <w:t>Part of the relative weakness in spending on</w:t>
      </w:r>
    </w:p>
    <w:p>
      <w:pPr>
        <w:spacing w:after="0" w:line="250" w:lineRule="exact"/>
        <w:jc w:val="left"/>
        <w:rPr>
          <w:sz w:val="24"/>
        </w:rPr>
        <w:sectPr>
          <w:type w:val="continuous"/>
          <w:pgSz w:w="11900" w:h="16840"/>
          <w:pgMar w:top="1220" w:bottom="280" w:left="640" w:right="620"/>
          <w:cols w:num="2" w:equalWidth="0">
            <w:col w:w="3576" w:space="1204"/>
            <w:col w:w="5860"/>
          </w:cols>
        </w:sectPr>
      </w:pPr>
    </w:p>
    <w:p>
      <w:pPr>
        <w:spacing w:line="208" w:lineRule="auto" w:before="33"/>
        <w:ind w:left="570" w:right="20" w:hanging="60"/>
        <w:jc w:val="left"/>
        <w:rPr>
          <w:sz w:val="12"/>
        </w:rPr>
      </w:pPr>
      <w:r>
        <w:rPr/>
        <w:drawing>
          <wp:anchor distT="0" distB="0" distL="0" distR="0" allowOverlap="1" layoutInCell="1" locked="0" behindDoc="0" simplePos="0" relativeHeight="15990784">
            <wp:simplePos x="0" y="0"/>
            <wp:positionH relativeFrom="page">
              <wp:posOffset>561162</wp:posOffset>
            </wp:positionH>
            <wp:positionV relativeFrom="paragraph">
              <wp:posOffset>38803</wp:posOffset>
            </wp:positionV>
            <wp:extent cx="55041" cy="6350"/>
            <wp:effectExtent l="0" t="0" r="0" b="0"/>
            <wp:wrapNone/>
            <wp:docPr id="189" name="image15.png"/>
            <wp:cNvGraphicFramePr>
              <a:graphicFrameLocks noChangeAspect="1"/>
            </wp:cNvGraphicFramePr>
            <a:graphic>
              <a:graphicData uri="http://schemas.openxmlformats.org/drawingml/2006/picture">
                <pic:pic>
                  <pic:nvPicPr>
                    <pic:cNvPr id="190"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Average annual growth rate (1955–99)</w:t>
      </w:r>
    </w:p>
    <w:p>
      <w:pPr>
        <w:pStyle w:val="Heading6"/>
        <w:tabs>
          <w:tab w:pos="1713" w:val="left" w:leader="none"/>
        </w:tabs>
        <w:spacing w:line="306" w:lineRule="exact"/>
        <w:ind w:left="243"/>
      </w:pPr>
      <w:r>
        <w:rPr/>
        <w:br w:type="column"/>
      </w:r>
      <w:r>
        <w:rPr>
          <w:position w:val="15"/>
          <w:sz w:val="12"/>
        </w:rPr>
        <w:t>4</w:t>
        <w:tab/>
      </w:r>
      <w:r>
        <w:rPr/>
        <w:t>non-durables goods in late 1999 was accounted for</w:t>
      </w:r>
      <w:r>
        <w:rPr>
          <w:spacing w:val="-2"/>
        </w:rPr>
        <w:t> </w:t>
      </w:r>
      <w:r>
        <w:rPr/>
        <w:t>by</w:t>
      </w:r>
    </w:p>
    <w:p>
      <w:pPr>
        <w:spacing w:after="0" w:line="306" w:lineRule="exact"/>
        <w:sectPr>
          <w:type w:val="continuous"/>
          <w:pgSz w:w="11900" w:h="16840"/>
          <w:pgMar w:top="1220" w:bottom="280" w:left="640" w:right="620"/>
          <w:cols w:num="2" w:equalWidth="0">
            <w:col w:w="1677" w:space="1554"/>
            <w:col w:w="7409"/>
          </w:cols>
        </w:sectPr>
      </w:pPr>
    </w:p>
    <w:p>
      <w:pPr>
        <w:tabs>
          <w:tab w:pos="3295" w:val="left" w:leader="none"/>
          <w:tab w:pos="4945" w:val="left" w:leader="none"/>
        </w:tabs>
        <w:spacing w:before="4"/>
        <w:ind w:left="415" w:right="0" w:firstLine="0"/>
        <w:jc w:val="left"/>
        <w:rPr>
          <w:sz w:val="24"/>
        </w:rPr>
      </w:pPr>
      <w:r>
        <w:rPr/>
        <w:drawing>
          <wp:anchor distT="0" distB="0" distL="0" distR="0" allowOverlap="1" layoutInCell="1" locked="0" behindDoc="0" simplePos="0" relativeHeight="15991296">
            <wp:simplePos x="0" y="0"/>
            <wp:positionH relativeFrom="page">
              <wp:posOffset>561162</wp:posOffset>
            </wp:positionH>
            <wp:positionV relativeFrom="paragraph">
              <wp:posOffset>72041</wp:posOffset>
            </wp:positionV>
            <wp:extent cx="55041" cy="6350"/>
            <wp:effectExtent l="0" t="0" r="0" b="0"/>
            <wp:wrapNone/>
            <wp:docPr id="191" name="image15.png"/>
            <wp:cNvGraphicFramePr>
              <a:graphicFrameLocks noChangeAspect="1"/>
            </wp:cNvGraphicFramePr>
            <a:graphic>
              <a:graphicData uri="http://schemas.openxmlformats.org/drawingml/2006/picture">
                <pic:pic>
                  <pic:nvPicPr>
                    <pic:cNvPr id="192" name="image15.png"/>
                    <pic:cNvPicPr/>
                  </pic:nvPicPr>
                  <pic:blipFill>
                    <a:blip r:embed="rId46" cstate="print"/>
                    <a:stretch>
                      <a:fillRect/>
                    </a:stretch>
                  </pic:blipFill>
                  <pic:spPr>
                    <a:xfrm>
                      <a:off x="0" y="0"/>
                      <a:ext cx="55041" cy="6350"/>
                    </a:xfrm>
                    <a:prstGeom prst="rect">
                      <a:avLst/>
                    </a:prstGeom>
                  </pic:spPr>
                </pic:pic>
              </a:graphicData>
            </a:graphic>
          </wp:anchor>
        </w:drawing>
      </w:r>
      <w:r>
        <w:rPr>
          <w:position w:val="7"/>
          <w:sz w:val="12"/>
          <w:u w:val="single"/>
        </w:rPr>
        <w:t> </w:t>
        <w:tab/>
      </w:r>
      <w:r>
        <w:rPr>
          <w:position w:val="7"/>
          <w:sz w:val="12"/>
        </w:rPr>
        <w:t>     </w:t>
      </w:r>
      <w:r>
        <w:rPr>
          <w:spacing w:val="-1"/>
          <w:position w:val="7"/>
          <w:sz w:val="12"/>
        </w:rPr>
        <w:t> </w:t>
      </w:r>
      <w:r>
        <w:rPr>
          <w:position w:val="7"/>
          <w:sz w:val="12"/>
        </w:rPr>
        <w:t>3</w:t>
        <w:tab/>
      </w:r>
      <w:r>
        <w:rPr>
          <w:sz w:val="24"/>
        </w:rPr>
        <w:t>lower expenditure on </w:t>
      </w:r>
      <w:r>
        <w:rPr>
          <w:spacing w:val="-3"/>
          <w:sz w:val="24"/>
        </w:rPr>
        <w:t>energy, </w:t>
      </w:r>
      <w:r>
        <w:rPr>
          <w:sz w:val="24"/>
        </w:rPr>
        <w:t>perhaps owing to</w:t>
      </w:r>
      <w:r>
        <w:rPr>
          <w:spacing w:val="-8"/>
          <w:sz w:val="24"/>
        </w:rPr>
        <w:t> </w:t>
      </w:r>
      <w:r>
        <w:rPr>
          <w:sz w:val="24"/>
        </w:rPr>
        <w:t>unusually</w:t>
      </w:r>
    </w:p>
    <w:p>
      <w:pPr>
        <w:tabs>
          <w:tab w:pos="4945" w:val="left" w:leader="none"/>
        </w:tabs>
        <w:spacing w:before="5"/>
        <w:ind w:left="3475" w:right="0" w:firstLine="0"/>
        <w:jc w:val="left"/>
        <w:rPr>
          <w:sz w:val="24"/>
        </w:rPr>
      </w:pPr>
      <w:r>
        <w:rPr/>
        <w:drawing>
          <wp:anchor distT="0" distB="0" distL="0" distR="0" allowOverlap="1" layoutInCell="1" locked="0" behindDoc="0" simplePos="0" relativeHeight="15991808">
            <wp:simplePos x="0" y="0"/>
            <wp:positionH relativeFrom="page">
              <wp:posOffset>561162</wp:posOffset>
            </wp:positionH>
            <wp:positionV relativeFrom="paragraph">
              <wp:posOffset>121790</wp:posOffset>
            </wp:positionV>
            <wp:extent cx="55041" cy="6350"/>
            <wp:effectExtent l="0" t="0" r="0" b="0"/>
            <wp:wrapNone/>
            <wp:docPr id="193" name="image15.png"/>
            <wp:cNvGraphicFramePr>
              <a:graphicFrameLocks noChangeAspect="1"/>
            </wp:cNvGraphicFramePr>
            <a:graphic>
              <a:graphicData uri="http://schemas.openxmlformats.org/drawingml/2006/picture">
                <pic:pic>
                  <pic:nvPicPr>
                    <pic:cNvPr id="194"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2</w:t>
        <w:tab/>
      </w:r>
      <w:r>
        <w:rPr>
          <w:position w:val="1"/>
          <w:sz w:val="24"/>
        </w:rPr>
        <w:t>mild </w:t>
      </w:r>
      <w:r>
        <w:rPr>
          <w:spacing w:val="-3"/>
          <w:position w:val="1"/>
          <w:sz w:val="24"/>
        </w:rPr>
        <w:t>weather. </w:t>
      </w:r>
      <w:r>
        <w:rPr>
          <w:position w:val="1"/>
          <w:sz w:val="24"/>
        </w:rPr>
        <w:t>But weaker growth in purchases</w:t>
      </w:r>
      <w:r>
        <w:rPr>
          <w:spacing w:val="-11"/>
          <w:position w:val="1"/>
          <w:sz w:val="24"/>
        </w:rPr>
        <w:t> </w:t>
      </w:r>
      <w:r>
        <w:rPr>
          <w:position w:val="1"/>
          <w:sz w:val="24"/>
        </w:rPr>
        <w:t>of</w:t>
      </w:r>
    </w:p>
    <w:p>
      <w:pPr>
        <w:spacing w:before="3"/>
        <w:ind w:left="0" w:right="316" w:firstLine="0"/>
        <w:jc w:val="right"/>
        <w:rPr>
          <w:sz w:val="24"/>
        </w:rPr>
      </w:pPr>
      <w:r>
        <w:rPr/>
        <w:pict>
          <v:shape style="position:absolute;margin-left:205.7789pt;margin-top:10.509984pt;width:3pt;height:6.65pt;mso-position-horizontal-relative:page;mso-position-vertical-relative:paragraph;z-index:-22618112" type="#_x0000_t202" filled="false" stroked="false">
            <v:textbox inset="0,0,0,0">
              <w:txbxContent>
                <w:p>
                  <w:pPr>
                    <w:spacing w:line="133" w:lineRule="exact" w:before="0"/>
                    <w:ind w:left="0" w:right="0" w:firstLine="0"/>
                    <w:jc w:val="left"/>
                    <w:rPr>
                      <w:sz w:val="12"/>
                    </w:rPr>
                  </w:pPr>
                  <w:r>
                    <w:rPr>
                      <w:sz w:val="12"/>
                    </w:rPr>
                    <w:t>1</w:t>
                  </w:r>
                </w:p>
              </w:txbxContent>
            </v:textbox>
            <w10:wrap type="none"/>
          </v:shape>
        </w:pict>
      </w:r>
      <w:r>
        <w:rPr>
          <w:sz w:val="24"/>
        </w:rPr>
        <w:t>non-durables goods than in other categories of spending</w:t>
      </w:r>
    </w:p>
    <w:p>
      <w:pPr>
        <w:pStyle w:val="BodyText"/>
        <w:spacing w:line="20" w:lineRule="exact"/>
        <w:ind w:left="243"/>
        <w:rPr>
          <w:sz w:val="2"/>
        </w:rPr>
      </w:pPr>
      <w:r>
        <w:rPr>
          <w:sz w:val="2"/>
        </w:rPr>
        <w:drawing>
          <wp:inline distT="0" distB="0" distL="0" distR="0">
            <wp:extent cx="54491" cy="6286"/>
            <wp:effectExtent l="0" t="0" r="0" b="0"/>
            <wp:docPr id="195" name="image19.png"/>
            <wp:cNvGraphicFramePr>
              <a:graphicFrameLocks noChangeAspect="1"/>
            </wp:cNvGraphicFramePr>
            <a:graphic>
              <a:graphicData uri="http://schemas.openxmlformats.org/drawingml/2006/picture">
                <pic:pic>
                  <pic:nvPicPr>
                    <pic:cNvPr id="196" name="image19.png"/>
                    <pic:cNvPicPr/>
                  </pic:nvPicPr>
                  <pic:blipFill>
                    <a:blip r:embed="rId50" cstate="print"/>
                    <a:stretch>
                      <a:fillRect/>
                    </a:stretch>
                  </pic:blipFill>
                  <pic:spPr>
                    <a:xfrm>
                      <a:off x="0" y="0"/>
                      <a:ext cx="54491" cy="6286"/>
                    </a:xfrm>
                    <a:prstGeom prst="rect">
                      <a:avLst/>
                    </a:prstGeom>
                  </pic:spPr>
                </pic:pic>
              </a:graphicData>
            </a:graphic>
          </wp:inline>
        </w:drawing>
      </w:r>
      <w:r>
        <w:rPr>
          <w:sz w:val="2"/>
        </w:rPr>
      </w:r>
    </w:p>
    <w:p>
      <w:pPr>
        <w:tabs>
          <w:tab w:pos="1542" w:val="left" w:leader="none"/>
        </w:tabs>
        <w:spacing w:before="0"/>
        <w:ind w:left="0" w:right="222" w:firstLine="0"/>
        <w:jc w:val="right"/>
        <w:rPr>
          <w:sz w:val="24"/>
        </w:rPr>
      </w:pPr>
      <w:r>
        <w:rPr>
          <w:sz w:val="24"/>
          <w:vertAlign w:val="subscript"/>
        </w:rPr>
        <w:t>+</w:t>
      </w:r>
      <w:r>
        <w:rPr>
          <w:sz w:val="24"/>
          <w:vertAlign w:val="baseline"/>
        </w:rPr>
        <w:tab/>
        <w:t>is typical of most economic upswings. The lower</w:t>
      </w:r>
      <w:r>
        <w:rPr>
          <w:spacing w:val="-10"/>
          <w:sz w:val="24"/>
          <w:vertAlign w:val="baseline"/>
        </w:rPr>
        <w:t> </w:t>
      </w:r>
      <w:r>
        <w:rPr>
          <w:sz w:val="24"/>
          <w:vertAlign w:val="baseline"/>
        </w:rPr>
        <w:t>degree</w:t>
      </w:r>
    </w:p>
    <w:p>
      <w:pPr>
        <w:spacing w:line="9" w:lineRule="exact" w:before="5"/>
        <w:ind w:left="3475" w:right="0" w:firstLine="0"/>
        <w:jc w:val="left"/>
        <w:rPr>
          <w:sz w:val="12"/>
        </w:rPr>
      </w:pPr>
      <w:r>
        <w:rPr/>
        <w:drawing>
          <wp:anchor distT="0" distB="0" distL="0" distR="0" allowOverlap="1" layoutInCell="1" locked="0" behindDoc="0" simplePos="0" relativeHeight="479">
            <wp:simplePos x="0" y="0"/>
            <wp:positionH relativeFrom="page">
              <wp:posOffset>561162</wp:posOffset>
            </wp:positionH>
            <wp:positionV relativeFrom="paragraph">
              <wp:posOffset>39710</wp:posOffset>
            </wp:positionV>
            <wp:extent cx="54491" cy="6286"/>
            <wp:effectExtent l="0" t="0" r="0" b="0"/>
            <wp:wrapTopAndBottom/>
            <wp:docPr id="197" name="image19.png"/>
            <wp:cNvGraphicFramePr>
              <a:graphicFrameLocks noChangeAspect="1"/>
            </wp:cNvGraphicFramePr>
            <a:graphic>
              <a:graphicData uri="http://schemas.openxmlformats.org/drawingml/2006/picture">
                <pic:pic>
                  <pic:nvPicPr>
                    <pic:cNvPr id="198" name="image19.png"/>
                    <pic:cNvPicPr/>
                  </pic:nvPicPr>
                  <pic:blipFill>
                    <a:blip r:embed="rId50" cstate="print"/>
                    <a:stretch>
                      <a:fillRect/>
                    </a:stretch>
                  </pic:blipFill>
                  <pic:spPr>
                    <a:xfrm>
                      <a:off x="0" y="0"/>
                      <a:ext cx="54491" cy="6286"/>
                    </a:xfrm>
                    <a:prstGeom prst="rect">
                      <a:avLst/>
                    </a:prstGeom>
                  </pic:spPr>
                </pic:pic>
              </a:graphicData>
            </a:graphic>
          </wp:anchor>
        </w:drawing>
      </w:r>
      <w:r>
        <w:rPr>
          <w:sz w:val="12"/>
        </w:rPr>
        <w:t>0</w:t>
      </w:r>
    </w:p>
    <w:p>
      <w:pPr>
        <w:spacing w:after="0" w:line="9" w:lineRule="exact"/>
        <w:jc w:val="left"/>
        <w:rPr>
          <w:sz w:val="12"/>
        </w:rPr>
        <w:sectPr>
          <w:type w:val="continuous"/>
          <w:pgSz w:w="11900" w:h="16840"/>
          <w:pgMar w:top="1220" w:bottom="280" w:left="640" w:right="620"/>
        </w:sectPr>
      </w:pPr>
    </w:p>
    <w:p>
      <w:pPr>
        <w:pStyle w:val="BodyText"/>
        <w:spacing w:before="3"/>
        <w:rPr>
          <w:sz w:val="28"/>
        </w:rPr>
      </w:pPr>
    </w:p>
    <w:p>
      <w:pPr>
        <w:pStyle w:val="BodyText"/>
        <w:spacing w:line="20" w:lineRule="exact"/>
        <w:ind w:left="243"/>
        <w:rPr>
          <w:sz w:val="2"/>
        </w:rPr>
      </w:pPr>
      <w:r>
        <w:rPr>
          <w:sz w:val="2"/>
        </w:rPr>
        <w:drawing>
          <wp:inline distT="0" distB="0" distL="0" distR="0">
            <wp:extent cx="55317" cy="6381"/>
            <wp:effectExtent l="0" t="0" r="0" b="0"/>
            <wp:docPr id="199" name="image15.png"/>
            <wp:cNvGraphicFramePr>
              <a:graphicFrameLocks noChangeAspect="1"/>
            </wp:cNvGraphicFramePr>
            <a:graphic>
              <a:graphicData uri="http://schemas.openxmlformats.org/drawingml/2006/picture">
                <pic:pic>
                  <pic:nvPicPr>
                    <pic:cNvPr id="200" name="image15.png"/>
                    <pic:cNvPicPr/>
                  </pic:nvPicPr>
                  <pic:blipFill>
                    <a:blip r:embed="rId46" cstate="print"/>
                    <a:stretch>
                      <a:fillRect/>
                    </a:stretch>
                  </pic:blipFill>
                  <pic:spPr>
                    <a:xfrm>
                      <a:off x="0" y="0"/>
                      <a:ext cx="55317" cy="6381"/>
                    </a:xfrm>
                    <a:prstGeom prst="rect">
                      <a:avLst/>
                    </a:prstGeom>
                  </pic:spPr>
                </pic:pic>
              </a:graphicData>
            </a:graphic>
          </wp:inline>
        </w:drawing>
      </w:r>
      <w:r>
        <w:rPr>
          <w:sz w:val="2"/>
        </w:rPr>
      </w:r>
    </w:p>
    <w:p>
      <w:pPr>
        <w:pStyle w:val="BodyText"/>
        <w:rPr>
          <w:sz w:val="26"/>
        </w:rPr>
      </w:pPr>
      <w:r>
        <w:rPr/>
        <w:drawing>
          <wp:anchor distT="0" distB="0" distL="0" distR="0" allowOverlap="1" layoutInCell="1" locked="0" behindDoc="0" simplePos="0" relativeHeight="480">
            <wp:simplePos x="0" y="0"/>
            <wp:positionH relativeFrom="page">
              <wp:posOffset>561162</wp:posOffset>
            </wp:positionH>
            <wp:positionV relativeFrom="paragraph">
              <wp:posOffset>214871</wp:posOffset>
            </wp:positionV>
            <wp:extent cx="55317" cy="6381"/>
            <wp:effectExtent l="0" t="0" r="0" b="0"/>
            <wp:wrapTopAndBottom/>
            <wp:docPr id="201" name="image15.png"/>
            <wp:cNvGraphicFramePr>
              <a:graphicFrameLocks noChangeAspect="1"/>
            </wp:cNvGraphicFramePr>
            <a:graphic>
              <a:graphicData uri="http://schemas.openxmlformats.org/drawingml/2006/picture">
                <pic:pic>
                  <pic:nvPicPr>
                    <pic:cNvPr id="202" name="image15.png"/>
                    <pic:cNvPicPr/>
                  </pic:nvPicPr>
                  <pic:blipFill>
                    <a:blip r:embed="rId46"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481">
            <wp:simplePos x="0" y="0"/>
            <wp:positionH relativeFrom="page">
              <wp:posOffset>561162</wp:posOffset>
            </wp:positionH>
            <wp:positionV relativeFrom="paragraph">
              <wp:posOffset>442442</wp:posOffset>
            </wp:positionV>
            <wp:extent cx="54491" cy="6286"/>
            <wp:effectExtent l="0" t="0" r="0" b="0"/>
            <wp:wrapTopAndBottom/>
            <wp:docPr id="203" name="image19.png"/>
            <wp:cNvGraphicFramePr>
              <a:graphicFrameLocks noChangeAspect="1"/>
            </wp:cNvGraphicFramePr>
            <a:graphic>
              <a:graphicData uri="http://schemas.openxmlformats.org/drawingml/2006/picture">
                <pic:pic>
                  <pic:nvPicPr>
                    <pic:cNvPr id="204" name="image19.png"/>
                    <pic:cNvPicPr/>
                  </pic:nvPicPr>
                  <pic:blipFill>
                    <a:blip r:embed="rId50" cstate="print"/>
                    <a:stretch>
                      <a:fillRect/>
                    </a:stretch>
                  </pic:blipFill>
                  <pic:spPr>
                    <a:xfrm>
                      <a:off x="0" y="0"/>
                      <a:ext cx="54491" cy="6286"/>
                    </a:xfrm>
                    <a:prstGeom prst="rect">
                      <a:avLst/>
                    </a:prstGeom>
                  </pic:spPr>
                </pic:pic>
              </a:graphicData>
            </a:graphic>
          </wp:anchor>
        </w:drawing>
      </w:r>
    </w:p>
    <w:p>
      <w:pPr>
        <w:pStyle w:val="BodyText"/>
        <w:spacing w:before="4"/>
        <w:rPr>
          <w:sz w:val="24"/>
        </w:rPr>
      </w:pPr>
    </w:p>
    <w:p>
      <w:pPr>
        <w:spacing w:before="0"/>
        <w:ind w:left="428" w:right="0" w:firstLine="0"/>
        <w:jc w:val="left"/>
        <w:rPr>
          <w:sz w:val="12"/>
        </w:rPr>
      </w:pPr>
      <w:r>
        <w:rPr>
          <w:sz w:val="12"/>
        </w:rPr>
        <w:t>1990 91</w:t>
      </w:r>
    </w:p>
    <w:p>
      <w:pPr>
        <w:tabs>
          <w:tab w:pos="2453" w:val="left" w:leader="none"/>
        </w:tabs>
        <w:spacing w:line="169" w:lineRule="exact" w:before="0"/>
        <w:ind w:left="786" w:right="0" w:firstLine="0"/>
        <w:jc w:val="left"/>
        <w:rPr>
          <w:sz w:val="16"/>
        </w:rPr>
      </w:pPr>
      <w:r>
        <w:rPr/>
        <w:br w:type="column"/>
      </w:r>
      <w:r>
        <w:rPr>
          <w:position w:val="2"/>
          <w:sz w:val="12"/>
        </w:rPr>
        <w:t>Quarter on previous quarter</w:t>
        <w:tab/>
      </w:r>
      <w:r>
        <w:rPr>
          <w:sz w:val="16"/>
        </w:rPr>
        <w:t>–</w:t>
      </w:r>
    </w:p>
    <w:p>
      <w:pPr>
        <w:spacing w:before="93"/>
        <w:ind w:left="2512" w:right="0" w:firstLine="0"/>
        <w:jc w:val="left"/>
        <w:rPr>
          <w:sz w:val="12"/>
        </w:rPr>
      </w:pPr>
      <w:r>
        <w:rPr>
          <w:sz w:val="12"/>
        </w:rPr>
        <w:t>1</w:t>
      </w:r>
    </w:p>
    <w:p>
      <w:pPr>
        <w:pStyle w:val="BodyText"/>
        <w:rPr>
          <w:sz w:val="12"/>
        </w:rPr>
      </w:pPr>
    </w:p>
    <w:p>
      <w:pPr>
        <w:spacing w:before="83"/>
        <w:ind w:left="2512" w:right="0" w:firstLine="0"/>
        <w:jc w:val="left"/>
        <w:rPr>
          <w:sz w:val="12"/>
        </w:rPr>
      </w:pPr>
      <w:r>
        <w:rPr>
          <w:sz w:val="12"/>
        </w:rPr>
        <w:t>2</w:t>
      </w:r>
    </w:p>
    <w:p>
      <w:pPr>
        <w:pStyle w:val="BodyText"/>
        <w:rPr>
          <w:sz w:val="12"/>
        </w:rPr>
      </w:pPr>
    </w:p>
    <w:p>
      <w:pPr>
        <w:spacing w:line="118" w:lineRule="exact" w:before="83"/>
        <w:ind w:left="2512" w:right="0" w:firstLine="0"/>
        <w:jc w:val="left"/>
        <w:rPr>
          <w:sz w:val="12"/>
        </w:rPr>
      </w:pPr>
      <w:r>
        <w:rPr>
          <w:sz w:val="12"/>
        </w:rPr>
        <w:t>3</w:t>
      </w:r>
    </w:p>
    <w:p>
      <w:pPr>
        <w:spacing w:line="118" w:lineRule="exact" w:before="0"/>
        <w:ind w:left="127" w:right="0" w:firstLine="0"/>
        <w:jc w:val="left"/>
        <w:rPr>
          <w:sz w:val="12"/>
        </w:rPr>
      </w:pPr>
      <w:r>
        <w:rPr>
          <w:sz w:val="12"/>
        </w:rPr>
        <w:t>92 93 94 95 96 97 98 99</w:t>
      </w:r>
    </w:p>
    <w:p>
      <w:pPr>
        <w:pStyle w:val="Heading6"/>
        <w:spacing w:line="178" w:lineRule="exact"/>
        <w:ind w:left="243"/>
      </w:pPr>
      <w:r>
        <w:rPr/>
        <w:br w:type="column"/>
      </w:r>
      <w:r>
        <w:rPr/>
        <w:t>of cyclicality in spending on non-durable goods largely</w:t>
      </w:r>
    </w:p>
    <w:p>
      <w:pPr>
        <w:spacing w:line="242" w:lineRule="auto" w:before="4"/>
        <w:ind w:left="243" w:right="219" w:firstLine="0"/>
        <w:jc w:val="left"/>
        <w:rPr>
          <w:sz w:val="24"/>
        </w:rPr>
      </w:pPr>
      <w:r>
        <w:rPr>
          <w:sz w:val="24"/>
        </w:rPr>
        <w:t>reflects the particularly high proportion of this spending accounted for by ‘necessities’, rather than discretionary purchases.  For example, more than one third of spending on non-durable goods is accounted for by</w:t>
      </w:r>
      <w:r>
        <w:rPr>
          <w:spacing w:val="3"/>
          <w:sz w:val="24"/>
        </w:rPr>
        <w:t> </w:t>
      </w:r>
      <w:r>
        <w:rPr>
          <w:spacing w:val="-4"/>
          <w:sz w:val="24"/>
        </w:rPr>
        <w:t>food,</w:t>
      </w:r>
    </w:p>
    <w:p>
      <w:pPr>
        <w:spacing w:after="0" w:line="242" w:lineRule="auto"/>
        <w:jc w:val="left"/>
        <w:rPr>
          <w:sz w:val="24"/>
        </w:rPr>
        <w:sectPr>
          <w:type w:val="continuous"/>
          <w:pgSz w:w="11900" w:h="16840"/>
          <w:pgMar w:top="1220" w:bottom="280" w:left="640" w:right="620"/>
          <w:cols w:num="3" w:equalWidth="0">
            <w:col w:w="924" w:space="40"/>
            <w:col w:w="2613" w:space="1125"/>
            <w:col w:w="5938"/>
          </w:cols>
        </w:sectPr>
      </w:pPr>
    </w:p>
    <w:p>
      <w:pPr>
        <w:pStyle w:val="BodyText"/>
        <w:spacing w:before="10"/>
        <w:rPr>
          <w:sz w:val="12"/>
        </w:rPr>
      </w:pPr>
    </w:p>
    <w:p>
      <w:pPr>
        <w:spacing w:before="0"/>
        <w:ind w:left="165" w:right="0" w:firstLine="0"/>
        <w:jc w:val="left"/>
        <w:rPr>
          <w:sz w:val="12"/>
        </w:rPr>
      </w:pPr>
      <w:r>
        <w:rPr>
          <w:sz w:val="12"/>
        </w:rPr>
        <w:t>(a) At constant 1995 prices.</w:t>
      </w:r>
    </w:p>
    <w:p>
      <w:pPr>
        <w:pStyle w:val="BodyText"/>
        <w:rPr>
          <w:sz w:val="12"/>
        </w:rPr>
      </w:pPr>
    </w:p>
    <w:p>
      <w:pPr>
        <w:pStyle w:val="BodyText"/>
        <w:spacing w:before="2"/>
        <w:rPr>
          <w:sz w:val="15"/>
        </w:rPr>
      </w:pPr>
    </w:p>
    <w:p>
      <w:pPr>
        <w:spacing w:before="1"/>
        <w:ind w:left="170" w:right="0" w:firstLine="0"/>
        <w:jc w:val="left"/>
        <w:rPr>
          <w:b/>
          <w:sz w:val="20"/>
        </w:rPr>
      </w:pPr>
      <w:r>
        <w:rPr>
          <w:b/>
          <w:color w:val="0092C7"/>
          <w:sz w:val="20"/>
        </w:rPr>
        <w:t>Chart 2.5</w:t>
      </w:r>
    </w:p>
    <w:p>
      <w:pPr>
        <w:spacing w:before="10"/>
        <w:ind w:left="170" w:right="0" w:firstLine="0"/>
        <w:jc w:val="left"/>
        <w:rPr>
          <w:sz w:val="12"/>
        </w:rPr>
      </w:pPr>
      <w:r>
        <w:rPr>
          <w:b/>
          <w:color w:val="0092C7"/>
          <w:sz w:val="20"/>
        </w:rPr>
        <w:t>Categories of consumption growth</w:t>
      </w:r>
      <w:r>
        <w:rPr>
          <w:position w:val="4"/>
          <w:sz w:val="12"/>
        </w:rPr>
        <w:t>(a)</w:t>
      </w:r>
    </w:p>
    <w:p>
      <w:pPr>
        <w:pStyle w:val="BodyText"/>
        <w:spacing w:before="6"/>
        <w:rPr>
          <w:sz w:val="22"/>
        </w:rPr>
      </w:pPr>
    </w:p>
    <w:p>
      <w:pPr>
        <w:spacing w:before="0"/>
        <w:ind w:left="3501" w:right="0" w:firstLine="0"/>
        <w:jc w:val="left"/>
        <w:rPr>
          <w:sz w:val="12"/>
        </w:rPr>
      </w:pPr>
      <w:r>
        <w:rPr/>
        <w:pict>
          <v:group style="position:absolute;margin-left:52.529999pt;margin-top:-4.805921pt;width:156.3pt;height:134.5pt;mso-position-horizontal-relative:page;mso-position-vertical-relative:paragraph;z-index:15978496" coordorigin="1051,-96" coordsize="3126,2690">
            <v:shape style="position:absolute;left:1050;top:233;width:3028;height:2360" type="#_x0000_t75" stroked="false">
              <v:imagedata r:id="rId83" o:title=""/>
            </v:shape>
            <v:shape style="position:absolute;left:1600;top:-97;width:2485;height:707" type="#_x0000_t202" filled="false" stroked="false">
              <v:textbox inset="0,0,0,0">
                <w:txbxContent>
                  <w:p>
                    <w:pPr>
                      <w:spacing w:line="133" w:lineRule="exact" w:before="0" w:after="36"/>
                      <w:ind w:left="581" w:right="0" w:firstLine="0"/>
                      <w:jc w:val="left"/>
                      <w:rPr>
                        <w:sz w:val="12"/>
                      </w:rPr>
                    </w:pPr>
                    <w:r>
                      <w:rPr>
                        <w:sz w:val="12"/>
                      </w:rPr>
                      <w:t>Percentage changes on a quarter earlier</w:t>
                    </w:r>
                  </w:p>
                  <w:p>
                    <w:pPr>
                      <w:spacing w:line="20" w:lineRule="exact"/>
                      <w:ind w:left="2390" w:right="-44" w:firstLine="0"/>
                      <w:rPr>
                        <w:sz w:val="2"/>
                      </w:rPr>
                    </w:pPr>
                    <w:r>
                      <w:rPr>
                        <w:sz w:val="2"/>
                      </w:rPr>
                      <w:drawing>
                        <wp:inline distT="0" distB="0" distL="0" distR="0">
                          <wp:extent cx="54478" cy="6286"/>
                          <wp:effectExtent l="0" t="0" r="0" b="0"/>
                          <wp:docPr id="205" name="image21.png"/>
                          <wp:cNvGraphicFramePr>
                            <a:graphicFrameLocks noChangeAspect="1"/>
                          </wp:cNvGraphicFramePr>
                          <a:graphic>
                            <a:graphicData uri="http://schemas.openxmlformats.org/drawingml/2006/picture">
                              <pic:pic>
                                <pic:nvPicPr>
                                  <pic:cNvPr id="206" name="image21.png"/>
                                  <pic:cNvPicPr/>
                                </pic:nvPicPr>
                                <pic:blipFill>
                                  <a:blip r:embed="rId52" cstate="print"/>
                                  <a:stretch>
                                    <a:fillRect/>
                                  </a:stretch>
                                </pic:blipFill>
                                <pic:spPr>
                                  <a:xfrm>
                                    <a:off x="0" y="0"/>
                                    <a:ext cx="54478" cy="6286"/>
                                  </a:xfrm>
                                  <a:prstGeom prst="rect">
                                    <a:avLst/>
                                  </a:prstGeom>
                                </pic:spPr>
                              </pic:pic>
                            </a:graphicData>
                          </a:graphic>
                        </wp:inline>
                      </w:drawing>
                    </w:r>
                    <w:r>
                      <w:rPr>
                        <w:sz w:val="2"/>
                      </w:rPr>
                    </w:r>
                  </w:p>
                  <w:p>
                    <w:pPr>
                      <w:spacing w:line="240" w:lineRule="auto" w:before="0"/>
                      <w:rPr>
                        <w:sz w:val="12"/>
                      </w:rPr>
                    </w:pPr>
                  </w:p>
                  <w:p>
                    <w:pPr>
                      <w:spacing w:line="240" w:lineRule="auto" w:before="9"/>
                      <w:rPr>
                        <w:sz w:val="11"/>
                      </w:rPr>
                    </w:pPr>
                  </w:p>
                  <w:p>
                    <w:pPr>
                      <w:spacing w:line="208" w:lineRule="auto" w:before="1"/>
                      <w:ind w:left="60" w:right="1508" w:hanging="60"/>
                      <w:jc w:val="left"/>
                      <w:rPr>
                        <w:sz w:val="12"/>
                      </w:rPr>
                    </w:pPr>
                    <w:r>
                      <w:rPr>
                        <w:sz w:val="12"/>
                      </w:rPr>
                      <w:t>Durable goods excluding vehicles</w:t>
                    </w:r>
                  </w:p>
                </w:txbxContent>
              </v:textbox>
              <w10:wrap type="none"/>
            </v:shape>
            <v:shape style="position:absolute;left:3105;top:1261;width:451;height:178" type="#_x0000_t202" filled="false" stroked="false">
              <v:textbox inset="0,0,0,0">
                <w:txbxContent>
                  <w:p>
                    <w:pPr>
                      <w:tabs>
                        <w:tab w:pos="429" w:val="left" w:leader="none"/>
                      </w:tabs>
                      <w:spacing w:line="177" w:lineRule="exact" w:before="0"/>
                      <w:ind w:left="0" w:right="0" w:firstLine="0"/>
                      <w:jc w:val="left"/>
                      <w:rPr>
                        <w:sz w:val="16"/>
                      </w:rPr>
                    </w:pPr>
                    <w:r>
                      <w:rPr>
                        <w:sz w:val="16"/>
                        <w:u w:val="thick" w:color="F6BD61"/>
                      </w:rPr>
                      <w:t> </w:t>
                      <w:tab/>
                    </w:r>
                  </w:p>
                </w:txbxContent>
              </v:textbox>
              <w10:wrap type="none"/>
            </v:shape>
            <v:shape style="position:absolute;left:1868;top:1446;width:1179;height:317" type="#_x0000_t202" filled="false" stroked="false">
              <v:textbox inset="0,0,0,0">
                <w:txbxContent>
                  <w:p>
                    <w:pPr>
                      <w:tabs>
                        <w:tab w:pos="429" w:val="left" w:leader="none"/>
                      </w:tabs>
                      <w:spacing w:line="133" w:lineRule="exact" w:before="0"/>
                      <w:ind w:left="0" w:right="0" w:firstLine="0"/>
                      <w:jc w:val="left"/>
                      <w:rPr>
                        <w:sz w:val="12"/>
                      </w:rPr>
                    </w:pPr>
                    <w:r>
                      <w:rPr>
                        <w:sz w:val="12"/>
                        <w:u w:val="thick" w:color="9ED01A"/>
                      </w:rPr>
                      <w:t> </w:t>
                      <w:tab/>
                    </w:r>
                  </w:p>
                  <w:p>
                    <w:pPr>
                      <w:spacing w:before="45"/>
                      <w:ind w:left="235" w:right="0" w:firstLine="0"/>
                      <w:jc w:val="left"/>
                      <w:rPr>
                        <w:sz w:val="12"/>
                      </w:rPr>
                    </w:pPr>
                    <w:r>
                      <w:rPr>
                        <w:sz w:val="12"/>
                      </w:rPr>
                      <w:t>Non-durable goods</w:t>
                    </w:r>
                  </w:p>
                </w:txbxContent>
              </v:textbox>
              <w10:wrap type="none"/>
            </v:shape>
            <v:shape style="position:absolute;left:4053;top:1261;width:123;height:510" type="#_x0000_t202" filled="false" stroked="false">
              <v:textbox inset="0,0,0,0">
                <w:txbxContent>
                  <w:p>
                    <w:pPr>
                      <w:spacing w:line="177" w:lineRule="exact" w:before="0"/>
                      <w:ind w:left="0" w:right="0" w:firstLine="0"/>
                      <w:jc w:val="left"/>
                      <w:rPr>
                        <w:sz w:val="16"/>
                      </w:rPr>
                    </w:pPr>
                    <w:r>
                      <w:rPr>
                        <w:w w:val="100"/>
                        <w:sz w:val="16"/>
                      </w:rPr>
                      <w:t>+</w:t>
                    </w:r>
                  </w:p>
                  <w:p>
                    <w:pPr>
                      <w:spacing w:before="148"/>
                      <w:ind w:left="22" w:right="0" w:firstLine="0"/>
                      <w:jc w:val="left"/>
                      <w:rPr>
                        <w:sz w:val="16"/>
                      </w:rPr>
                    </w:pPr>
                    <w:r>
                      <w:rPr>
                        <w:sz w:val="16"/>
                      </w:rPr>
                      <w:t>–</w:t>
                    </w:r>
                  </w:p>
                </w:txbxContent>
              </v:textbox>
              <w10:wrap type="none"/>
            </v:shape>
            <v:shape style="position:absolute;left:3237;top:2215;width:427;height:133" type="#_x0000_t202" filled="false" stroked="false">
              <v:textbox inset="0,0,0,0">
                <w:txbxContent>
                  <w:p>
                    <w:pPr>
                      <w:spacing w:line="133" w:lineRule="exact" w:before="0"/>
                      <w:ind w:left="0" w:right="0" w:firstLine="0"/>
                      <w:jc w:val="left"/>
                      <w:rPr>
                        <w:sz w:val="12"/>
                      </w:rPr>
                    </w:pPr>
                    <w:r>
                      <w:rPr>
                        <w:sz w:val="12"/>
                      </w:rPr>
                      <w:t>Services</w:t>
                    </w:r>
                  </w:p>
                </w:txbxContent>
              </v:textbox>
              <w10:wrap type="none"/>
            </v:shape>
            <v:shape style="position:absolute;left:1573;top:2444;width:440;height:133" type="#_x0000_t202" filled="false" stroked="false">
              <v:textbox inset="0,0,0,0">
                <w:txbxContent>
                  <w:p>
                    <w:pPr>
                      <w:spacing w:line="133" w:lineRule="exact" w:before="0"/>
                      <w:ind w:left="0" w:right="0" w:firstLine="0"/>
                      <w:jc w:val="left"/>
                      <w:rPr>
                        <w:sz w:val="12"/>
                      </w:rPr>
                    </w:pPr>
                    <w:r>
                      <w:rPr>
                        <w:sz w:val="12"/>
                      </w:rPr>
                      <w:t>Vehicles</w:t>
                    </w:r>
                  </w:p>
                </w:txbxContent>
              </v:textbox>
              <w10:wrap type="none"/>
            </v:shape>
            <w10:wrap type="none"/>
          </v:group>
        </w:pict>
      </w:r>
      <w:r>
        <w:rPr/>
        <w:drawing>
          <wp:anchor distT="0" distB="0" distL="0" distR="0" allowOverlap="1" layoutInCell="1" locked="0" behindDoc="0" simplePos="0" relativeHeight="15982080">
            <wp:simplePos x="0" y="0"/>
            <wp:positionH relativeFrom="page">
              <wp:posOffset>561822</wp:posOffset>
            </wp:positionH>
            <wp:positionV relativeFrom="paragraph">
              <wp:posOffset>46146</wp:posOffset>
            </wp:positionV>
            <wp:extent cx="55041" cy="6350"/>
            <wp:effectExtent l="0" t="0" r="0" b="0"/>
            <wp:wrapNone/>
            <wp:docPr id="207" name="image21.png"/>
            <wp:cNvGraphicFramePr>
              <a:graphicFrameLocks noChangeAspect="1"/>
            </wp:cNvGraphicFramePr>
            <a:graphic>
              <a:graphicData uri="http://schemas.openxmlformats.org/drawingml/2006/picture">
                <pic:pic>
                  <pic:nvPicPr>
                    <pic:cNvPr id="208" name="image21.png"/>
                    <pic:cNvPicPr/>
                  </pic:nvPicPr>
                  <pic:blipFill>
                    <a:blip r:embed="rId52" cstate="print"/>
                    <a:stretch>
                      <a:fillRect/>
                    </a:stretch>
                  </pic:blipFill>
                  <pic:spPr>
                    <a:xfrm>
                      <a:off x="0" y="0"/>
                      <a:ext cx="55041" cy="6350"/>
                    </a:xfrm>
                    <a:prstGeom prst="rect">
                      <a:avLst/>
                    </a:prstGeom>
                  </pic:spPr>
                </pic:pic>
              </a:graphicData>
            </a:graphic>
          </wp:anchor>
        </w:drawing>
      </w:r>
      <w:r>
        <w:rPr>
          <w:sz w:val="12"/>
        </w:rPr>
        <w:t>6</w:t>
      </w:r>
    </w:p>
    <w:p>
      <w:pPr>
        <w:pStyle w:val="BodyText"/>
        <w:rPr>
          <w:sz w:val="12"/>
        </w:rPr>
      </w:pPr>
    </w:p>
    <w:p>
      <w:pPr>
        <w:pStyle w:val="BodyText"/>
        <w:spacing w:before="8"/>
        <w:rPr>
          <w:sz w:val="17"/>
        </w:rPr>
      </w:pPr>
    </w:p>
    <w:p>
      <w:pPr>
        <w:spacing w:before="1"/>
        <w:ind w:left="3501" w:right="0" w:firstLine="0"/>
        <w:jc w:val="left"/>
        <w:rPr>
          <w:sz w:val="12"/>
        </w:rPr>
      </w:pPr>
      <w:r>
        <w:rPr/>
        <w:drawing>
          <wp:anchor distT="0" distB="0" distL="0" distR="0" allowOverlap="1" layoutInCell="1" locked="0" behindDoc="0" simplePos="0" relativeHeight="15979008">
            <wp:simplePos x="0" y="0"/>
            <wp:positionH relativeFrom="page">
              <wp:posOffset>561822</wp:posOffset>
            </wp:positionH>
            <wp:positionV relativeFrom="paragraph">
              <wp:posOffset>47238</wp:posOffset>
            </wp:positionV>
            <wp:extent cx="55041" cy="6350"/>
            <wp:effectExtent l="0" t="0" r="0" b="0"/>
            <wp:wrapNone/>
            <wp:docPr id="209" name="image21.png"/>
            <wp:cNvGraphicFramePr>
              <a:graphicFrameLocks noChangeAspect="1"/>
            </wp:cNvGraphicFramePr>
            <a:graphic>
              <a:graphicData uri="http://schemas.openxmlformats.org/drawingml/2006/picture">
                <pic:pic>
                  <pic:nvPicPr>
                    <pic:cNvPr id="210" name="image21.png"/>
                    <pic:cNvPicPr/>
                  </pic:nvPicPr>
                  <pic:blipFill>
                    <a:blip r:embed="rId52" cstate="print"/>
                    <a:stretch>
                      <a:fillRect/>
                    </a:stretch>
                  </pic:blipFill>
                  <pic:spPr>
                    <a:xfrm>
                      <a:off x="0" y="0"/>
                      <a:ext cx="55041" cy="6350"/>
                    </a:xfrm>
                    <a:prstGeom prst="rect">
                      <a:avLst/>
                    </a:prstGeom>
                  </pic:spPr>
                </pic:pic>
              </a:graphicData>
            </a:graphic>
          </wp:anchor>
        </w:drawing>
      </w:r>
      <w:r>
        <w:rPr>
          <w:sz w:val="12"/>
        </w:rPr>
        <w:t>4</w:t>
      </w:r>
    </w:p>
    <w:p>
      <w:pPr>
        <w:pStyle w:val="BodyText"/>
        <w:rPr>
          <w:sz w:val="12"/>
        </w:rPr>
      </w:pPr>
    </w:p>
    <w:p>
      <w:pPr>
        <w:pStyle w:val="BodyText"/>
        <w:spacing w:before="8"/>
        <w:rPr>
          <w:sz w:val="17"/>
        </w:rPr>
      </w:pPr>
    </w:p>
    <w:p>
      <w:pPr>
        <w:spacing w:before="1"/>
        <w:ind w:left="3501" w:right="0" w:firstLine="0"/>
        <w:jc w:val="left"/>
        <w:rPr>
          <w:sz w:val="12"/>
        </w:rPr>
      </w:pPr>
      <w:r>
        <w:rPr/>
        <w:drawing>
          <wp:anchor distT="0" distB="0" distL="0" distR="0" allowOverlap="1" layoutInCell="1" locked="0" behindDoc="0" simplePos="0" relativeHeight="15979520">
            <wp:simplePos x="0" y="0"/>
            <wp:positionH relativeFrom="page">
              <wp:posOffset>561822</wp:posOffset>
            </wp:positionH>
            <wp:positionV relativeFrom="paragraph">
              <wp:posOffset>47708</wp:posOffset>
            </wp:positionV>
            <wp:extent cx="55041" cy="6350"/>
            <wp:effectExtent l="0" t="0" r="0" b="0"/>
            <wp:wrapNone/>
            <wp:docPr id="211" name="image20.png"/>
            <wp:cNvGraphicFramePr>
              <a:graphicFrameLocks noChangeAspect="1"/>
            </wp:cNvGraphicFramePr>
            <a:graphic>
              <a:graphicData uri="http://schemas.openxmlformats.org/drawingml/2006/picture">
                <pic:pic>
                  <pic:nvPicPr>
                    <pic:cNvPr id="212" name="image20.png"/>
                    <pic:cNvPicPr/>
                  </pic:nvPicPr>
                  <pic:blipFill>
                    <a:blip r:embed="rId51" cstate="print"/>
                    <a:stretch>
                      <a:fillRect/>
                    </a:stretch>
                  </pic:blipFill>
                  <pic:spPr>
                    <a:xfrm>
                      <a:off x="0" y="0"/>
                      <a:ext cx="55041" cy="6350"/>
                    </a:xfrm>
                    <a:prstGeom prst="rect">
                      <a:avLst/>
                    </a:prstGeom>
                  </pic:spPr>
                </pic:pic>
              </a:graphicData>
            </a:graphic>
          </wp:anchor>
        </w:drawing>
      </w:r>
      <w:r>
        <w:rPr>
          <w:sz w:val="12"/>
        </w:rPr>
        <w:t>2</w:t>
      </w:r>
    </w:p>
    <w:p>
      <w:pPr>
        <w:pStyle w:val="BodyText"/>
        <w:rPr>
          <w:sz w:val="12"/>
        </w:rPr>
      </w:pPr>
    </w:p>
    <w:p>
      <w:pPr>
        <w:pStyle w:val="BodyText"/>
        <w:spacing w:before="8"/>
        <w:rPr>
          <w:sz w:val="17"/>
        </w:rPr>
      </w:pPr>
    </w:p>
    <w:p>
      <w:pPr>
        <w:spacing w:before="1"/>
        <w:ind w:left="3501" w:right="0" w:firstLine="0"/>
        <w:jc w:val="left"/>
        <w:rPr>
          <w:sz w:val="12"/>
        </w:rPr>
      </w:pPr>
      <w:r>
        <w:rPr/>
        <w:drawing>
          <wp:anchor distT="0" distB="0" distL="0" distR="0" allowOverlap="1" layoutInCell="1" locked="0" behindDoc="0" simplePos="0" relativeHeight="15980032">
            <wp:simplePos x="0" y="0"/>
            <wp:positionH relativeFrom="page">
              <wp:posOffset>561822</wp:posOffset>
            </wp:positionH>
            <wp:positionV relativeFrom="paragraph">
              <wp:posOffset>68079</wp:posOffset>
            </wp:positionV>
            <wp:extent cx="55041" cy="6350"/>
            <wp:effectExtent l="0" t="0" r="0" b="0"/>
            <wp:wrapNone/>
            <wp:docPr id="213" name="image20.png"/>
            <wp:cNvGraphicFramePr>
              <a:graphicFrameLocks noChangeAspect="1"/>
            </wp:cNvGraphicFramePr>
            <a:graphic>
              <a:graphicData uri="http://schemas.openxmlformats.org/drawingml/2006/picture">
                <pic:pic>
                  <pic:nvPicPr>
                    <pic:cNvPr id="214" name="image20.png"/>
                    <pic:cNvPicPr/>
                  </pic:nvPicPr>
                  <pic:blipFill>
                    <a:blip r:embed="rId51" cstate="print"/>
                    <a:stretch>
                      <a:fillRect/>
                    </a:stretch>
                  </pic:blipFill>
                  <pic:spPr>
                    <a:xfrm>
                      <a:off x="0" y="0"/>
                      <a:ext cx="55041" cy="6350"/>
                    </a:xfrm>
                    <a:prstGeom prst="rect">
                      <a:avLst/>
                    </a:prstGeom>
                  </pic:spPr>
                </pic:pic>
              </a:graphicData>
            </a:graphic>
          </wp:anchor>
        </w:drawing>
      </w:r>
      <w:r>
        <w:rPr>
          <w:sz w:val="12"/>
        </w:rPr>
        <w:t>0</w:t>
      </w:r>
    </w:p>
    <w:p>
      <w:pPr>
        <w:pStyle w:val="BodyText"/>
        <w:rPr>
          <w:sz w:val="12"/>
        </w:rPr>
      </w:pPr>
    </w:p>
    <w:p>
      <w:pPr>
        <w:pStyle w:val="BodyText"/>
        <w:spacing w:before="8"/>
        <w:rPr>
          <w:sz w:val="17"/>
        </w:rPr>
      </w:pPr>
    </w:p>
    <w:p>
      <w:pPr>
        <w:spacing w:before="1"/>
        <w:ind w:left="3501" w:right="0" w:firstLine="0"/>
        <w:jc w:val="left"/>
        <w:rPr>
          <w:sz w:val="12"/>
        </w:rPr>
      </w:pPr>
      <w:r>
        <w:rPr/>
        <w:drawing>
          <wp:anchor distT="0" distB="0" distL="0" distR="0" allowOverlap="1" layoutInCell="1" locked="0" behindDoc="0" simplePos="0" relativeHeight="15981056">
            <wp:simplePos x="0" y="0"/>
            <wp:positionH relativeFrom="page">
              <wp:posOffset>561822</wp:posOffset>
            </wp:positionH>
            <wp:positionV relativeFrom="paragraph">
              <wp:posOffset>48635</wp:posOffset>
            </wp:positionV>
            <wp:extent cx="55041" cy="6350"/>
            <wp:effectExtent l="0" t="0" r="0" b="0"/>
            <wp:wrapNone/>
            <wp:docPr id="215" name="image20.png"/>
            <wp:cNvGraphicFramePr>
              <a:graphicFrameLocks noChangeAspect="1"/>
            </wp:cNvGraphicFramePr>
            <a:graphic>
              <a:graphicData uri="http://schemas.openxmlformats.org/drawingml/2006/picture">
                <pic:pic>
                  <pic:nvPicPr>
                    <pic:cNvPr id="216" name="image20.png"/>
                    <pic:cNvPicPr/>
                  </pic:nvPicPr>
                  <pic:blipFill>
                    <a:blip r:embed="rId51" cstate="print"/>
                    <a:stretch>
                      <a:fillRect/>
                    </a:stretch>
                  </pic:blipFill>
                  <pic:spPr>
                    <a:xfrm>
                      <a:off x="0" y="0"/>
                      <a:ext cx="55041" cy="6350"/>
                    </a:xfrm>
                    <a:prstGeom prst="rect">
                      <a:avLst/>
                    </a:prstGeom>
                  </pic:spPr>
                </pic:pic>
              </a:graphicData>
            </a:graphic>
          </wp:anchor>
        </w:drawing>
      </w:r>
      <w:r>
        <w:rPr>
          <w:sz w:val="12"/>
        </w:rPr>
        <w:t>2</w:t>
      </w:r>
    </w:p>
    <w:p>
      <w:pPr>
        <w:pStyle w:val="BodyText"/>
        <w:rPr>
          <w:sz w:val="12"/>
        </w:rPr>
      </w:pPr>
    </w:p>
    <w:p>
      <w:pPr>
        <w:pStyle w:val="BodyText"/>
        <w:spacing w:before="8"/>
        <w:rPr>
          <w:sz w:val="17"/>
        </w:rPr>
      </w:pPr>
    </w:p>
    <w:p>
      <w:pPr>
        <w:spacing w:before="0"/>
        <w:ind w:left="3501" w:right="0" w:firstLine="0"/>
        <w:jc w:val="left"/>
        <w:rPr>
          <w:sz w:val="12"/>
        </w:rPr>
      </w:pPr>
      <w:r>
        <w:rPr/>
        <w:drawing>
          <wp:anchor distT="0" distB="0" distL="0" distR="0" allowOverlap="1" layoutInCell="1" locked="0" behindDoc="0" simplePos="0" relativeHeight="15980544">
            <wp:simplePos x="0" y="0"/>
            <wp:positionH relativeFrom="page">
              <wp:posOffset>561822</wp:posOffset>
            </wp:positionH>
            <wp:positionV relativeFrom="paragraph">
              <wp:posOffset>48457</wp:posOffset>
            </wp:positionV>
            <wp:extent cx="55041" cy="6350"/>
            <wp:effectExtent l="0" t="0" r="0" b="0"/>
            <wp:wrapNone/>
            <wp:docPr id="217" name="image20.png"/>
            <wp:cNvGraphicFramePr>
              <a:graphicFrameLocks noChangeAspect="1"/>
            </wp:cNvGraphicFramePr>
            <a:graphic>
              <a:graphicData uri="http://schemas.openxmlformats.org/drawingml/2006/picture">
                <pic:pic>
                  <pic:nvPicPr>
                    <pic:cNvPr id="218" name="image20.png"/>
                    <pic:cNvPicPr/>
                  </pic:nvPicPr>
                  <pic:blipFill>
                    <a:blip r:embed="rId51" cstate="print"/>
                    <a:stretch>
                      <a:fillRect/>
                    </a:stretch>
                  </pic:blipFill>
                  <pic:spPr>
                    <a:xfrm>
                      <a:off x="0" y="0"/>
                      <a:ext cx="55041" cy="6350"/>
                    </a:xfrm>
                    <a:prstGeom prst="rect">
                      <a:avLst/>
                    </a:prstGeom>
                  </pic:spPr>
                </pic:pic>
              </a:graphicData>
            </a:graphic>
          </wp:anchor>
        </w:drawing>
      </w:r>
      <w:r>
        <w:rPr>
          <w:sz w:val="12"/>
        </w:rPr>
        <w:t>4</w:t>
      </w:r>
    </w:p>
    <w:p>
      <w:pPr>
        <w:pStyle w:val="BodyText"/>
        <w:rPr>
          <w:sz w:val="12"/>
        </w:rPr>
      </w:pPr>
    </w:p>
    <w:p>
      <w:pPr>
        <w:pStyle w:val="BodyText"/>
        <w:spacing w:before="9"/>
        <w:rPr>
          <w:sz w:val="17"/>
        </w:rPr>
      </w:pPr>
    </w:p>
    <w:p>
      <w:pPr>
        <w:spacing w:before="0"/>
        <w:ind w:left="3501" w:right="0" w:firstLine="0"/>
        <w:jc w:val="left"/>
        <w:rPr>
          <w:sz w:val="12"/>
        </w:rPr>
      </w:pPr>
      <w:r>
        <w:rPr/>
        <w:drawing>
          <wp:anchor distT="0" distB="0" distL="0" distR="0" allowOverlap="1" layoutInCell="1" locked="0" behindDoc="0" simplePos="0" relativeHeight="15981568">
            <wp:simplePos x="0" y="0"/>
            <wp:positionH relativeFrom="page">
              <wp:posOffset>561822</wp:posOffset>
            </wp:positionH>
            <wp:positionV relativeFrom="paragraph">
              <wp:posOffset>48914</wp:posOffset>
            </wp:positionV>
            <wp:extent cx="55041" cy="6350"/>
            <wp:effectExtent l="0" t="0" r="0" b="0"/>
            <wp:wrapNone/>
            <wp:docPr id="219" name="image21.png"/>
            <wp:cNvGraphicFramePr>
              <a:graphicFrameLocks noChangeAspect="1"/>
            </wp:cNvGraphicFramePr>
            <a:graphic>
              <a:graphicData uri="http://schemas.openxmlformats.org/drawingml/2006/picture">
                <pic:pic>
                  <pic:nvPicPr>
                    <pic:cNvPr id="220" name="image21.png"/>
                    <pic:cNvPicPr/>
                  </pic:nvPicPr>
                  <pic:blipFill>
                    <a:blip r:embed="rId52"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982592">
            <wp:simplePos x="0" y="0"/>
            <wp:positionH relativeFrom="page">
              <wp:posOffset>670699</wp:posOffset>
            </wp:positionH>
            <wp:positionV relativeFrom="paragraph">
              <wp:posOffset>-11410</wp:posOffset>
            </wp:positionV>
            <wp:extent cx="1918893" cy="66827"/>
            <wp:effectExtent l="0" t="0" r="0" b="0"/>
            <wp:wrapNone/>
            <wp:docPr id="221" name="image40.png"/>
            <wp:cNvGraphicFramePr>
              <a:graphicFrameLocks noChangeAspect="1"/>
            </wp:cNvGraphicFramePr>
            <a:graphic>
              <a:graphicData uri="http://schemas.openxmlformats.org/drawingml/2006/picture">
                <pic:pic>
                  <pic:nvPicPr>
                    <pic:cNvPr id="222" name="image40.png"/>
                    <pic:cNvPicPr/>
                  </pic:nvPicPr>
                  <pic:blipFill>
                    <a:blip r:embed="rId84" cstate="print"/>
                    <a:stretch>
                      <a:fillRect/>
                    </a:stretch>
                  </pic:blipFill>
                  <pic:spPr>
                    <a:xfrm>
                      <a:off x="0" y="0"/>
                      <a:ext cx="1918893" cy="66827"/>
                    </a:xfrm>
                    <a:prstGeom prst="rect">
                      <a:avLst/>
                    </a:prstGeom>
                  </pic:spPr>
                </pic:pic>
              </a:graphicData>
            </a:graphic>
          </wp:anchor>
        </w:drawing>
      </w:r>
      <w:r>
        <w:rPr>
          <w:sz w:val="12"/>
        </w:rPr>
        <w:t>6</w:t>
      </w:r>
    </w:p>
    <w:p>
      <w:pPr>
        <w:tabs>
          <w:tab w:pos="2825" w:val="left" w:leader="none"/>
        </w:tabs>
        <w:spacing w:before="14"/>
        <w:ind w:left="1123" w:right="0" w:firstLine="0"/>
        <w:jc w:val="left"/>
        <w:rPr>
          <w:sz w:val="12"/>
        </w:rPr>
      </w:pPr>
      <w:r>
        <w:rPr>
          <w:sz w:val="12"/>
        </w:rPr>
        <w:t>1998</w:t>
        <w:tab/>
        <w:t>99</w:t>
      </w:r>
    </w:p>
    <w:p>
      <w:pPr>
        <w:spacing w:before="68"/>
        <w:ind w:left="160" w:right="0" w:firstLine="0"/>
        <w:jc w:val="left"/>
        <w:rPr>
          <w:sz w:val="12"/>
        </w:rPr>
      </w:pPr>
      <w:r>
        <w:rPr>
          <w:sz w:val="12"/>
        </w:rPr>
        <w:t>(a) At constant 1995 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7"/>
        </w:rPr>
      </w:pPr>
    </w:p>
    <w:p>
      <w:pPr>
        <w:spacing w:before="1"/>
        <w:ind w:left="165" w:right="0" w:firstLine="0"/>
        <w:jc w:val="left"/>
        <w:rPr>
          <w:b/>
          <w:sz w:val="20"/>
        </w:rPr>
      </w:pPr>
      <w:r>
        <w:rPr>
          <w:b/>
          <w:color w:val="0092C7"/>
          <w:sz w:val="20"/>
        </w:rPr>
        <w:t>Chart 2.6</w:t>
      </w:r>
    </w:p>
    <w:p>
      <w:pPr>
        <w:spacing w:line="249" w:lineRule="auto" w:before="10"/>
        <w:ind w:left="165" w:right="306" w:firstLine="0"/>
        <w:jc w:val="left"/>
        <w:rPr>
          <w:b/>
          <w:sz w:val="20"/>
        </w:rPr>
      </w:pPr>
      <w:r>
        <w:rPr>
          <w:b/>
          <w:color w:val="0092C7"/>
          <w:sz w:val="20"/>
        </w:rPr>
        <w:t>Share of real household consumption by type of product</w:t>
      </w:r>
    </w:p>
    <w:p>
      <w:pPr>
        <w:spacing w:before="82"/>
        <w:ind w:left="3053" w:right="0" w:firstLine="0"/>
        <w:jc w:val="left"/>
        <w:rPr>
          <w:sz w:val="12"/>
        </w:rPr>
      </w:pPr>
      <w:r>
        <w:rPr/>
        <w:drawing>
          <wp:anchor distT="0" distB="0" distL="0" distR="0" allowOverlap="1" layoutInCell="1" locked="0" behindDoc="0" simplePos="0" relativeHeight="15988224">
            <wp:simplePos x="0" y="0"/>
            <wp:positionH relativeFrom="page">
              <wp:posOffset>550710</wp:posOffset>
            </wp:positionH>
            <wp:positionV relativeFrom="paragraph">
              <wp:posOffset>149960</wp:posOffset>
            </wp:positionV>
            <wp:extent cx="55041" cy="6350"/>
            <wp:effectExtent l="0" t="0" r="0" b="0"/>
            <wp:wrapNone/>
            <wp:docPr id="223" name="image15.png"/>
            <wp:cNvGraphicFramePr>
              <a:graphicFrameLocks noChangeAspect="1"/>
            </wp:cNvGraphicFramePr>
            <a:graphic>
              <a:graphicData uri="http://schemas.openxmlformats.org/drawingml/2006/picture">
                <pic:pic>
                  <pic:nvPicPr>
                    <pic:cNvPr id="224"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Per ce</w:t>
      </w:r>
      <w:r>
        <w:rPr>
          <w:sz w:val="12"/>
          <w:u w:val="single"/>
        </w:rPr>
        <w:t>n</w:t>
      </w:r>
      <w:r>
        <w:rPr>
          <w:sz w:val="12"/>
        </w:rPr>
        <w:t>t </w:t>
      </w:r>
      <w:r>
        <w:rPr>
          <w:position w:val="-7"/>
          <w:sz w:val="12"/>
        </w:rPr>
        <w:t>60</w:t>
      </w:r>
    </w:p>
    <w:p>
      <w:pPr>
        <w:spacing w:before="47"/>
        <w:ind w:left="1085" w:right="0" w:firstLine="0"/>
        <w:jc w:val="left"/>
        <w:rPr>
          <w:sz w:val="12"/>
        </w:rPr>
      </w:pPr>
      <w:r>
        <w:rPr/>
        <w:drawing>
          <wp:anchor distT="0" distB="0" distL="0" distR="0" allowOverlap="1" layoutInCell="1" locked="0" behindDoc="1" simplePos="0" relativeHeight="480689152">
            <wp:simplePos x="0" y="0"/>
            <wp:positionH relativeFrom="page">
              <wp:posOffset>654430</wp:posOffset>
            </wp:positionH>
            <wp:positionV relativeFrom="paragraph">
              <wp:posOffset>84610</wp:posOffset>
            </wp:positionV>
            <wp:extent cx="1938337" cy="536575"/>
            <wp:effectExtent l="0" t="0" r="0" b="0"/>
            <wp:wrapNone/>
            <wp:docPr id="225" name="image41.png"/>
            <wp:cNvGraphicFramePr>
              <a:graphicFrameLocks noChangeAspect="1"/>
            </wp:cNvGraphicFramePr>
            <a:graphic>
              <a:graphicData uri="http://schemas.openxmlformats.org/drawingml/2006/picture">
                <pic:pic>
                  <pic:nvPicPr>
                    <pic:cNvPr id="226" name="image41.png"/>
                    <pic:cNvPicPr/>
                  </pic:nvPicPr>
                  <pic:blipFill>
                    <a:blip r:embed="rId85" cstate="print"/>
                    <a:stretch>
                      <a:fillRect/>
                    </a:stretch>
                  </pic:blipFill>
                  <pic:spPr>
                    <a:xfrm>
                      <a:off x="0" y="0"/>
                      <a:ext cx="1938337" cy="536575"/>
                    </a:xfrm>
                    <a:prstGeom prst="rect">
                      <a:avLst/>
                    </a:prstGeom>
                  </pic:spPr>
                </pic:pic>
              </a:graphicData>
            </a:graphic>
          </wp:anchor>
        </w:drawing>
      </w:r>
      <w:r>
        <w:rPr>
          <w:sz w:val="12"/>
        </w:rPr>
        <w:t>Non-durable goods</w:t>
      </w:r>
    </w:p>
    <w:p>
      <w:pPr>
        <w:pStyle w:val="BodyText"/>
        <w:rPr>
          <w:sz w:val="14"/>
        </w:rPr>
      </w:pPr>
    </w:p>
    <w:p>
      <w:pPr>
        <w:spacing w:before="1"/>
        <w:ind w:left="3498" w:right="0" w:firstLine="0"/>
        <w:jc w:val="left"/>
        <w:rPr>
          <w:sz w:val="12"/>
        </w:rPr>
      </w:pPr>
      <w:r>
        <w:rPr/>
        <w:drawing>
          <wp:anchor distT="0" distB="0" distL="0" distR="0" allowOverlap="1" layoutInCell="1" locked="0" behindDoc="0" simplePos="0" relativeHeight="15985152">
            <wp:simplePos x="0" y="0"/>
            <wp:positionH relativeFrom="page">
              <wp:posOffset>550710</wp:posOffset>
            </wp:positionH>
            <wp:positionV relativeFrom="paragraph">
              <wp:posOffset>45656</wp:posOffset>
            </wp:positionV>
            <wp:extent cx="55041" cy="6350"/>
            <wp:effectExtent l="0" t="0" r="0" b="0"/>
            <wp:wrapNone/>
            <wp:docPr id="227" name="image19.png"/>
            <wp:cNvGraphicFramePr>
              <a:graphicFrameLocks noChangeAspect="1"/>
            </wp:cNvGraphicFramePr>
            <a:graphic>
              <a:graphicData uri="http://schemas.openxmlformats.org/drawingml/2006/picture">
                <pic:pic>
                  <pic:nvPicPr>
                    <pic:cNvPr id="228" name="image19.png"/>
                    <pic:cNvPicPr/>
                  </pic:nvPicPr>
                  <pic:blipFill>
                    <a:blip r:embed="rId50" cstate="print"/>
                    <a:stretch>
                      <a:fillRect/>
                    </a:stretch>
                  </pic:blipFill>
                  <pic:spPr>
                    <a:xfrm>
                      <a:off x="0" y="0"/>
                      <a:ext cx="55041" cy="6350"/>
                    </a:xfrm>
                    <a:prstGeom prst="rect">
                      <a:avLst/>
                    </a:prstGeom>
                  </pic:spPr>
                </pic:pic>
              </a:graphicData>
            </a:graphic>
          </wp:anchor>
        </w:drawing>
      </w:r>
      <w:r>
        <w:rPr>
          <w:sz w:val="12"/>
        </w:rPr>
        <w:t>50</w:t>
      </w:r>
    </w:p>
    <w:p>
      <w:pPr>
        <w:tabs>
          <w:tab w:pos="3618" w:val="right" w:leader="none"/>
        </w:tabs>
        <w:spacing w:before="343"/>
        <w:ind w:left="1137" w:right="0" w:firstLine="0"/>
        <w:jc w:val="left"/>
        <w:rPr>
          <w:sz w:val="12"/>
        </w:rPr>
      </w:pPr>
      <w:r>
        <w:rPr/>
        <w:drawing>
          <wp:anchor distT="0" distB="0" distL="0" distR="0" allowOverlap="1" layoutInCell="1" locked="0" behindDoc="0" simplePos="0" relativeHeight="15985664">
            <wp:simplePos x="0" y="0"/>
            <wp:positionH relativeFrom="page">
              <wp:posOffset>550710</wp:posOffset>
            </wp:positionH>
            <wp:positionV relativeFrom="paragraph">
              <wp:posOffset>262909</wp:posOffset>
            </wp:positionV>
            <wp:extent cx="55041" cy="6350"/>
            <wp:effectExtent l="0" t="0" r="0" b="0"/>
            <wp:wrapNone/>
            <wp:docPr id="229" name="image19.png"/>
            <wp:cNvGraphicFramePr>
              <a:graphicFrameLocks noChangeAspect="1"/>
            </wp:cNvGraphicFramePr>
            <a:graphic>
              <a:graphicData uri="http://schemas.openxmlformats.org/drawingml/2006/picture">
                <pic:pic>
                  <pic:nvPicPr>
                    <pic:cNvPr id="230" name="image19.png"/>
                    <pic:cNvPicPr/>
                  </pic:nvPicPr>
                  <pic:blipFill>
                    <a:blip r:embed="rId50" cstate="print"/>
                    <a:stretch>
                      <a:fillRect/>
                    </a:stretch>
                  </pic:blipFill>
                  <pic:spPr>
                    <a:xfrm>
                      <a:off x="0" y="0"/>
                      <a:ext cx="55041" cy="6350"/>
                    </a:xfrm>
                    <a:prstGeom prst="rect">
                      <a:avLst/>
                    </a:prstGeom>
                  </pic:spPr>
                </pic:pic>
              </a:graphicData>
            </a:graphic>
          </wp:anchor>
        </w:drawing>
      </w:r>
      <w:r>
        <w:rPr>
          <w:sz w:val="12"/>
        </w:rPr>
        <w:t>Services</w:t>
        <w:tab/>
      </w:r>
      <w:r>
        <w:rPr>
          <w:position w:val="8"/>
          <w:sz w:val="12"/>
        </w:rPr>
        <w:t>40</w:t>
      </w:r>
    </w:p>
    <w:p>
      <w:pPr>
        <w:pStyle w:val="BodyText"/>
        <w:spacing w:before="8"/>
        <w:rPr>
          <w:sz w:val="22"/>
        </w:rPr>
      </w:pPr>
    </w:p>
    <w:p>
      <w:pPr>
        <w:spacing w:before="0"/>
        <w:ind w:left="3498" w:right="0" w:firstLine="0"/>
        <w:jc w:val="left"/>
        <w:rPr>
          <w:sz w:val="12"/>
        </w:rPr>
      </w:pPr>
      <w:r>
        <w:rPr/>
        <w:drawing>
          <wp:anchor distT="0" distB="0" distL="0" distR="0" allowOverlap="1" layoutInCell="1" locked="0" behindDoc="0" simplePos="0" relativeHeight="15986176">
            <wp:simplePos x="0" y="0"/>
            <wp:positionH relativeFrom="page">
              <wp:posOffset>550710</wp:posOffset>
            </wp:positionH>
            <wp:positionV relativeFrom="paragraph">
              <wp:posOffset>46202</wp:posOffset>
            </wp:positionV>
            <wp:extent cx="55041" cy="6350"/>
            <wp:effectExtent l="0" t="0" r="0" b="0"/>
            <wp:wrapNone/>
            <wp:docPr id="231" name="image15.png"/>
            <wp:cNvGraphicFramePr>
              <a:graphicFrameLocks noChangeAspect="1"/>
            </wp:cNvGraphicFramePr>
            <a:graphic>
              <a:graphicData uri="http://schemas.openxmlformats.org/drawingml/2006/picture">
                <pic:pic>
                  <pic:nvPicPr>
                    <pic:cNvPr id="232" name="image15.png"/>
                    <pic:cNvPicPr/>
                  </pic:nvPicPr>
                  <pic:blipFill>
                    <a:blip r:embed="rId46"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988736">
            <wp:simplePos x="0" y="0"/>
            <wp:positionH relativeFrom="page">
              <wp:posOffset>2537739</wp:posOffset>
            </wp:positionH>
            <wp:positionV relativeFrom="paragraph">
              <wp:posOffset>45541</wp:posOffset>
            </wp:positionV>
            <wp:extent cx="55029" cy="6350"/>
            <wp:effectExtent l="0" t="0" r="0" b="0"/>
            <wp:wrapNone/>
            <wp:docPr id="233" name="image19.png"/>
            <wp:cNvGraphicFramePr>
              <a:graphicFrameLocks noChangeAspect="1"/>
            </wp:cNvGraphicFramePr>
            <a:graphic>
              <a:graphicData uri="http://schemas.openxmlformats.org/drawingml/2006/picture">
                <pic:pic>
                  <pic:nvPicPr>
                    <pic:cNvPr id="234"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30</w:t>
      </w:r>
    </w:p>
    <w:p>
      <w:pPr>
        <w:pStyle w:val="BodyText"/>
        <w:rPr>
          <w:sz w:val="12"/>
        </w:rPr>
      </w:pPr>
    </w:p>
    <w:p>
      <w:pPr>
        <w:pStyle w:val="BodyText"/>
        <w:spacing w:before="9"/>
        <w:rPr>
          <w:sz w:val="17"/>
        </w:rPr>
      </w:pPr>
    </w:p>
    <w:p>
      <w:pPr>
        <w:spacing w:before="0"/>
        <w:ind w:left="3498" w:right="0" w:firstLine="0"/>
        <w:jc w:val="left"/>
        <w:rPr>
          <w:sz w:val="12"/>
        </w:rPr>
      </w:pPr>
      <w:r>
        <w:rPr/>
        <w:drawing>
          <wp:anchor distT="0" distB="0" distL="0" distR="0" allowOverlap="1" layoutInCell="1" locked="0" behindDoc="0" simplePos="0" relativeHeight="15987200">
            <wp:simplePos x="0" y="0"/>
            <wp:positionH relativeFrom="page">
              <wp:posOffset>550710</wp:posOffset>
            </wp:positionH>
            <wp:positionV relativeFrom="paragraph">
              <wp:posOffset>46798</wp:posOffset>
            </wp:positionV>
            <wp:extent cx="55041" cy="6350"/>
            <wp:effectExtent l="0" t="0" r="0" b="0"/>
            <wp:wrapNone/>
            <wp:docPr id="235" name="image15.png"/>
            <wp:cNvGraphicFramePr>
              <a:graphicFrameLocks noChangeAspect="1"/>
            </wp:cNvGraphicFramePr>
            <a:graphic>
              <a:graphicData uri="http://schemas.openxmlformats.org/drawingml/2006/picture">
                <pic:pic>
                  <pic:nvPicPr>
                    <pic:cNvPr id="236" name="image15.png"/>
                    <pic:cNvPicPr/>
                  </pic:nvPicPr>
                  <pic:blipFill>
                    <a:blip r:embed="rId46"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989248">
            <wp:simplePos x="0" y="0"/>
            <wp:positionH relativeFrom="page">
              <wp:posOffset>2537739</wp:posOffset>
            </wp:positionH>
            <wp:positionV relativeFrom="paragraph">
              <wp:posOffset>46138</wp:posOffset>
            </wp:positionV>
            <wp:extent cx="55029" cy="6350"/>
            <wp:effectExtent l="0" t="0" r="0" b="0"/>
            <wp:wrapNone/>
            <wp:docPr id="237" name="image15.png"/>
            <wp:cNvGraphicFramePr>
              <a:graphicFrameLocks noChangeAspect="1"/>
            </wp:cNvGraphicFramePr>
            <a:graphic>
              <a:graphicData uri="http://schemas.openxmlformats.org/drawingml/2006/picture">
                <pic:pic>
                  <pic:nvPicPr>
                    <pic:cNvPr id="238"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20</w:t>
      </w:r>
    </w:p>
    <w:p>
      <w:pPr>
        <w:pStyle w:val="BodyText"/>
        <w:rPr>
          <w:sz w:val="12"/>
        </w:rPr>
      </w:pPr>
    </w:p>
    <w:p>
      <w:pPr>
        <w:pStyle w:val="BodyText"/>
        <w:spacing w:before="9"/>
        <w:rPr>
          <w:sz w:val="17"/>
        </w:rPr>
      </w:pPr>
    </w:p>
    <w:p>
      <w:pPr>
        <w:spacing w:before="0"/>
        <w:ind w:left="3498" w:right="0" w:firstLine="0"/>
        <w:jc w:val="left"/>
        <w:rPr>
          <w:sz w:val="12"/>
        </w:rPr>
      </w:pPr>
      <w:r>
        <w:rPr/>
        <w:pict>
          <v:group style="position:absolute;margin-left:51.529999pt;margin-top:.016152pt;width:152.65pt;height:20.4pt;mso-position-horizontal-relative:page;mso-position-vertical-relative:paragraph;z-index:15983616" coordorigin="1031,0" coordsize="3053,408">
            <v:shape style="position:absolute;left:1030;top:39;width:3053;height:368" type="#_x0000_t75" stroked="false">
              <v:imagedata r:id="rId86" o:title=""/>
            </v:shape>
            <v:shape style="position:absolute;left:1030;top:0;width:3053;height:408" type="#_x0000_t202" filled="false" stroked="false">
              <v:textbox inset="0,0,0,0">
                <w:txbxContent>
                  <w:p>
                    <w:pPr>
                      <w:spacing w:line="133" w:lineRule="exact" w:before="0"/>
                      <w:ind w:left="837" w:right="0" w:firstLine="0"/>
                      <w:jc w:val="left"/>
                      <w:rPr>
                        <w:sz w:val="12"/>
                      </w:rPr>
                    </w:pPr>
                    <w:r>
                      <w:rPr>
                        <w:sz w:val="12"/>
                      </w:rPr>
                      <w:t>Durable goods</w:t>
                    </w:r>
                  </w:p>
                </w:txbxContent>
              </v:textbox>
              <w10:wrap type="none"/>
            </v:shape>
            <w10:wrap type="none"/>
          </v:group>
        </w:pict>
      </w:r>
      <w:r>
        <w:rPr/>
        <w:drawing>
          <wp:anchor distT="0" distB="0" distL="0" distR="0" allowOverlap="1" layoutInCell="1" locked="0" behindDoc="0" simplePos="0" relativeHeight="15986688">
            <wp:simplePos x="0" y="0"/>
            <wp:positionH relativeFrom="page">
              <wp:posOffset>550710</wp:posOffset>
            </wp:positionH>
            <wp:positionV relativeFrom="paragraph">
              <wp:posOffset>47383</wp:posOffset>
            </wp:positionV>
            <wp:extent cx="55041" cy="6350"/>
            <wp:effectExtent l="0" t="0" r="0" b="0"/>
            <wp:wrapNone/>
            <wp:docPr id="239" name="image15.png"/>
            <wp:cNvGraphicFramePr>
              <a:graphicFrameLocks noChangeAspect="1"/>
            </wp:cNvGraphicFramePr>
            <a:graphic>
              <a:graphicData uri="http://schemas.openxmlformats.org/drawingml/2006/picture">
                <pic:pic>
                  <pic:nvPicPr>
                    <pic:cNvPr id="240"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10</w:t>
      </w:r>
    </w:p>
    <w:p>
      <w:pPr>
        <w:pStyle w:val="BodyText"/>
        <w:rPr>
          <w:sz w:val="12"/>
        </w:rPr>
      </w:pPr>
    </w:p>
    <w:p>
      <w:pPr>
        <w:pStyle w:val="BodyText"/>
        <w:spacing w:before="9"/>
        <w:rPr>
          <w:sz w:val="17"/>
        </w:rPr>
      </w:pPr>
    </w:p>
    <w:p>
      <w:pPr>
        <w:spacing w:line="125" w:lineRule="exact" w:before="0"/>
        <w:ind w:left="3558" w:right="0" w:firstLine="0"/>
        <w:jc w:val="left"/>
        <w:rPr>
          <w:sz w:val="12"/>
        </w:rPr>
      </w:pPr>
      <w:r>
        <w:rPr/>
        <w:drawing>
          <wp:anchor distT="0" distB="0" distL="0" distR="0" allowOverlap="1" layoutInCell="1" locked="0" behindDoc="0" simplePos="0" relativeHeight="15984640">
            <wp:simplePos x="0" y="0"/>
            <wp:positionH relativeFrom="page">
              <wp:posOffset>656018</wp:posOffset>
            </wp:positionH>
            <wp:positionV relativeFrom="paragraph">
              <wp:posOffset>8300</wp:posOffset>
            </wp:positionV>
            <wp:extent cx="1836737" cy="45770"/>
            <wp:effectExtent l="0" t="0" r="0" b="0"/>
            <wp:wrapNone/>
            <wp:docPr id="241" name="image43.png"/>
            <wp:cNvGraphicFramePr>
              <a:graphicFrameLocks noChangeAspect="1"/>
            </wp:cNvGraphicFramePr>
            <a:graphic>
              <a:graphicData uri="http://schemas.openxmlformats.org/drawingml/2006/picture">
                <pic:pic>
                  <pic:nvPicPr>
                    <pic:cNvPr id="242" name="image43.png"/>
                    <pic:cNvPicPr/>
                  </pic:nvPicPr>
                  <pic:blipFill>
                    <a:blip r:embed="rId87" cstate="print"/>
                    <a:stretch>
                      <a:fillRect/>
                    </a:stretch>
                  </pic:blipFill>
                  <pic:spPr>
                    <a:xfrm>
                      <a:off x="0" y="0"/>
                      <a:ext cx="1836737" cy="45770"/>
                    </a:xfrm>
                    <a:prstGeom prst="rect">
                      <a:avLst/>
                    </a:prstGeom>
                  </pic:spPr>
                </pic:pic>
              </a:graphicData>
            </a:graphic>
          </wp:anchor>
        </w:drawing>
      </w:r>
      <w:r>
        <w:rPr/>
        <w:drawing>
          <wp:anchor distT="0" distB="0" distL="0" distR="0" allowOverlap="1" layoutInCell="1" locked="0" behindDoc="0" simplePos="0" relativeHeight="15987712">
            <wp:simplePos x="0" y="0"/>
            <wp:positionH relativeFrom="page">
              <wp:posOffset>550710</wp:posOffset>
            </wp:positionH>
            <wp:positionV relativeFrom="paragraph">
              <wp:posOffset>47987</wp:posOffset>
            </wp:positionV>
            <wp:extent cx="55041" cy="6350"/>
            <wp:effectExtent l="0" t="0" r="0" b="0"/>
            <wp:wrapNone/>
            <wp:docPr id="243" name="image15.png"/>
            <wp:cNvGraphicFramePr>
              <a:graphicFrameLocks noChangeAspect="1"/>
            </wp:cNvGraphicFramePr>
            <a:graphic>
              <a:graphicData uri="http://schemas.openxmlformats.org/drawingml/2006/picture">
                <pic:pic>
                  <pic:nvPicPr>
                    <pic:cNvPr id="244" name="image15.png"/>
                    <pic:cNvPicPr/>
                  </pic:nvPicPr>
                  <pic:blipFill>
                    <a:blip r:embed="rId46"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5989760">
            <wp:simplePos x="0" y="0"/>
            <wp:positionH relativeFrom="page">
              <wp:posOffset>2537739</wp:posOffset>
            </wp:positionH>
            <wp:positionV relativeFrom="paragraph">
              <wp:posOffset>47327</wp:posOffset>
            </wp:positionV>
            <wp:extent cx="55029" cy="6350"/>
            <wp:effectExtent l="0" t="0" r="0" b="0"/>
            <wp:wrapNone/>
            <wp:docPr id="245" name="image15.png"/>
            <wp:cNvGraphicFramePr>
              <a:graphicFrameLocks noChangeAspect="1"/>
            </wp:cNvGraphicFramePr>
            <a:graphic>
              <a:graphicData uri="http://schemas.openxmlformats.org/drawingml/2006/picture">
                <pic:pic>
                  <pic:nvPicPr>
                    <pic:cNvPr id="246"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0</w:t>
      </w:r>
    </w:p>
    <w:p>
      <w:pPr>
        <w:tabs>
          <w:tab w:pos="1167" w:val="left" w:leader="none"/>
          <w:tab w:pos="1489" w:val="left" w:leader="none"/>
          <w:tab w:pos="1812" w:val="left" w:leader="none"/>
          <w:tab w:pos="2137" w:val="left" w:leader="none"/>
          <w:tab w:pos="2759" w:val="left" w:leader="none"/>
          <w:tab w:pos="3089" w:val="left" w:leader="none"/>
        </w:tabs>
        <w:spacing w:line="125" w:lineRule="exact" w:before="0"/>
        <w:ind w:left="429" w:right="0" w:firstLine="0"/>
        <w:jc w:val="left"/>
        <w:rPr>
          <w:sz w:val="12"/>
        </w:rPr>
      </w:pPr>
      <w:r>
        <w:rPr>
          <w:sz w:val="12"/>
        </w:rPr>
        <w:t>1955    </w:t>
      </w:r>
      <w:r>
        <w:rPr>
          <w:spacing w:val="22"/>
          <w:sz w:val="12"/>
        </w:rPr>
        <w:t> </w:t>
      </w:r>
      <w:r>
        <w:rPr>
          <w:sz w:val="12"/>
        </w:rPr>
        <w:t>60</w:t>
        <w:tab/>
        <w:t>65</w:t>
        <w:tab/>
        <w:t>70</w:t>
        <w:tab/>
        <w:t>75</w:t>
        <w:tab/>
        <w:t>80      85</w:t>
        <w:tab/>
        <w:t>90</w:t>
        <w:tab/>
        <w:t>95</w:t>
      </w:r>
    </w:p>
    <w:p>
      <w:pPr>
        <w:pStyle w:val="Heading6"/>
        <w:spacing w:line="242" w:lineRule="auto" w:before="5"/>
        <w:ind w:left="160" w:right="309"/>
      </w:pPr>
      <w:r>
        <w:rPr/>
        <w:br w:type="column"/>
      </w:r>
      <w:r>
        <w:rPr/>
        <w:t>home fuels, medical goods and cleaning materials, spending which tends to be less sensitive to changes in consumers’ income than spending on services and durable goods. These differences in the sensitivity to changes in income also affect the longer-term trends in different types of consumption. As the national income of a country grows over time, the proportion of total household expenditure accounted for by non-durable goods tends to fall while that accounted for by services and durable goods tends to rise. This has been true of the United Kingdom in recent decades (see Chart 2.6).</w:t>
      </w:r>
    </w:p>
    <w:p>
      <w:pPr>
        <w:pStyle w:val="BodyText"/>
        <w:spacing w:before="3"/>
        <w:rPr>
          <w:sz w:val="27"/>
        </w:rPr>
      </w:pPr>
    </w:p>
    <w:p>
      <w:pPr>
        <w:spacing w:line="242" w:lineRule="auto" w:before="0"/>
        <w:ind w:left="160" w:right="226" w:firstLine="0"/>
        <w:jc w:val="left"/>
        <w:rPr>
          <w:sz w:val="24"/>
        </w:rPr>
      </w:pPr>
      <w:r>
        <w:rPr>
          <w:sz w:val="24"/>
        </w:rPr>
        <w:t>Although National Accounts data suggest that the volume of food sales fell in 1999 Q4, retail sales data suggest that there was a significant rise in total sales by outlets classified as ‘food stores’ in December, followed by a sharp decline in these stores’ sales in January and February. That may have partly reflected strength in millennium-related sales of non-food items by ‘food stores’ in December, such as alcoholic beverages. The volume of sales by other retail outlets has also been somewhat erratic in recent months, with a sharp increase in January, a decline in February and a recovery in March. It is possible that this volatility also reflected unusual seasonal factors relating to the millennium. As Chart 2.7 suggests, the underlying trend in overall retail sales volumes since December has remained robust.</w:t>
      </w:r>
    </w:p>
    <w:p>
      <w:pPr>
        <w:spacing w:line="242" w:lineRule="auto" w:before="19"/>
        <w:ind w:left="160" w:right="284" w:firstLine="0"/>
        <w:jc w:val="left"/>
        <w:rPr>
          <w:sz w:val="24"/>
        </w:rPr>
      </w:pPr>
      <w:r>
        <w:rPr>
          <w:sz w:val="24"/>
        </w:rPr>
        <w:t>Sales rose by 1.5% in the three months to March compared with the previous three months, and were 5.2% above their level in the same period a year earlier. The CBI distributive trades survey suggested that retail sales strengthened further in April and that retailers anticipate continued strong growth in May.</w:t>
      </w:r>
    </w:p>
    <w:p>
      <w:pPr>
        <w:pStyle w:val="BodyText"/>
        <w:spacing w:before="9"/>
        <w:rPr>
          <w:sz w:val="26"/>
        </w:rPr>
      </w:pPr>
    </w:p>
    <w:p>
      <w:pPr>
        <w:spacing w:line="242" w:lineRule="auto" w:before="0"/>
        <w:ind w:left="160" w:right="0" w:firstLine="0"/>
        <w:jc w:val="left"/>
        <w:rPr>
          <w:sz w:val="24"/>
        </w:rPr>
      </w:pPr>
      <w:r>
        <w:rPr>
          <w:sz w:val="24"/>
        </w:rPr>
        <w:t>Robust consumer spending has been supported by recent trends in income, wealth and household borrowing.</w:t>
      </w:r>
    </w:p>
    <w:p>
      <w:pPr>
        <w:spacing w:before="3"/>
        <w:ind w:left="160" w:right="0" w:firstLine="0"/>
        <w:jc w:val="left"/>
        <w:rPr>
          <w:sz w:val="24"/>
        </w:rPr>
      </w:pPr>
      <w:r>
        <w:rPr>
          <w:sz w:val="24"/>
        </w:rPr>
        <w:t>Estimated real post-tax income grew markedly in</w:t>
      </w:r>
    </w:p>
    <w:p>
      <w:pPr>
        <w:spacing w:after="0"/>
        <w:jc w:val="left"/>
        <w:rPr>
          <w:sz w:val="24"/>
        </w:rPr>
        <w:sectPr>
          <w:type w:val="continuous"/>
          <w:pgSz w:w="11900" w:h="16840"/>
          <w:pgMar w:top="1220" w:bottom="280" w:left="640" w:right="620"/>
          <w:cols w:num="2" w:equalWidth="0">
            <w:col w:w="3659" w:space="1126"/>
            <w:col w:w="5855"/>
          </w:cols>
        </w:sectPr>
      </w:pPr>
    </w:p>
    <w:p>
      <w:pPr>
        <w:pStyle w:val="BodyText"/>
        <w:rPr>
          <w:sz w:val="20"/>
        </w:rPr>
      </w:pPr>
    </w:p>
    <w:p>
      <w:pPr>
        <w:spacing w:after="0"/>
        <w:rPr>
          <w:sz w:val="20"/>
        </w:rPr>
        <w:sectPr>
          <w:pgSz w:w="11900" w:h="16840"/>
          <w:pgMar w:header="586" w:footer="617" w:top="780" w:bottom="780" w:left="640" w:right="620"/>
        </w:sectPr>
      </w:pPr>
    </w:p>
    <w:p>
      <w:pPr>
        <w:pStyle w:val="BodyText"/>
        <w:spacing w:before="3"/>
        <w:rPr>
          <w:sz w:val="22"/>
        </w:rPr>
      </w:pPr>
    </w:p>
    <w:p>
      <w:pPr>
        <w:spacing w:before="0"/>
        <w:ind w:left="164" w:right="0" w:firstLine="0"/>
        <w:jc w:val="left"/>
        <w:rPr>
          <w:b/>
          <w:sz w:val="20"/>
        </w:rPr>
      </w:pPr>
      <w:r>
        <w:rPr>
          <w:b/>
          <w:color w:val="0092C7"/>
          <w:sz w:val="20"/>
        </w:rPr>
        <w:t>Chart 2.7</w:t>
      </w:r>
    </w:p>
    <w:p>
      <w:pPr>
        <w:spacing w:before="10"/>
        <w:ind w:left="164" w:right="0" w:firstLine="0"/>
        <w:jc w:val="left"/>
        <w:rPr>
          <w:b/>
          <w:sz w:val="20"/>
        </w:rPr>
      </w:pPr>
      <w:r>
        <w:rPr>
          <w:b/>
          <w:color w:val="0092C7"/>
          <w:sz w:val="20"/>
        </w:rPr>
        <w:t>Retail sales volumes</w:t>
      </w:r>
    </w:p>
    <w:p>
      <w:pPr>
        <w:spacing w:line="208" w:lineRule="auto" w:before="189"/>
        <w:ind w:left="2269" w:right="125" w:hanging="410"/>
        <w:jc w:val="left"/>
        <w:rPr>
          <w:sz w:val="12"/>
        </w:rPr>
      </w:pPr>
      <w:r>
        <w:rPr>
          <w:sz w:val="12"/>
        </w:rPr>
        <w:t>Percentage changes, three months on previous three months</w:t>
      </w:r>
    </w:p>
    <w:p>
      <w:pPr>
        <w:spacing w:line="111" w:lineRule="exact" w:before="0"/>
        <w:ind w:left="3530" w:right="0" w:firstLine="0"/>
        <w:jc w:val="left"/>
        <w:rPr>
          <w:sz w:val="12"/>
        </w:rPr>
      </w:pPr>
      <w:r>
        <w:rPr/>
        <w:pict>
          <v:line style="position:absolute;mso-position-horizontal-relative:page;mso-position-vertical-relative:paragraph;z-index:15997440" from="45.625999pt,2.50822pt" to="49.959999pt,2.50822pt" stroked="true" strokeweight=".5pt" strokecolor="#000000">
            <v:stroke dashstyle="solid"/>
            <w10:wrap type="none"/>
          </v:line>
        </w:pict>
      </w:r>
      <w:r>
        <w:rPr/>
        <w:pict>
          <v:line style="position:absolute;mso-position-horizontal-relative:page;mso-position-vertical-relative:paragraph;z-index:15997952" from="201.960007pt,2.50822pt" to="206.293007pt,2.50822pt" stroked="true" strokeweight=".5pt" strokecolor="#000000">
            <v:stroke dashstyle="solid"/>
            <w10:wrap type="none"/>
          </v:line>
        </w:pict>
      </w:r>
      <w:r>
        <w:rPr>
          <w:sz w:val="12"/>
        </w:rPr>
        <w:t>4</w:t>
      </w:r>
    </w:p>
    <w:p>
      <w:pPr>
        <w:pStyle w:val="BodyText"/>
        <w:rPr>
          <w:sz w:val="12"/>
        </w:rPr>
      </w:pPr>
    </w:p>
    <w:p>
      <w:pPr>
        <w:pStyle w:val="BodyText"/>
        <w:spacing w:before="10"/>
        <w:rPr>
          <w:sz w:val="15"/>
        </w:rPr>
      </w:pPr>
    </w:p>
    <w:p>
      <w:pPr>
        <w:spacing w:line="128" w:lineRule="exact" w:before="0"/>
        <w:ind w:left="995" w:right="0" w:firstLine="0"/>
        <w:jc w:val="left"/>
        <w:rPr>
          <w:sz w:val="12"/>
        </w:rPr>
      </w:pPr>
      <w:r>
        <w:rPr/>
        <w:pict>
          <v:group style="position:absolute;margin-left:53.345001pt;margin-top:2.476143pt;width:152.25pt;height:122.8pt;mso-position-horizontal-relative:page;mso-position-vertical-relative:paragraph;z-index:-22616064" coordorigin="1067,50" coordsize="3045,2456">
            <v:line style="position:absolute" from="1074,1923" to="3961,1923" stroked="true" strokeweight=".5pt" strokecolor="#000000">
              <v:stroke dashstyle="solid"/>
            </v:line>
            <v:line style="position:absolute" from="1077,1605" to="1109,1440" stroked="true" strokeweight="1pt" strokecolor="#de0035">
              <v:stroke dashstyle="solid"/>
            </v:line>
            <v:line style="position:absolute" from="1127,1055" to="1127,1450" stroked="true" strokeweight="2.75pt" strokecolor="#de0035">
              <v:stroke dashstyle="solid"/>
            </v:line>
            <v:line style="position:absolute" from="1144,1065" to="1179,1215" stroked="true" strokeweight="1pt" strokecolor="#de0035">
              <v:stroke dashstyle="solid"/>
            </v:line>
            <v:line style="position:absolute" from="1197,1205" to="1197,1555" stroked="true" strokeweight="2.75pt" strokecolor="#de0035">
              <v:stroke dashstyle="solid"/>
            </v:line>
            <v:shape style="position:absolute;left:1214;top:1304;width:300;height:525" coordorigin="1214,1305" coordsize="300,525" path="m1214,1545l1249,1830m1249,1830l1272,1770m1272,1770l1307,1560m1307,1560l1342,1545m1342,1545l1374,1440m1374,1440l1409,1380m1409,1380l1444,1425m1444,1425l1479,1305m1479,1305l1514,1455e" filled="false" stroked="true" strokeweight="1pt" strokecolor="#de0035">
              <v:path arrowok="t"/>
              <v:stroke dashstyle="solid"/>
            </v:shape>
            <v:shape style="position:absolute;left:1504;top:1099;width:88;height:365" coordorigin="1504,1100" coordsize="88,365" path="m1592,1100l1557,1100,1537,1100,1504,1100,1504,1465,1557,1465,1557,1450,1592,1450,1592,1100xe" filled="true" fillcolor="#de0035" stroked="false">
              <v:path arrowok="t"/>
              <v:fill type="solid"/>
            </v:shape>
            <v:line style="position:absolute" from="1582,1440" to="1617,1215" stroked="true" strokeweight="1pt" strokecolor="#de0035">
              <v:stroke dashstyle="solid"/>
            </v:line>
            <v:line style="position:absolute" from="1628,1205" to="1628,1465" stroked="true" strokeweight="2.125pt" strokecolor="#de0035">
              <v:stroke dashstyle="solid"/>
            </v:line>
            <v:shape style="position:absolute;left:1639;top:1244;width:438;height:825" coordorigin="1639,1245" coordsize="438,825" path="m1639,1455l1674,1245m1674,1245l1709,1365m1709,1365l1744,1305m1744,1305l1779,1470m1779,1470l1812,1620m1812,1620l1847,1905m1847,1905l1882,2070m1882,2070l1917,2010m1917,2010l1952,1890m1952,1890l1974,1710m1974,1710l2009,1830m2009,1830l2042,1770m2042,1770l2077,1710e" filled="false" stroked="true" strokeweight="1pt" strokecolor="#de0035">
              <v:path arrowok="t"/>
              <v:stroke dashstyle="solid"/>
            </v:shape>
            <v:line style="position:absolute" from="2067,1711" to="2122,1711" stroked="true" strokeweight="1.125pt" strokecolor="#de0035">
              <v:stroke dashstyle="solid"/>
            </v:line>
            <v:shape style="position:absolute;left:2111;top:1619;width:230;height:405" coordorigin="2112,1620" coordsize="230,405" path="m2112,1710l2147,1800m2147,1800l2182,2025m2182,2025l2214,1725m2214,1725l2249,1680m2249,1680l2284,1665m2284,1665l2319,1770m2319,1770l2342,1620e" filled="false" stroked="true" strokeweight="1pt" strokecolor="#de0035">
              <v:path arrowok="t"/>
              <v:stroke dashstyle="solid"/>
            </v:shape>
            <v:line style="position:absolute" from="2359,1100" to="2359,1630" stroked="true" strokeweight="2.75pt" strokecolor="#de0035">
              <v:stroke dashstyle="solid"/>
            </v:line>
            <v:shape style="position:absolute;left:2376;top:869;width:70;height:240" coordorigin="2377,870" coordsize="70,240" path="m2377,1110l2412,930m2412,930l2447,870e" filled="false" stroked="true" strokeweight="1pt" strokecolor="#de0035">
              <v:path arrowok="t"/>
              <v:stroke dashstyle="solid"/>
            </v:shape>
            <v:line style="position:absolute" from="2463,860" to="2463,1285" stroked="true" strokeweight="2.625pt" strokecolor="#de0035">
              <v:stroke dashstyle="solid"/>
            </v:line>
            <v:shape style="position:absolute;left:2479;top:1274;width:70;height:285" coordorigin="2479,1275" coordsize="70,285" path="m2479,1275l2514,1455m2514,1455l2549,1560e" filled="false" stroked="true" strokeweight="1pt" strokecolor="#de0035">
              <v:path arrowok="t"/>
              <v:stroke dashstyle="solid"/>
            </v:shape>
            <v:line style="position:absolute" from="2567,1205" to="2567,1570" stroked="true" strokeweight="2.75pt" strokecolor="#de0035">
              <v:stroke dashstyle="solid"/>
            </v:line>
            <v:shape style="position:absolute;left:2584;top:749;width:333;height:720" coordorigin="2584,750" coordsize="333,720" path="m2584,1215l2619,1050m2619,1050l2652,1080m2652,1080l2687,1365m2687,1365l2709,1470m2709,1470l2744,1185m2744,1185l2779,885m2779,885l2814,750m2814,750l2849,960m2849,960l2882,1020m2882,1020l2917,1095e" filled="false" stroked="true" strokeweight="1pt" strokecolor="#de0035">
              <v:path arrowok="t"/>
              <v:stroke dashstyle="solid"/>
            </v:shape>
            <v:line style="position:absolute" from="2934,1085" to="2934,1495" stroked="true" strokeweight="2.75pt" strokecolor="#de0035">
              <v:stroke dashstyle="solid"/>
            </v:line>
            <v:shape style="position:absolute;left:2951;top:989;width:163;height:795" coordorigin="2952,990" coordsize="163,795" path="m2952,1485l2987,1590m2987,1590l3022,1785m3022,1785l3057,1155m3057,1155l3079,1140m3079,1140l3114,990e" filled="false" stroked="true" strokeweight="1pt" strokecolor="#de0035">
              <v:path arrowok="t"/>
              <v:stroke dashstyle="solid"/>
            </v:shape>
            <v:line style="position:absolute" from="3131,980" to="3131,1420" stroked="true" strokeweight="2.625pt" strokecolor="#de0035">
              <v:stroke dashstyle="solid"/>
            </v:line>
            <v:line style="position:absolute" from="3164,1400" to="3164,1780" stroked="true" strokeweight="2.75pt" strokecolor="#de0035">
              <v:stroke dashstyle="solid"/>
            </v:line>
            <v:shape style="position:absolute;left:3181;top:1694;width:105;height:255" coordorigin="3182,1695" coordsize="105,255" path="m3182,1770l3217,1740m3217,1740l3252,1950m3252,1950l3287,1695e" filled="false" stroked="true" strokeweight="1pt" strokecolor="#de0035">
              <v:path arrowok="t"/>
              <v:stroke dashstyle="solid"/>
            </v:shape>
            <v:line style="position:absolute" from="3303,1685" to="3303,2020" stroked="true" strokeweight="2.625pt" strokecolor="#de0035">
              <v:stroke dashstyle="solid"/>
            </v:line>
            <v:line style="position:absolute" from="3337,1610" to="3337,2020" stroked="true" strokeweight="2.75pt" strokecolor="#de0035">
              <v:stroke dashstyle="solid"/>
            </v:line>
            <v:shape style="position:absolute;left:3354;top:1619;width:163;height:330" coordorigin="3354,1620" coordsize="163,330" path="m3354,1620l3389,1830m3389,1830l3412,1650m3412,1650l3447,1950m3447,1950l3482,1650m3482,1650l3517,1635e" filled="false" stroked="true" strokeweight="1pt" strokecolor="#de0035">
              <v:path arrowok="t"/>
              <v:stroke dashstyle="solid"/>
            </v:shape>
            <v:line style="position:absolute" from="3534,1250" to="3534,1645" stroked="true" strokeweight="2.75pt" strokecolor="#de0035">
              <v:stroke dashstyle="solid"/>
            </v:line>
            <v:shape style="position:absolute;left:3551;top:1169;width:230;height:240" coordorigin="3552,1170" coordsize="230,240" path="m3552,1260l3584,1395m3584,1395l3619,1245m3619,1245l3654,1410m3654,1410l3689,1170m3689,1170l3724,1200m3724,1200l3757,1215m3757,1215l3782,1260e" filled="false" stroked="true" strokeweight="1pt" strokecolor="#de0035">
              <v:path arrowok="t"/>
              <v:stroke dashstyle="solid"/>
            </v:shape>
            <v:line style="position:absolute" from="3772,1261" to="3824,1261" stroked="true" strokeweight="1.125pt" strokecolor="#de0035">
              <v:stroke dashstyle="solid"/>
            </v:line>
            <v:shape style="position:absolute;left:3814;top:884;width:140;height:375" coordorigin="3814,885" coordsize="140,375" path="m3814,1260l3849,1110m3849,1110l3884,885m3884,885l3919,915m3919,915l3954,1065e" filled="false" stroked="true" strokeweight="1pt" strokecolor="#de0035">
              <v:path arrowok="t"/>
              <v:stroke dashstyle="solid"/>
            </v:shape>
            <v:shape style="position:absolute;left:1076;top:749;width:68;height:975" coordorigin="1077,750" coordsize="68,975" path="m1077,1725l1109,1035m1109,1035l1144,750e" filled="false" stroked="true" strokeweight="1pt" strokecolor="#0099d9">
              <v:path arrowok="t"/>
              <v:stroke dashstyle="solid"/>
            </v:shape>
            <v:line style="position:absolute" from="1134,751" to="1189,751" stroked="true" strokeweight="1.125pt" strokecolor="#0099d9">
              <v:stroke dashstyle="solid"/>
            </v:line>
            <v:shape style="position:absolute;left:1179;top:749;width:93;height:828" coordorigin="1179,750" coordsize="93,828" path="m1179,750l1214,1350m1214,1350l1249,1575m1249,1575l1272,1577e" filled="false" stroked="true" strokeweight="1pt" strokecolor="#0099d9">
              <v:path arrowok="t"/>
              <v:stroke dashstyle="solid"/>
            </v:shape>
            <v:line style="position:absolute" from="1289,1175" to="1289,1585" stroked="true" strokeweight="2.75pt" strokecolor="#0099d9">
              <v:stroke dashstyle="solid"/>
            </v:line>
            <v:shape style="position:absolute;left:1296;top:1054;width:228;height:440" type="#_x0000_t75" stroked="false">
              <v:imagedata r:id="rId88" o:title=""/>
            </v:shape>
            <v:shape style="position:absolute;left:1514;top:899;width:68;height:675" coordorigin="1514,900" coordsize="68,675" path="m1514,1485l1547,900m1547,900l1582,1575e" filled="false" stroked="true" strokeweight="1pt" strokecolor="#0099d9">
              <v:path arrowok="t"/>
              <v:stroke dashstyle="solid"/>
            </v:shape>
            <v:line style="position:absolute" from="1599,1160" to="1599,1585" stroked="true" strokeweight="2.75pt" strokecolor="#0099d9">
              <v:stroke dashstyle="solid"/>
            </v:line>
            <v:line style="position:absolute" from="1617,1170" to="1639,1620" stroked="true" strokeweight="1pt" strokecolor="#0099d9">
              <v:stroke dashstyle="solid"/>
            </v:line>
            <v:rect style="position:absolute;left:1629;top:1144;width:55;height:485" filled="true" fillcolor="#0099d9" stroked="false">
              <v:fill type="solid"/>
            </v:rect>
            <v:shape style="position:absolute;left:1674;top:1154;width:138;height:330" coordorigin="1674,1155" coordsize="138,330" path="m1674,1155l1709,1395m1709,1395l1744,1215m1744,1215l1779,1335m1779,1335l1812,1485e" filled="false" stroked="true" strokeweight="1pt" strokecolor="#0099d9">
              <v:path arrowok="t"/>
              <v:stroke dashstyle="solid"/>
            </v:shape>
            <v:line style="position:absolute" from="1829,1475" to="1829,1900" stroked="true" strokeweight="2.75pt" strokecolor="#0099d9">
              <v:stroke dashstyle="solid"/>
            </v:line>
            <v:shape style="position:absolute;left:1836;top:1549;width:355;height:485" type="#_x0000_t75" stroked="false">
              <v:imagedata r:id="rId89" o:title=""/>
            </v:shape>
            <v:shape style="position:absolute;left:2181;top:1139;width:103;height:825" coordorigin="2182,1140" coordsize="103,825" path="m2182,1965l2214,1140m2214,1140l2249,1230m2249,1230l2284,1335e" filled="false" stroked="true" strokeweight="1pt" strokecolor="#0099d9">
              <v:path arrowok="t"/>
              <v:stroke dashstyle="solid"/>
            </v:shape>
            <v:line style="position:absolute" from="2302,1325" to="2302,1870" stroked="true" strokeweight="2.75pt" strokecolor="#0099d9">
              <v:stroke dashstyle="solid"/>
            </v:line>
            <v:shape style="position:absolute;left:2319;top:419;width:93;height:1440" coordorigin="2319,420" coordsize="93,1440" path="m2319,1860l2342,1695m2342,1695l2377,1020m2377,1020l2412,420e" filled="false" stroked="true" strokeweight="1pt" strokecolor="#0099d9">
              <v:path arrowok="t"/>
              <v:stroke dashstyle="solid"/>
            </v:shape>
            <v:line style="position:absolute" from="2429,50" to="2429,430" stroked="true" strokeweight="2.75pt" strokecolor="#0099d9">
              <v:stroke dashstyle="solid"/>
            </v:line>
            <v:shape style="position:absolute;left:2446;top:59;width:68;height:1170" coordorigin="2447,60" coordsize="68,1170" path="m2447,60l2479,690m2479,690l2514,1230e" filled="false" stroked="true" strokeweight="1pt" strokecolor="#0099d9">
              <v:path arrowok="t"/>
              <v:stroke dashstyle="solid"/>
            </v:shape>
            <v:line style="position:absolute" from="2532,1220" to="2532,1735" stroked="true" strokeweight="2.75pt" strokecolor="#0099d9">
              <v:stroke dashstyle="solid"/>
            </v:line>
            <v:shape style="position:absolute;left:2549;top:959;width:103;height:765" coordorigin="2549,960" coordsize="103,765" path="m2549,1725l2584,1155m2584,1155l2619,1035m2619,1035l2652,960e" filled="false" stroked="true" strokeweight="1pt" strokecolor="#0099d9">
              <v:path arrowok="t"/>
              <v:stroke dashstyle="solid"/>
            </v:shape>
            <v:line style="position:absolute" from="2669,950" to="2669,1435" stroked="true" strokeweight="2.75pt" strokecolor="#0099d9">
              <v:stroke dashstyle="solid"/>
            </v:line>
            <v:line style="position:absolute" from="2687,1425" to="2709,1395" stroked="true" strokeweight="1pt" strokecolor="#0099d9">
              <v:stroke dashstyle="solid"/>
            </v:line>
            <v:shape style="position:absolute;left:2726;top:589;width:35;height:815" coordorigin="2727,590" coordsize="35,815" path="m2727,1040l2727,1405m2762,590l2762,1060e" filled="false" stroked="true" strokeweight="2.75pt" strokecolor="#0099d9">
              <v:path arrowok="t"/>
              <v:stroke dashstyle="solid"/>
            </v:shape>
            <v:shape style="position:absolute;left:2779;top:269;width:278;height:2010" coordorigin="2779,270" coordsize="278,2010" path="m2779,600l2814,525m2814,525l2849,270m2849,270l2882,315m2882,315l2917,480m2917,480l2952,1980m2952,1980l2987,2190m2987,2190l3022,2280m3022,2280l3057,855e" filled="false" stroked="true" strokeweight="1pt" strokecolor="#0099d9">
              <v:path arrowok="t"/>
              <v:stroke dashstyle="solid"/>
            </v:shape>
            <v:line style="position:absolute" from="3068,845" to="3068,1105" stroked="true" strokeweight="2.125pt" strokecolor="#0099d9">
              <v:stroke dashstyle="solid"/>
            </v:line>
            <v:shape style="position:absolute;left:3079;top:989;width:138;height:810" coordorigin="3079,990" coordsize="138,810" path="m3079,1095l3114,990m3114,990l3147,1605m3147,1605l3182,1800m3182,1800l3217,1575e" filled="false" stroked="true" strokeweight="1pt" strokecolor="#0099d9">
              <v:path arrowok="t"/>
              <v:stroke dashstyle="solid"/>
            </v:shape>
            <v:shape style="position:absolute;left:3234;top:1564;width:35;height:515" coordorigin="3234,1565" coordsize="35,515" path="m3234,1565l3234,2080m3269,1610l3269,2080e" filled="false" stroked="true" strokeweight="2.75pt" strokecolor="#0099d9">
              <v:path arrowok="t"/>
              <v:stroke dashstyle="solid"/>
            </v:shape>
            <v:shape style="position:absolute;left:3286;top:1319;width:230;height:1050" coordorigin="3287,1320" coordsize="230,1050" path="m3287,1620l3319,2370m3319,2370l3354,1410m3354,1410l3389,1950m3389,1950l3412,1470m3412,1470l3447,2010m3447,2010l3482,1395m3482,1395l3517,1320e" filled="false" stroked="true" strokeweight="1pt" strokecolor="#0099d9">
              <v:path arrowok="t"/>
              <v:stroke dashstyle="solid"/>
            </v:shape>
            <v:line style="position:absolute" from="3534,860" to="3534,1330" stroked="true" strokeweight="2.75pt" strokecolor="#0099d9">
              <v:stroke dashstyle="solid"/>
            </v:line>
            <v:shape style="position:absolute;left:3551;top:749;width:368;height:510" coordorigin="3552,750" coordsize="368,510" path="m3552,870l3584,1005m3584,1005l3619,825m3619,825l3654,930m3654,930l3689,795m3689,795l3724,855m3724,855l3757,1095m3757,1095l3782,1125m3782,1125l3814,1260m3814,1260l3849,1140m3849,1140l3884,840m3884,840l3919,750e" filled="false" stroked="true" strokeweight="1pt" strokecolor="#0099d9">
              <v:path arrowok="t"/>
              <v:stroke dashstyle="solid"/>
            </v:shape>
            <v:line style="position:absolute" from="3937,395" to="3937,760" stroked="true" strokeweight="2.75pt" strokecolor="#0099d9">
              <v:stroke dashstyle="solid"/>
            </v:line>
            <v:shape style="position:absolute;left:1076;top:1289;width:138;height:645" coordorigin="1077,1290" coordsize="138,645" path="m1077,1290l1109,1575m1109,1575l1144,1620m1144,1620l1179,1905m1179,1905l1214,1935e" filled="false" stroked="true" strokeweight="1pt" strokecolor="#44af34">
              <v:path arrowok="t"/>
              <v:stroke dashstyle="solid"/>
            </v:shape>
            <v:line style="position:absolute" from="1204,1936" to="1259,1936" stroked="true" strokeweight="1.125pt" strokecolor="#44af34">
              <v:stroke dashstyle="solid"/>
            </v:line>
            <v:shape style="position:absolute;left:1249;top:1154;width:703;height:780" coordorigin="1249,1155" coordsize="703,780" path="m1249,1935l1272,1845m1272,1845l1307,1800m1307,1800l1342,1905m1342,1905l1374,1665m1374,1665l1409,1500m1409,1500l1444,1260m1444,1260l1479,1155m1479,1155l1514,1200m1514,1200l1547,1335m1547,1335l1582,1470m1582,1470l1617,1485m1617,1485l1639,1350m1639,1350l1674,1200m1674,1200l1709,1185m1709,1185l1744,1320m1744,1320l1779,1635m1779,1635l1812,1650m1812,1650l1847,1740m1847,1740l1882,1800m1882,1800l1917,1905m1917,1905l1952,1845e" filled="false" stroked="true" strokeweight="1pt" strokecolor="#44af34">
              <v:path arrowok="t"/>
              <v:stroke dashstyle="solid"/>
            </v:shape>
            <v:line style="position:absolute" from="1963,1565" to="1963,1855" stroked="true" strokeweight="2.125pt" strokecolor="#44af34">
              <v:stroke dashstyle="solid"/>
            </v:line>
            <v:line style="position:absolute" from="1964,1576" to="2019,1576" stroked="true" strokeweight="1.125pt" strokecolor="#44af34">
              <v:stroke dashstyle="solid"/>
            </v:line>
            <v:shape style="position:absolute;left:2009;top:1094;width:678;height:1095" coordorigin="2009,1095" coordsize="678,1095" path="m2009,1575l2042,1500m2042,1500l2077,1605m2077,1605l2112,1455m2112,1455l2147,1680m2147,1680l2182,1890m2182,1890l2214,2190m2214,2190l2249,2010m2249,2010l2284,1890m2284,1890l2319,1620m2319,1620l2342,1680m2342,1680l2377,1485m2377,1485l2412,1530m2412,1530l2447,1650m2447,1650l2479,1725m2479,1725l2514,1740m2514,1740l2549,1455m2549,1455l2584,1365m2584,1365l2619,1095m2619,1095l2652,1125m2652,1125l2687,1155e" filled="false" stroked="true" strokeweight="1pt" strokecolor="#44af34">
              <v:path arrowok="t"/>
              <v:stroke dashstyle="solid"/>
            </v:shape>
            <v:line style="position:absolute" from="2698,1145" to="2698,1420" stroked="true" strokeweight="2.125pt" strokecolor="#44af34">
              <v:stroke dashstyle="solid"/>
            </v:line>
            <v:shape style="position:absolute;left:2709;top:779;width:278;height:1155" coordorigin="2709,780" coordsize="278,1155" path="m2709,1410l2744,1200m2744,1200l2779,1245m2779,1245l2814,1155m2814,1155l2849,1935m2849,1935l2882,1875m2882,1875l2917,1710m2917,1710l2952,795m2952,795l2987,780e" filled="false" stroked="true" strokeweight="1pt" strokecolor="#44af34">
              <v:path arrowok="t"/>
              <v:stroke dashstyle="solid"/>
            </v:shape>
            <v:shape style="position:absolute;left:3004;top:769;width:35;height:845" coordorigin="3004,770" coordsize="35,845" path="m3004,770l3004,1225m3039,1205l3039,1615e" filled="false" stroked="true" strokeweight="2.75pt" strokecolor="#44af34">
              <v:path arrowok="t"/>
              <v:stroke dashstyle="solid"/>
            </v:shape>
            <v:line style="position:absolute" from="3068,1340" to="3068,1615" stroked="true" strokeweight="2.125pt" strokecolor="#44af34">
              <v:stroke dashstyle="solid"/>
            </v:line>
            <v:shape style="position:absolute;left:3079;top:1064;width:103;height:645" coordorigin="3079,1065" coordsize="103,645" path="m3079,1350l3114,1065m3114,1065l3147,1125m3147,1125l3182,1710e" filled="false" stroked="true" strokeweight="1pt" strokecolor="#44af34">
              <v:path arrowok="t"/>
              <v:stroke dashstyle="solid"/>
            </v:shape>
            <v:shape style="position:absolute;left:3171;top:1654;width:493;height:368" type="#_x0000_t75" stroked="false">
              <v:imagedata r:id="rId90" o:title=""/>
            </v:shape>
            <v:line style="position:absolute" from="3672,1430" to="3672,1870" stroked="true" strokeweight="2.75pt" strokecolor="#44af34">
              <v:stroke dashstyle="solid"/>
            </v:line>
            <v:shape style="position:absolute;left:3679;top:829;width:250;height:623" type="#_x0000_t75" stroked="false">
              <v:imagedata r:id="rId91" o:title=""/>
            </v:shape>
            <v:line style="position:absolute" from="3919,945" to="3954,1815" stroked="true" strokeweight="1pt" strokecolor="#44af34">
              <v:stroke dashstyle="solid"/>
            </v:line>
            <v:shape style="position:absolute;left:2845;top:419;width:391;height:322" type="#_x0000_t75" stroked="false">
              <v:imagedata r:id="rId92" o:title=""/>
            </v:shape>
            <v:shape style="position:absolute;left:1077;top:194;width:3035;height:2306" coordorigin="1077,195" coordsize="3035,2306" path="m1080,2500l3961,2500m1077,2433l1077,2500m1479,2433l1479,2500m1880,2433l1880,2500m2282,2433l2282,2500m2683,2433l2683,2500m3085,2433l3085,2500m3486,2433l3486,2500m3888,2433l3888,2500m4025,195l4112,195m4025,771l4112,771m4025,1923l4112,1923m4025,1347l4112,1347m4025,2500l4112,2500e" filled="false" stroked="true" strokeweight=".5pt" strokecolor="#000000">
              <v:path arrowok="t"/>
              <v:stroke dashstyle="solid"/>
            </v:shape>
            <w10:wrap type="none"/>
          </v:group>
        </w:pict>
      </w:r>
      <w:r>
        <w:rPr>
          <w:sz w:val="12"/>
        </w:rPr>
        <w:t>Non-food stores</w:t>
      </w:r>
    </w:p>
    <w:p>
      <w:pPr>
        <w:spacing w:line="128" w:lineRule="exact" w:before="0"/>
        <w:ind w:left="3530" w:right="0" w:firstLine="0"/>
        <w:jc w:val="left"/>
        <w:rPr>
          <w:sz w:val="12"/>
        </w:rPr>
      </w:pPr>
      <w:r>
        <w:rPr/>
        <w:pict>
          <v:line style="position:absolute;mso-position-horizontal-relative:page;mso-position-vertical-relative:paragraph;z-index:15995904" from="44.928001pt,3.342725pt" to="49.262001pt,3.342725pt" stroked="true" strokeweight=".5pt" strokecolor="#000000">
            <v:stroke dashstyle="solid"/>
            <w10:wrap type="none"/>
          </v:line>
        </w:pict>
      </w:r>
      <w:r>
        <w:rPr>
          <w:sz w:val="12"/>
        </w:rPr>
        <w:t>3</w:t>
      </w:r>
    </w:p>
    <w:p>
      <w:pPr>
        <w:spacing w:before="80"/>
        <w:ind w:left="0" w:right="767" w:firstLine="0"/>
        <w:jc w:val="right"/>
        <w:rPr>
          <w:sz w:val="12"/>
        </w:rPr>
      </w:pPr>
      <w:r>
        <w:rPr>
          <w:sz w:val="12"/>
        </w:rPr>
        <w:t>Total</w:t>
      </w:r>
    </w:p>
    <w:p>
      <w:pPr>
        <w:pStyle w:val="BodyText"/>
        <w:rPr>
          <w:sz w:val="12"/>
        </w:rPr>
      </w:pPr>
    </w:p>
    <w:p>
      <w:pPr>
        <w:spacing w:before="82"/>
        <w:ind w:left="3530" w:right="0" w:firstLine="0"/>
        <w:jc w:val="left"/>
        <w:rPr>
          <w:sz w:val="12"/>
        </w:rPr>
      </w:pPr>
      <w:r>
        <w:rPr/>
        <w:pict>
          <v:line style="position:absolute;mso-position-horizontal-relative:page;mso-position-vertical-relative:paragraph;z-index:15996416" from="44.928001pt,7.961671pt" to="49.262001pt,7.961671pt" stroked="true" strokeweight=".5pt" strokecolor="#000000">
            <v:stroke dashstyle="solid"/>
            <w10:wrap type="none"/>
          </v:line>
        </w:pict>
      </w:r>
      <w:r>
        <w:rPr>
          <w:sz w:val="12"/>
        </w:rPr>
        <w:t>2</w:t>
      </w:r>
    </w:p>
    <w:p>
      <w:pPr>
        <w:pStyle w:val="BodyText"/>
        <w:rPr>
          <w:sz w:val="12"/>
        </w:rPr>
      </w:pPr>
    </w:p>
    <w:p>
      <w:pPr>
        <w:pStyle w:val="BodyText"/>
        <w:rPr>
          <w:sz w:val="12"/>
        </w:rPr>
      </w:pPr>
    </w:p>
    <w:p>
      <w:pPr>
        <w:pStyle w:val="BodyText"/>
        <w:spacing w:before="1"/>
        <w:rPr>
          <w:sz w:val="14"/>
        </w:rPr>
      </w:pPr>
    </w:p>
    <w:p>
      <w:pPr>
        <w:spacing w:before="0"/>
        <w:ind w:left="3530" w:right="0" w:firstLine="0"/>
        <w:jc w:val="left"/>
        <w:rPr>
          <w:sz w:val="12"/>
        </w:rPr>
      </w:pPr>
      <w:r>
        <w:rPr/>
        <w:pict>
          <v:line style="position:absolute;mso-position-horizontal-relative:page;mso-position-vertical-relative:paragraph;z-index:15996928" from="44.928001pt,3.871684pt" to="49.262001pt,3.871684pt" stroked="true" strokeweight=".5pt" strokecolor="#000000">
            <v:stroke dashstyle="solid"/>
            <w10:wrap type="none"/>
          </v:line>
        </w:pict>
      </w:r>
      <w:r>
        <w:rPr>
          <w:sz w:val="12"/>
        </w:rPr>
        <w:t>1</w:t>
      </w:r>
    </w:p>
    <w:p>
      <w:pPr>
        <w:pStyle w:val="Heading6"/>
        <w:spacing w:line="242" w:lineRule="auto" w:before="207"/>
        <w:ind w:left="164" w:right="212"/>
      </w:pPr>
      <w:r>
        <w:rPr/>
        <w:br w:type="column"/>
      </w:r>
      <w:r>
        <w:rPr/>
        <w:t>1999 Q4 (see Chart 2.8). It rose by 3.0%, reversing the decline observed in the previous quarter, and was 4.7% higher than a year earlier. Within total disposable income, labour income grew rapidly, but there was also</w:t>
      </w:r>
      <w:r>
        <w:rPr>
          <w:spacing w:val="-30"/>
        </w:rPr>
        <w:t> </w:t>
      </w:r>
      <w:r>
        <w:rPr>
          <w:spacing w:val="-15"/>
        </w:rPr>
        <w:t>a </w:t>
      </w:r>
      <w:r>
        <w:rPr/>
        <w:t>rebound in non-labour income, reflecting the unwinding of the effects on dividends of the abolition of Advance Corporation </w:t>
      </w:r>
      <w:r>
        <w:rPr>
          <w:spacing w:val="-7"/>
        </w:rPr>
        <w:t>Tax </w:t>
      </w:r>
      <w:r>
        <w:rPr>
          <w:spacing w:val="-3"/>
        </w:rPr>
        <w:t>(ACT). </w:t>
      </w:r>
      <w:r>
        <w:rPr/>
        <w:t>Estimates of personal sector wealth </w:t>
      </w:r>
      <w:r>
        <w:rPr>
          <w:spacing w:val="-3"/>
        </w:rPr>
        <w:t>have </w:t>
      </w:r>
      <w:r>
        <w:rPr/>
        <w:t>been revised down since the February </w:t>
      </w:r>
      <w:r>
        <w:rPr>
          <w:i/>
        </w:rPr>
        <w:t>Report </w:t>
      </w:r>
      <w:r>
        <w:rPr/>
        <w:t>and wealth declined in 1999 Q3, as equity prices fell in that </w:t>
      </w:r>
      <w:r>
        <w:rPr>
          <w:spacing w:val="-3"/>
        </w:rPr>
        <w:t>quarter. </w:t>
      </w:r>
      <w:r>
        <w:rPr/>
        <w:t>But equity prices recovered strongly in Q4 and real net financial wealth rose by more</w:t>
      </w:r>
      <w:r>
        <w:rPr>
          <w:spacing w:val="-3"/>
        </w:rPr>
        <w:t> </w:t>
      </w:r>
      <w:r>
        <w:rPr/>
        <w:t>than</w:t>
      </w:r>
    </w:p>
    <w:p>
      <w:pPr>
        <w:spacing w:after="0" w:line="242" w:lineRule="auto"/>
        <w:sectPr>
          <w:type w:val="continuous"/>
          <w:pgSz w:w="11900" w:h="16840"/>
          <w:pgMar w:top="1220" w:bottom="280" w:left="640" w:right="620"/>
          <w:cols w:num="2" w:equalWidth="0">
            <w:col w:w="3631" w:space="1159"/>
            <w:col w:w="5850"/>
          </w:cols>
        </w:sectPr>
      </w:pPr>
    </w:p>
    <w:p>
      <w:pPr>
        <w:pStyle w:val="BodyText"/>
        <w:spacing w:before="2"/>
        <w:rPr>
          <w:sz w:val="20"/>
        </w:rPr>
      </w:pPr>
    </w:p>
    <w:p>
      <w:pPr>
        <w:pStyle w:val="BodyText"/>
        <w:spacing w:line="20" w:lineRule="exact"/>
        <w:ind w:left="253"/>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11"/>
        <w:rPr>
          <w:sz w:val="24"/>
        </w:rPr>
      </w:pPr>
      <w:r>
        <w:rPr/>
        <w:pict>
          <v:shape style="position:absolute;margin-left:44.928001pt;margin-top:16.561977pt;width:4.350pt;height:.1pt;mso-position-horizontal-relative:page;mso-position-vertical-relative:paragraph;z-index:-15462912;mso-wrap-distance-left:0;mso-wrap-distance-right:0" coordorigin="899,331" coordsize="87,0" path="m899,331l985,331e" filled="false" stroked="true" strokeweight=".5pt" strokecolor="#000000">
            <v:path arrowok="t"/>
            <v:stroke dashstyle="solid"/>
            <w10:wrap type="topAndBottom"/>
          </v:shape>
        </w:pict>
      </w:r>
    </w:p>
    <w:p>
      <w:pPr>
        <w:tabs>
          <w:tab w:pos="989" w:val="left" w:leader="none"/>
        </w:tabs>
        <w:spacing w:before="0"/>
        <w:ind w:left="516" w:right="0" w:firstLine="0"/>
        <w:jc w:val="left"/>
        <w:rPr>
          <w:sz w:val="12"/>
        </w:rPr>
      </w:pPr>
      <w:r>
        <w:rPr>
          <w:sz w:val="12"/>
        </w:rPr>
        <w:t>1993</w:t>
        <w:tab/>
        <w:t>94</w:t>
      </w:r>
    </w:p>
    <w:p>
      <w:pPr>
        <w:pStyle w:val="BodyText"/>
        <w:rPr>
          <w:sz w:val="12"/>
        </w:rPr>
      </w:pPr>
    </w:p>
    <w:p>
      <w:pPr>
        <w:pStyle w:val="BodyText"/>
        <w:rPr>
          <w:sz w:val="12"/>
        </w:rPr>
      </w:pPr>
    </w:p>
    <w:p>
      <w:pPr>
        <w:spacing w:before="100"/>
        <w:ind w:left="184" w:right="0" w:firstLine="0"/>
        <w:jc w:val="left"/>
        <w:rPr>
          <w:b/>
          <w:sz w:val="20"/>
        </w:rPr>
      </w:pPr>
      <w:r>
        <w:rPr>
          <w:b/>
          <w:color w:val="0092C7"/>
          <w:sz w:val="20"/>
        </w:rPr>
        <w:t>Chart 2.8</w:t>
      </w:r>
    </w:p>
    <w:p>
      <w:pPr>
        <w:pStyle w:val="BodyText"/>
        <w:rPr>
          <w:b/>
          <w:sz w:val="12"/>
        </w:rPr>
      </w:pPr>
      <w:r>
        <w:rPr/>
        <w:br w:type="column"/>
      </w:r>
      <w:r>
        <w:rPr>
          <w:b/>
          <w:sz w:val="12"/>
        </w:rPr>
      </w:r>
    </w:p>
    <w:p>
      <w:pPr>
        <w:pStyle w:val="BodyText"/>
        <w:rPr>
          <w:b/>
          <w:sz w:val="12"/>
        </w:rPr>
      </w:pPr>
    </w:p>
    <w:p>
      <w:pPr>
        <w:pStyle w:val="BodyText"/>
        <w:spacing w:before="10"/>
        <w:rPr>
          <w:b/>
          <w:sz w:val="12"/>
        </w:rPr>
      </w:pPr>
    </w:p>
    <w:p>
      <w:pPr>
        <w:spacing w:before="0"/>
        <w:ind w:left="403" w:right="0" w:firstLine="0"/>
        <w:jc w:val="left"/>
        <w:rPr>
          <w:sz w:val="12"/>
        </w:rPr>
      </w:pPr>
      <w:r>
        <w:rPr>
          <w:sz w:val="12"/>
        </w:rPr>
        <w:t>Food stores</w:t>
      </w:r>
    </w:p>
    <w:p>
      <w:pPr>
        <w:pStyle w:val="BodyText"/>
        <w:rPr>
          <w:sz w:val="12"/>
        </w:rPr>
      </w:pPr>
    </w:p>
    <w:p>
      <w:pPr>
        <w:pStyle w:val="BodyText"/>
        <w:spacing w:before="1"/>
        <w:rPr>
          <w:sz w:val="12"/>
        </w:rPr>
      </w:pPr>
    </w:p>
    <w:p>
      <w:pPr>
        <w:tabs>
          <w:tab w:pos="586" w:val="left" w:leader="none"/>
          <w:tab w:pos="991" w:val="left" w:leader="none"/>
          <w:tab w:pos="1381" w:val="left" w:leader="none"/>
        </w:tabs>
        <w:spacing w:before="0"/>
        <w:ind w:left="184" w:right="0" w:firstLine="0"/>
        <w:jc w:val="left"/>
        <w:rPr>
          <w:sz w:val="12"/>
        </w:rPr>
      </w:pPr>
      <w:r>
        <w:rPr>
          <w:sz w:val="12"/>
        </w:rPr>
        <w:t>95</w:t>
        <w:tab/>
        <w:t>96</w:t>
        <w:tab/>
        <w:t>97</w:t>
        <w:tab/>
        <w:t>98</w:t>
      </w:r>
    </w:p>
    <w:p>
      <w:pPr>
        <w:spacing w:line="164" w:lineRule="exact" w:before="0"/>
        <w:ind w:left="650" w:right="0" w:firstLine="0"/>
        <w:jc w:val="left"/>
        <w:rPr>
          <w:sz w:val="16"/>
        </w:rPr>
      </w:pPr>
      <w:r>
        <w:rPr/>
        <w:br w:type="column"/>
      </w:r>
      <w:r>
        <w:rPr>
          <w:sz w:val="16"/>
        </w:rPr>
        <w:t>+</w:t>
      </w:r>
    </w:p>
    <w:p>
      <w:pPr>
        <w:spacing w:line="114" w:lineRule="exact" w:before="0"/>
        <w:ind w:left="732" w:right="0" w:firstLine="0"/>
        <w:jc w:val="left"/>
        <w:rPr>
          <w:sz w:val="12"/>
        </w:rPr>
      </w:pPr>
      <w:r>
        <w:rPr>
          <w:sz w:val="12"/>
        </w:rPr>
        <w:t>0</w:t>
      </w:r>
    </w:p>
    <w:p>
      <w:pPr>
        <w:spacing w:line="164" w:lineRule="exact" w:before="0"/>
        <w:ind w:left="663" w:right="0" w:firstLine="0"/>
        <w:jc w:val="left"/>
        <w:rPr>
          <w:sz w:val="16"/>
        </w:rPr>
      </w:pPr>
      <w:r>
        <w:rPr>
          <w:sz w:val="16"/>
        </w:rPr>
        <w:t>_</w:t>
      </w:r>
    </w:p>
    <w:p>
      <w:pPr>
        <w:pStyle w:val="BodyText"/>
        <w:spacing w:before="6"/>
        <w:rPr>
          <w:sz w:val="25"/>
        </w:rPr>
      </w:pPr>
    </w:p>
    <w:p>
      <w:pPr>
        <w:spacing w:line="121" w:lineRule="exact" w:before="0"/>
        <w:ind w:left="732" w:right="0" w:firstLine="0"/>
        <w:jc w:val="left"/>
        <w:rPr>
          <w:sz w:val="12"/>
        </w:rPr>
      </w:pPr>
      <w:r>
        <w:rPr>
          <w:sz w:val="12"/>
        </w:rPr>
        <w:t>1</w:t>
      </w:r>
    </w:p>
    <w:p>
      <w:pPr>
        <w:spacing w:line="121" w:lineRule="exact" w:before="0"/>
        <w:ind w:left="184" w:right="0" w:firstLine="0"/>
        <w:jc w:val="left"/>
        <w:rPr>
          <w:sz w:val="12"/>
        </w:rPr>
      </w:pPr>
      <w:r>
        <w:rPr>
          <w:sz w:val="12"/>
        </w:rPr>
        <w:t>99    2000</w:t>
      </w:r>
    </w:p>
    <w:p>
      <w:pPr>
        <w:pStyle w:val="Heading6"/>
        <w:spacing w:line="280" w:lineRule="atLeast" w:before="10"/>
        <w:ind w:left="184" w:right="173"/>
      </w:pPr>
      <w:r>
        <w:rPr/>
        <w:br w:type="column"/>
      </w:r>
      <w:r>
        <w:rPr/>
        <w:t>10%, to a level 7.2% higher than a year earlier. Housing wealth also rose markedly in the last quarter of 1999, </w:t>
      </w:r>
      <w:r>
        <w:rPr>
          <w:spacing w:val="-6"/>
        </w:rPr>
        <w:t>and </w:t>
      </w:r>
      <w:r>
        <w:rPr/>
        <w:t>significant increases in house prices in 2000 Q1 are likely to </w:t>
      </w:r>
      <w:r>
        <w:rPr>
          <w:spacing w:val="-3"/>
        </w:rPr>
        <w:t>have </w:t>
      </w:r>
      <w:r>
        <w:rPr/>
        <w:t>increased it further since then. Annual growth in total lending to individuals also picked up further in Q1, to its highest rate since 1991 Q3, mainly</w:t>
      </w:r>
    </w:p>
    <w:p>
      <w:pPr>
        <w:spacing w:after="0" w:line="280" w:lineRule="atLeast"/>
        <w:sectPr>
          <w:type w:val="continuous"/>
          <w:pgSz w:w="11900" w:h="16840"/>
          <w:pgMar w:top="1220" w:bottom="280" w:left="640" w:right="620"/>
          <w:cols w:num="4" w:equalWidth="0">
            <w:col w:w="1150" w:space="58"/>
            <w:col w:w="1542" w:space="47"/>
            <w:col w:w="833" w:space="1140"/>
            <w:col w:w="5870"/>
          </w:cols>
        </w:sectPr>
      </w:pPr>
    </w:p>
    <w:p>
      <w:pPr>
        <w:spacing w:line="134" w:lineRule="exact" w:before="0"/>
        <w:ind w:left="184" w:right="0" w:firstLine="0"/>
        <w:jc w:val="left"/>
        <w:rPr>
          <w:sz w:val="12"/>
        </w:rPr>
      </w:pPr>
      <w:r>
        <w:rPr>
          <w:b/>
          <w:color w:val="0092C7"/>
          <w:sz w:val="20"/>
        </w:rPr>
        <w:t>Real household post-tax income</w:t>
      </w:r>
      <w:r>
        <w:rPr>
          <w:position w:val="4"/>
          <w:sz w:val="12"/>
        </w:rPr>
        <w:t>(a)</w:t>
      </w:r>
    </w:p>
    <w:p>
      <w:pPr>
        <w:spacing w:line="116" w:lineRule="exact" w:before="170"/>
        <w:ind w:left="1656" w:right="0" w:firstLine="0"/>
        <w:jc w:val="left"/>
        <w:rPr>
          <w:sz w:val="12"/>
        </w:rPr>
      </w:pPr>
      <w:r>
        <w:rPr>
          <w:sz w:val="12"/>
        </w:rPr>
        <w:t>Percentage changes on a quarter earlier</w:t>
      </w:r>
    </w:p>
    <w:p>
      <w:pPr>
        <w:spacing w:line="116" w:lineRule="exact" w:before="0"/>
        <w:ind w:left="3576" w:right="0" w:firstLine="0"/>
        <w:jc w:val="left"/>
        <w:rPr>
          <w:sz w:val="12"/>
        </w:rPr>
      </w:pPr>
      <w:r>
        <w:rPr/>
        <w:pict>
          <v:line style="position:absolute;mso-position-horizontal-relative:page;mso-position-vertical-relative:paragraph;z-index:16003584" from="50.887001pt,2.599550pt" to="46.553001pt,2.599550pt" stroked="true" strokeweight=".5pt" strokecolor="#000000">
            <v:stroke dashstyle="solid"/>
            <w10:wrap type="none"/>
          </v:line>
        </w:pict>
      </w:r>
      <w:r>
        <w:rPr/>
        <w:pict>
          <v:line style="position:absolute;mso-position-horizontal-relative:page;mso-position-vertical-relative:paragraph;z-index:16004096" from="208.533005pt,2.60455pt" to="204.199005pt,2.60455pt" stroked="true" strokeweight=".5pt" strokecolor="#000000">
            <v:stroke dashstyle="solid"/>
            <w10:wrap type="none"/>
          </v:line>
        </w:pict>
      </w:r>
      <w:r>
        <w:rPr>
          <w:sz w:val="12"/>
        </w:rPr>
        <w:t>20</w:t>
      </w:r>
    </w:p>
    <w:p>
      <w:pPr>
        <w:pStyle w:val="BodyText"/>
        <w:rPr>
          <w:sz w:val="12"/>
        </w:rPr>
      </w:pPr>
    </w:p>
    <w:p>
      <w:pPr>
        <w:pStyle w:val="BodyText"/>
        <w:spacing w:before="9"/>
        <w:rPr>
          <w:sz w:val="11"/>
        </w:rPr>
      </w:pPr>
    </w:p>
    <w:p>
      <w:pPr>
        <w:spacing w:before="1"/>
        <w:ind w:left="0" w:right="38" w:firstLine="0"/>
        <w:jc w:val="right"/>
        <w:rPr>
          <w:sz w:val="12"/>
        </w:rPr>
      </w:pPr>
      <w:r>
        <w:rPr/>
        <w:pict>
          <v:group style="position:absolute;margin-left:46.553001pt;margin-top:-3.723834pt;width:162pt;height:131.2pt;mso-position-horizontal-relative:page;mso-position-vertical-relative:paragraph;z-index:16000000" coordorigin="931,-74" coordsize="3240,2624">
            <v:shape style="position:absolute;left:1099;top:1208;width:213;height:78" coordorigin="1099,1208" coordsize="213,78" path="m1099,1286l1212,1208m1212,1208l1312,1256e" filled="false" stroked="true" strokeweight="1pt" strokecolor="#006caa">
              <v:path arrowok="t"/>
              <v:stroke dashstyle="solid"/>
            </v:shape>
            <v:line style="position:absolute" from="1302,1257" to="1434,1257" stroked="true" strokeweight="1.125pt" strokecolor="#006caa">
              <v:stroke dashstyle="solid"/>
            </v:line>
            <v:shape style="position:absolute;left:1424;top:1160;width:2033;height:270" coordorigin="1424,1161" coordsize="2033,270" path="m1424,1256l1522,1286m1522,1286l1634,1431m1634,1431l1747,1286m1747,1286l1847,1161m1847,1161l1959,1366m1959,1366l2059,1351m2059,1351l2172,1256m2172,1256l2284,1286m2284,1286l2384,1191m2384,1191l2497,1238m2497,1238l2597,1383m2597,1383l2707,1223m2707,1223l2807,1161m2807,1161l2919,1223m2919,1223l3032,1256m3032,1256l3132,1286m3132,1286l3244,1383m3244,1383l3344,1303m3344,1303l3457,1238e" filled="false" stroked="true" strokeweight="1pt" strokecolor="#006caa">
              <v:path arrowok="t"/>
              <v:stroke dashstyle="solid"/>
            </v:shape>
            <v:line style="position:absolute" from="3447,1239" to="3579,1239" stroked="true" strokeweight="1.125pt" strokecolor="#006caa">
              <v:stroke dashstyle="solid"/>
            </v:line>
            <v:line style="position:absolute" from="3569,1238" to="3669,1271" stroked="true" strokeweight="1pt" strokecolor="#006caa">
              <v:stroke dashstyle="solid"/>
            </v:line>
            <v:line style="position:absolute" from="3659,1272" to="3792,1272" stroked="true" strokeweight="1.125pt" strokecolor="#006caa">
              <v:stroke dashstyle="solid"/>
            </v:line>
            <v:shape style="position:absolute;left:3781;top:1080;width:210;height:190" coordorigin="3782,1081" coordsize="210,190" path="m3782,1271l3879,1256m3879,1256l3992,1081e" filled="false" stroked="true" strokeweight="1pt" strokecolor="#006caa">
              <v:path arrowok="t"/>
              <v:stroke dashstyle="solid"/>
            </v:shape>
            <v:shape style="position:absolute;left:1099;top:570;width:1933;height:1400" coordorigin="1099,571" coordsize="1933,1400" path="m1099,1653l1212,1176m1212,1176l1312,1351m1312,1351l1424,968m1424,968l1522,1971m1522,1971l1634,888m1634,888l1747,731m1747,731l1847,1383m1847,1383l1959,713m1959,713l2059,1336m2059,1336l2172,1318m2172,1318l2284,1016m2284,1016l2384,921m2384,921l2497,1748m2497,1748l2597,1096m2597,1096l2707,1318m2707,1318l2807,1128m2807,1128l2919,571m2919,571l3032,1668e" filled="false" stroked="true" strokeweight="1pt" strokecolor="#f6bd61">
              <v:path arrowok="t"/>
              <v:stroke dashstyle="solid"/>
            </v:shape>
            <v:line style="position:absolute" from="3022,1669" to="3142,1669" stroked="true" strokeweight="1.125pt" strokecolor="#f6bd61">
              <v:stroke dashstyle="solid"/>
            </v:line>
            <v:shape style="position:absolute;left:3131;top:-65;width:860;height:2480" coordorigin="3132,-64" coordsize="860,2480" path="m3132,1668l3244,1096m3244,1096l3344,1781m3344,1781l3457,1303m3457,1303l3569,1096m3569,1096l3669,1256m3669,1256l3782,-64m3782,-64l3879,2416m3879,2416l3992,968e" filled="false" stroked="true" strokeweight="1pt" strokecolor="#f6bd61">
              <v:path arrowok="t"/>
              <v:stroke dashstyle="solid"/>
            </v:shape>
            <v:shape style="position:absolute;left:1099;top:1000;width:2893;height:508" coordorigin="1099,1001" coordsize="2893,508" path="m1099,1351l1212,1208m1212,1208l1312,1271m1312,1271l1424,1208m1424,1208l1522,1413m1522,1413l1634,1336m1634,1336l1747,1176m1747,1176l1847,1208m1847,1208l1959,1238m1959,1238l2059,1351m2059,1351l2172,1256m2172,1256l2284,1223m2284,1223l2384,1143m2384,1143l2497,1351m2497,1351l2597,1336m2597,1336l2707,1256m2707,1256l2807,1161m2807,1161l2919,1096m2919,1096l3032,1351m3032,1351l3132,1366m3132,1366l3244,1318m3244,1318l3344,1398m3344,1398l3457,1256m3457,1256l3569,1208m3569,1208l3669,1271m3669,1271l3782,1001m3782,1001l3879,1508m3879,1508l3992,1063e" filled="false" stroked="true" strokeweight="1pt" strokecolor="#de0035">
              <v:path arrowok="t"/>
              <v:stroke dashstyle="solid"/>
            </v:shape>
            <v:shape style="position:absolute;left:931;top:74;width:3240;height:2474" coordorigin="931,75" coordsize="3240,2474" path="m1088,2496l1088,2549m1521,2496l1521,2549m1961,2496l1961,2549m2388,2496l2388,2549m1018,75l931,75m4158,488l4071,488m4158,901l4071,901m4158,1301l4071,1301m4158,1708l4071,1708m4158,2135l4071,2135m4158,2543l4071,2543m4171,75l4084,75e" filled="false" stroked="true" strokeweight=".5pt" strokecolor="#000000">
              <v:path arrowok="t"/>
              <v:stroke dashstyle="solid"/>
            </v:shape>
            <v:line style="position:absolute" from="1088,2544" to="3994,2544" stroked="true" strokeweight=".5pt" strokecolor="#000000">
              <v:stroke dashstyle="solid"/>
            </v:line>
            <v:shape style="position:absolute;left:2814;top:2495;width:874;height:54" coordorigin="2814,2496" coordsize="874,54" path="m2814,2496l2814,2549m3248,2496l3248,2549m3688,2496l3688,2549e" filled="false" stroked="true" strokeweight=".5pt" strokecolor="#000000">
              <v:path arrowok="t"/>
              <v:stroke dashstyle="solid"/>
            </v:shape>
            <v:line style="position:absolute" from="2614,2114" to="2861,1281" stroked="true" strokeweight=".5pt" strokecolor="#000000">
              <v:stroke dashstyle="solid"/>
            </v:line>
            <v:shape style="position:absolute;left:2832;top:1215;width:49;height:89" coordorigin="2832,1215" coordsize="49,89" path="m2880,1215l2832,1290,2880,1304,2879,1287,2878,1274,2878,1261,2878,1247,2878,1235,2879,1224,2880,1215xe" filled="true" fillcolor="#000000" stroked="false">
              <v:path arrowok="t"/>
              <v:fill type="solid"/>
            </v:shape>
            <v:line style="position:absolute" from="3299,487" to="3074,1261" stroked="true" strokeweight=".5pt" strokecolor="#000000">
              <v:stroke dashstyle="solid"/>
            </v:line>
            <v:shape style="position:absolute;left:3054;top:1237;width:49;height:89" coordorigin="3055,1237" coordsize="49,89" path="m3055,1237l3057,1254,3057,1267,3058,1280,3058,1294,3057,1306,3057,1317,3056,1326,3059,1318,3103,1251,3055,1237xe" filled="true" fillcolor="#000000" stroked="false">
              <v:path arrowok="t"/>
              <v:fill type="solid"/>
            </v:shape>
            <v:line style="position:absolute" from="1137,1301" to="4030,1301" stroked="true" strokeweight=".5pt" strokecolor="#000000">
              <v:stroke dashstyle="solid"/>
            </v:line>
            <v:shape style="position:absolute;left:1834;top:426;width:750;height:273" type="#_x0000_t202" filled="false" stroked="false">
              <v:textbox inset="0,0,0,0">
                <w:txbxContent>
                  <w:p>
                    <w:pPr>
                      <w:spacing w:line="242" w:lineRule="auto" w:before="0"/>
                      <w:ind w:left="30" w:right="0" w:hanging="30"/>
                      <w:jc w:val="left"/>
                      <w:rPr>
                        <w:sz w:val="12"/>
                      </w:rPr>
                    </w:pPr>
                    <w:r>
                      <w:rPr>
                        <w:sz w:val="12"/>
                      </w:rPr>
                      <w:t>Net non-labour income</w:t>
                    </w:r>
                  </w:p>
                </w:txbxContent>
              </v:textbox>
              <w10:wrap type="none"/>
            </v:shape>
            <v:shape style="position:absolute;left:3188;top:365;width:274;height:133" type="#_x0000_t202" filled="false" stroked="false">
              <v:textbox inset="0,0,0,0">
                <w:txbxContent>
                  <w:p>
                    <w:pPr>
                      <w:spacing w:line="133" w:lineRule="exact" w:before="0"/>
                      <w:ind w:left="0" w:right="0" w:firstLine="0"/>
                      <w:jc w:val="left"/>
                      <w:rPr>
                        <w:sz w:val="12"/>
                      </w:rPr>
                    </w:pPr>
                    <w:r>
                      <w:rPr>
                        <w:sz w:val="12"/>
                      </w:rPr>
                      <w:t>Total</w:t>
                    </w:r>
                  </w:p>
                </w:txbxContent>
              </v:textbox>
              <w10:wrap type="none"/>
            </v:shape>
            <v:shape style="position:absolute;left:2227;top:2117;width:750;height:133" type="#_x0000_t202" filled="false" stroked="false">
              <v:textbox inset="0,0,0,0">
                <w:txbxContent>
                  <w:p>
                    <w:pPr>
                      <w:spacing w:line="133" w:lineRule="exact" w:before="0"/>
                      <w:ind w:left="0" w:right="0" w:firstLine="0"/>
                      <w:jc w:val="left"/>
                      <w:rPr>
                        <w:sz w:val="12"/>
                      </w:rPr>
                    </w:pPr>
                    <w:r>
                      <w:rPr>
                        <w:sz w:val="12"/>
                      </w:rPr>
                      <w:t>Labour income</w:t>
                    </w:r>
                  </w:p>
                </w:txbxContent>
              </v:textbox>
              <w10:wrap type="none"/>
            </v:shape>
            <w10:wrap type="none"/>
          </v:group>
        </w:pict>
      </w:r>
      <w:r>
        <w:rPr>
          <w:sz w:val="12"/>
        </w:rPr>
        <w:t>15</w:t>
      </w:r>
    </w:p>
    <w:p>
      <w:pPr>
        <w:pStyle w:val="BodyText"/>
        <w:rPr>
          <w:sz w:val="12"/>
        </w:rPr>
      </w:pPr>
    </w:p>
    <w:p>
      <w:pPr>
        <w:pStyle w:val="BodyText"/>
        <w:rPr>
          <w:sz w:val="12"/>
        </w:rPr>
      </w:pPr>
    </w:p>
    <w:p>
      <w:pPr>
        <w:spacing w:before="1"/>
        <w:ind w:left="0" w:right="38" w:firstLine="0"/>
        <w:jc w:val="right"/>
        <w:rPr>
          <w:sz w:val="12"/>
        </w:rPr>
      </w:pPr>
      <w:r>
        <w:rPr/>
        <w:pict>
          <v:line style="position:absolute;mso-position-horizontal-relative:page;mso-position-vertical-relative:paragraph;z-index:16000512" from="50.262001pt,3.630349pt" to="45.928001pt,3.630349pt" stroked="true" strokeweight=".5pt" strokecolor="#000000">
            <v:stroke dashstyle="solid"/>
            <w10:wrap type="none"/>
          </v:line>
        </w:pict>
      </w:r>
      <w:r>
        <w:rPr>
          <w:sz w:val="12"/>
        </w:rPr>
        <w:t>10</w:t>
      </w:r>
    </w:p>
    <w:p>
      <w:pPr>
        <w:pStyle w:val="BodyText"/>
        <w:rPr>
          <w:sz w:val="12"/>
        </w:rPr>
      </w:pPr>
    </w:p>
    <w:p>
      <w:pPr>
        <w:pStyle w:val="BodyText"/>
        <w:spacing w:before="10"/>
        <w:rPr>
          <w:sz w:val="11"/>
        </w:rPr>
      </w:pPr>
    </w:p>
    <w:p>
      <w:pPr>
        <w:spacing w:before="0"/>
        <w:ind w:left="0" w:right="38" w:firstLine="0"/>
        <w:jc w:val="right"/>
        <w:rPr>
          <w:sz w:val="12"/>
        </w:rPr>
      </w:pPr>
      <w:r>
        <w:rPr/>
        <w:pict>
          <v:line style="position:absolute;mso-position-horizontal-relative:page;mso-position-vertical-relative:paragraph;z-index:16001024" from="50.262001pt,3.601349pt" to="45.928001pt,3.601349pt" stroked="true" strokeweight=".5pt" strokecolor="#000000">
            <v:stroke dashstyle="solid"/>
            <w10:wrap type="none"/>
          </v:line>
        </w:pict>
      </w:r>
      <w:r>
        <w:rPr>
          <w:sz w:val="12"/>
        </w:rPr>
        <w:t>5</w:t>
      </w:r>
    </w:p>
    <w:p>
      <w:pPr>
        <w:spacing w:before="72"/>
        <w:ind w:left="3546" w:right="0" w:firstLine="0"/>
        <w:jc w:val="left"/>
        <w:rPr>
          <w:sz w:val="16"/>
        </w:rPr>
      </w:pPr>
      <w:r>
        <w:rPr>
          <w:w w:val="100"/>
          <w:sz w:val="16"/>
        </w:rPr>
        <w:t>+</w:t>
      </w:r>
    </w:p>
    <w:p>
      <w:pPr>
        <w:spacing w:line="130" w:lineRule="exact" w:before="3"/>
        <w:ind w:left="3636" w:right="0" w:firstLine="0"/>
        <w:jc w:val="left"/>
        <w:rPr>
          <w:sz w:val="12"/>
        </w:rPr>
      </w:pPr>
      <w:r>
        <w:rPr/>
        <w:pict>
          <v:line style="position:absolute;mso-position-horizontal-relative:page;mso-position-vertical-relative:paragraph;z-index:16001536" from="50.262001pt,3.876349pt" to="45.928001pt,3.876349pt" stroked="true" strokeweight=".5pt" strokecolor="#000000">
            <v:stroke dashstyle="solid"/>
            <w10:wrap type="none"/>
          </v:line>
        </w:pict>
      </w:r>
      <w:r>
        <w:rPr>
          <w:sz w:val="12"/>
        </w:rPr>
        <w:t>0</w:t>
      </w:r>
    </w:p>
    <w:p>
      <w:pPr>
        <w:spacing w:line="176" w:lineRule="exact" w:before="0"/>
        <w:ind w:left="3556" w:right="0" w:firstLine="0"/>
        <w:jc w:val="left"/>
        <w:rPr>
          <w:sz w:val="16"/>
        </w:rPr>
      </w:pPr>
      <w:r>
        <w:rPr>
          <w:sz w:val="16"/>
        </w:rPr>
        <w:t>–</w:t>
      </w:r>
    </w:p>
    <w:p>
      <w:pPr>
        <w:spacing w:before="109"/>
        <w:ind w:left="0" w:right="38" w:firstLine="0"/>
        <w:jc w:val="right"/>
        <w:rPr>
          <w:sz w:val="12"/>
        </w:rPr>
      </w:pPr>
      <w:r>
        <w:rPr/>
        <w:pict>
          <v:line style="position:absolute;mso-position-horizontal-relative:page;mso-position-vertical-relative:paragraph;z-index:16002048" from="50.262001pt,8.780562pt" to="45.928001pt,8.780562pt" stroked="true" strokeweight=".5pt" strokecolor="#000000">
            <v:stroke dashstyle="solid"/>
            <w10:wrap type="none"/>
          </v:line>
        </w:pict>
      </w:r>
      <w:r>
        <w:rPr>
          <w:sz w:val="12"/>
        </w:rPr>
        <w:t>5</w:t>
      </w:r>
    </w:p>
    <w:p>
      <w:pPr>
        <w:pStyle w:val="BodyText"/>
        <w:rPr>
          <w:sz w:val="12"/>
        </w:rPr>
      </w:pPr>
    </w:p>
    <w:p>
      <w:pPr>
        <w:pStyle w:val="BodyText"/>
        <w:spacing w:before="9"/>
        <w:rPr>
          <w:sz w:val="11"/>
        </w:rPr>
      </w:pPr>
    </w:p>
    <w:p>
      <w:pPr>
        <w:spacing w:before="1"/>
        <w:ind w:left="0" w:right="38" w:firstLine="0"/>
        <w:jc w:val="right"/>
        <w:rPr>
          <w:sz w:val="12"/>
        </w:rPr>
      </w:pPr>
      <w:r>
        <w:rPr/>
        <w:pict>
          <v:line style="position:absolute;mso-position-horizontal-relative:page;mso-position-vertical-relative:paragraph;z-index:16002560" from="50.262001pt,4.130562pt" to="45.928001pt,4.130562pt" stroked="true" strokeweight=".5pt" strokecolor="#000000">
            <v:stroke dashstyle="solid"/>
            <w10:wrap type="none"/>
          </v:line>
        </w:pict>
      </w:r>
      <w:r>
        <w:rPr>
          <w:sz w:val="12"/>
        </w:rPr>
        <w:t>10</w:t>
      </w:r>
    </w:p>
    <w:p>
      <w:pPr>
        <w:pStyle w:val="BodyText"/>
        <w:rPr>
          <w:sz w:val="12"/>
        </w:rPr>
      </w:pPr>
    </w:p>
    <w:p>
      <w:pPr>
        <w:pStyle w:val="BodyText"/>
        <w:spacing w:before="9"/>
        <w:rPr>
          <w:sz w:val="11"/>
        </w:rPr>
      </w:pPr>
    </w:p>
    <w:p>
      <w:pPr>
        <w:spacing w:line="118" w:lineRule="exact" w:before="1"/>
        <w:ind w:left="3576" w:right="0" w:firstLine="0"/>
        <w:jc w:val="left"/>
        <w:rPr>
          <w:sz w:val="12"/>
        </w:rPr>
      </w:pPr>
      <w:r>
        <w:rPr/>
        <w:pict>
          <v:line style="position:absolute;mso-position-horizontal-relative:page;mso-position-vertical-relative:paragraph;z-index:16003072" from="50.262001pt,3.901562pt" to="45.928001pt,3.901562pt" stroked="true" strokeweight=".5pt" strokecolor="#000000">
            <v:stroke dashstyle="solid"/>
            <w10:wrap type="none"/>
          </v:line>
        </w:pict>
      </w:r>
      <w:r>
        <w:rPr>
          <w:sz w:val="12"/>
        </w:rPr>
        <w:t>15</w:t>
      </w:r>
    </w:p>
    <w:p>
      <w:pPr>
        <w:tabs>
          <w:tab w:pos="1039" w:val="left" w:leader="none"/>
          <w:tab w:pos="1474" w:val="left" w:leader="none"/>
          <w:tab w:pos="1899" w:val="left" w:leader="none"/>
          <w:tab w:pos="2321" w:val="left" w:leader="none"/>
          <w:tab w:pos="2759" w:val="left" w:leader="none"/>
          <w:tab w:pos="3151" w:val="left" w:leader="none"/>
        </w:tabs>
        <w:spacing w:line="118" w:lineRule="exact" w:before="0"/>
        <w:ind w:left="551" w:right="0" w:firstLine="0"/>
        <w:jc w:val="left"/>
        <w:rPr>
          <w:sz w:val="12"/>
        </w:rPr>
      </w:pPr>
      <w:r>
        <w:rPr>
          <w:sz w:val="12"/>
        </w:rPr>
        <w:t>1993</w:t>
        <w:tab/>
        <w:t>94</w:t>
        <w:tab/>
        <w:t>95</w:t>
        <w:tab/>
        <w:t>96</w:t>
        <w:tab/>
        <w:t>97</w:t>
        <w:tab/>
        <w:t>98</w:t>
        <w:tab/>
        <w:t>99</w:t>
      </w:r>
    </w:p>
    <w:p>
      <w:pPr>
        <w:pStyle w:val="BodyText"/>
        <w:rPr>
          <w:sz w:val="16"/>
        </w:rPr>
      </w:pPr>
    </w:p>
    <w:p>
      <w:pPr>
        <w:spacing w:line="208" w:lineRule="auto" w:before="0"/>
        <w:ind w:left="404" w:right="24" w:hanging="240"/>
        <w:jc w:val="left"/>
        <w:rPr>
          <w:sz w:val="12"/>
        </w:rPr>
      </w:pPr>
      <w:r>
        <w:rPr>
          <w:sz w:val="12"/>
        </w:rPr>
        <w:t>(a) Deflated by the household consumption expenditure deflator. Taxes are deducted from labour income.</w:t>
      </w:r>
    </w:p>
    <w:p>
      <w:pPr>
        <w:pStyle w:val="BodyText"/>
        <w:rPr>
          <w:sz w:val="12"/>
        </w:rPr>
      </w:pPr>
    </w:p>
    <w:p>
      <w:pPr>
        <w:pStyle w:val="BodyText"/>
        <w:spacing w:before="5"/>
        <w:rPr>
          <w:sz w:val="16"/>
        </w:rPr>
      </w:pPr>
    </w:p>
    <w:p>
      <w:pPr>
        <w:spacing w:before="0"/>
        <w:ind w:left="170" w:right="0" w:firstLine="0"/>
        <w:jc w:val="left"/>
        <w:rPr>
          <w:b/>
          <w:sz w:val="20"/>
        </w:rPr>
      </w:pPr>
      <w:r>
        <w:rPr>
          <w:b/>
          <w:color w:val="0092C7"/>
          <w:sz w:val="20"/>
        </w:rPr>
        <w:t>Chart 2.9</w:t>
      </w:r>
    </w:p>
    <w:p>
      <w:pPr>
        <w:spacing w:before="10"/>
        <w:ind w:left="170" w:right="0" w:firstLine="0"/>
        <w:jc w:val="left"/>
        <w:rPr>
          <w:b/>
          <w:sz w:val="20"/>
        </w:rPr>
      </w:pPr>
      <w:r>
        <w:rPr>
          <w:b/>
          <w:color w:val="0092C7"/>
          <w:sz w:val="20"/>
        </w:rPr>
        <w:t>Consumer confidence</w:t>
      </w:r>
    </w:p>
    <w:p>
      <w:pPr>
        <w:spacing w:before="4"/>
        <w:ind w:left="164" w:right="0" w:firstLine="0"/>
        <w:jc w:val="left"/>
        <w:rPr>
          <w:sz w:val="24"/>
        </w:rPr>
      </w:pPr>
      <w:r>
        <w:rPr/>
        <w:br w:type="column"/>
      </w:r>
      <w:r>
        <w:rPr>
          <w:sz w:val="24"/>
        </w:rPr>
        <w:t>due to faster growth in secured lending.</w:t>
      </w:r>
    </w:p>
    <w:p>
      <w:pPr>
        <w:pStyle w:val="BodyText"/>
        <w:spacing w:before="8"/>
        <w:rPr>
          <w:sz w:val="24"/>
        </w:rPr>
      </w:pPr>
    </w:p>
    <w:p>
      <w:pPr>
        <w:spacing w:before="0"/>
        <w:ind w:left="164" w:right="0" w:firstLine="0"/>
        <w:jc w:val="left"/>
        <w:rPr>
          <w:sz w:val="24"/>
        </w:rPr>
      </w:pPr>
      <w:r>
        <w:rPr>
          <w:sz w:val="24"/>
        </w:rPr>
        <w:t>The Bank of England repo rate has risen by</w:t>
      </w:r>
    </w:p>
    <w:p>
      <w:pPr>
        <w:spacing w:line="242" w:lineRule="auto" w:before="4"/>
        <w:ind w:left="164" w:right="187" w:firstLine="0"/>
        <w:jc w:val="left"/>
        <w:rPr>
          <w:sz w:val="24"/>
        </w:rPr>
      </w:pPr>
      <w:r>
        <w:rPr>
          <w:sz w:val="24"/>
        </w:rPr>
        <w:t>1.0 percentage points since September 1999.  Any change in monetary policy takes time to </w:t>
      </w:r>
      <w:r>
        <w:rPr>
          <w:spacing w:val="-3"/>
          <w:sz w:val="24"/>
        </w:rPr>
        <w:t>have </w:t>
      </w:r>
      <w:r>
        <w:rPr>
          <w:sz w:val="24"/>
        </w:rPr>
        <w:t>its full impact, but prospective consumption growth is likely to be moderated by the recent increases in interest rates. Such changes in monetary policy affect the personal sector through several different channels. Changes in </w:t>
      </w:r>
      <w:r>
        <w:rPr>
          <w:spacing w:val="-6"/>
          <w:sz w:val="24"/>
        </w:rPr>
        <w:t>the </w:t>
      </w:r>
      <w:r>
        <w:rPr>
          <w:sz w:val="24"/>
        </w:rPr>
        <w:t>official interest rate </w:t>
      </w:r>
      <w:r>
        <w:rPr>
          <w:spacing w:val="-3"/>
          <w:sz w:val="24"/>
        </w:rPr>
        <w:t>have </w:t>
      </w:r>
      <w:r>
        <w:rPr>
          <w:sz w:val="24"/>
        </w:rPr>
        <w:t>an impact on the interest rates which individuals face on personal savings and debts. The recent increases in official interest rates </w:t>
      </w:r>
      <w:r>
        <w:rPr>
          <w:spacing w:val="-3"/>
          <w:sz w:val="24"/>
        </w:rPr>
        <w:t>have </w:t>
      </w:r>
      <w:r>
        <w:rPr>
          <w:sz w:val="24"/>
        </w:rPr>
        <w:t>been reflected in higher interest rates on many retail financial products, which would tend to depress households’ current consumption by making borrowing more expensive and making saving a more attractive use of household income.</w:t>
      </w:r>
      <w:r>
        <w:rPr>
          <w:position w:val="5"/>
          <w:sz w:val="16"/>
        </w:rPr>
        <w:t>(1) </w:t>
      </w:r>
      <w:r>
        <w:rPr>
          <w:sz w:val="24"/>
        </w:rPr>
        <w:t>Rises in official interest rates</w:t>
      </w:r>
      <w:r>
        <w:rPr>
          <w:spacing w:val="-12"/>
          <w:sz w:val="24"/>
        </w:rPr>
        <w:t> </w:t>
      </w:r>
      <w:r>
        <w:rPr>
          <w:sz w:val="24"/>
        </w:rPr>
        <w:t>may</w:t>
      </w:r>
    </w:p>
    <w:p>
      <w:pPr>
        <w:spacing w:after="0" w:line="242" w:lineRule="auto"/>
        <w:jc w:val="left"/>
        <w:rPr>
          <w:sz w:val="24"/>
        </w:rPr>
        <w:sectPr>
          <w:type w:val="continuous"/>
          <w:pgSz w:w="11900" w:h="16840"/>
          <w:pgMar w:top="1220" w:bottom="280" w:left="640" w:right="620"/>
          <w:cols w:num="2" w:equalWidth="0">
            <w:col w:w="3737" w:space="1053"/>
            <w:col w:w="5850"/>
          </w:cols>
        </w:sectPr>
      </w:pPr>
    </w:p>
    <w:p>
      <w:pPr>
        <w:pStyle w:val="BodyText"/>
        <w:spacing w:before="5"/>
        <w:rPr>
          <w:sz w:val="13"/>
        </w:rPr>
      </w:pPr>
    </w:p>
    <w:p>
      <w:pPr>
        <w:spacing w:line="115" w:lineRule="exact" w:before="0"/>
        <w:ind w:left="357" w:right="0" w:firstLine="0"/>
        <w:jc w:val="left"/>
        <w:rPr>
          <w:sz w:val="12"/>
        </w:rPr>
      </w:pPr>
      <w:r>
        <w:rPr>
          <w:sz w:val="12"/>
        </w:rPr>
        <w:t>Percentage point balance</w:t>
      </w:r>
    </w:p>
    <w:p>
      <w:pPr>
        <w:spacing w:line="115" w:lineRule="exact" w:before="0"/>
        <w:ind w:left="197" w:right="0" w:firstLine="0"/>
        <w:jc w:val="left"/>
        <w:rPr>
          <w:sz w:val="12"/>
        </w:rPr>
      </w:pPr>
      <w:r>
        <w:rPr/>
        <w:pict>
          <v:line style="position:absolute;mso-position-horizontal-relative:page;mso-position-vertical-relative:paragraph;z-index:16006656" from="49.875pt,3.328806pt" to="54.208pt,3.328806pt" stroked="true" strokeweight=".5pt" strokecolor="#000000">
            <v:stroke dashstyle="solid"/>
            <w10:wrap type="none"/>
          </v:line>
        </w:pict>
      </w:r>
      <w:r>
        <w:rPr>
          <w:sz w:val="12"/>
        </w:rPr>
        <w:t>12</w:t>
      </w:r>
    </w:p>
    <w:p>
      <w:pPr>
        <w:pStyle w:val="BodyText"/>
        <w:rPr>
          <w:sz w:val="12"/>
        </w:rPr>
      </w:pPr>
    </w:p>
    <w:p>
      <w:pPr>
        <w:pStyle w:val="BodyText"/>
        <w:spacing w:before="9"/>
        <w:rPr>
          <w:sz w:val="17"/>
        </w:rPr>
      </w:pPr>
    </w:p>
    <w:p>
      <w:pPr>
        <w:spacing w:before="0"/>
        <w:ind w:left="257" w:right="0" w:firstLine="0"/>
        <w:jc w:val="left"/>
        <w:rPr>
          <w:sz w:val="12"/>
        </w:rPr>
      </w:pPr>
      <w:r>
        <w:rPr/>
        <w:pict>
          <v:line style="position:absolute;mso-position-horizontal-relative:page;mso-position-vertical-relative:paragraph;z-index:16006144" from="49.875pt,4.433509pt" to="54.208pt,4.433509pt" stroked="true" strokeweight=".5pt" strokecolor="#000000">
            <v:stroke dashstyle="solid"/>
            <w10:wrap type="none"/>
          </v:line>
        </w:pict>
      </w:r>
      <w:r>
        <w:rPr>
          <w:sz w:val="12"/>
        </w:rPr>
        <w:t>8</w:t>
      </w:r>
    </w:p>
    <w:p>
      <w:pPr>
        <w:spacing w:line="129" w:lineRule="exact" w:before="11"/>
        <w:ind w:left="1379" w:right="0" w:firstLine="0"/>
        <w:jc w:val="left"/>
        <w:rPr>
          <w:sz w:val="12"/>
        </w:rPr>
      </w:pPr>
      <w:r>
        <w:rPr>
          <w:sz w:val="12"/>
        </w:rPr>
        <w:t>MORI index</w:t>
      </w:r>
    </w:p>
    <w:p>
      <w:pPr>
        <w:spacing w:line="129" w:lineRule="exact" w:before="0"/>
        <w:ind w:left="1439" w:right="0" w:firstLine="0"/>
        <w:jc w:val="left"/>
        <w:rPr>
          <w:sz w:val="12"/>
        </w:rPr>
      </w:pPr>
      <w:r>
        <w:rPr/>
        <w:pict>
          <v:group style="position:absolute;margin-left:49.875pt;margin-top:4.318321pt;width:159.65pt;height:93.25pt;mso-position-horizontal-relative:page;mso-position-vertical-relative:paragraph;z-index:-22606336" coordorigin="998,86" coordsize="3193,1865">
            <v:line style="position:absolute" from="1153,772" to="4033,772" stroked="true" strokeweight=".5pt" strokecolor="#000000">
              <v:stroke dashstyle="solid"/>
            </v:line>
            <v:shape style="position:absolute;left:1157;top:726;width:455;height:470" coordorigin="1158,726" coordsize="455,470" path="m1158,1039l1220,1196m1220,1196l1270,1184m1270,1184l1330,911m1330,911l1380,1011m1380,1011l1440,839m1440,839l1503,984m1503,984l1553,726m1553,726l1613,796e" filled="false" stroked="true" strokeweight="1pt" strokecolor="#f6bd61">
              <v:path arrowok="t"/>
              <v:stroke dashstyle="solid"/>
            </v:shape>
            <v:line style="position:absolute" from="1603,798" to="1673,798" stroked="true" strokeweight="1.125pt" strokecolor="#f6bd61">
              <v:stroke dashstyle="solid"/>
            </v:line>
            <v:shape style="position:absolute;left:1662;top:96;width:628;height:888" coordorigin="1663,96" coordsize="628,888" path="m1663,796l1723,769m1723,769l1773,984m1773,984l1835,769m1835,769l1895,726m1895,726l1945,739m1945,739l2005,454m2005,454l2055,96m2055,96l2118,311m2118,311l2178,526m2178,526l2228,811m2228,811l2290,354e" filled="false" stroked="true" strokeweight="1pt" strokecolor="#f6bd61">
              <v:path arrowok="t"/>
              <v:stroke dashstyle="solid"/>
            </v:shape>
            <v:shape style="position:absolute;left:2280;top:343;width:460;height:538" type="#_x0000_t75" stroked="false">
              <v:imagedata r:id="rId93" o:title=""/>
            </v:shape>
            <v:shape style="position:absolute;left:2730;top:653;width:910;height:1215" coordorigin="2730,654" coordsize="910,1215" path="m2730,739l2793,1226m2793,1226l2855,1269m2855,1269l2903,1411m2903,1411l2965,1654m2965,1654l3013,1869m3013,1869l3075,1511m3075,1511l3138,1496m3138,1496l3185,1326m3185,1326l3248,1126m3248,1126l3298,911m3298,911l3358,954m3358,954l3420,796m3420,796l3468,869m3468,869l3530,696m3530,696l3580,1054m3580,1054l3640,654e" filled="false" stroked="true" strokeweight="1pt" strokecolor="#f6bd61">
              <v:path arrowok="t"/>
              <v:stroke dashstyle="solid"/>
            </v:shape>
            <v:shape style="position:absolute;left:3630;top:643;width:353;height:378" type="#_x0000_t75" stroked="false">
              <v:imagedata r:id="rId94" o:title=""/>
            </v:shape>
            <v:shape style="position:absolute;left:1157;top:1496;width:395;height:445" coordorigin="1158,1496" coordsize="395,445" path="m1158,1796l1220,1941m1220,1941l1270,1884m1270,1884l1330,1896m1330,1896l1380,1496m1380,1496l1440,1711m1440,1711l1503,1526m1503,1526l1553,1496e" filled="false" stroked="true" strokeweight="1pt" strokecolor="#008360">
              <v:path arrowok="t"/>
              <v:stroke dashstyle="solid"/>
            </v:shape>
            <v:line style="position:absolute" from="1543,1498" to="1623,1498" stroked="true" strokeweight="1.125pt" strokecolor="#008360">
              <v:stroke dashstyle="solid"/>
            </v:line>
            <v:shape style="position:absolute;left:1612;top:426;width:788;height:1328" coordorigin="1613,426" coordsize="788,1328" path="m1613,1496l1663,1439m1663,1439l1723,884m1723,884l1773,1754m1773,1754l1835,1184m1835,1184l1895,926m1895,926l1945,1226m1945,1226l2005,1396m2005,1396l2055,969m2055,969l2118,811m2118,811l2178,726m2178,726l2228,426m2228,426l2290,711m2290,711l2338,726m2338,726l2400,1196e" filled="false" stroked="true" strokeweight="1pt" strokecolor="#008360">
              <v:path arrowok="t"/>
              <v:stroke dashstyle="solid"/>
            </v:shape>
            <v:shape style="position:absolute;left:2390;top:816;width:523;height:390" type="#_x0000_t75" stroked="false">
              <v:imagedata r:id="rId95" o:title=""/>
            </v:shape>
            <v:shape style="position:absolute;left:2902;top:738;width:235;height:645" coordorigin="2903,739" coordsize="235,645" path="m2903,1196l2965,739m2965,739l3013,954m3013,954l3075,1026m3075,1026l3138,1384e" filled="false" stroked="true" strokeweight="1pt" strokecolor="#008360">
              <v:path arrowok="t"/>
              <v:stroke dashstyle="solid"/>
            </v:shape>
            <v:line style="position:absolute" from="3161,801" to="3161,1394" stroked="true" strokeweight="3.375pt" strokecolor="#008360">
              <v:stroke dashstyle="solid"/>
            </v:line>
            <v:shape style="position:absolute;left:3185;top:453;width:113;height:430" coordorigin="3185,454" coordsize="113,430" path="m3185,811l3248,884m3248,884l3298,454e" filled="false" stroked="true" strokeweight="1pt" strokecolor="#008360">
              <v:path arrowok="t"/>
              <v:stroke dashstyle="solid"/>
            </v:shape>
            <v:shape style="position:absolute;left:3287;top:143;width:645;height:635" type="#_x0000_t75" stroked="false">
              <v:imagedata r:id="rId96" o:title=""/>
            </v:shape>
            <v:line style="position:absolute" from="3948,444" to="3948,1021" stroked="true" strokeweight="3.5pt" strokecolor="#008360">
              <v:stroke dashstyle="solid"/>
            </v:line>
            <v:line style="position:absolute" from="3973,1011" to="4033,1254" stroked="true" strokeweight="1pt" strokecolor="#008360">
              <v:stroke dashstyle="solid"/>
            </v:line>
            <v:shape style="position:absolute;left:997;top:291;width:3193;height:1441" coordorigin="998,292" coordsize="3193,1441" path="m998,292l1084,292m998,1732l1084,1732m998,1252l1084,1252m998,772l1084,772m4103,292l4190,292m4103,1732l4190,1732m4103,1252l4190,1252m4103,772l4190,772e" filled="false" stroked="true" strokeweight=".5pt" strokecolor="#000000">
              <v:path arrowok="t"/>
              <v:stroke dashstyle="solid"/>
            </v:shape>
            <v:shape style="position:absolute;left:1814;top:1657;width:863;height:253" type="#_x0000_t202" filled="false" stroked="false">
              <v:textbox inset="0,0,0,0">
                <w:txbxContent>
                  <w:p>
                    <w:pPr>
                      <w:spacing w:line="124" w:lineRule="exact" w:before="0"/>
                      <w:ind w:left="0" w:right="0" w:firstLine="0"/>
                      <w:jc w:val="left"/>
                      <w:rPr>
                        <w:sz w:val="12"/>
                      </w:rPr>
                    </w:pPr>
                    <w:r>
                      <w:rPr>
                        <w:sz w:val="12"/>
                      </w:rPr>
                      <w:t>GfK index</w:t>
                    </w:r>
                  </w:p>
                  <w:p>
                    <w:pPr>
                      <w:spacing w:line="129" w:lineRule="exact" w:before="0"/>
                      <w:ind w:left="60" w:right="0" w:firstLine="0"/>
                      <w:jc w:val="left"/>
                      <w:rPr>
                        <w:sz w:val="12"/>
                      </w:rPr>
                    </w:pPr>
                    <w:r>
                      <w:rPr>
                        <w:sz w:val="12"/>
                      </w:rPr>
                      <w:t>(left-hand scale)</w:t>
                    </w:r>
                  </w:p>
                </w:txbxContent>
              </v:textbox>
              <w10:wrap type="none"/>
            </v:shape>
            <w10:wrap type="none"/>
          </v:group>
        </w:pict>
      </w:r>
      <w:r>
        <w:rPr>
          <w:sz w:val="12"/>
        </w:rPr>
        <w:t>(right-hand scale)</w:t>
      </w:r>
    </w:p>
    <w:p>
      <w:pPr>
        <w:spacing w:before="74"/>
        <w:ind w:left="257" w:right="0" w:firstLine="0"/>
        <w:jc w:val="left"/>
        <w:rPr>
          <w:sz w:val="12"/>
        </w:rPr>
      </w:pPr>
      <w:r>
        <w:rPr>
          <w:sz w:val="12"/>
        </w:rPr>
        <w:t>4</w:t>
      </w:r>
    </w:p>
    <w:p>
      <w:pPr>
        <w:pStyle w:val="BodyText"/>
        <w:spacing w:before="5"/>
        <w:rPr>
          <w:sz w:val="13"/>
        </w:rPr>
      </w:pPr>
      <w:r>
        <w:rPr/>
        <w:br w:type="column"/>
      </w:r>
      <w:r>
        <w:rPr>
          <w:sz w:val="13"/>
        </w:rPr>
      </w:r>
    </w:p>
    <w:p>
      <w:pPr>
        <w:spacing w:line="115" w:lineRule="exact" w:before="0"/>
        <w:ind w:left="21" w:right="0" w:firstLine="0"/>
        <w:jc w:val="left"/>
        <w:rPr>
          <w:sz w:val="12"/>
        </w:rPr>
      </w:pPr>
      <w:r>
        <w:rPr>
          <w:sz w:val="12"/>
        </w:rPr>
        <w:t>Percentage point balance</w:t>
      </w:r>
    </w:p>
    <w:p>
      <w:pPr>
        <w:spacing w:line="115" w:lineRule="exact" w:before="0"/>
        <w:ind w:left="1253" w:right="0" w:firstLine="0"/>
        <w:jc w:val="left"/>
        <w:rPr>
          <w:sz w:val="12"/>
        </w:rPr>
      </w:pPr>
      <w:r>
        <w:rPr/>
        <w:pict>
          <v:line style="position:absolute;mso-position-horizontal-relative:page;mso-position-vertical-relative:paragraph;z-index:16007680" from="205.167007pt,3.334294pt" to="209.500007pt,3.334294pt" stroked="true" strokeweight=".5pt" strokecolor="#000000">
            <v:stroke dashstyle="solid"/>
            <w10:wrap type="none"/>
          </v:line>
        </w:pict>
      </w:r>
      <w:r>
        <w:rPr>
          <w:sz w:val="12"/>
        </w:rPr>
        <w:t>60</w:t>
      </w:r>
    </w:p>
    <w:p>
      <w:pPr>
        <w:pStyle w:val="BodyText"/>
        <w:rPr>
          <w:sz w:val="12"/>
        </w:rPr>
      </w:pPr>
    </w:p>
    <w:p>
      <w:pPr>
        <w:pStyle w:val="BodyText"/>
        <w:spacing w:before="9"/>
        <w:rPr>
          <w:sz w:val="17"/>
        </w:rPr>
      </w:pPr>
    </w:p>
    <w:p>
      <w:pPr>
        <w:spacing w:before="0"/>
        <w:ind w:left="1253" w:right="0" w:firstLine="0"/>
        <w:jc w:val="left"/>
        <w:rPr>
          <w:sz w:val="12"/>
        </w:rPr>
      </w:pPr>
      <w:r>
        <w:rPr/>
        <w:pict>
          <v:line style="position:absolute;mso-position-horizontal-relative:page;mso-position-vertical-relative:paragraph;z-index:16007168" from="205.167007pt,4.438754pt" to="209.500007pt,4.438754pt" stroked="true" strokeweight=".5pt" strokecolor="#000000">
            <v:stroke dashstyle="solid"/>
            <w10:wrap type="none"/>
          </v:line>
        </w:pict>
      </w:r>
      <w:r>
        <w:rPr>
          <w:sz w:val="12"/>
        </w:rPr>
        <w:t>40</w:t>
      </w:r>
    </w:p>
    <w:p>
      <w:pPr>
        <w:pStyle w:val="BodyText"/>
        <w:rPr>
          <w:sz w:val="12"/>
        </w:rPr>
      </w:pPr>
    </w:p>
    <w:p>
      <w:pPr>
        <w:pStyle w:val="BodyText"/>
        <w:spacing w:before="10"/>
        <w:rPr>
          <w:sz w:val="17"/>
        </w:rPr>
      </w:pPr>
    </w:p>
    <w:p>
      <w:pPr>
        <w:spacing w:before="0"/>
        <w:ind w:left="1253" w:right="0" w:firstLine="0"/>
        <w:jc w:val="left"/>
        <w:rPr>
          <w:sz w:val="12"/>
        </w:rPr>
      </w:pPr>
      <w:r>
        <w:rPr>
          <w:sz w:val="12"/>
        </w:rPr>
        <w:t>20</w:t>
      </w:r>
    </w:p>
    <w:p>
      <w:pPr>
        <w:pStyle w:val="Heading6"/>
        <w:spacing w:line="242" w:lineRule="auto" w:before="18"/>
        <w:ind w:left="197"/>
      </w:pPr>
      <w:r>
        <w:rPr/>
        <w:br w:type="column"/>
      </w:r>
      <w:r>
        <w:rPr/>
        <w:t>also affect households by dampening the level of those asset prices which affect households’ wealth. Higher interest rates are therefore likely to have been one factor depressing consumer confidence in recent months (see Chart 2.9). The GfK index fell in April to its lowest</w:t>
      </w:r>
    </w:p>
    <w:p>
      <w:pPr>
        <w:spacing w:after="0" w:line="242" w:lineRule="auto"/>
        <w:sectPr>
          <w:type w:val="continuous"/>
          <w:pgSz w:w="11900" w:h="16840"/>
          <w:pgMar w:top="1220" w:bottom="280" w:left="640" w:right="620"/>
          <w:cols w:num="3" w:equalWidth="0">
            <w:col w:w="2289" w:space="40"/>
            <w:col w:w="1414" w:space="1014"/>
            <w:col w:w="5883"/>
          </w:cols>
        </w:sectPr>
      </w:pPr>
    </w:p>
    <w:p>
      <w:pPr>
        <w:tabs>
          <w:tab w:pos="3544" w:val="left" w:leader="none"/>
          <w:tab w:pos="4954" w:val="left" w:leader="none"/>
        </w:tabs>
        <w:spacing w:line="275" w:lineRule="exact" w:before="6"/>
        <w:ind w:left="275" w:right="0" w:firstLine="0"/>
        <w:jc w:val="left"/>
        <w:rPr>
          <w:sz w:val="24"/>
        </w:rPr>
      </w:pPr>
      <w:r>
        <w:rPr>
          <w:position w:val="2"/>
          <w:sz w:val="16"/>
        </w:rPr>
        <w:t>+</w:t>
        <w:tab/>
      </w:r>
      <w:r>
        <w:rPr>
          <w:position w:val="-1"/>
          <w:sz w:val="16"/>
        </w:rPr>
        <w:t>+</w:t>
        <w:tab/>
      </w:r>
      <w:r>
        <w:rPr>
          <w:sz w:val="24"/>
        </w:rPr>
        <w:t>level since December 1998, and declines were</w:t>
      </w:r>
      <w:r>
        <w:rPr>
          <w:spacing w:val="-4"/>
          <w:sz w:val="24"/>
        </w:rPr>
        <w:t> </w:t>
      </w:r>
      <w:r>
        <w:rPr>
          <w:sz w:val="24"/>
        </w:rPr>
        <w:t>also</w:t>
      </w:r>
    </w:p>
    <w:p>
      <w:pPr>
        <w:tabs>
          <w:tab w:pos="3642" w:val="left" w:leader="none"/>
          <w:tab w:pos="4954" w:val="left" w:leader="none"/>
        </w:tabs>
        <w:spacing w:line="280" w:lineRule="exact" w:before="5"/>
        <w:ind w:left="4954" w:right="570" w:hanging="4697"/>
        <w:jc w:val="left"/>
        <w:rPr>
          <w:sz w:val="24"/>
        </w:rPr>
      </w:pPr>
      <w:r>
        <w:rPr/>
        <w:pict>
          <v:shape style="position:absolute;margin-left:46.456173pt;margin-top:7.135754pt;width:167.45pt;height:9.2pt;mso-position-horizontal-relative:page;mso-position-vertical-relative:paragraph;z-index:-22603264" type="#_x0000_t202" filled="false" stroked="false">
            <v:textbox inset="0,0,0,0">
              <w:txbxContent>
                <w:p>
                  <w:pPr>
                    <w:tabs>
                      <w:tab w:pos="3268" w:val="left" w:leader="none"/>
                    </w:tabs>
                    <w:spacing w:line="184" w:lineRule="exact" w:before="0"/>
                    <w:ind w:left="0" w:right="0" w:firstLine="0"/>
                    <w:jc w:val="left"/>
                    <w:rPr>
                      <w:sz w:val="16"/>
                    </w:rPr>
                  </w:pPr>
                  <w:r>
                    <w:rPr>
                      <w:sz w:val="16"/>
                    </w:rPr>
                    <w:t>–</w:t>
                    <w:tab/>
                  </w:r>
                  <w:r>
                    <w:rPr>
                      <w:spacing w:val="-20"/>
                      <w:position w:val="1"/>
                      <w:sz w:val="16"/>
                    </w:rPr>
                    <w:t>–</w:t>
                  </w:r>
                </w:p>
              </w:txbxContent>
            </v:textbox>
            <w10:wrap type="none"/>
          </v:shape>
        </w:pict>
      </w:r>
      <w:r>
        <w:rPr>
          <w:position w:val="12"/>
          <w:sz w:val="12"/>
        </w:rPr>
        <w:t>0</w:t>
        <w:tab/>
        <w:t>0</w:t>
        <w:tab/>
      </w:r>
      <w:r>
        <w:rPr>
          <w:sz w:val="24"/>
        </w:rPr>
        <w:t>observed in other indices of consumer confidence produced by MORI and the Consumers’</w:t>
      </w:r>
      <w:r>
        <w:rPr>
          <w:spacing w:val="7"/>
          <w:sz w:val="24"/>
        </w:rPr>
        <w:t> </w:t>
      </w:r>
      <w:r>
        <w:rPr>
          <w:spacing w:val="-2"/>
          <w:sz w:val="24"/>
        </w:rPr>
        <w:t>Association.</w:t>
      </w:r>
    </w:p>
    <w:p>
      <w:pPr>
        <w:spacing w:after="0" w:line="280" w:lineRule="exact"/>
        <w:jc w:val="left"/>
        <w:rPr>
          <w:sz w:val="24"/>
        </w:rPr>
        <w:sectPr>
          <w:type w:val="continuous"/>
          <w:pgSz w:w="11900" w:h="16840"/>
          <w:pgMar w:top="1220" w:bottom="280" w:left="640" w:right="620"/>
        </w:sectPr>
      </w:pPr>
    </w:p>
    <w:p>
      <w:pPr>
        <w:spacing w:line="51" w:lineRule="exact" w:before="0"/>
        <w:ind w:left="257" w:right="0" w:firstLine="0"/>
        <w:jc w:val="left"/>
        <w:rPr>
          <w:sz w:val="12"/>
        </w:rPr>
      </w:pPr>
      <w:r>
        <w:rPr>
          <w:sz w:val="12"/>
        </w:rPr>
        <w:t>4</w:t>
      </w:r>
    </w:p>
    <w:p>
      <w:pPr>
        <w:pStyle w:val="BodyText"/>
        <w:rPr>
          <w:sz w:val="12"/>
        </w:rPr>
      </w:pPr>
    </w:p>
    <w:p>
      <w:pPr>
        <w:pStyle w:val="BodyText"/>
        <w:spacing w:before="9"/>
        <w:rPr>
          <w:sz w:val="17"/>
        </w:rPr>
      </w:pPr>
    </w:p>
    <w:p>
      <w:pPr>
        <w:spacing w:before="0"/>
        <w:ind w:left="257" w:right="0" w:firstLine="0"/>
        <w:jc w:val="left"/>
        <w:rPr>
          <w:sz w:val="12"/>
        </w:rPr>
      </w:pPr>
      <w:r>
        <w:rPr>
          <w:sz w:val="12"/>
        </w:rPr>
        <w:t>8</w:t>
      </w:r>
    </w:p>
    <w:p>
      <w:pPr>
        <w:pStyle w:val="BodyText"/>
        <w:rPr>
          <w:sz w:val="12"/>
        </w:rPr>
      </w:pPr>
    </w:p>
    <w:p>
      <w:pPr>
        <w:pStyle w:val="BodyText"/>
        <w:spacing w:before="9"/>
        <w:rPr>
          <w:sz w:val="17"/>
        </w:rPr>
      </w:pPr>
    </w:p>
    <w:p>
      <w:pPr>
        <w:spacing w:line="129" w:lineRule="exact" w:before="0"/>
        <w:ind w:left="197" w:right="0" w:firstLine="0"/>
        <w:jc w:val="left"/>
        <w:rPr>
          <w:sz w:val="12"/>
        </w:rPr>
      </w:pPr>
      <w:r>
        <w:rPr/>
        <w:pict>
          <v:shape style="position:absolute;margin-left:49.875pt;margin-top:.950913pt;width:159.65pt;height:3.4pt;mso-position-horizontal-relative:page;mso-position-vertical-relative:paragraph;z-index:16005632" coordorigin="998,19" coordsize="3193,68" path="m1155,86l4036,86m1153,19l1153,86m1829,19l1829,86m2506,19l2506,86m3183,19l3183,86m3860,19l3860,86m998,85l1084,85m4103,85l4190,85e" filled="false" stroked="true" strokeweight=".5pt" strokecolor="#000000">
            <v:path arrowok="t"/>
            <v:stroke dashstyle="solid"/>
            <w10:wrap type="none"/>
          </v:shape>
        </w:pict>
      </w:r>
      <w:r>
        <w:rPr>
          <w:sz w:val="12"/>
        </w:rPr>
        <w:t>12</w:t>
      </w:r>
    </w:p>
    <w:p>
      <w:pPr>
        <w:spacing w:line="129" w:lineRule="exact" w:before="0"/>
        <w:ind w:left="240" w:right="0" w:firstLine="0"/>
        <w:jc w:val="center"/>
        <w:rPr>
          <w:sz w:val="12"/>
        </w:rPr>
      </w:pPr>
      <w:r>
        <w:rPr>
          <w:sz w:val="12"/>
        </w:rPr>
        <w:t>1996</w:t>
      </w:r>
    </w:p>
    <w:p>
      <w:pPr>
        <w:pStyle w:val="BodyText"/>
        <w:spacing w:before="2"/>
        <w:rPr>
          <w:sz w:val="16"/>
        </w:rPr>
      </w:pPr>
    </w:p>
    <w:p>
      <w:pPr>
        <w:spacing w:before="0"/>
        <w:ind w:left="170" w:right="0" w:firstLine="0"/>
        <w:jc w:val="center"/>
        <w:rPr>
          <w:sz w:val="12"/>
        </w:rPr>
      </w:pPr>
      <w:r>
        <w:rPr>
          <w:sz w:val="12"/>
        </w:rPr>
        <w:t>Sources: GfK and MORI.</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4"/>
        </w:rPr>
      </w:pPr>
    </w:p>
    <w:p>
      <w:pPr>
        <w:tabs>
          <w:tab w:pos="688" w:val="left" w:leader="none"/>
        </w:tabs>
        <w:spacing w:before="0"/>
        <w:ind w:left="13" w:right="0" w:firstLine="0"/>
        <w:jc w:val="left"/>
        <w:rPr>
          <w:sz w:val="12"/>
        </w:rPr>
      </w:pPr>
      <w:r>
        <w:rPr>
          <w:sz w:val="12"/>
        </w:rPr>
        <w:t>97</w:t>
        <w:tab/>
        <w:t>98</w:t>
      </w:r>
    </w:p>
    <w:p>
      <w:pPr>
        <w:spacing w:line="51" w:lineRule="exact" w:before="0"/>
        <w:ind w:left="905" w:right="0" w:firstLine="0"/>
        <w:jc w:val="left"/>
        <w:rPr>
          <w:sz w:val="12"/>
        </w:rPr>
      </w:pPr>
      <w:r>
        <w:rPr/>
        <w:br w:type="column"/>
      </w:r>
      <w:r>
        <w:rPr>
          <w:sz w:val="12"/>
        </w:rPr>
        <w:t>20</w:t>
      </w:r>
    </w:p>
    <w:p>
      <w:pPr>
        <w:pStyle w:val="BodyText"/>
        <w:rPr>
          <w:sz w:val="12"/>
        </w:rPr>
      </w:pPr>
    </w:p>
    <w:p>
      <w:pPr>
        <w:pStyle w:val="BodyText"/>
        <w:spacing w:before="9"/>
        <w:rPr>
          <w:sz w:val="17"/>
        </w:rPr>
      </w:pPr>
    </w:p>
    <w:p>
      <w:pPr>
        <w:spacing w:before="0"/>
        <w:ind w:left="905" w:right="0" w:firstLine="0"/>
        <w:jc w:val="left"/>
        <w:rPr>
          <w:sz w:val="12"/>
        </w:rPr>
      </w:pPr>
      <w:r>
        <w:rPr>
          <w:sz w:val="12"/>
        </w:rPr>
        <w:t>40</w:t>
      </w:r>
    </w:p>
    <w:p>
      <w:pPr>
        <w:pStyle w:val="BodyText"/>
        <w:rPr>
          <w:sz w:val="12"/>
        </w:rPr>
      </w:pPr>
    </w:p>
    <w:p>
      <w:pPr>
        <w:pStyle w:val="BodyText"/>
        <w:spacing w:before="9"/>
        <w:rPr>
          <w:sz w:val="17"/>
        </w:rPr>
      </w:pPr>
    </w:p>
    <w:p>
      <w:pPr>
        <w:spacing w:line="129" w:lineRule="exact" w:before="0"/>
        <w:ind w:left="905" w:right="0" w:firstLine="0"/>
        <w:jc w:val="left"/>
        <w:rPr>
          <w:sz w:val="12"/>
        </w:rPr>
      </w:pPr>
      <w:r>
        <w:rPr>
          <w:sz w:val="12"/>
        </w:rPr>
        <w:t>60</w:t>
      </w:r>
    </w:p>
    <w:p>
      <w:pPr>
        <w:tabs>
          <w:tab w:pos="591" w:val="left" w:leader="none"/>
        </w:tabs>
        <w:spacing w:line="129" w:lineRule="exact" w:before="0"/>
        <w:ind w:left="170" w:right="0" w:firstLine="0"/>
        <w:jc w:val="left"/>
        <w:rPr>
          <w:sz w:val="12"/>
        </w:rPr>
      </w:pPr>
      <w:r>
        <w:rPr>
          <w:sz w:val="12"/>
        </w:rPr>
        <w:t>99</w:t>
        <w:tab/>
        <w:t>2000</w:t>
      </w:r>
    </w:p>
    <w:p>
      <w:pPr>
        <w:pStyle w:val="Heading6"/>
        <w:spacing w:line="242" w:lineRule="auto"/>
        <w:ind w:right="153"/>
      </w:pPr>
      <w:r>
        <w:rPr/>
        <w:br w:type="column"/>
      </w:r>
      <w:r>
        <w:rPr/>
        <w:t>The fall in confidence, if sustained, may be an early indicator of slower consumer spending growth in the coming quarters.</w:t>
      </w:r>
    </w:p>
    <w:p>
      <w:pPr>
        <w:pStyle w:val="BodyText"/>
        <w:spacing w:before="7"/>
        <w:rPr>
          <w:sz w:val="24"/>
        </w:rPr>
      </w:pPr>
    </w:p>
    <w:p>
      <w:pPr>
        <w:spacing w:line="242" w:lineRule="auto" w:before="1"/>
        <w:ind w:left="170" w:right="153" w:firstLine="0"/>
        <w:jc w:val="left"/>
        <w:rPr>
          <w:sz w:val="24"/>
        </w:rPr>
      </w:pPr>
      <w:r>
        <w:rPr>
          <w:sz w:val="24"/>
        </w:rPr>
        <w:t>On balance, the MPC judges that the level of consumer spending is likely to be slightly higher over the next two years than was projected in February, reflecting recent</w:t>
      </w:r>
    </w:p>
    <w:p>
      <w:pPr>
        <w:pStyle w:val="BodyText"/>
        <w:spacing w:before="3"/>
        <w:rPr>
          <w:sz w:val="10"/>
        </w:rPr>
      </w:pPr>
      <w:r>
        <w:rPr/>
        <w:pict>
          <v:shape style="position:absolute;margin-left:279pt;margin-top:7.992021pt;width:278pt;height:.1pt;mso-position-horizontal-relative:page;mso-position-vertical-relative:paragraph;z-index:-15462400;mso-wrap-distance-left:0;mso-wrap-distance-right:0" coordorigin="5580,160" coordsize="5560,0" path="m5580,160l11140,160e" filled="false" stroked="true" strokeweight=".125pt" strokecolor="#000000">
            <v:path arrowok="t"/>
            <v:stroke dashstyle="solid"/>
            <w10:wrap type="topAndBottom"/>
          </v:shape>
        </w:pict>
      </w:r>
    </w:p>
    <w:p>
      <w:pPr>
        <w:spacing w:line="208" w:lineRule="auto" w:before="11"/>
        <w:ind w:left="430" w:right="993" w:hanging="240"/>
        <w:jc w:val="left"/>
        <w:rPr>
          <w:sz w:val="16"/>
        </w:rPr>
      </w:pPr>
      <w:r>
        <w:rPr>
          <w:sz w:val="16"/>
        </w:rPr>
        <w:t>(1) The effects of changes in official interest rates on the economy are discussed in more detail in </w:t>
      </w:r>
      <w:r>
        <w:rPr>
          <w:i/>
          <w:sz w:val="16"/>
        </w:rPr>
        <w:t>The transmission mechanism of monetary </w:t>
      </w:r>
      <w:r>
        <w:rPr>
          <w:i/>
          <w:sz w:val="16"/>
        </w:rPr>
        <w:t>policy</w:t>
      </w:r>
      <w:r>
        <w:rPr>
          <w:sz w:val="16"/>
        </w:rPr>
        <w:t>, Monetary Policy Committee, 1999, Bank of England.</w:t>
      </w:r>
    </w:p>
    <w:p>
      <w:pPr>
        <w:spacing w:after="0" w:line="208" w:lineRule="auto"/>
        <w:jc w:val="left"/>
        <w:rPr>
          <w:sz w:val="16"/>
        </w:rPr>
        <w:sectPr>
          <w:type w:val="continuous"/>
          <w:pgSz w:w="11900" w:h="16840"/>
          <w:pgMar w:top="1220" w:bottom="280" w:left="640" w:right="620"/>
          <w:cols w:num="4" w:equalWidth="0">
            <w:col w:w="1433" w:space="40"/>
            <w:col w:w="849" w:space="354"/>
            <w:col w:w="1066" w:space="1042"/>
            <w:col w:w="5856"/>
          </w:cols>
        </w:sectPr>
      </w:pPr>
    </w:p>
    <w:p>
      <w:pPr>
        <w:pStyle w:val="BodyText"/>
        <w:rPr>
          <w:sz w:val="20"/>
        </w:rPr>
      </w:pPr>
    </w:p>
    <w:p>
      <w:pPr>
        <w:spacing w:after="0"/>
        <w:rPr>
          <w:sz w:val="20"/>
        </w:rPr>
        <w:sectPr>
          <w:headerReference w:type="default" r:id="rId97"/>
          <w:headerReference w:type="even" r:id="rId98"/>
          <w:footerReference w:type="default" r:id="rId99"/>
          <w:footerReference w:type="even" r:id="rId100"/>
          <w:pgSz w:w="11900" w:h="16840"/>
          <w:pgMar w:header="586" w:footer="617" w:top="780" w:bottom="800" w:left="640" w:right="620"/>
          <w:pgNumType w:start="19"/>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
        <w:rPr>
          <w:sz w:val="26"/>
        </w:rPr>
      </w:pPr>
    </w:p>
    <w:p>
      <w:pPr>
        <w:spacing w:before="1"/>
        <w:ind w:left="155" w:right="0" w:firstLine="0"/>
        <w:jc w:val="left"/>
        <w:rPr>
          <w:b/>
          <w:sz w:val="20"/>
        </w:rPr>
      </w:pPr>
      <w:bookmarkStart w:name="Investment demand" w:id="42"/>
      <w:bookmarkEnd w:id="42"/>
      <w:r>
        <w:rPr/>
      </w:r>
      <w:bookmarkStart w:name="_bookmark20" w:id="43"/>
      <w:bookmarkEnd w:id="43"/>
      <w:r>
        <w:rPr/>
      </w:r>
      <w:r>
        <w:rPr>
          <w:b/>
          <w:color w:val="0092C7"/>
          <w:sz w:val="20"/>
        </w:rPr>
        <w:t>Chart 2.10</w:t>
      </w:r>
    </w:p>
    <w:p>
      <w:pPr>
        <w:spacing w:before="10"/>
        <w:ind w:left="155" w:right="0" w:firstLine="0"/>
        <w:jc w:val="left"/>
        <w:rPr>
          <w:sz w:val="12"/>
        </w:rPr>
      </w:pPr>
      <w:r>
        <w:rPr>
          <w:b/>
          <w:color w:val="0092C7"/>
          <w:sz w:val="20"/>
        </w:rPr>
        <w:t>Gross fixed capital formation</w:t>
      </w:r>
      <w:r>
        <w:rPr>
          <w:position w:val="4"/>
          <w:sz w:val="12"/>
        </w:rPr>
        <w:t>(a)</w:t>
      </w:r>
    </w:p>
    <w:p>
      <w:pPr>
        <w:spacing w:line="117" w:lineRule="exact" w:before="154"/>
        <w:ind w:left="1623" w:right="0" w:firstLine="0"/>
        <w:jc w:val="left"/>
        <w:rPr>
          <w:sz w:val="12"/>
        </w:rPr>
      </w:pPr>
      <w:r>
        <w:rPr>
          <w:sz w:val="12"/>
        </w:rPr>
        <w:t>Percentage changes on a quarter earlier</w:t>
      </w:r>
    </w:p>
    <w:p>
      <w:pPr>
        <w:spacing w:line="117" w:lineRule="exact" w:before="0"/>
        <w:ind w:left="3560" w:right="0" w:firstLine="0"/>
        <w:jc w:val="left"/>
        <w:rPr>
          <w:sz w:val="12"/>
        </w:rPr>
      </w:pPr>
      <w:r>
        <w:rPr>
          <w:sz w:val="12"/>
        </w:rPr>
        <w:t>8</w:t>
      </w:r>
    </w:p>
    <w:p>
      <w:pPr>
        <w:tabs>
          <w:tab w:pos="3620" w:val="right" w:leader="none"/>
        </w:tabs>
        <w:spacing w:before="265"/>
        <w:ind w:left="1057" w:right="0" w:firstLine="0"/>
        <w:jc w:val="left"/>
        <w:rPr>
          <w:sz w:val="12"/>
        </w:rPr>
      </w:pPr>
      <w:r>
        <w:rPr/>
        <w:pict>
          <v:group style="position:absolute;margin-left:52.529999pt;margin-top:17.226509pt;width:146.5pt;height:122.7pt;mso-position-horizontal-relative:page;mso-position-vertical-relative:paragraph;z-index:-22602240" coordorigin="1051,345" coordsize="2930,2454">
            <v:shape style="position:absolute;left:1060;top:354;width:2908;height:2068" coordorigin="1061,355" coordsize="2908,2068" path="m1061,1330l1188,2422m1188,2422l1316,872m1316,872l1433,1375m1433,1375l1563,2037m1563,2037l1691,990m1691,990l1818,517m1818,517l1948,1847m1948,1847l2076,502m2076,502l2193,2215m2193,2215l2321,1492m2321,1492l2451,1875m2451,1875l2578,767m2578,767l2706,355m2706,355l2836,1300m2836,1300l2951,1107m2951,1107l3081,797m3081,797l3208,1685m3208,1685l3338,502m3338,502l3466,1152m3466,1152l3593,1787m3593,1787l3711,1477m3711,1477l3841,2067m3841,2067l3968,1565e" filled="false" stroked="true" strokeweight="1pt" strokecolor="#0099d9">
              <v:path arrowok="t"/>
              <v:stroke dashstyle="solid"/>
            </v:shape>
            <v:shape style="position:absolute;left:1060;top:649;width:2908;height:2008" coordorigin="1061,650" coordsize="2908,2008" path="m1061,1255l1188,2657m1188,2657l1316,1167m1316,1167l1433,1580m1433,1580l1563,1670m1563,1670l1691,1847m1691,1847l1818,1360m1818,1360l1948,1965m1948,1965l2076,1092m2076,1092l2193,1685m2193,1685l2321,1565m2321,1565l2451,1802m2451,1802l2578,1522m2578,1522l2706,650m2706,650l2836,1507m2836,1507l2951,1182m2951,1182l3081,930m3081,930l3208,1712m3208,1712l3338,827m3338,827l3466,1565m3466,1565l3593,1700m3593,1700l3711,1625m3711,1625l3841,1685m3841,1685l3968,1462e" filled="false" stroked="true" strokeweight="1pt" strokecolor="#de0035">
              <v:path arrowok="t"/>
              <v:stroke dashstyle="solid"/>
            </v:shape>
            <v:shape style="position:absolute;left:1061;top:2699;width:2914;height:94" coordorigin="1062,2699" coordsize="2914,94" path="m1062,2793l3969,2793m1063,2699l1063,2793m1189,2746l1189,2793m1316,2746l1316,2793m1443,2746l1443,2793m1569,2699l1569,2793m1696,2746l1696,2793m1823,2746l1823,2793m1949,2746l1949,2793m2076,2699l2076,2793m2202,2746l2202,2793m2329,2746l2329,2793m2456,2746l2456,2793m2582,2699l2582,2793m2709,2746l2709,2793m2835,2746l2835,2793m2962,2746l2962,2793m3089,2699l3089,2793m3215,2746l3215,2793m3342,2746l3342,2793m3469,2746l3469,2793m3595,2699l3595,2793m3722,2746l3722,2793m3848,2746l3848,2793m3975,2746l3975,2793e" filled="false" stroked="true" strokeweight=".5pt" strokecolor="#000000">
              <v:path arrowok="t"/>
              <v:stroke dashstyle="solid"/>
            </v:shape>
            <v:shape style="position:absolute;left:2536;top:1674;width:112;height:371" type="#_x0000_t75" stroked="false">
              <v:imagedata r:id="rId101" o:title=""/>
            </v:shape>
            <v:shape style="position:absolute;left:1050;top:344;width:2930;height:2454"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3"/>
                      <w:rPr>
                        <w:sz w:val="15"/>
                      </w:rPr>
                    </w:pPr>
                  </w:p>
                  <w:p>
                    <w:pPr>
                      <w:tabs>
                        <w:tab w:pos="2918" w:val="left" w:leader="none"/>
                      </w:tabs>
                      <w:spacing w:before="0"/>
                      <w:ind w:left="5" w:right="0" w:firstLine="0"/>
                      <w:jc w:val="left"/>
                      <w:rPr>
                        <w:sz w:val="12"/>
                      </w:rPr>
                    </w:pPr>
                    <w:r>
                      <w:rPr>
                        <w:sz w:val="12"/>
                        <w:u w:val="single"/>
                      </w:rPr>
                      <w:t> </w:t>
                      <w:tab/>
                    </w:r>
                  </w:p>
                  <w:p>
                    <w:pPr>
                      <w:spacing w:line="240" w:lineRule="auto" w:before="10"/>
                      <w:rPr>
                        <w:sz w:val="10"/>
                      </w:rPr>
                    </w:pPr>
                  </w:p>
                  <w:p>
                    <w:pPr>
                      <w:spacing w:before="0"/>
                      <w:ind w:left="1559" w:right="0" w:firstLine="0"/>
                      <w:jc w:val="left"/>
                      <w:rPr>
                        <w:sz w:val="12"/>
                      </w:rPr>
                    </w:pPr>
                    <w:r>
                      <w:rPr>
                        <w:sz w:val="12"/>
                      </w:rPr>
                      <w:t>Whole economy (b)</w:t>
                    </w:r>
                  </w:p>
                </w:txbxContent>
              </v:textbox>
              <w10:wrap type="none"/>
            </v:shape>
            <w10:wrap type="none"/>
          </v:group>
        </w:pict>
      </w:r>
      <w:r>
        <w:rPr/>
        <w:pict>
          <v:line style="position:absolute;mso-position-horizontal-relative:page;mso-position-vertical-relative:paragraph;z-index:16009728" from="43.853001pt,20.754509pt" to="48.186001pt,20.754509pt" stroked="true" strokeweight=".5pt" strokecolor="#000000">
            <v:stroke dashstyle="solid"/>
            <w10:wrap type="none"/>
          </v:line>
        </w:pict>
      </w:r>
      <w:r>
        <w:rPr/>
        <w:pict>
          <v:line style="position:absolute;mso-position-horizontal-relative:page;mso-position-vertical-relative:paragraph;z-index:-22598656" from="202.988007pt,20.754509pt" to="207.322007pt,20.754509pt" stroked="true" strokeweight=".5pt" strokecolor="#000000">
            <v:stroke dashstyle="solid"/>
            <w10:wrap type="none"/>
          </v:line>
        </w:pict>
      </w:r>
      <w:r>
        <w:rPr>
          <w:sz w:val="12"/>
        </w:rPr>
        <w:t>Business investment</w:t>
        <w:tab/>
      </w:r>
      <w:r>
        <w:rPr>
          <w:position w:val="-6"/>
          <w:sz w:val="12"/>
        </w:rPr>
        <w:t>6</w:t>
      </w:r>
    </w:p>
    <w:p>
      <w:pPr>
        <w:pStyle w:val="BodyText"/>
        <w:spacing w:before="6"/>
        <w:rPr>
          <w:sz w:val="29"/>
        </w:rPr>
      </w:pPr>
    </w:p>
    <w:p>
      <w:pPr>
        <w:spacing w:before="0"/>
        <w:ind w:left="0" w:right="38" w:firstLine="0"/>
        <w:jc w:val="right"/>
        <w:rPr>
          <w:sz w:val="12"/>
        </w:rPr>
      </w:pPr>
      <w:r>
        <w:rPr/>
        <w:pict>
          <v:line style="position:absolute;mso-position-horizontal-relative:page;mso-position-vertical-relative:paragraph;z-index:16010240" from="43.853001pt,3.898777pt" to="48.186001pt,3.898777pt" stroked="true" strokeweight=".5pt" strokecolor="#000000">
            <v:stroke dashstyle="solid"/>
            <w10:wrap type="none"/>
          </v:line>
        </w:pict>
      </w:r>
      <w:r>
        <w:rPr/>
        <w:pict>
          <v:line style="position:absolute;mso-position-horizontal-relative:page;mso-position-vertical-relative:paragraph;z-index:16013312" from="202.988007pt,3.898777pt" to="207.322007pt,3.898777pt" stroked="true" strokeweight=".5pt" strokecolor="#000000">
            <v:stroke dashstyle="solid"/>
            <w10:wrap type="none"/>
          </v:line>
        </w:pict>
      </w:r>
      <w:r>
        <w:rPr>
          <w:sz w:val="12"/>
        </w:rPr>
        <w:t>4</w:t>
      </w:r>
    </w:p>
    <w:p>
      <w:pPr>
        <w:pStyle w:val="BodyText"/>
        <w:rPr>
          <w:sz w:val="12"/>
        </w:rPr>
      </w:pPr>
    </w:p>
    <w:p>
      <w:pPr>
        <w:pStyle w:val="BodyText"/>
        <w:spacing w:before="3"/>
        <w:rPr>
          <w:sz w:val="17"/>
        </w:rPr>
      </w:pPr>
    </w:p>
    <w:p>
      <w:pPr>
        <w:spacing w:before="1"/>
        <w:ind w:left="0" w:right="38" w:firstLine="0"/>
        <w:jc w:val="right"/>
        <w:rPr>
          <w:sz w:val="12"/>
        </w:rPr>
      </w:pPr>
      <w:r>
        <w:rPr/>
        <w:pict>
          <v:line style="position:absolute;mso-position-horizontal-relative:page;mso-position-vertical-relative:paragraph;z-index:16010752" from="43.853001pt,3.96796pt" to="48.186001pt,3.96796pt" stroked="true" strokeweight=".5pt" strokecolor="#000000">
            <v:stroke dashstyle="solid"/>
            <w10:wrap type="none"/>
          </v:line>
        </w:pict>
      </w:r>
      <w:r>
        <w:rPr/>
        <w:pict>
          <v:line style="position:absolute;mso-position-horizontal-relative:page;mso-position-vertical-relative:paragraph;z-index:16013824" from="202.988007pt,3.96796pt" to="207.322007pt,3.96796pt" stroked="true" strokeweight=".5pt" strokecolor="#000000">
            <v:stroke dashstyle="solid"/>
            <w10:wrap type="none"/>
          </v:line>
        </w:pict>
      </w:r>
      <w:r>
        <w:rPr>
          <w:sz w:val="12"/>
        </w:rPr>
        <w:t>2</w:t>
      </w:r>
    </w:p>
    <w:p>
      <w:pPr>
        <w:spacing w:before="93"/>
        <w:ind w:left="3483" w:right="0" w:firstLine="0"/>
        <w:jc w:val="left"/>
        <w:rPr>
          <w:sz w:val="16"/>
        </w:rPr>
      </w:pPr>
      <w:r>
        <w:rPr>
          <w:w w:val="100"/>
          <w:sz w:val="16"/>
        </w:rPr>
        <w:t>+</w:t>
      </w:r>
    </w:p>
    <w:p>
      <w:pPr>
        <w:spacing w:line="115" w:lineRule="exact" w:before="60"/>
        <w:ind w:left="3560" w:right="0" w:firstLine="0"/>
        <w:jc w:val="left"/>
        <w:rPr>
          <w:sz w:val="12"/>
        </w:rPr>
      </w:pPr>
      <w:r>
        <w:rPr/>
        <w:pict>
          <v:line style="position:absolute;mso-position-horizontal-relative:page;mso-position-vertical-relative:paragraph;z-index:16011776" from="43.853001pt,6.937143pt" to="48.186001pt,6.937143pt" stroked="true" strokeweight=".5pt" strokecolor="#000000">
            <v:stroke dashstyle="solid"/>
            <w10:wrap type="none"/>
          </v:line>
        </w:pict>
      </w:r>
      <w:r>
        <w:rPr/>
        <w:pict>
          <v:line style="position:absolute;mso-position-horizontal-relative:page;mso-position-vertical-relative:paragraph;z-index:16014848" from="202.988007pt,6.937143pt" to="207.322007pt,6.937143pt" stroked="true" strokeweight=".5pt" strokecolor="#000000">
            <v:stroke dashstyle="solid"/>
            <w10:wrap type="none"/>
          </v:line>
        </w:pict>
      </w:r>
      <w:r>
        <w:rPr>
          <w:sz w:val="12"/>
        </w:rPr>
        <w:t>0</w:t>
      </w:r>
    </w:p>
    <w:p>
      <w:pPr>
        <w:spacing w:line="161" w:lineRule="exact" w:before="0"/>
        <w:ind w:left="3490" w:right="0" w:firstLine="0"/>
        <w:jc w:val="left"/>
        <w:rPr>
          <w:sz w:val="16"/>
        </w:rPr>
      </w:pPr>
      <w:r>
        <w:rPr>
          <w:sz w:val="16"/>
        </w:rPr>
        <w:t>_</w:t>
      </w:r>
    </w:p>
    <w:p>
      <w:pPr>
        <w:pStyle w:val="BodyText"/>
        <w:spacing w:before="2"/>
        <w:rPr>
          <w:sz w:val="17"/>
        </w:rPr>
      </w:pPr>
    </w:p>
    <w:p>
      <w:pPr>
        <w:spacing w:before="0"/>
        <w:ind w:left="0" w:right="38" w:firstLine="0"/>
        <w:jc w:val="right"/>
        <w:rPr>
          <w:sz w:val="12"/>
        </w:rPr>
      </w:pPr>
      <w:r>
        <w:rPr/>
        <w:pict>
          <v:line style="position:absolute;mso-position-horizontal-relative:page;mso-position-vertical-relative:paragraph;z-index:16011264" from="43.853001pt,3.956387pt" to="48.186001pt,3.956387pt" stroked="true" strokeweight=".5pt" strokecolor="#000000">
            <v:stroke dashstyle="solid"/>
            <w10:wrap type="none"/>
          </v:line>
        </w:pict>
      </w:r>
      <w:r>
        <w:rPr/>
        <w:pict>
          <v:line style="position:absolute;mso-position-horizontal-relative:page;mso-position-vertical-relative:paragraph;z-index:16014336" from="202.988007pt,3.956387pt" to="207.322007pt,3.956387pt" stroked="true" strokeweight=".5pt" strokecolor="#000000">
            <v:stroke dashstyle="solid"/>
            <w10:wrap type="none"/>
          </v:line>
        </w:pict>
      </w:r>
      <w:r>
        <w:rPr>
          <w:sz w:val="12"/>
        </w:rPr>
        <w:t>2</w:t>
      </w:r>
    </w:p>
    <w:p>
      <w:pPr>
        <w:pStyle w:val="BodyText"/>
        <w:rPr>
          <w:sz w:val="12"/>
        </w:rPr>
      </w:pPr>
    </w:p>
    <w:p>
      <w:pPr>
        <w:pStyle w:val="BodyText"/>
        <w:spacing w:before="4"/>
        <w:rPr>
          <w:sz w:val="17"/>
        </w:rPr>
      </w:pPr>
    </w:p>
    <w:p>
      <w:pPr>
        <w:spacing w:line="131" w:lineRule="exact" w:before="0"/>
        <w:ind w:left="3560" w:right="0" w:firstLine="0"/>
        <w:jc w:val="left"/>
        <w:rPr>
          <w:sz w:val="12"/>
        </w:rPr>
      </w:pPr>
      <w:r>
        <w:rPr/>
        <w:pict>
          <v:line style="position:absolute;mso-position-horizontal-relative:page;mso-position-vertical-relative:paragraph;z-index:16012288" from="43.853001pt,3.97657pt" to="48.186001pt,3.97657pt" stroked="true" strokeweight=".5pt" strokecolor="#000000">
            <v:stroke dashstyle="solid"/>
            <w10:wrap type="none"/>
          </v:line>
        </w:pict>
      </w:r>
      <w:r>
        <w:rPr/>
        <w:pict>
          <v:line style="position:absolute;mso-position-horizontal-relative:page;mso-position-vertical-relative:paragraph;z-index:16015360" from="202.988007pt,3.97657pt" to="207.322007pt,3.97657pt" stroked="true" strokeweight=".5pt" strokecolor="#000000">
            <v:stroke dashstyle="solid"/>
            <w10:wrap type="none"/>
          </v:line>
        </w:pict>
      </w:r>
      <w:r>
        <w:rPr>
          <w:sz w:val="12"/>
        </w:rPr>
        <w:t>4</w:t>
      </w:r>
    </w:p>
    <w:p>
      <w:pPr>
        <w:tabs>
          <w:tab w:pos="1109" w:val="left" w:leader="none"/>
          <w:tab w:pos="1622" w:val="left" w:leader="none"/>
          <w:tab w:pos="2124" w:val="left" w:leader="none"/>
          <w:tab w:pos="2627" w:val="left" w:leader="none"/>
          <w:tab w:pos="3132" w:val="left" w:leader="none"/>
        </w:tabs>
        <w:spacing w:line="131" w:lineRule="exact" w:before="0"/>
        <w:ind w:left="567" w:right="0" w:firstLine="0"/>
        <w:jc w:val="left"/>
        <w:rPr>
          <w:sz w:val="12"/>
        </w:rPr>
      </w:pPr>
      <w:r>
        <w:rPr>
          <w:sz w:val="12"/>
        </w:rPr>
        <w:t>1994</w:t>
        <w:tab/>
        <w:t>95</w:t>
        <w:tab/>
        <w:t>96</w:t>
        <w:tab/>
        <w:t>97</w:t>
        <w:tab/>
        <w:t>98</w:t>
        <w:tab/>
        <w:t>99</w:t>
      </w:r>
    </w:p>
    <w:p>
      <w:pPr>
        <w:pStyle w:val="BodyText"/>
        <w:rPr>
          <w:sz w:val="17"/>
        </w:rPr>
      </w:pPr>
    </w:p>
    <w:p>
      <w:pPr>
        <w:pStyle w:val="ListParagraph"/>
        <w:numPr>
          <w:ilvl w:val="0"/>
          <w:numId w:val="13"/>
        </w:numPr>
        <w:tabs>
          <w:tab w:pos="406" w:val="left" w:leader="none"/>
        </w:tabs>
        <w:spacing w:line="129" w:lineRule="exact" w:before="0" w:after="0"/>
        <w:ind w:left="405" w:right="0" w:hanging="241"/>
        <w:jc w:val="left"/>
        <w:rPr>
          <w:sz w:val="12"/>
        </w:rPr>
      </w:pPr>
      <w:r>
        <w:rPr>
          <w:sz w:val="12"/>
        </w:rPr>
        <w:t>At constant 1995 prices.</w:t>
      </w:r>
    </w:p>
    <w:p>
      <w:pPr>
        <w:pStyle w:val="ListParagraph"/>
        <w:numPr>
          <w:ilvl w:val="0"/>
          <w:numId w:val="13"/>
        </w:numPr>
        <w:tabs>
          <w:tab w:pos="406" w:val="left" w:leader="none"/>
        </w:tabs>
        <w:spacing w:line="208" w:lineRule="auto" w:before="6" w:after="0"/>
        <w:ind w:left="405" w:right="99" w:hanging="240"/>
        <w:jc w:val="left"/>
        <w:rPr>
          <w:sz w:val="12"/>
        </w:rPr>
      </w:pPr>
      <w:r>
        <w:rPr>
          <w:sz w:val="12"/>
        </w:rPr>
        <w:t>Includes business investment, investment by general government, private dwelling investment and transfer costs.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7"/>
        <w:ind w:left="165" w:right="0" w:firstLine="0"/>
        <w:jc w:val="left"/>
        <w:rPr>
          <w:b/>
          <w:sz w:val="20"/>
        </w:rPr>
      </w:pPr>
      <w:r>
        <w:rPr>
          <w:b/>
          <w:color w:val="0092C7"/>
          <w:sz w:val="20"/>
        </w:rPr>
        <w:t>Chart 2.11</w:t>
      </w:r>
    </w:p>
    <w:p>
      <w:pPr>
        <w:spacing w:before="10"/>
        <w:ind w:left="165" w:right="0" w:firstLine="0"/>
        <w:jc w:val="left"/>
        <w:rPr>
          <w:sz w:val="12"/>
        </w:rPr>
      </w:pPr>
      <w:r>
        <w:rPr>
          <w:b/>
          <w:color w:val="0092C7"/>
          <w:sz w:val="20"/>
        </w:rPr>
        <w:t>Business investment by sector</w:t>
      </w:r>
      <w:r>
        <w:rPr>
          <w:position w:val="4"/>
          <w:sz w:val="12"/>
        </w:rPr>
        <w:t>(a)</w:t>
      </w:r>
    </w:p>
    <w:p>
      <w:pPr>
        <w:spacing w:line="122" w:lineRule="exact" w:before="152"/>
        <w:ind w:left="1586" w:right="0" w:firstLine="0"/>
        <w:jc w:val="left"/>
        <w:rPr>
          <w:sz w:val="12"/>
        </w:rPr>
      </w:pPr>
      <w:r>
        <w:rPr>
          <w:sz w:val="12"/>
        </w:rPr>
        <w:t>Percentage changes on a quarter earlier</w:t>
      </w:r>
    </w:p>
    <w:p>
      <w:pPr>
        <w:spacing w:line="122" w:lineRule="exact" w:before="0"/>
        <w:ind w:left="3492" w:right="0" w:firstLine="0"/>
        <w:jc w:val="left"/>
        <w:rPr>
          <w:sz w:val="12"/>
        </w:rPr>
      </w:pPr>
      <w:r>
        <w:rPr/>
        <w:pict>
          <v:line style="position:absolute;mso-position-horizontal-relative:page;mso-position-vertical-relative:paragraph;z-index:16021504" from="43.529999pt,2.672933pt" to="47.862999pt,2.672933pt" stroked="true" strokeweight=".5pt" strokecolor="#000000">
            <v:stroke dashstyle="solid"/>
            <w10:wrap type="none"/>
          </v:line>
        </w:pict>
      </w:r>
      <w:r>
        <w:rPr/>
        <w:pict>
          <v:line style="position:absolute;mso-position-horizontal-relative:page;mso-position-vertical-relative:paragraph;z-index:16025088" from="200.779999pt,2.652933pt" to="205.112999pt,2.652933pt" stroked="true" strokeweight=".5pt" strokecolor="#000000">
            <v:stroke dashstyle="solid"/>
            <w10:wrap type="none"/>
          </v:line>
        </w:pict>
      </w:r>
      <w:r>
        <w:rPr>
          <w:sz w:val="12"/>
        </w:rPr>
        <w:t>15</w:t>
      </w:r>
    </w:p>
    <w:p>
      <w:pPr>
        <w:pStyle w:val="BodyText"/>
        <w:rPr>
          <w:sz w:val="12"/>
        </w:rPr>
      </w:pPr>
    </w:p>
    <w:p>
      <w:pPr>
        <w:pStyle w:val="BodyText"/>
        <w:spacing w:before="9"/>
        <w:rPr>
          <w:sz w:val="17"/>
        </w:rPr>
      </w:pPr>
    </w:p>
    <w:p>
      <w:pPr>
        <w:spacing w:before="0"/>
        <w:ind w:left="0" w:right="46" w:firstLine="0"/>
        <w:jc w:val="right"/>
        <w:rPr>
          <w:sz w:val="12"/>
        </w:rPr>
      </w:pPr>
      <w:r>
        <w:rPr/>
        <w:pict>
          <v:group style="position:absolute;margin-left:51.862999pt;margin-top:-7.208742pt;width:145.4pt;height:111.55pt;mso-position-horizontal-relative:page;mso-position-vertical-relative:paragraph;z-index:16017408" coordorigin="1037,-144" coordsize="2908,2231">
            <v:line style="position:absolute" from="1046,1032" to="3926,1032" stroked="true" strokeweight=".5pt" strokecolor="#000000">
              <v:stroke dashstyle="solid"/>
            </v:line>
            <v:shape style="position:absolute;left:1047;top:436;width:2888;height:750" coordorigin="1047,436" coordsize="2888,750" path="m1047,1111l1195,681m1195,681l1345,496m1345,496l1507,1034m1507,1034l1657,496m1657,496l1805,1186m1805,1186l1955,896m1955,896l2105,1049m2105,1049l2267,604m2267,604l2415,436m2415,436l2565,819m2565,819l2715,741m2715,741l2875,604m2875,604l3025,974m3025,974l3175,496m3175,496l3325,759m3325,759l3472,1004m3472,1004l3635,881m3635,881l3785,1126m3785,1126l3935,926e" filled="false" stroked="true" strokeweight="1pt" strokecolor="#de0035">
              <v:path arrowok="t"/>
              <v:stroke dashstyle="solid"/>
            </v:shape>
            <v:shape style="position:absolute;left:1047;top:-87;width:1828;height:1473" coordorigin="1047,-86" coordsize="1828,1473" path="m1047,1356l1195,481m1195,481l1345,329m1345,329l1507,1096m1507,1096l1657,-86m1657,-86l1805,759m1805,759l1955,911m1955,911l2105,1386m2105,1386l2267,374m2267,374l2415,666m2415,666l2565,421m2565,421l2715,314m2715,314l2875,774e" filled="false" stroked="true" strokeweight="1pt" strokecolor="#f6bd61">
              <v:path arrowok="t"/>
              <v:stroke dashstyle="solid"/>
            </v:shape>
            <v:line style="position:absolute" from="2865,766" to="3035,766" stroked="true" strokeweight="1.75pt" strokecolor="#f6bd61">
              <v:stroke dashstyle="solid"/>
            </v:line>
            <v:shape style="position:absolute;left:3024;top:143;width:910;height:1013" coordorigin="3025,144" coordsize="910,1013" path="m3025,759l3175,144m3175,144l3325,789m3325,789l3472,236m3472,236l3635,696m3635,696l3785,1156m3785,1156l3935,881e" filled="false" stroked="true" strokeweight="1pt" strokecolor="#f6bd61">
              <v:path arrowok="t"/>
              <v:stroke dashstyle="solid"/>
            </v:shape>
            <v:shape style="position:absolute;left:1047;top:-9;width:2888;height:2085" coordorigin="1047,-9" coordsize="2888,2085" path="m1047,789l1195,344m1195,344l1345,696m1345,696l1507,1219m1507,1219l1657,1034m1657,1034l1805,1786m1805,1786l1955,266m1955,266l2105,559m2105,559l2267,1004m2267,1004l2415,-9m2415,-9l2565,1526m2565,1526l2715,1096m2715,1096l2875,329m2875,329l3025,1341m3025,1341l3175,1141m3175,1141l3325,819m3325,819l3472,2076m3472,2076l3635,1401m3635,1401l3785,1311m3785,1311l3935,651e" filled="false" stroked="true" strokeweight="1pt" strokecolor="#006caa">
              <v:path arrowok="t"/>
              <v:stroke dashstyle="solid"/>
            </v:shape>
            <v:line style="position:absolute" from="2963,5" to="3136,411" stroked="true" strokeweight=".5pt" strokecolor="#000000">
              <v:stroke dashstyle="solid"/>
            </v:line>
            <v:shape style="position:absolute;left:3106;top:385;width:57;height:88" coordorigin="3106,386" coordsize="57,88" path="m3153,386l3106,406,3118,418,3127,427,3163,474,3160,465,3158,454,3156,442,3155,429,3154,417,3153,386xe" filled="true" fillcolor="#000000" stroked="false">
              <v:path arrowok="t"/>
              <v:fill type="solid"/>
            </v:shape>
            <v:shape style="position:absolute;left:1227;top:-145;width:427;height:133" type="#_x0000_t202" filled="false" stroked="false">
              <v:textbox inset="0,0,0,0">
                <w:txbxContent>
                  <w:p>
                    <w:pPr>
                      <w:spacing w:line="133" w:lineRule="exact" w:before="0"/>
                      <w:ind w:left="0" w:right="0" w:firstLine="0"/>
                      <w:jc w:val="left"/>
                      <w:rPr>
                        <w:sz w:val="12"/>
                      </w:rPr>
                    </w:pPr>
                    <w:r>
                      <w:rPr>
                        <w:sz w:val="12"/>
                      </w:rPr>
                      <w:t>Services</w:t>
                    </w:r>
                  </w:p>
                </w:txbxContent>
              </v:textbox>
              <w10:wrap type="none"/>
            </v:shape>
            <v:shape style="position:absolute;left:2745;top:-132;width:274;height:133" type="#_x0000_t202" filled="false" stroked="false">
              <v:textbox inset="0,0,0,0">
                <w:txbxContent>
                  <w:p>
                    <w:pPr>
                      <w:spacing w:line="133" w:lineRule="exact" w:before="0"/>
                      <w:ind w:left="0" w:right="0" w:firstLine="0"/>
                      <w:jc w:val="left"/>
                      <w:rPr>
                        <w:sz w:val="12"/>
                      </w:rPr>
                    </w:pPr>
                    <w:r>
                      <w:rPr>
                        <w:sz w:val="12"/>
                      </w:rPr>
                      <w:t>Total</w:t>
                    </w:r>
                  </w:p>
                </w:txbxContent>
              </v:textbox>
              <w10:wrap type="none"/>
            </v:shape>
            <v:shape style="position:absolute;left:2715;top:1929;width:734;height:134" type="#_x0000_t202" filled="false" stroked="false">
              <v:textbox inset="0,0,0,0">
                <w:txbxContent>
                  <w:p>
                    <w:pPr>
                      <w:spacing w:line="133" w:lineRule="exact" w:before="0"/>
                      <w:ind w:left="0" w:right="0" w:firstLine="0"/>
                      <w:jc w:val="left"/>
                      <w:rPr>
                        <w:sz w:val="12"/>
                      </w:rPr>
                    </w:pPr>
                    <w:r>
                      <w:rPr>
                        <w:sz w:val="12"/>
                      </w:rPr>
                      <w:t>Manufacturing</w:t>
                    </w:r>
                  </w:p>
                </w:txbxContent>
              </v:textbox>
              <w10:wrap type="none"/>
            </v:shape>
            <w10:wrap type="none"/>
          </v:group>
        </w:pict>
      </w:r>
      <w:r>
        <w:rPr/>
        <w:pict>
          <v:line style="position:absolute;mso-position-horizontal-relative:page;mso-position-vertical-relative:paragraph;z-index:16018432" from="43.529999pt,3.503753pt" to="47.862999pt,3.503753pt" stroked="true" strokeweight=".5pt" strokecolor="#000000">
            <v:stroke dashstyle="solid"/>
            <w10:wrap type="none"/>
          </v:line>
        </w:pict>
      </w:r>
      <w:r>
        <w:rPr/>
        <w:pict>
          <v:line style="position:absolute;mso-position-horizontal-relative:page;mso-position-vertical-relative:paragraph;z-index:16022016" from="200.779999pt,3.483753pt" to="205.112999pt,3.483753pt" stroked="true" strokeweight=".5pt" strokecolor="#000000">
            <v:stroke dashstyle="solid"/>
            <w10:wrap type="none"/>
          </v:line>
        </w:pict>
      </w:r>
      <w:r>
        <w:rPr>
          <w:sz w:val="12"/>
        </w:rPr>
        <w:t>10</w:t>
      </w:r>
    </w:p>
    <w:p>
      <w:pPr>
        <w:pStyle w:val="BodyText"/>
        <w:rPr>
          <w:sz w:val="12"/>
        </w:rPr>
      </w:pPr>
    </w:p>
    <w:p>
      <w:pPr>
        <w:pStyle w:val="BodyText"/>
        <w:spacing w:before="9"/>
        <w:rPr>
          <w:sz w:val="17"/>
        </w:rPr>
      </w:pPr>
    </w:p>
    <w:p>
      <w:pPr>
        <w:spacing w:before="0"/>
        <w:ind w:left="0" w:right="46" w:firstLine="0"/>
        <w:jc w:val="right"/>
        <w:rPr>
          <w:sz w:val="12"/>
        </w:rPr>
      </w:pPr>
      <w:r>
        <w:rPr/>
        <w:pict>
          <v:line style="position:absolute;mso-position-horizontal-relative:page;mso-position-vertical-relative:paragraph;z-index:16018944" from="43.529999pt,3.521372pt" to="47.862999pt,3.521372pt" stroked="true" strokeweight=".5pt" strokecolor="#000000">
            <v:stroke dashstyle="solid"/>
            <w10:wrap type="none"/>
          </v:line>
        </w:pict>
      </w:r>
      <w:r>
        <w:rPr/>
        <w:pict>
          <v:line style="position:absolute;mso-position-horizontal-relative:page;mso-position-vertical-relative:paragraph;z-index:16022528" from="200.779999pt,3.501372pt" to="205.112999pt,3.501372pt" stroked="true" strokeweight=".5pt" strokecolor="#000000">
            <v:stroke dashstyle="solid"/>
            <w10:wrap type="none"/>
          </v:line>
        </w:pict>
      </w:r>
      <w:r>
        <w:rPr>
          <w:sz w:val="12"/>
        </w:rPr>
        <w:t>5</w:t>
      </w:r>
    </w:p>
    <w:p>
      <w:pPr>
        <w:pStyle w:val="BodyText"/>
        <w:rPr>
          <w:sz w:val="12"/>
        </w:rPr>
      </w:pPr>
    </w:p>
    <w:p>
      <w:pPr>
        <w:spacing w:before="0"/>
        <w:ind w:left="3449" w:right="0" w:firstLine="0"/>
        <w:jc w:val="left"/>
        <w:rPr>
          <w:sz w:val="16"/>
        </w:rPr>
      </w:pPr>
      <w:r>
        <w:rPr>
          <w:w w:val="100"/>
          <w:sz w:val="16"/>
        </w:rPr>
        <w:t>+</w:t>
      </w:r>
    </w:p>
    <w:p>
      <w:pPr>
        <w:spacing w:line="132" w:lineRule="exact" w:before="21"/>
        <w:ind w:left="3552" w:right="0" w:firstLine="0"/>
        <w:jc w:val="left"/>
        <w:rPr>
          <w:sz w:val="12"/>
        </w:rPr>
      </w:pPr>
      <w:r>
        <w:rPr/>
        <w:pict>
          <v:line style="position:absolute;mso-position-horizontal-relative:page;mso-position-vertical-relative:paragraph;z-index:16019456" from="43.529999pt,4.589959pt" to="47.862999pt,4.589959pt" stroked="true" strokeweight=".5pt" strokecolor="#000000">
            <v:stroke dashstyle="solid"/>
            <w10:wrap type="none"/>
          </v:line>
        </w:pict>
      </w:r>
      <w:r>
        <w:rPr/>
        <w:pict>
          <v:line style="position:absolute;mso-position-horizontal-relative:page;mso-position-vertical-relative:paragraph;z-index:16023040" from="200.779999pt,4.568959pt" to="205.112999pt,4.568959pt" stroked="true" strokeweight=".5pt" strokecolor="#000000">
            <v:stroke dashstyle="solid"/>
            <w10:wrap type="none"/>
          </v:line>
        </w:pict>
      </w:r>
      <w:r>
        <w:rPr>
          <w:sz w:val="12"/>
        </w:rPr>
        <w:t>0</w:t>
      </w:r>
    </w:p>
    <w:p>
      <w:pPr>
        <w:spacing w:line="178" w:lineRule="exact" w:before="0"/>
        <w:ind w:left="3473" w:right="0" w:firstLine="0"/>
        <w:jc w:val="left"/>
        <w:rPr>
          <w:sz w:val="16"/>
        </w:rPr>
      </w:pPr>
      <w:r>
        <w:rPr>
          <w:sz w:val="16"/>
        </w:rPr>
        <w:t>–</w:t>
      </w:r>
    </w:p>
    <w:p>
      <w:pPr>
        <w:pStyle w:val="BodyText"/>
        <w:spacing w:before="11"/>
        <w:rPr>
          <w:sz w:val="14"/>
        </w:rPr>
      </w:pPr>
    </w:p>
    <w:p>
      <w:pPr>
        <w:spacing w:before="0"/>
        <w:ind w:left="0" w:right="46" w:firstLine="0"/>
        <w:jc w:val="right"/>
        <w:rPr>
          <w:sz w:val="12"/>
        </w:rPr>
      </w:pPr>
      <w:r>
        <w:rPr/>
        <w:pict>
          <v:line style="position:absolute;mso-position-horizontal-relative:page;mso-position-vertical-relative:paragraph;z-index:16020480" from="43.529999pt,3.556577pt" to="47.862999pt,3.556577pt" stroked="true" strokeweight=".5pt" strokecolor="#000000">
            <v:stroke dashstyle="solid"/>
            <w10:wrap type="none"/>
          </v:line>
        </w:pict>
      </w:r>
      <w:r>
        <w:rPr/>
        <w:pict>
          <v:line style="position:absolute;mso-position-horizontal-relative:page;mso-position-vertical-relative:paragraph;z-index:16024064" from="200.779999pt,3.536577pt" to="205.112999pt,3.536577pt" stroked="true" strokeweight=".5pt" strokecolor="#000000">
            <v:stroke dashstyle="solid"/>
            <w10:wrap type="none"/>
          </v:line>
        </w:pict>
      </w:r>
      <w:r>
        <w:rPr>
          <w:sz w:val="12"/>
        </w:rPr>
        <w:t>5</w:t>
      </w:r>
    </w:p>
    <w:p>
      <w:pPr>
        <w:pStyle w:val="BodyText"/>
        <w:rPr>
          <w:sz w:val="12"/>
        </w:rPr>
      </w:pPr>
    </w:p>
    <w:p>
      <w:pPr>
        <w:pStyle w:val="BodyText"/>
        <w:spacing w:before="9"/>
        <w:rPr>
          <w:sz w:val="17"/>
        </w:rPr>
      </w:pPr>
    </w:p>
    <w:p>
      <w:pPr>
        <w:spacing w:before="0"/>
        <w:ind w:left="0" w:right="46" w:firstLine="0"/>
        <w:jc w:val="right"/>
        <w:rPr>
          <w:sz w:val="12"/>
        </w:rPr>
      </w:pPr>
      <w:r>
        <w:rPr/>
        <w:pict>
          <v:line style="position:absolute;mso-position-horizontal-relative:page;mso-position-vertical-relative:paragraph;z-index:16019968" from="43.529999pt,3.573555pt" to="47.862999pt,3.573555pt" stroked="true" strokeweight=".5pt" strokecolor="#000000">
            <v:stroke dashstyle="solid"/>
            <w10:wrap type="none"/>
          </v:line>
        </w:pict>
      </w:r>
      <w:r>
        <w:rPr/>
        <w:pict>
          <v:line style="position:absolute;mso-position-horizontal-relative:page;mso-position-vertical-relative:paragraph;z-index:16023552" from="200.779999pt,3.553555pt" to="205.112999pt,3.553555pt" stroked="true" strokeweight=".5pt" strokecolor="#000000">
            <v:stroke dashstyle="solid"/>
            <w10:wrap type="none"/>
          </v:line>
        </w:pict>
      </w:r>
      <w:r>
        <w:rPr>
          <w:sz w:val="12"/>
        </w:rPr>
        <w:t>10</w:t>
      </w:r>
    </w:p>
    <w:p>
      <w:pPr>
        <w:pStyle w:val="BodyText"/>
        <w:rPr>
          <w:sz w:val="12"/>
        </w:rPr>
      </w:pPr>
    </w:p>
    <w:p>
      <w:pPr>
        <w:pStyle w:val="BodyText"/>
        <w:spacing w:before="9"/>
        <w:rPr>
          <w:sz w:val="17"/>
        </w:rPr>
      </w:pPr>
    </w:p>
    <w:p>
      <w:pPr>
        <w:spacing w:line="116" w:lineRule="exact" w:before="1"/>
        <w:ind w:left="3492" w:right="0" w:firstLine="0"/>
        <w:jc w:val="left"/>
        <w:rPr>
          <w:sz w:val="12"/>
        </w:rPr>
      </w:pPr>
      <w:r>
        <w:rPr/>
        <w:pict>
          <v:shape style="position:absolute;margin-left:52.404999pt;margin-top:.266562pt;width:143.9pt;height:3.4pt;mso-position-horizontal-relative:page;mso-position-vertical-relative:paragraph;z-index:16017920" coordorigin="1048,5" coordsize="2878,68" path="m1051,72l3926,72m1048,5l1048,72m1654,5l1654,72m2260,5l2260,72m2867,5l2867,72m3473,5l3473,72e" filled="false" stroked="true" strokeweight=".5pt" strokecolor="#000000">
            <v:path arrowok="t"/>
            <v:stroke dashstyle="solid"/>
            <w10:wrap type="none"/>
          </v:shape>
        </w:pict>
      </w:r>
      <w:r>
        <w:rPr/>
        <w:pict>
          <v:line style="position:absolute;mso-position-horizontal-relative:page;mso-position-vertical-relative:paragraph;z-index:16020992" from="43.529999pt,3.641562pt" to="47.862999pt,3.641562pt" stroked="true" strokeweight=".5pt" strokecolor="#000000">
            <v:stroke dashstyle="solid"/>
            <w10:wrap type="none"/>
          </v:line>
        </w:pict>
      </w:r>
      <w:r>
        <w:rPr/>
        <w:pict>
          <v:line style="position:absolute;mso-position-horizontal-relative:page;mso-position-vertical-relative:paragraph;z-index:16024576" from="200.779999pt,3.620563pt" to="205.112999pt,3.620563pt" stroked="true" strokeweight=".5pt" strokecolor="#000000">
            <v:stroke dashstyle="solid"/>
            <w10:wrap type="none"/>
          </v:line>
        </w:pict>
      </w:r>
      <w:r>
        <w:rPr>
          <w:sz w:val="12"/>
        </w:rPr>
        <w:t>15</w:t>
      </w:r>
    </w:p>
    <w:p>
      <w:pPr>
        <w:tabs>
          <w:tab w:pos="1267" w:val="left" w:leader="none"/>
          <w:tab w:pos="1877" w:val="left" w:leader="none"/>
          <w:tab w:pos="2487" w:val="left" w:leader="none"/>
          <w:tab w:pos="3044" w:val="left" w:leader="none"/>
        </w:tabs>
        <w:spacing w:line="116" w:lineRule="exact" w:before="0"/>
        <w:ind w:left="587" w:right="0" w:firstLine="0"/>
        <w:jc w:val="left"/>
        <w:rPr>
          <w:sz w:val="12"/>
        </w:rPr>
      </w:pPr>
      <w:r>
        <w:rPr>
          <w:sz w:val="12"/>
        </w:rPr>
        <w:t>1995</w:t>
        <w:tab/>
        <w:t>96</w:t>
        <w:tab/>
        <w:t>97</w:t>
        <w:tab/>
        <w:t>98</w:t>
        <w:tab/>
        <w:t>99</w:t>
      </w:r>
    </w:p>
    <w:p>
      <w:pPr>
        <w:pStyle w:val="BodyText"/>
        <w:spacing w:before="10"/>
        <w:rPr>
          <w:sz w:val="15"/>
        </w:rPr>
      </w:pPr>
    </w:p>
    <w:p>
      <w:pPr>
        <w:spacing w:before="0"/>
        <w:ind w:left="145" w:right="0" w:firstLine="0"/>
        <w:jc w:val="left"/>
        <w:rPr>
          <w:sz w:val="12"/>
        </w:rPr>
      </w:pPr>
      <w:r>
        <w:rPr>
          <w:sz w:val="12"/>
        </w:rPr>
        <w:t>(a) At constant 1995 prices.</w:t>
      </w:r>
    </w:p>
    <w:p>
      <w:pPr>
        <w:pStyle w:val="Heading6"/>
        <w:spacing w:line="242" w:lineRule="auto" w:before="207"/>
        <w:ind w:left="145" w:right="248"/>
      </w:pPr>
      <w:r>
        <w:rPr/>
        <w:br w:type="column"/>
      </w:r>
      <w:r>
        <w:rPr/>
        <w:t>robust growth and the strength of personal income and housing wealth indicators. However, the Committee expects consumption growth to slow from current rates of expansion, reflecting the effects of higher interest rates and the appreciation of the real exchange rate.</w:t>
      </w:r>
    </w:p>
    <w:p>
      <w:pPr>
        <w:pStyle w:val="BodyText"/>
        <w:spacing w:before="10"/>
        <w:rPr>
          <w:sz w:val="24"/>
        </w:rPr>
      </w:pPr>
    </w:p>
    <w:p>
      <w:pPr>
        <w:pStyle w:val="Heading7"/>
        <w:ind w:left="145"/>
        <w:rPr>
          <w:i/>
        </w:rPr>
      </w:pPr>
      <w:r>
        <w:rPr>
          <w:i/>
          <w:color w:val="009391"/>
        </w:rPr>
        <w:t>Investment demand</w:t>
      </w:r>
    </w:p>
    <w:p>
      <w:pPr>
        <w:spacing w:line="242" w:lineRule="auto" w:before="124"/>
        <w:ind w:left="145" w:right="248" w:firstLine="0"/>
        <w:jc w:val="left"/>
        <w:rPr>
          <w:sz w:val="24"/>
        </w:rPr>
      </w:pPr>
      <w:r>
        <w:rPr>
          <w:sz w:val="24"/>
        </w:rPr>
        <w:t>Total investment rose by 1.6% in the fourth quarter of 1999, the strongest increase for five quarters (see</w:t>
      </w:r>
    </w:p>
    <w:p>
      <w:pPr>
        <w:spacing w:line="242" w:lineRule="auto" w:before="3"/>
        <w:ind w:left="145" w:right="248" w:firstLine="0"/>
        <w:jc w:val="left"/>
        <w:rPr>
          <w:sz w:val="24"/>
        </w:rPr>
      </w:pPr>
      <w:r>
        <w:rPr>
          <w:sz w:val="24"/>
        </w:rPr>
        <w:t>Chart 2.10). Government investment rose sharply in Q4 for a second consecutive quarter, but the recovery was also supported by a rebound in investment by private businesses, which accounts for three quarters of total investment. Business investment rose by 1.1% in Q4, following a decline of 1.0% in Q3. Reflecting slow growth in the first three quarters of 1999, business investment in Q4 was only 2.0% higher than a year earlier, and recent revisions to the National Accounts have lowered the estimated level of business investment in 1999. However, the recovery in growth of business investment in the fourth quarter of the year was stronger than had been anticipated in the February </w:t>
      </w:r>
      <w:r>
        <w:rPr>
          <w:i/>
          <w:sz w:val="24"/>
        </w:rPr>
        <w:t>Report</w:t>
      </w:r>
      <w:r>
        <w:rPr>
          <w:sz w:val="24"/>
        </w:rPr>
        <w:t>.</w:t>
      </w:r>
    </w:p>
    <w:p>
      <w:pPr>
        <w:pStyle w:val="BodyText"/>
        <w:spacing w:before="9"/>
        <w:rPr>
          <w:sz w:val="25"/>
        </w:rPr>
      </w:pPr>
    </w:p>
    <w:p>
      <w:pPr>
        <w:spacing w:line="242" w:lineRule="auto" w:before="0"/>
        <w:ind w:left="145" w:right="119" w:firstLine="0"/>
        <w:jc w:val="left"/>
        <w:rPr>
          <w:sz w:val="24"/>
        </w:rPr>
      </w:pPr>
      <w:r>
        <w:rPr>
          <w:sz w:val="24"/>
        </w:rPr>
        <w:t>The share of service sector investment in total business investment has risen from around a half to more than two thirds over the past decade. Movements in overall investment in recent years have consequently been strongly influenced by trends in the service sector (see Chart 2.11). Service sector investment growth slowed in the first three quarters of 1999, possibly reflecting the lagged effects of slower activity growth in the sector in 1998. Following the pick-up in demand in 1999, service sector investment recovered in 1999 Q4. However, there were also marked movements in investment by other sectors in 1999. Manufacturing sector investment fell sharply throughout most of the year, mirroring earlier movements in manufacturing activity and business confidence, but it rose strongly in Q4 following the recovery in manufacturing output in mid-1999.</w:t>
      </w:r>
    </w:p>
    <w:p>
      <w:pPr>
        <w:pStyle w:val="BodyText"/>
        <w:spacing w:before="1"/>
        <w:rPr>
          <w:sz w:val="26"/>
        </w:rPr>
      </w:pPr>
    </w:p>
    <w:p>
      <w:pPr>
        <w:spacing w:line="242" w:lineRule="auto" w:before="0"/>
        <w:ind w:left="145" w:right="240" w:firstLine="0"/>
        <w:jc w:val="left"/>
        <w:rPr>
          <w:sz w:val="24"/>
        </w:rPr>
      </w:pPr>
      <w:r>
        <w:rPr>
          <w:sz w:val="24"/>
        </w:rPr>
        <w:t>Survey data on the outlook for overall investment are consistent with further growth, led primarily by the service sector. Reports from the Bank’s regional Agents suggest that more firms have raised investment plans than have lowered them in the past six months, and the majority of firms expect to maintain or increase investment spending over the next two years. A stronger outlook for investment in buildings—which accounts for 40% of business investment—is also suggested by a pick-up in new industrial and commercial construction orders in recent months and by the CIPS construction</w:t>
      </w:r>
    </w:p>
    <w:p>
      <w:pPr>
        <w:spacing w:after="0" w:line="242" w:lineRule="auto"/>
        <w:jc w:val="left"/>
        <w:rPr>
          <w:sz w:val="24"/>
        </w:rPr>
        <w:sectPr>
          <w:type w:val="continuous"/>
          <w:pgSz w:w="11900" w:h="16840"/>
          <w:pgMar w:top="1220" w:bottom="280" w:left="640" w:right="620"/>
          <w:cols w:num="2" w:equalWidth="0">
            <w:col w:w="3661" w:space="1139"/>
            <w:col w:w="5840"/>
          </w:cols>
        </w:sectPr>
      </w:pPr>
    </w:p>
    <w:p>
      <w:pPr>
        <w:pStyle w:val="BodyText"/>
        <w:rPr>
          <w:sz w:val="20"/>
        </w:rPr>
      </w:pPr>
    </w:p>
    <w:p>
      <w:pPr>
        <w:spacing w:after="0"/>
        <w:rPr>
          <w:sz w:val="20"/>
        </w:rPr>
        <w:sectPr>
          <w:pgSz w:w="11900" w:h="16840"/>
          <w:pgMar w:header="586" w:footer="597" w:top="780" w:bottom="780" w:left="640" w:right="620"/>
        </w:sectPr>
      </w:pPr>
    </w:p>
    <w:p>
      <w:pPr>
        <w:pStyle w:val="BodyText"/>
        <w:spacing w:before="9"/>
      </w:pPr>
    </w:p>
    <w:p>
      <w:pPr>
        <w:spacing w:before="0"/>
        <w:ind w:left="174" w:right="0" w:firstLine="0"/>
        <w:jc w:val="left"/>
        <w:rPr>
          <w:b/>
          <w:sz w:val="20"/>
        </w:rPr>
      </w:pPr>
      <w:bookmarkStart w:name="Inventories" w:id="44"/>
      <w:bookmarkEnd w:id="44"/>
      <w:r>
        <w:rPr/>
      </w:r>
      <w:bookmarkStart w:name="_bookmark21" w:id="45"/>
      <w:bookmarkEnd w:id="45"/>
      <w:r>
        <w:rPr/>
      </w:r>
      <w:bookmarkStart w:name="_bookmark22" w:id="46"/>
      <w:bookmarkEnd w:id="46"/>
      <w:r>
        <w:rPr/>
      </w:r>
      <w:r>
        <w:rPr>
          <w:b/>
          <w:color w:val="0092C7"/>
          <w:sz w:val="20"/>
        </w:rPr>
        <w:t>Chart 2.12</w:t>
      </w:r>
    </w:p>
    <w:p>
      <w:pPr>
        <w:spacing w:line="249" w:lineRule="auto" w:before="10"/>
        <w:ind w:left="174" w:right="724" w:firstLine="0"/>
        <w:jc w:val="left"/>
        <w:rPr>
          <w:sz w:val="12"/>
        </w:rPr>
      </w:pPr>
      <w:r>
        <w:rPr>
          <w:b/>
          <w:color w:val="0092C7"/>
          <w:sz w:val="20"/>
        </w:rPr>
        <w:t>Investment intentions and profit expectations</w:t>
      </w:r>
      <w:r>
        <w:rPr>
          <w:position w:val="4"/>
          <w:sz w:val="12"/>
        </w:rPr>
        <w:t>(a)</w:t>
      </w:r>
    </w:p>
    <w:p>
      <w:pPr>
        <w:spacing w:line="115" w:lineRule="exact" w:before="141"/>
        <w:ind w:left="2218" w:right="0" w:firstLine="0"/>
        <w:jc w:val="left"/>
        <w:rPr>
          <w:sz w:val="12"/>
        </w:rPr>
      </w:pPr>
      <w:r>
        <w:rPr>
          <w:sz w:val="12"/>
        </w:rPr>
        <w:t>Percentage point balances</w:t>
      </w:r>
    </w:p>
    <w:p>
      <w:pPr>
        <w:spacing w:line="115" w:lineRule="exact" w:before="0"/>
        <w:ind w:left="3519" w:right="0" w:firstLine="0"/>
        <w:jc w:val="left"/>
        <w:rPr>
          <w:sz w:val="12"/>
        </w:rPr>
      </w:pPr>
      <w:r>
        <w:rPr/>
        <w:pict>
          <v:line style="position:absolute;mso-position-horizontal-relative:page;mso-position-vertical-relative:paragraph;z-index:16032256" from="45.303001pt,2.298624pt" to="49.637001pt,2.298624pt" stroked="true" strokeweight=".5pt" strokecolor="#000000">
            <v:stroke dashstyle="solid"/>
            <w10:wrap type="none"/>
          </v:line>
        </w:pict>
      </w:r>
      <w:r>
        <w:rPr/>
        <w:pict>
          <v:line style="position:absolute;mso-position-horizontal-relative:page;mso-position-vertical-relative:paragraph;z-index:16033280" from="200.927994pt,2.246624pt" to="205.261994pt,2.246624pt" stroked="true" strokeweight=".5pt" strokecolor="#000000">
            <v:stroke dashstyle="solid"/>
            <w10:wrap type="none"/>
          </v:line>
        </w:pict>
      </w:r>
      <w:r>
        <w:rPr>
          <w:sz w:val="12"/>
        </w:rPr>
        <w:t>70</w:t>
      </w: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6028160" from="45.303001pt,3.477364pt" to="49.637001pt,3.477364pt" stroked="true" strokeweight=".5pt" strokecolor="#000000">
            <v:stroke dashstyle="solid"/>
            <w10:wrap type="none"/>
          </v:line>
        </w:pict>
      </w:r>
      <w:r>
        <w:rPr/>
        <w:pict>
          <v:line style="position:absolute;mso-position-horizontal-relative:page;mso-position-vertical-relative:paragraph;z-index:16032768" from="200.927994pt,3.425364pt" to="205.261994pt,3.425364pt" stroked="true" strokeweight=".5pt" strokecolor="#000000">
            <v:stroke dashstyle="solid"/>
            <w10:wrap type="none"/>
          </v:line>
        </w:pict>
      </w:r>
      <w:r>
        <w:rPr>
          <w:sz w:val="12"/>
        </w:rPr>
        <w:t>60</w:t>
      </w:r>
    </w:p>
    <w:p>
      <w:pPr>
        <w:pStyle w:val="BodyText"/>
        <w:spacing w:before="10"/>
        <w:rPr>
          <w:sz w:val="15"/>
        </w:rPr>
      </w:pPr>
    </w:p>
    <w:p>
      <w:pPr>
        <w:spacing w:before="0"/>
        <w:ind w:left="0" w:right="38" w:firstLine="0"/>
        <w:jc w:val="right"/>
        <w:rPr>
          <w:sz w:val="12"/>
        </w:rPr>
      </w:pPr>
      <w:r>
        <w:rPr/>
        <w:pict>
          <v:group style="position:absolute;margin-left:53.220001pt;margin-top:.188613pt;width:152.050pt;height:115.85pt;mso-position-horizontal-relative:page;mso-position-vertical-relative:paragraph;z-index:16027648" coordorigin="1064,4" coordsize="3041,2317">
            <v:shape style="position:absolute;left:1074;top:1672;width:3031;height:2" coordorigin="1074,1673" coordsize="3031,0" path="m4019,1673l4105,1673m1074,1673l3948,1673e" filled="false" stroked="true" strokeweight=".5pt" strokecolor="#000000">
              <v:path arrowok="t"/>
              <v:stroke dashstyle="solid"/>
            </v:shape>
            <v:shape style="position:absolute;left:1074;top:413;width:1108;height:1443" coordorigin="1074,413" coordsize="1108,1443" path="m1074,521l1139,1096m1139,1096l1204,1188m1204,1188l1272,1256m1272,1256l1337,1003m1337,1003l1402,1123m1402,1123l1469,1671m1469,1671l1534,1856m1534,1856l1599,1643m1599,1643l1667,1576m1667,1576l1732,736m1732,736l1797,841m1797,841l1852,868m1852,868l1919,641m1919,641l1984,1536m1984,1536l2049,1056m2049,1056l2117,521m2117,521l2182,413e" filled="false" stroked="true" strokeweight="1pt" strokecolor="#006caa">
              <v:path arrowok="t"/>
              <v:stroke dashstyle="dash"/>
            </v:shape>
            <v:line style="position:absolute" from="2172,415" to="2257,415" stroked="true" strokeweight="1.125pt" strokecolor="#006caa">
              <v:stroke dashstyle="dash"/>
            </v:line>
            <v:shape style="position:absolute;left:2246;top:93;width:1703;height:1510" coordorigin="2247,93" coordsize="1703,1510" path="m2247,413l2314,253m2314,253l2379,293m2379,293l2447,228m2447,228l2512,93m2512,93l2577,228m2577,228l2644,361m2644,361l2709,548m2709,548l2774,456m2774,456l2842,521m2842,521l2907,388m2907,388l2972,413m2972,413l3039,228m3039,228l3104,133m3104,133l3169,228m3169,228l3237,548m3237,548l3292,616m3292,616l3357,548m3357,548l3422,708m3422,708l3489,1003m3489,1003l3554,1603m3554,1603l3619,1483m3619,1483l3687,1096m3687,1096l3752,936m3752,936l3817,413m3817,413l3884,228m3884,228l3949,521e" filled="false" stroked="true" strokeweight="1pt" strokecolor="#006caa">
              <v:path arrowok="t"/>
              <v:stroke dashstyle="dash"/>
            </v:shape>
            <v:shape style="position:absolute;left:1074;top:1095;width:198;height:253" coordorigin="1074,1096" coordsize="198,253" path="m1074,1096l1139,1256m1139,1256l1204,1216m1204,1216l1272,1348e" filled="false" stroked="true" strokeweight="1pt" strokecolor="#006caa">
              <v:path arrowok="t"/>
              <v:stroke dashstyle="solid"/>
            </v:shape>
            <v:line style="position:absolute" from="1262,1350" to="1347,1350" stroked="true" strokeweight="1.125pt" strokecolor="#006caa">
              <v:stroke dashstyle="solid"/>
            </v:line>
            <v:shape style="position:absolute;left:1336;top:1123;width:910;height:1095" coordorigin="1337,1123" coordsize="910,1095" path="m1337,1348l1402,1536m1402,1536l1469,1671m1469,1671l1534,1963m1534,1963l1599,2218m1599,2218l1667,2083m1667,2083l1732,1923m1732,1923l1797,1736m1797,1736l1852,1763m1852,1763l1919,1643m1919,1643l1984,1736m1984,1736l2049,1576m2049,1576l2117,1376m2117,1376l2182,1256m2182,1256l2247,1123e" filled="false" stroked="true" strokeweight="1pt" strokecolor="#006caa">
              <v:path arrowok="t"/>
              <v:stroke dashstyle="solid"/>
            </v:shape>
            <v:line style="position:absolute" from="2237,1125" to="2324,1125" stroked="true" strokeweight="1.125pt" strokecolor="#006caa">
              <v:stroke dashstyle="solid"/>
            </v:line>
            <v:shape style="position:absolute;left:2314;top:840;width:263;height:283" coordorigin="2314,841" coordsize="263,283" path="m2314,1123l2379,1028m2379,1028l2447,963m2447,963l2512,841m2512,841l2577,868e" filled="false" stroked="true" strokeweight="1pt" strokecolor="#006caa">
              <v:path arrowok="t"/>
              <v:stroke dashstyle="solid"/>
            </v:shape>
            <v:line style="position:absolute" from="2567,870" to="2654,870" stroked="true" strokeweight="1.125pt" strokecolor="#006caa">
              <v:stroke dashstyle="solid"/>
            </v:line>
            <v:line style="position:absolute" from="2644,868" to="2709,936" stroked="true" strokeweight="1pt" strokecolor="#006caa">
              <v:stroke dashstyle="solid"/>
            </v:line>
            <v:line style="position:absolute" from="2699,937" to="2784,937" stroked="true" strokeweight="1.125pt" strokecolor="#006caa">
              <v:stroke dashstyle="solid"/>
            </v:line>
            <v:line style="position:absolute" from="2774,936" to="2842,963" stroked="true" strokeweight="1pt" strokecolor="#006caa">
              <v:stroke dashstyle="solid"/>
            </v:line>
            <v:line style="position:absolute" from="2832,965" to="2917,965" stroked="true" strokeweight="1.125pt" strokecolor="#006caa">
              <v:stroke dashstyle="solid"/>
            </v:line>
            <v:shape style="position:absolute;left:2906;top:868;width:648;height:803" coordorigin="2907,868" coordsize="648,803" path="m2907,963l2972,1056m2972,1056l3039,963m3039,963l3104,1096m3104,1096l3169,868m3169,868l3237,963m3237,963l3292,1028m3292,1028l3357,936m3357,936l3422,1163m3422,1163l3489,1256m3489,1256l3554,1671e" filled="false" stroked="true" strokeweight="1pt" strokecolor="#006caa">
              <v:path arrowok="t"/>
              <v:stroke dashstyle="solid"/>
            </v:shape>
            <v:shape style="position:absolute;left:3544;top:1205;width:415;height:500" type="#_x0000_t75" stroked="false">
              <v:imagedata r:id="rId102" o:title=""/>
            </v:shape>
            <v:shape style="position:absolute;left:1074;top:775;width:198;height:440" coordorigin="1074,776" coordsize="198,440" path="m1074,776l1139,1096m1139,1096l1204,1163m1204,1163l1272,1216e" filled="false" stroked="true" strokeweight="1pt" strokecolor="#de0035">
              <v:path arrowok="t"/>
              <v:stroke dashstyle="solid"/>
            </v:shape>
            <v:line style="position:absolute" from="1262,1217" to="1347,1217" stroked="true" strokeweight="1.125pt" strokecolor="#de0035">
              <v:stroke dashstyle="solid"/>
            </v:line>
            <v:shape style="position:absolute;left:1336;top:1188;width:910;height:963" coordorigin="1337,1188" coordsize="910,963" path="m1337,1216l1402,1376m1402,1376l1469,1603m1469,1603l1534,1831m1534,1831l1599,2151m1599,2151l1667,1991m1667,1991l1732,1831m1732,1831l1797,1856m1797,1856l1852,1696m1852,1696l1919,1576m1919,1576l1984,1803m1984,1803l2049,1643m2049,1643l2117,1483m2117,1483l2182,1348m2182,1348l2247,1188e" filled="false" stroked="true" strokeweight="1pt" strokecolor="#de0035">
              <v:path arrowok="t"/>
              <v:stroke dashstyle="solid"/>
            </v:shape>
            <v:line style="position:absolute" from="2237,1190" to="2324,1190" stroked="true" strokeweight="1.125pt" strokecolor="#de0035">
              <v:stroke dashstyle="solid"/>
            </v:line>
            <v:shape style="position:absolute;left:2314;top:800;width:460;height:388" coordorigin="2314,801" coordsize="460,388" path="m2314,1188l2379,1163m2379,1163l2447,1123m2447,1123l2512,1188m2512,1188l2577,1096m2577,1096l2644,801m2644,801l2709,1028m2709,1028l2774,1056e" filled="false" stroked="true" strokeweight="1pt" strokecolor="#de0035">
              <v:path arrowok="t"/>
              <v:stroke dashstyle="solid"/>
            </v:shape>
            <v:line style="position:absolute" from="2764,1057" to="2852,1057" stroked="true" strokeweight="1.125pt" strokecolor="#de0035">
              <v:stroke dashstyle="solid"/>
            </v:line>
            <v:line style="position:absolute" from="2842,1056" to="2907,896" stroked="true" strokeweight="1pt" strokecolor="#de0035">
              <v:stroke dashstyle="solid"/>
            </v:line>
            <v:line style="position:absolute" from="2897,897" to="2982,897" stroked="true" strokeweight="1.125pt" strokecolor="#de0035">
              <v:stroke dashstyle="solid"/>
            </v:line>
            <v:shape style="position:absolute;left:2971;top:775;width:198;height:228" coordorigin="2972,776" coordsize="198,228" path="m2972,896l3039,1003m3039,1003l3104,896m3104,896l3169,776e" filled="false" stroked="true" strokeweight="1pt" strokecolor="#de0035">
              <v:path arrowok="t"/>
              <v:stroke dashstyle="solid"/>
            </v:shape>
            <v:line style="position:absolute" from="3159,777" to="3247,777" stroked="true" strokeweight="1.125pt" strokecolor="#de0035">
              <v:stroke dashstyle="solid"/>
            </v:line>
            <v:shape style="position:absolute;left:3236;top:640;width:318;height:575" coordorigin="3237,641" coordsize="318,575" path="m3237,776l3292,641m3292,641l3357,896m3357,896l3422,841m3422,841l3489,801m3489,801l3554,1216e" filled="false" stroked="true" strokeweight="1pt" strokecolor="#de0035">
              <v:path arrowok="t"/>
              <v:stroke dashstyle="solid"/>
            </v:shape>
            <v:shape style="position:absolute;left:3544;top:858;width:415;height:368" type="#_x0000_t75" stroked="false">
              <v:imagedata r:id="rId103" o:title=""/>
            </v:shape>
            <v:line style="position:absolute" from="1074,133" to="1139,616" stroked="true" strokeweight="1pt" strokecolor="#de0035">
              <v:stroke dashstyle="dash"/>
            </v:line>
            <v:line style="position:absolute" from="1129,617" to="1214,617" stroked="true" strokeweight="1.125pt" strokecolor="#de0035">
              <v:stroke dashstyle="dash"/>
            </v:line>
            <v:shape style="position:absolute;left:1204;top:615;width:395;height:1028" coordorigin="1204,616" coordsize="395,1028" path="m1204,616l1272,776m1272,776l1337,841m1337,841l1402,1028m1402,1028l1469,1536m1469,1536l1534,1643m1534,1643l1599,1416e" filled="false" stroked="true" strokeweight="1pt" strokecolor="#de0035">
              <v:path arrowok="t"/>
              <v:stroke dashstyle="dash"/>
            </v:shape>
            <v:line style="position:absolute" from="1589,1417" to="1677,1417" stroked="true" strokeweight="1.125pt" strokecolor="#de0035">
              <v:stroke dashstyle="dash"/>
            </v:line>
            <v:shape style="position:absolute;left:1666;top:40;width:2150;height:1495" coordorigin="1667,41" coordsize="2150,1495" path="m1667,1416l1732,736m1732,736l1797,963m1797,963l1852,1003m1852,1003l1919,736m1919,736l1984,1536m1984,1536l2049,1028m2049,1028l2117,616m2117,616l2182,413m2182,413l2247,253m2247,253l2314,521m2314,521l2379,361m2379,361l2447,321m2447,321l2512,388m2512,388l2577,481m2577,481l2644,456m2644,456l2709,708m2709,708l2774,801m2774,801l2842,641m2842,641l2907,321m2907,321l2972,361m2972,361l3039,228m3039,228l3104,41m3104,41l3169,161m3169,161l3237,228m3237,228l3292,133m3292,133l3357,293m3357,293l3422,361m3422,361l3489,576m3489,576l3554,1123m3554,1123l3619,1188m3619,1188l3687,801m3687,801l3752,708m3752,708l3817,413e" filled="false" stroked="true" strokeweight="1pt" strokecolor="#de0035">
              <v:path arrowok="t"/>
              <v:stroke dashstyle="dash"/>
            </v:shape>
            <v:line style="position:absolute" from="3807,415" to="3894,415" stroked="true" strokeweight="1.125pt" strokecolor="#de0035">
              <v:stroke dashstyle="dash"/>
            </v:line>
            <v:line style="position:absolute" from="3884,413" to="3949,253" stroked="true" strokeweight="1pt" strokecolor="#de0035">
              <v:stroke dashstyle="dash"/>
            </v:line>
            <v:shape style="position:absolute;left:1076;top:68;width:3029;height:2247" coordorigin="1077,69" coordsize="3029,2247" path="m4019,69l4105,69m4019,390l4105,390m4019,710l4105,710m4019,1031l4105,1031m4019,1352l4105,1352m4019,1993l4105,1993m1079,2315l3948,2315m1077,2248l1077,2315m1338,2248l1338,2315m1599,2248l1599,2315m1860,2248l1860,2315m2382,2248l2382,2315m2904,2248l2904,2315m3426,2248l3426,2315m4019,2314l4105,2314m3948,2248l3948,2315m3165,2248l3165,2315m3687,2248l3687,2315m2643,2248l2643,2315m2121,2248l2121,2315e" filled="false" stroked="true" strokeweight=".5pt" strokecolor="#000000">
              <v:path arrowok="t"/>
              <v:stroke dashstyle="solid"/>
            </v:shape>
            <v:shape style="position:absolute;left:1382;top:3;width:1094;height:134" type="#_x0000_t202" filled="false" stroked="false">
              <v:textbox inset="0,0,0,0">
                <w:txbxContent>
                  <w:p>
                    <w:pPr>
                      <w:spacing w:line="133" w:lineRule="exact" w:before="0"/>
                      <w:ind w:left="0" w:right="0" w:firstLine="0"/>
                      <w:jc w:val="left"/>
                      <w:rPr>
                        <w:sz w:val="12"/>
                      </w:rPr>
                    </w:pPr>
                    <w:r>
                      <w:rPr>
                        <w:sz w:val="12"/>
                      </w:rPr>
                      <w:t>Profit expectations (b)</w:t>
                    </w:r>
                  </w:p>
                </w:txbxContent>
              </v:textbox>
              <w10:wrap type="none"/>
            </v:shape>
            <v:shape style="position:absolute;left:1771;top:1927;width:1220;height:134" type="#_x0000_t202" filled="false" stroked="false">
              <v:textbox inset="0,0,0,0">
                <w:txbxContent>
                  <w:p>
                    <w:pPr>
                      <w:spacing w:line="133" w:lineRule="exact" w:before="0"/>
                      <w:ind w:left="0" w:right="0" w:firstLine="0"/>
                      <w:jc w:val="left"/>
                      <w:rPr>
                        <w:sz w:val="12"/>
                      </w:rPr>
                    </w:pPr>
                    <w:r>
                      <w:rPr>
                        <w:sz w:val="12"/>
                      </w:rPr>
                      <w:t>Investment intentions (c)</w:t>
                    </w:r>
                  </w:p>
                </w:txbxContent>
              </v:textbox>
              <w10:wrap type="none"/>
            </v:shape>
            <w10:wrap type="none"/>
          </v:group>
        </w:pict>
      </w:r>
      <w:r>
        <w:rPr/>
        <w:pict>
          <v:line style="position:absolute;mso-position-horizontal-relative:page;mso-position-vertical-relative:paragraph;z-index:16028672" from="45.303001pt,3.488532pt" to="49.637001pt,3.488532pt" stroked="true" strokeweight=".5pt" strokecolor="#000000">
            <v:stroke dashstyle="solid"/>
            <w10:wrap type="none"/>
          </v:line>
        </w:pict>
      </w:r>
      <w:r>
        <w:rPr>
          <w:sz w:val="12"/>
        </w:rPr>
        <w:t>50</w:t>
      </w: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6029184" from="45.303001pt,3.500761pt" to="49.637001pt,3.500761pt" stroked="true" strokeweight=".5pt" strokecolor="#000000">
            <v:stroke dashstyle="solid"/>
            <w10:wrap type="none"/>
          </v:line>
        </w:pict>
      </w:r>
      <w:r>
        <w:rPr>
          <w:sz w:val="12"/>
        </w:rPr>
        <w:t>40</w:t>
      </w: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6029696" from="45.303001pt,3.51199pt" to="49.637001pt,3.51199pt" stroked="true" strokeweight=".5pt" strokecolor="#000000">
            <v:stroke dashstyle="solid"/>
            <w10:wrap type="none"/>
          </v:line>
        </w:pict>
      </w:r>
      <w:r>
        <w:rPr>
          <w:sz w:val="12"/>
        </w:rPr>
        <w:t>30</w:t>
      </w: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6030208" from="45.303001pt,3.523158pt" to="49.637001pt,3.523158pt" stroked="true" strokeweight=".5pt" strokecolor="#000000">
            <v:stroke dashstyle="solid"/>
            <w10:wrap type="none"/>
          </v:line>
        </w:pict>
      </w:r>
      <w:r>
        <w:rPr>
          <w:sz w:val="12"/>
        </w:rPr>
        <w:t>20</w:t>
      </w:r>
    </w:p>
    <w:p>
      <w:pPr>
        <w:pStyle w:val="BodyText"/>
        <w:spacing w:before="10"/>
        <w:rPr>
          <w:sz w:val="15"/>
        </w:rPr>
      </w:pPr>
    </w:p>
    <w:p>
      <w:pPr>
        <w:spacing w:line="137" w:lineRule="exact" w:before="0"/>
        <w:ind w:left="3519" w:right="0" w:firstLine="0"/>
        <w:jc w:val="left"/>
        <w:rPr>
          <w:sz w:val="12"/>
        </w:rPr>
      </w:pPr>
      <w:r>
        <w:rPr/>
        <w:pict>
          <v:line style="position:absolute;mso-position-horizontal-relative:page;mso-position-vertical-relative:paragraph;z-index:16030720" from="45.303001pt,3.535387pt" to="49.637001pt,3.535387pt" stroked="true" strokeweight=".5pt" strokecolor="#000000">
            <v:stroke dashstyle="solid"/>
            <w10:wrap type="none"/>
          </v:line>
        </w:pict>
      </w:r>
      <w:r>
        <w:rPr>
          <w:sz w:val="12"/>
        </w:rPr>
        <w:t>10</w:t>
      </w:r>
    </w:p>
    <w:p>
      <w:pPr>
        <w:spacing w:line="183" w:lineRule="exact" w:before="0"/>
        <w:ind w:left="3480" w:right="0" w:firstLine="0"/>
        <w:jc w:val="left"/>
        <w:rPr>
          <w:sz w:val="16"/>
        </w:rPr>
      </w:pPr>
      <w:r>
        <w:rPr>
          <w:w w:val="100"/>
          <w:sz w:val="16"/>
        </w:rPr>
        <w:t>+</w:t>
      </w:r>
    </w:p>
    <w:p>
      <w:pPr>
        <w:pStyle w:val="Heading6"/>
        <w:spacing w:line="242" w:lineRule="auto" w:before="207"/>
        <w:ind w:left="174" w:right="286"/>
      </w:pPr>
      <w:r>
        <w:rPr/>
        <w:br w:type="column"/>
      </w:r>
      <w:r>
        <w:rPr>
          <w:spacing w:val="-4"/>
        </w:rPr>
        <w:t>survey, </w:t>
      </w:r>
      <w:r>
        <w:rPr/>
        <w:t>which reported a sharp increase in activity in </w:t>
      </w:r>
      <w:r>
        <w:rPr>
          <w:spacing w:val="-6"/>
        </w:rPr>
        <w:t>the </w:t>
      </w:r>
      <w:r>
        <w:rPr/>
        <w:t>commercial sector in Q1. The </w:t>
      </w:r>
      <w:r>
        <w:rPr>
          <w:spacing w:val="-3"/>
        </w:rPr>
        <w:t>BCC’s </w:t>
      </w:r>
      <w:r>
        <w:rPr/>
        <w:t>quarterly economic survey of the manufacturing and services sectors suggests that investment intentions remain well above the </w:t>
      </w:r>
      <w:r>
        <w:rPr>
          <w:spacing w:val="-3"/>
        </w:rPr>
        <w:t>low levels </w:t>
      </w:r>
      <w:r>
        <w:rPr/>
        <w:t>recorded before the </w:t>
      </w:r>
      <w:r>
        <w:rPr>
          <w:spacing w:val="-3"/>
        </w:rPr>
        <w:t>slowdown </w:t>
      </w:r>
      <w:r>
        <w:rPr/>
        <w:t>in investment growth in 1999. </w:t>
      </w:r>
      <w:r>
        <w:rPr>
          <w:spacing w:val="-4"/>
        </w:rPr>
        <w:t>However, </w:t>
      </w:r>
      <w:r>
        <w:rPr/>
        <w:t>indices for both the services and manufacturing sectors fell slightly in 2000 Q1 (see Chart 2.12), and the CBI quarterly survey of the manufacturing sector suggested that investment intentions </w:t>
      </w:r>
      <w:r>
        <w:rPr>
          <w:spacing w:val="-3"/>
        </w:rPr>
        <w:t>have </w:t>
      </w:r>
      <w:r>
        <w:rPr/>
        <w:t>weakened substantially over the past three months.</w:t>
      </w:r>
    </w:p>
    <w:p>
      <w:pPr>
        <w:spacing w:after="0" w:line="242" w:lineRule="auto"/>
        <w:sectPr>
          <w:type w:val="continuous"/>
          <w:pgSz w:w="11900" w:h="16840"/>
          <w:pgMar w:top="1220" w:bottom="280" w:left="640" w:right="620"/>
          <w:cols w:num="2" w:equalWidth="0">
            <w:col w:w="3680" w:space="1100"/>
            <w:col w:w="5860"/>
          </w:cols>
        </w:sectPr>
      </w:pPr>
    </w:p>
    <w:p>
      <w:pPr>
        <w:spacing w:before="1"/>
        <w:ind w:left="3579" w:right="0" w:firstLine="0"/>
        <w:jc w:val="left"/>
        <w:rPr>
          <w:sz w:val="12"/>
        </w:rPr>
      </w:pPr>
      <w:r>
        <w:rPr/>
        <w:pict>
          <v:line style="position:absolute;mso-position-horizontal-relative:page;mso-position-vertical-relative:paragraph;z-index:16031232" from="45.303001pt,3.597166pt" to="49.637001pt,3.597166pt" stroked="true" strokeweight=".5pt" strokecolor="#000000">
            <v:stroke dashstyle="solid"/>
            <w10:wrap type="none"/>
          </v:line>
        </w:pict>
      </w:r>
      <w:r>
        <w:rPr>
          <w:sz w:val="12"/>
        </w:rPr>
        <w:t>0</w:t>
      </w:r>
    </w:p>
    <w:p>
      <w:pPr>
        <w:pStyle w:val="Heading6"/>
        <w:tabs>
          <w:tab w:pos="4954" w:val="left" w:leader="none"/>
        </w:tabs>
        <w:spacing w:line="149" w:lineRule="exact" w:before="39"/>
        <w:ind w:left="3492"/>
      </w:pPr>
      <w:r>
        <w:rPr/>
        <w:pict>
          <v:shape style="position:absolute;margin-left:45.303001pt;margin-top:12.687716pt;width:4.350pt;height:.1pt;mso-position-horizontal-relative:page;mso-position-vertical-relative:paragraph;z-index:-15431680;mso-wrap-distance-left:0;mso-wrap-distance-right:0" coordorigin="906,254" coordsize="87,0" path="m906,254l993,254e" filled="false" stroked="true" strokeweight=".5pt" strokecolor="#000000">
            <v:path arrowok="t"/>
            <v:stroke dashstyle="solid"/>
            <w10:wrap type="topAndBottom"/>
          </v:shape>
        </w:pict>
      </w:r>
      <w:r>
        <w:rPr>
          <w:vertAlign w:val="superscript"/>
        </w:rPr>
        <w:t>–</w:t>
      </w:r>
      <w:r>
        <w:rPr>
          <w:vertAlign w:val="baseline"/>
        </w:rPr>
        <w:tab/>
        <w:t>The weakening in some survey measures of</w:t>
      </w:r>
      <w:r>
        <w:rPr>
          <w:spacing w:val="-20"/>
          <w:vertAlign w:val="baseline"/>
        </w:rPr>
        <w:t> </w:t>
      </w:r>
      <w:r>
        <w:rPr>
          <w:spacing w:val="-3"/>
          <w:vertAlign w:val="baseline"/>
        </w:rPr>
        <w:t>investment</w:t>
      </w:r>
    </w:p>
    <w:p>
      <w:pPr>
        <w:spacing w:after="0" w:line="149" w:lineRule="exact"/>
        <w:sectPr>
          <w:type w:val="continuous"/>
          <w:pgSz w:w="11900" w:h="16840"/>
          <w:pgMar w:top="1220" w:bottom="280" w:left="640" w:right="620"/>
        </w:sectPr>
      </w:pPr>
    </w:p>
    <w:p>
      <w:pPr>
        <w:spacing w:line="33" w:lineRule="exact" w:before="0"/>
        <w:ind w:left="3519" w:right="0" w:firstLine="0"/>
        <w:jc w:val="left"/>
        <w:rPr>
          <w:sz w:val="12"/>
        </w:rPr>
      </w:pPr>
      <w:r>
        <w:rPr>
          <w:sz w:val="12"/>
        </w:rPr>
        <w:t>10</w:t>
      </w:r>
    </w:p>
    <w:p>
      <w:pPr>
        <w:pStyle w:val="BodyText"/>
        <w:spacing w:before="10"/>
        <w:rPr>
          <w:sz w:val="15"/>
        </w:rPr>
      </w:pPr>
    </w:p>
    <w:p>
      <w:pPr>
        <w:spacing w:line="125" w:lineRule="exact" w:before="0"/>
        <w:ind w:left="3519" w:right="0" w:firstLine="0"/>
        <w:jc w:val="left"/>
        <w:rPr>
          <w:sz w:val="12"/>
        </w:rPr>
      </w:pPr>
      <w:r>
        <w:rPr/>
        <w:pict>
          <v:line style="position:absolute;mso-position-horizontal-relative:page;mso-position-vertical-relative:paragraph;z-index:16031744" from="45.303001pt,3.570563pt" to="49.637001pt,3.570563pt" stroked="true" strokeweight=".5pt" strokecolor="#000000">
            <v:stroke dashstyle="solid"/>
            <w10:wrap type="none"/>
          </v:line>
        </w:pict>
      </w:r>
      <w:r>
        <w:rPr>
          <w:sz w:val="12"/>
        </w:rPr>
        <w:t>20</w:t>
      </w:r>
    </w:p>
    <w:p>
      <w:pPr>
        <w:spacing w:line="125" w:lineRule="exact" w:before="0"/>
        <w:ind w:left="429" w:right="0" w:firstLine="0"/>
        <w:jc w:val="left"/>
        <w:rPr>
          <w:sz w:val="12"/>
        </w:rPr>
      </w:pPr>
      <w:r>
        <w:rPr>
          <w:sz w:val="12"/>
        </w:rPr>
        <w:t>1989 90 91 92 93 94 95 96 97 98 99 2000</w:t>
      </w:r>
    </w:p>
    <w:p>
      <w:pPr>
        <w:pStyle w:val="BodyText"/>
        <w:rPr>
          <w:sz w:val="15"/>
        </w:rPr>
      </w:pPr>
    </w:p>
    <w:p>
      <w:pPr>
        <w:spacing w:before="1"/>
        <w:ind w:left="184" w:right="0" w:firstLine="0"/>
        <w:jc w:val="left"/>
        <w:rPr>
          <w:sz w:val="12"/>
        </w:rPr>
      </w:pPr>
      <w:r>
        <w:rPr>
          <w:sz w:val="12"/>
        </w:rPr>
        <w:t>Source: BCC.</w:t>
      </w:r>
    </w:p>
    <w:p>
      <w:pPr>
        <w:pStyle w:val="BodyText"/>
        <w:spacing w:before="1"/>
        <w:rPr>
          <w:sz w:val="10"/>
        </w:rPr>
      </w:pPr>
    </w:p>
    <w:p>
      <w:pPr>
        <w:pStyle w:val="ListParagraph"/>
        <w:numPr>
          <w:ilvl w:val="0"/>
          <w:numId w:val="14"/>
        </w:numPr>
        <w:tabs>
          <w:tab w:pos="425" w:val="left" w:leader="none"/>
        </w:tabs>
        <w:spacing w:line="208" w:lineRule="auto" w:before="0" w:after="0"/>
        <w:ind w:left="424" w:right="307" w:hanging="240"/>
        <w:jc w:val="left"/>
        <w:rPr>
          <w:sz w:val="12"/>
        </w:rPr>
      </w:pPr>
      <w:r>
        <w:rPr>
          <w:sz w:val="12"/>
        </w:rPr>
        <w:t>Manufacturing sector responses shown in blue, service sector responses shown in</w:t>
      </w:r>
      <w:r>
        <w:rPr>
          <w:spacing w:val="-4"/>
          <w:sz w:val="12"/>
        </w:rPr>
        <w:t> </w:t>
      </w:r>
      <w:r>
        <w:rPr>
          <w:sz w:val="12"/>
        </w:rPr>
        <w:t>red.</w:t>
      </w:r>
    </w:p>
    <w:p>
      <w:pPr>
        <w:pStyle w:val="ListParagraph"/>
        <w:numPr>
          <w:ilvl w:val="0"/>
          <w:numId w:val="14"/>
        </w:numPr>
        <w:tabs>
          <w:tab w:pos="425" w:val="left" w:leader="none"/>
        </w:tabs>
        <w:spacing w:line="208" w:lineRule="auto" w:before="0" w:after="0"/>
        <w:ind w:left="424" w:right="183" w:hanging="240"/>
        <w:jc w:val="left"/>
        <w:rPr>
          <w:sz w:val="12"/>
        </w:rPr>
      </w:pPr>
      <w:r>
        <w:rPr>
          <w:sz w:val="12"/>
        </w:rPr>
        <w:t>Balance of responses to the question: ‘Do you believe that </w:t>
      </w:r>
      <w:r>
        <w:rPr>
          <w:spacing w:val="-5"/>
          <w:sz w:val="12"/>
        </w:rPr>
        <w:t>over </w:t>
      </w:r>
      <w:r>
        <w:rPr>
          <w:sz w:val="12"/>
        </w:rPr>
        <w:t>the next twelve months profitability will improve/remain the same/worsen?’</w:t>
      </w:r>
    </w:p>
    <w:p>
      <w:pPr>
        <w:pStyle w:val="ListParagraph"/>
        <w:numPr>
          <w:ilvl w:val="0"/>
          <w:numId w:val="14"/>
        </w:numPr>
        <w:tabs>
          <w:tab w:pos="425" w:val="left" w:leader="none"/>
        </w:tabs>
        <w:spacing w:line="208" w:lineRule="auto" w:before="0" w:after="0"/>
        <w:ind w:left="424" w:right="47" w:hanging="240"/>
        <w:jc w:val="left"/>
        <w:rPr>
          <w:sz w:val="12"/>
        </w:rPr>
      </w:pPr>
      <w:r>
        <w:rPr>
          <w:sz w:val="12"/>
        </w:rPr>
        <w:t>Balance of responses to the question: ‘Over the past three months, which changes have you made in your investment plans for plant and machinery: revise upwards/no change/revise</w:t>
      </w:r>
      <w:r>
        <w:rPr>
          <w:spacing w:val="3"/>
          <w:sz w:val="12"/>
        </w:rPr>
        <w:t> </w:t>
      </w:r>
      <w:r>
        <w:rPr>
          <w:sz w:val="12"/>
        </w:rPr>
        <w:t>downwards?’</w:t>
      </w:r>
    </w:p>
    <w:p>
      <w:pPr>
        <w:pStyle w:val="Heading6"/>
        <w:spacing w:line="242" w:lineRule="auto" w:before="31"/>
        <w:ind w:left="184" w:right="93"/>
      </w:pPr>
      <w:r>
        <w:rPr/>
        <w:br w:type="column"/>
      </w:r>
      <w:r>
        <w:rPr/>
        <w:t>intentions may have reflected a perception by firms that domestic demand growth will slow, as a result of the rise in official interest rates since September 1999 and the appreciation of the exchange rate. For example, the CBI quarterly industrial survey indicated a marked rise in the proportion of manufacturers reporting that uncertainty about demand would constrain their investment over the coming year. However, as noted above, the underlying outlook for consumption growth remains robust, and prospects for world demand and government spending have strengthened since the February </w:t>
      </w:r>
      <w:r>
        <w:rPr>
          <w:i/>
        </w:rPr>
        <w:t>Report</w:t>
      </w:r>
      <w:r>
        <w:rPr/>
        <w:t>. The CBI also reported that manufacturing firms view the cost of finance as unlikely to constrain investment over the coming year. That is consistent with the fact that</w:t>
      </w:r>
    </w:p>
    <w:p>
      <w:pPr>
        <w:spacing w:line="242" w:lineRule="auto" w:before="18"/>
        <w:ind w:left="184" w:right="227" w:firstLine="0"/>
        <w:jc w:val="left"/>
        <w:rPr>
          <w:sz w:val="24"/>
        </w:rPr>
      </w:pPr>
      <w:r>
        <w:rPr>
          <w:sz w:val="24"/>
        </w:rPr>
        <w:t>long-term corporate bond yields have not risen in line with short-term interest rates in recent months, and that despite volatility in equity prices over recent quarters, equity issuance in the year to 2000 Q1 was significantly higher than in the previous year. Firms also utilise internal sources of finance for investment such as retained profits. Excluding the alignment adjustment,</w:t>
      </w:r>
      <w:r>
        <w:rPr>
          <w:position w:val="5"/>
          <w:sz w:val="16"/>
        </w:rPr>
        <w:t>(1) </w:t>
      </w:r>
      <w:r>
        <w:rPr>
          <w:sz w:val="24"/>
        </w:rPr>
        <w:t>the gross operating surplus of private non-financial corporations rose for the third consecutive quarter in 1999 Q4, and was 5.2% higher than a year earlier—its fastest annual growth rate since 1997 Q3. Consistent with these indicators and with the stronger outlook for overseas and government demand, the MPC projects a slightly higher profile for investment growth than in the February </w:t>
      </w:r>
      <w:r>
        <w:rPr>
          <w:i/>
          <w:sz w:val="24"/>
        </w:rPr>
        <w:t>Report</w:t>
      </w:r>
      <w:r>
        <w:rPr>
          <w:sz w:val="24"/>
        </w:rPr>
        <w:t>.</w:t>
      </w:r>
    </w:p>
    <w:p>
      <w:pPr>
        <w:pStyle w:val="BodyText"/>
        <w:spacing w:before="5"/>
        <w:rPr>
          <w:sz w:val="29"/>
        </w:rPr>
      </w:pPr>
    </w:p>
    <w:p>
      <w:pPr>
        <w:pStyle w:val="Heading7"/>
        <w:ind w:left="184"/>
        <w:rPr>
          <w:i/>
        </w:rPr>
      </w:pPr>
      <w:r>
        <w:rPr>
          <w:i/>
          <w:color w:val="009391"/>
        </w:rPr>
        <w:t>Inventories</w:t>
      </w:r>
    </w:p>
    <w:p>
      <w:pPr>
        <w:spacing w:line="242" w:lineRule="auto" w:before="124"/>
        <w:ind w:left="184" w:right="93" w:firstLine="0"/>
        <w:jc w:val="left"/>
        <w:rPr>
          <w:sz w:val="24"/>
        </w:rPr>
      </w:pPr>
      <w:r>
        <w:rPr>
          <w:sz w:val="24"/>
        </w:rPr>
        <w:t>The headline measure of inventory investment in the National Accounts suggests that stockbuilding</w:t>
      </w:r>
    </w:p>
    <w:p>
      <w:pPr>
        <w:pStyle w:val="BodyText"/>
        <w:rPr>
          <w:sz w:val="12"/>
        </w:rPr>
      </w:pPr>
      <w:r>
        <w:rPr/>
        <w:pict>
          <v:shape style="position:absolute;margin-left:279pt;margin-top:8.957279pt;width:277pt;height:.1pt;mso-position-horizontal-relative:page;mso-position-vertical-relative:paragraph;z-index:-15431168;mso-wrap-distance-left:0;mso-wrap-distance-right:0" coordorigin="5580,179" coordsize="5540,0" path="m5580,179l11120,179e" filled="false" stroked="true" strokeweight=".125pt" strokecolor="#000000">
            <v:path arrowok="t"/>
            <v:stroke dashstyle="solid"/>
            <w10:wrap type="topAndBottom"/>
          </v:shape>
        </w:pict>
      </w:r>
    </w:p>
    <w:p>
      <w:pPr>
        <w:pStyle w:val="ListParagraph"/>
        <w:numPr>
          <w:ilvl w:val="1"/>
          <w:numId w:val="14"/>
        </w:numPr>
        <w:tabs>
          <w:tab w:pos="445" w:val="left" w:leader="none"/>
        </w:tabs>
        <w:spacing w:line="208" w:lineRule="auto" w:before="1" w:after="0"/>
        <w:ind w:left="444" w:right="842" w:hanging="240"/>
        <w:jc w:val="left"/>
        <w:rPr>
          <w:sz w:val="16"/>
        </w:rPr>
      </w:pPr>
      <w:r>
        <w:rPr>
          <w:sz w:val="16"/>
        </w:rPr>
        <w:t>The alignment adjustment is used by the ONS to reconcile any discrepancies in the growth rates of the income, expenditure and output measures of GDP which are published in the National Accounts. In </w:t>
      </w:r>
      <w:r>
        <w:rPr>
          <w:spacing w:val="-6"/>
          <w:sz w:val="16"/>
        </w:rPr>
        <w:t>the </w:t>
      </w:r>
      <w:r>
        <w:rPr>
          <w:sz w:val="16"/>
        </w:rPr>
        <w:t>income measure of GDP, the alignment adjustment is allocated to the gross operating surplus of private non-financial corporations. On the expenditure side of the National Accounts, the alignment adjustment is allocated to the stockbuilding component of demand.</w:t>
      </w:r>
    </w:p>
    <w:p>
      <w:pPr>
        <w:spacing w:after="0" w:line="208" w:lineRule="auto"/>
        <w:jc w:val="left"/>
        <w:rPr>
          <w:sz w:val="16"/>
        </w:rPr>
        <w:sectPr>
          <w:type w:val="continuous"/>
          <w:pgSz w:w="11900" w:h="16840"/>
          <w:pgMar w:top="1220" w:bottom="280" w:left="640" w:right="620"/>
          <w:cols w:num="2" w:equalWidth="0">
            <w:col w:w="3680" w:space="1090"/>
            <w:col w:w="5870"/>
          </w:cols>
        </w:sectPr>
      </w:pPr>
    </w:p>
    <w:p>
      <w:pPr>
        <w:pStyle w:val="BodyText"/>
        <w:rPr>
          <w:sz w:val="20"/>
        </w:rPr>
      </w:pPr>
    </w:p>
    <w:p>
      <w:pPr>
        <w:spacing w:after="0"/>
        <w:rPr>
          <w:sz w:val="20"/>
        </w:rPr>
        <w:sectPr>
          <w:headerReference w:type="default" r:id="rId104"/>
          <w:headerReference w:type="even" r:id="rId105"/>
          <w:footerReference w:type="default" r:id="rId106"/>
          <w:footerReference w:type="even" r:id="rId107"/>
          <w:pgSz w:w="11900" w:h="16840"/>
          <w:pgMar w:header="586" w:footer="617" w:top="780" w:bottom="800" w:left="640" w:right="620"/>
          <w:pgNumType w:start="21"/>
        </w:sectPr>
      </w:pPr>
    </w:p>
    <w:p>
      <w:pPr>
        <w:pStyle w:val="BodyText"/>
        <w:rPr>
          <w:sz w:val="21"/>
        </w:rPr>
      </w:pPr>
    </w:p>
    <w:p>
      <w:pPr>
        <w:spacing w:before="1"/>
        <w:ind w:left="185" w:right="0" w:firstLine="0"/>
        <w:jc w:val="left"/>
        <w:rPr>
          <w:b/>
          <w:sz w:val="20"/>
        </w:rPr>
      </w:pPr>
      <w:bookmarkStart w:name="Public sector demand" w:id="47"/>
      <w:bookmarkEnd w:id="47"/>
      <w:r>
        <w:rPr/>
      </w:r>
      <w:bookmarkStart w:name="_bookmark23" w:id="48"/>
      <w:bookmarkEnd w:id="48"/>
      <w:r>
        <w:rPr/>
      </w:r>
      <w:r>
        <w:rPr>
          <w:b/>
          <w:color w:val="0092C7"/>
          <w:sz w:val="20"/>
        </w:rPr>
        <w:t>Chart 2.13</w:t>
      </w:r>
    </w:p>
    <w:p>
      <w:pPr>
        <w:spacing w:before="10"/>
        <w:ind w:left="185" w:right="0" w:firstLine="0"/>
        <w:jc w:val="left"/>
        <w:rPr>
          <w:sz w:val="12"/>
        </w:rPr>
      </w:pPr>
      <w:r>
        <w:rPr>
          <w:b/>
          <w:color w:val="0092C7"/>
          <w:sz w:val="20"/>
        </w:rPr>
        <w:t>Change in inventories</w:t>
      </w:r>
      <w:r>
        <w:rPr>
          <w:position w:val="4"/>
          <w:sz w:val="12"/>
        </w:rPr>
        <w:t>(a)</w:t>
      </w:r>
    </w:p>
    <w:p>
      <w:pPr>
        <w:spacing w:line="242" w:lineRule="auto" w:before="207"/>
        <w:ind w:left="185" w:right="242" w:firstLine="0"/>
        <w:jc w:val="left"/>
        <w:rPr>
          <w:sz w:val="24"/>
        </w:rPr>
      </w:pPr>
      <w:r>
        <w:rPr/>
        <w:br w:type="column"/>
      </w:r>
      <w:r>
        <w:rPr>
          <w:sz w:val="24"/>
        </w:rPr>
        <w:t>contributed 0.6 percentage points to GDP growth in 1999 Q4. </w:t>
      </w:r>
      <w:r>
        <w:rPr>
          <w:spacing w:val="-4"/>
          <w:sz w:val="24"/>
        </w:rPr>
        <w:t>However, </w:t>
      </w:r>
      <w:r>
        <w:rPr>
          <w:sz w:val="24"/>
        </w:rPr>
        <w:t>that was more than accounted for</w:t>
      </w:r>
      <w:r>
        <w:rPr>
          <w:spacing w:val="5"/>
          <w:sz w:val="24"/>
        </w:rPr>
        <w:t> </w:t>
      </w:r>
      <w:r>
        <w:rPr>
          <w:spacing w:val="-7"/>
          <w:sz w:val="24"/>
        </w:rPr>
        <w:t>by</w:t>
      </w:r>
    </w:p>
    <w:p>
      <w:pPr>
        <w:spacing w:after="0" w:line="242" w:lineRule="auto"/>
        <w:jc w:val="left"/>
        <w:rPr>
          <w:sz w:val="24"/>
        </w:rPr>
        <w:sectPr>
          <w:type w:val="continuous"/>
          <w:pgSz w:w="11900" w:h="16840"/>
          <w:pgMar w:top="1220" w:bottom="280" w:left="640" w:right="620"/>
          <w:cols w:num="2" w:equalWidth="0">
            <w:col w:w="2226" w:space="2534"/>
            <w:col w:w="5880"/>
          </w:cols>
        </w:sectPr>
      </w:pPr>
    </w:p>
    <w:p>
      <w:pPr>
        <w:pStyle w:val="BodyText"/>
        <w:spacing w:before="1"/>
        <w:rPr>
          <w:sz w:val="16"/>
        </w:rPr>
      </w:pPr>
    </w:p>
    <w:p>
      <w:pPr>
        <w:spacing w:line="108" w:lineRule="exact" w:before="0"/>
        <w:ind w:left="479" w:right="0" w:firstLine="0"/>
        <w:jc w:val="left"/>
        <w:rPr>
          <w:sz w:val="12"/>
        </w:rPr>
      </w:pPr>
      <w:r>
        <w:rPr/>
        <w:pict>
          <v:group style="position:absolute;margin-left:44.550999pt;margin-top:-.939467pt;width:8.85pt;height:29.4pt;mso-position-horizontal-relative:page;mso-position-vertical-relative:paragraph;z-index:16043008" coordorigin="891,-19" coordsize="177,588">
            <v:shape style="position:absolute;left:891;top:-19;width:177;height:517" type="#_x0000_t75" stroked="false">
              <v:imagedata r:id="rId108" o:title=""/>
            </v:shape>
            <v:line style="position:absolute" from="996,563" to="909,563" stroked="true" strokeweight=".5pt" strokecolor="#000000">
              <v:stroke dashstyle="solid"/>
            </v:line>
            <w10:wrap type="none"/>
          </v:group>
        </w:pict>
      </w:r>
      <w:r>
        <w:rPr>
          <w:sz w:val="12"/>
        </w:rPr>
        <w:t>Manufacturing</w:t>
      </w:r>
    </w:p>
    <w:p>
      <w:pPr>
        <w:pStyle w:val="BodyText"/>
        <w:spacing w:before="1"/>
        <w:rPr>
          <w:sz w:val="16"/>
        </w:rPr>
      </w:pPr>
      <w:r>
        <w:rPr/>
        <w:br w:type="column"/>
      </w:r>
      <w:r>
        <w:rPr>
          <w:sz w:val="16"/>
        </w:rPr>
      </w:r>
    </w:p>
    <w:p>
      <w:pPr>
        <w:spacing w:line="108" w:lineRule="exact" w:before="0"/>
        <w:ind w:left="396" w:right="0" w:firstLine="0"/>
        <w:jc w:val="left"/>
        <w:rPr>
          <w:sz w:val="12"/>
        </w:rPr>
      </w:pPr>
      <w:r>
        <w:rPr/>
        <w:pict>
          <v:group style="position:absolute;margin-left:101.801003pt;margin-top:-.939955pt;width:8.85pt;height:8.85pt;mso-position-horizontal-relative:page;mso-position-vertical-relative:paragraph;z-index:16043520" coordorigin="2036,-19" coordsize="177,177">
            <v:rect style="position:absolute;left:2041;top:-14;width:167;height:167" filled="true" fillcolor="#cee7e8" stroked="false">
              <v:fill type="solid"/>
            </v:rect>
            <v:rect style="position:absolute;left:2041;top:-14;width:167;height:167" filled="false" stroked="true" strokeweight=".5pt" strokecolor="#000000">
              <v:stroke dashstyle="solid"/>
            </v:rect>
            <w10:wrap type="none"/>
          </v:group>
        </w:pict>
      </w:r>
      <w:r>
        <w:rPr>
          <w:sz w:val="12"/>
        </w:rPr>
        <w:t>Other</w:t>
      </w:r>
    </w:p>
    <w:p>
      <w:pPr>
        <w:pStyle w:val="Heading6"/>
        <w:spacing w:before="3"/>
        <w:ind w:left="479"/>
      </w:pPr>
      <w:r>
        <w:rPr/>
        <w:br w:type="column"/>
      </w:r>
      <w:r>
        <w:rPr/>
        <w:t>the statistical alignment adjustment to the National</w:t>
      </w:r>
    </w:p>
    <w:p>
      <w:pPr>
        <w:spacing w:after="0"/>
        <w:sectPr>
          <w:type w:val="continuous"/>
          <w:pgSz w:w="11900" w:h="16840"/>
          <w:pgMar w:top="1220" w:bottom="280" w:left="640" w:right="620"/>
          <w:cols w:num="3" w:equalWidth="0">
            <w:col w:w="1193" w:space="40"/>
            <w:col w:w="711" w:space="2523"/>
            <w:col w:w="6173"/>
          </w:cols>
        </w:sectPr>
      </w:pPr>
    </w:p>
    <w:p>
      <w:pPr>
        <w:tabs>
          <w:tab w:pos="1384" w:val="left" w:leader="none"/>
        </w:tabs>
        <w:spacing w:line="307" w:lineRule="auto" w:before="68"/>
        <w:ind w:left="479" w:right="38" w:firstLine="0"/>
        <w:jc w:val="left"/>
        <w:rPr>
          <w:sz w:val="12"/>
        </w:rPr>
      </w:pPr>
      <w:r>
        <w:rPr>
          <w:sz w:val="12"/>
        </w:rPr>
        <w:t>Wholesale</w:t>
        <w:tab/>
      </w:r>
      <w:r>
        <w:rPr>
          <w:sz w:val="12"/>
          <w:u w:val="single" w:color="DE0035"/>
        </w:rPr>
        <w:t> </w:t>
      </w:r>
      <w:r>
        <w:rPr>
          <w:spacing w:val="-4"/>
          <w:sz w:val="12"/>
        </w:rPr>
        <w:t>Total </w:t>
      </w:r>
      <w:r>
        <w:rPr>
          <w:sz w:val="12"/>
        </w:rPr>
        <w:t>Retail</w:t>
      </w:r>
    </w:p>
    <w:p>
      <w:pPr>
        <w:pStyle w:val="BodyText"/>
        <w:spacing w:before="4" w:after="39"/>
        <w:rPr>
          <w:sz w:val="29"/>
        </w:rPr>
      </w:pPr>
    </w:p>
    <w:p>
      <w:pPr>
        <w:pStyle w:val="BodyText"/>
        <w:spacing w:line="20" w:lineRule="exact"/>
        <w:ind w:left="263"/>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6"/>
        </w:rPr>
      </w:pPr>
      <w:r>
        <w:rPr/>
        <w:pict>
          <v:shape style="position:absolute;margin-left:45.446999pt;margin-top:17.187pt;width:4.350pt;height:.1pt;mso-position-horizontal-relative:page;mso-position-vertical-relative:paragraph;z-index:-15422976;mso-wrap-distance-left:0;mso-wrap-distance-right:0" coordorigin="909,344" coordsize="87,0" path="m996,344l909,344e" filled="false" stroked="true" strokeweight=".5pt" strokecolor="#000000">
            <v:path arrowok="t"/>
            <v:stroke dashstyle="solid"/>
            <w10:wrap type="topAndBottom"/>
          </v:shape>
        </w:pict>
      </w:r>
      <w:r>
        <w:rPr/>
        <w:pict>
          <v:shape style="position:absolute;margin-left:45.446999pt;margin-top:34.687pt;width:4.350pt;height:.1pt;mso-position-horizontal-relative:page;mso-position-vertical-relative:paragraph;z-index:-15422464;mso-wrap-distance-left:0;mso-wrap-distance-right:0" coordorigin="909,694" coordsize="87,0" path="m996,694l909,694e" filled="false" stroked="true" strokeweight=".5pt" strokecolor="#000000">
            <v:path arrowok="t"/>
            <v:stroke dashstyle="solid"/>
            <w10:wrap type="topAndBottom"/>
          </v:shape>
        </w:pict>
      </w:r>
      <w:r>
        <w:rPr/>
        <w:pict>
          <v:shape style="position:absolute;margin-left:45.446999pt;margin-top:52.062pt;width:4.350pt;height:.1pt;mso-position-horizontal-relative:page;mso-position-vertical-relative:paragraph;z-index:-15421952;mso-wrap-distance-left:0;mso-wrap-distance-right:0" coordorigin="909,1041" coordsize="87,0" path="m996,1041l909,1041e" filled="false" stroked="true" strokeweight=".5pt" strokecolor="#000000">
            <v:path arrowok="t"/>
            <v:stroke dashstyle="solid"/>
            <w10:wrap type="topAndBottom"/>
          </v:shape>
        </w:pict>
      </w:r>
      <w:r>
        <w:rPr/>
        <w:pict>
          <v:shape style="position:absolute;margin-left:45.446999pt;margin-top:70pt;width:4.350pt;height:.1pt;mso-position-horizontal-relative:page;mso-position-vertical-relative:paragraph;z-index:-15421440;mso-wrap-distance-left:0;mso-wrap-distance-right:0" coordorigin="909,1400" coordsize="87,0" path="m996,1400l909,1400e" filled="false" stroked="true" strokeweight=".5pt" strokecolor="#000000">
            <v:path arrowok="t"/>
            <v:stroke dashstyle="solid"/>
            <w10:wrap type="topAndBottom"/>
          </v:shape>
        </w:pict>
      </w:r>
      <w:r>
        <w:rPr/>
        <w:pict>
          <v:shape style="position:absolute;margin-left:45.446999pt;margin-top:86.686996pt;width:4.350pt;height:.1pt;mso-position-horizontal-relative:page;mso-position-vertical-relative:paragraph;z-index:-15420928;mso-wrap-distance-left:0;mso-wrap-distance-right:0" coordorigin="909,1734" coordsize="87,0" path="m996,1734l909,1734e" filled="false" stroked="true" strokeweight=".5pt" strokecolor="#000000">
            <v:path arrowok="t"/>
            <v:stroke dashstyle="solid"/>
            <w10:wrap type="topAndBottom"/>
          </v:shape>
        </w:pict>
      </w:r>
    </w:p>
    <w:p>
      <w:pPr>
        <w:pStyle w:val="BodyText"/>
        <w:spacing w:before="7"/>
        <w:rPr>
          <w:sz w:val="23"/>
        </w:rPr>
      </w:pPr>
    </w:p>
    <w:p>
      <w:pPr>
        <w:pStyle w:val="BodyText"/>
        <w:spacing w:before="5"/>
        <w:rPr>
          <w:sz w:val="23"/>
        </w:rPr>
      </w:pPr>
    </w:p>
    <w:p>
      <w:pPr>
        <w:pStyle w:val="BodyText"/>
        <w:spacing w:before="4"/>
        <w:rPr>
          <w:sz w:val="24"/>
        </w:rPr>
      </w:pPr>
    </w:p>
    <w:p>
      <w:pPr>
        <w:pStyle w:val="BodyText"/>
        <w:spacing w:before="2"/>
        <w:rPr>
          <w:sz w:val="22"/>
        </w:rPr>
      </w:pPr>
    </w:p>
    <w:p>
      <w:pPr>
        <w:pStyle w:val="BodyText"/>
        <w:rPr>
          <w:sz w:val="12"/>
        </w:rPr>
      </w:pPr>
      <w:r>
        <w:rPr/>
        <w:br w:type="column"/>
      </w:r>
      <w:r>
        <w:rPr>
          <w:sz w:val="12"/>
        </w:rPr>
      </w:r>
    </w:p>
    <w:p>
      <w:pPr>
        <w:pStyle w:val="BodyText"/>
        <w:spacing w:before="6"/>
        <w:rPr>
          <w:sz w:val="12"/>
        </w:rPr>
      </w:pPr>
    </w:p>
    <w:p>
      <w:pPr>
        <w:spacing w:before="0"/>
        <w:ind w:left="479" w:right="0" w:firstLine="0"/>
        <w:jc w:val="left"/>
        <w:rPr>
          <w:sz w:val="12"/>
        </w:rPr>
      </w:pPr>
      <w:r>
        <w:rPr>
          <w:sz w:val="12"/>
        </w:rPr>
        <w:t>£ millions</w:t>
      </w:r>
    </w:p>
    <w:p>
      <w:pPr>
        <w:pStyle w:val="BodyText"/>
        <w:spacing w:before="7"/>
        <w:rPr>
          <w:sz w:val="2"/>
        </w:rPr>
      </w:pPr>
    </w:p>
    <w:p>
      <w:pPr>
        <w:pStyle w:val="BodyText"/>
        <w:spacing w:line="20" w:lineRule="exact"/>
        <w:ind w:left="872" w:right="-7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6"/>
        <w:rPr>
          <w:sz w:val="28"/>
        </w:rPr>
      </w:pPr>
    </w:p>
    <w:p>
      <w:pPr>
        <w:pStyle w:val="BodyText"/>
        <w:spacing w:line="20" w:lineRule="exact"/>
        <w:ind w:left="872" w:right="-7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5"/>
        <w:rPr>
          <w:sz w:val="29"/>
        </w:rPr>
      </w:pPr>
    </w:p>
    <w:p>
      <w:pPr>
        <w:pStyle w:val="BodyText"/>
        <w:spacing w:line="20" w:lineRule="exact"/>
        <w:ind w:left="872" w:right="-7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8"/>
        <w:rPr>
          <w:sz w:val="28"/>
        </w:rPr>
      </w:pPr>
    </w:p>
    <w:p>
      <w:pPr>
        <w:pStyle w:val="BodyText"/>
        <w:spacing w:line="20" w:lineRule="exact"/>
        <w:ind w:left="872" w:right="-7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5"/>
        <w:rPr>
          <w:sz w:val="28"/>
        </w:rPr>
      </w:pPr>
    </w:p>
    <w:p>
      <w:pPr>
        <w:pStyle w:val="BodyText"/>
        <w:spacing w:line="20" w:lineRule="exact"/>
        <w:ind w:left="872" w:right="-7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5"/>
        <w:rPr>
          <w:sz w:val="29"/>
        </w:rPr>
      </w:pPr>
    </w:p>
    <w:p>
      <w:pPr>
        <w:pStyle w:val="BodyText"/>
        <w:spacing w:line="20" w:lineRule="exact"/>
        <w:ind w:left="872" w:right="-7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3"/>
        <w:rPr>
          <w:sz w:val="27"/>
        </w:rPr>
      </w:pPr>
    </w:p>
    <w:p>
      <w:pPr>
        <w:pStyle w:val="BodyText"/>
        <w:spacing w:line="20" w:lineRule="exact"/>
        <w:ind w:left="872" w:right="-72"/>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pStyle w:val="BodyText"/>
        <w:spacing w:before="1"/>
        <w:rPr>
          <w:sz w:val="10"/>
        </w:rPr>
      </w:pPr>
    </w:p>
    <w:p>
      <w:pPr>
        <w:spacing w:before="0"/>
        <w:ind w:left="10" w:right="0" w:firstLine="0"/>
        <w:jc w:val="left"/>
        <w:rPr>
          <w:sz w:val="12"/>
        </w:rPr>
      </w:pPr>
      <w:r>
        <w:rPr>
          <w:sz w:val="12"/>
        </w:rPr>
        <w:t>1,600</w:t>
      </w:r>
    </w:p>
    <w:p>
      <w:pPr>
        <w:pStyle w:val="BodyText"/>
        <w:rPr>
          <w:sz w:val="12"/>
        </w:rPr>
      </w:pPr>
    </w:p>
    <w:p>
      <w:pPr>
        <w:spacing w:before="92"/>
        <w:ind w:left="10" w:right="0" w:firstLine="0"/>
        <w:jc w:val="left"/>
        <w:rPr>
          <w:sz w:val="12"/>
        </w:rPr>
      </w:pPr>
      <w:r>
        <w:rPr>
          <w:sz w:val="12"/>
        </w:rPr>
        <w:t>1,200</w:t>
      </w:r>
    </w:p>
    <w:p>
      <w:pPr>
        <w:pStyle w:val="BodyText"/>
        <w:spacing w:before="7"/>
        <w:rPr>
          <w:sz w:val="17"/>
        </w:rPr>
      </w:pPr>
    </w:p>
    <w:p>
      <w:pPr>
        <w:spacing w:before="0"/>
        <w:ind w:left="100" w:right="0" w:firstLine="0"/>
        <w:jc w:val="left"/>
        <w:rPr>
          <w:sz w:val="12"/>
        </w:rPr>
      </w:pPr>
      <w:r>
        <w:rPr>
          <w:sz w:val="12"/>
        </w:rPr>
        <w:t>800</w:t>
      </w:r>
    </w:p>
    <w:p>
      <w:pPr>
        <w:pStyle w:val="BodyText"/>
        <w:rPr>
          <w:sz w:val="12"/>
        </w:rPr>
      </w:pPr>
    </w:p>
    <w:p>
      <w:pPr>
        <w:spacing w:line="129" w:lineRule="exact" w:before="88"/>
        <w:ind w:left="0" w:right="38" w:firstLine="0"/>
        <w:jc w:val="right"/>
        <w:rPr>
          <w:sz w:val="12"/>
        </w:rPr>
      </w:pPr>
      <w:r>
        <w:rPr>
          <w:sz w:val="12"/>
        </w:rPr>
        <w:t>400</w:t>
      </w:r>
    </w:p>
    <w:p>
      <w:pPr>
        <w:spacing w:line="175" w:lineRule="exact" w:before="0"/>
        <w:ind w:left="-37" w:right="0" w:firstLine="0"/>
        <w:jc w:val="left"/>
        <w:rPr>
          <w:sz w:val="16"/>
        </w:rPr>
      </w:pPr>
      <w:r>
        <w:rPr>
          <w:w w:val="100"/>
          <w:sz w:val="16"/>
        </w:rPr>
        <w:t>+</w:t>
      </w:r>
    </w:p>
    <w:p>
      <w:pPr>
        <w:spacing w:line="108" w:lineRule="exact" w:before="37"/>
        <w:ind w:left="0" w:right="38" w:firstLine="0"/>
        <w:jc w:val="right"/>
        <w:rPr>
          <w:sz w:val="12"/>
        </w:rPr>
      </w:pPr>
      <w:r>
        <w:rPr>
          <w:sz w:val="12"/>
        </w:rPr>
        <w:t>0</w:t>
      </w:r>
    </w:p>
    <w:p>
      <w:pPr>
        <w:spacing w:line="154" w:lineRule="exact" w:before="0"/>
        <w:ind w:left="-26" w:right="0" w:firstLine="0"/>
        <w:jc w:val="left"/>
        <w:rPr>
          <w:sz w:val="16"/>
        </w:rPr>
      </w:pPr>
      <w:r>
        <w:rPr>
          <w:sz w:val="16"/>
        </w:rPr>
        <w:t>_</w:t>
      </w:r>
    </w:p>
    <w:p>
      <w:pPr>
        <w:spacing w:before="93"/>
        <w:ind w:left="100" w:right="0" w:firstLine="0"/>
        <w:jc w:val="left"/>
        <w:rPr>
          <w:sz w:val="12"/>
        </w:rPr>
      </w:pPr>
      <w:r>
        <w:rPr>
          <w:sz w:val="12"/>
        </w:rPr>
        <w:t>400</w:t>
      </w:r>
    </w:p>
    <w:p>
      <w:pPr>
        <w:pStyle w:val="BodyText"/>
        <w:spacing w:before="9"/>
        <w:rPr>
          <w:sz w:val="16"/>
        </w:rPr>
      </w:pPr>
    </w:p>
    <w:p>
      <w:pPr>
        <w:spacing w:before="1"/>
        <w:ind w:left="100" w:right="0" w:firstLine="0"/>
        <w:jc w:val="left"/>
        <w:rPr>
          <w:sz w:val="12"/>
        </w:rPr>
      </w:pPr>
      <w:r>
        <w:rPr>
          <w:sz w:val="12"/>
        </w:rPr>
        <w:t>800</w:t>
      </w:r>
    </w:p>
    <w:p>
      <w:pPr>
        <w:pStyle w:val="Heading6"/>
        <w:spacing w:line="242" w:lineRule="auto"/>
        <w:ind w:left="479" w:right="229"/>
      </w:pPr>
      <w:r>
        <w:rPr/>
        <w:br w:type="column"/>
      </w:r>
      <w:r>
        <w:rPr/>
        <w:t>Accounts, which is allocated to stockbuilding.</w:t>
      </w:r>
      <w:r>
        <w:rPr>
          <w:position w:val="5"/>
          <w:sz w:val="16"/>
        </w:rPr>
        <w:t>(1) </w:t>
      </w:r>
      <w:r>
        <w:rPr/>
        <w:t>The underlying data on inventories suggest that, following a small increase in 1999 Q3, whole-economy stocks fell in 1999 Q4 (see Chart 2.13), subtracting 0.2 percentage points from quarterly GDP growth. The latest data therefore suggest that rather less stockbuilding took place ahead of the new millennium than suggested by many surveys of business trends around the end of the year. Forward-looking survey evidence suggests that firms expect to reduce stock levels further in the near</w:t>
      </w:r>
    </w:p>
    <w:p>
      <w:pPr>
        <w:spacing w:after="0" w:line="242" w:lineRule="auto"/>
        <w:sectPr>
          <w:type w:val="continuous"/>
          <w:pgSz w:w="11900" w:h="16840"/>
          <w:pgMar w:top="1220" w:bottom="280" w:left="640" w:right="620"/>
          <w:cols w:num="4" w:equalWidth="0">
            <w:col w:w="1923" w:space="598"/>
            <w:col w:w="963" w:space="40"/>
            <w:col w:w="321" w:space="621"/>
            <w:col w:w="6174"/>
          </w:cols>
        </w:sectPr>
      </w:pPr>
    </w:p>
    <w:p>
      <w:pPr>
        <w:pStyle w:val="BodyText"/>
        <w:spacing w:before="6"/>
        <w:rPr>
          <w:sz w:val="9"/>
        </w:rPr>
      </w:pPr>
    </w:p>
    <w:p>
      <w:pPr>
        <w:pStyle w:val="BodyText"/>
        <w:spacing w:line="20" w:lineRule="exact"/>
        <w:ind w:left="263"/>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10"/>
        <w:rPr>
          <w:sz w:val="27"/>
        </w:rPr>
      </w:pPr>
      <w:r>
        <w:rPr/>
        <w:pict>
          <v:shape style="position:absolute;margin-left:45.446999pt;margin-top:18.25pt;width:4.350pt;height:.1pt;mso-position-horizontal-relative:page;mso-position-vertical-relative:paragraph;z-index:-15416320;mso-wrap-distance-left:0;mso-wrap-distance-right:0" coordorigin="909,365" coordsize="87,0" path="m996,365l909,365e" filled="false" stroked="true" strokeweight=".5pt" strokecolor="#000000">
            <v:path arrowok="t"/>
            <v:stroke dashstyle="solid"/>
            <w10:wrap type="topAndBottom"/>
          </v:shape>
        </w:pict>
      </w:r>
    </w:p>
    <w:p>
      <w:pPr>
        <w:tabs>
          <w:tab w:pos="1305" w:val="left" w:leader="none"/>
        </w:tabs>
        <w:spacing w:line="232" w:lineRule="auto" w:before="24"/>
        <w:ind w:left="1040" w:right="0" w:hanging="476"/>
        <w:jc w:val="left"/>
        <w:rPr>
          <w:sz w:val="12"/>
        </w:rPr>
      </w:pPr>
      <w:r>
        <w:rPr>
          <w:sz w:val="12"/>
        </w:rPr>
        <w:t>Q1    </w:t>
      </w:r>
      <w:r>
        <w:rPr>
          <w:spacing w:val="22"/>
          <w:sz w:val="12"/>
        </w:rPr>
        <w:t> </w:t>
      </w:r>
      <w:r>
        <w:rPr>
          <w:sz w:val="12"/>
        </w:rPr>
        <w:t>Q2</w:t>
        <w:tab/>
        <w:tab/>
        <w:t>Q3 </w:t>
      </w:r>
      <w:r>
        <w:rPr>
          <w:spacing w:val="-10"/>
          <w:sz w:val="12"/>
        </w:rPr>
        <w:t>Q4 </w:t>
      </w:r>
      <w:r>
        <w:rPr>
          <w:sz w:val="12"/>
        </w:rPr>
        <w:t>1998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tabs>
          <w:tab w:pos="915" w:val="left" w:leader="none"/>
        </w:tabs>
        <w:spacing w:line="232" w:lineRule="auto" w:before="0"/>
        <w:ind w:left="794" w:right="0" w:hanging="596"/>
        <w:jc w:val="left"/>
        <w:rPr>
          <w:sz w:val="12"/>
        </w:rPr>
      </w:pPr>
      <w:r>
        <w:rPr>
          <w:sz w:val="12"/>
        </w:rPr>
        <w:t>Q1     </w:t>
      </w:r>
      <w:r>
        <w:rPr>
          <w:spacing w:val="14"/>
          <w:sz w:val="12"/>
        </w:rPr>
        <w:t> </w:t>
      </w:r>
      <w:r>
        <w:rPr>
          <w:sz w:val="12"/>
        </w:rPr>
        <w:t>Q2</w:t>
        <w:tab/>
        <w:tab/>
        <w:t>Q3  </w:t>
      </w:r>
      <w:r>
        <w:rPr>
          <w:spacing w:val="-10"/>
          <w:sz w:val="12"/>
        </w:rPr>
        <w:t>Q4 </w:t>
      </w:r>
      <w:r>
        <w:rPr>
          <w:sz w:val="12"/>
        </w:rPr>
        <w:t>99</w:t>
      </w:r>
    </w:p>
    <w:p>
      <w:pPr>
        <w:spacing w:before="60"/>
        <w:ind w:left="285" w:right="0" w:firstLine="0"/>
        <w:jc w:val="left"/>
        <w:rPr>
          <w:sz w:val="12"/>
        </w:rPr>
      </w:pPr>
      <w:r>
        <w:rPr/>
        <w:br w:type="column"/>
      </w:r>
      <w:r>
        <w:rPr>
          <w:sz w:val="12"/>
        </w:rPr>
        <w:t>1,200</w:t>
      </w:r>
    </w:p>
    <w:p>
      <w:pPr>
        <w:pStyle w:val="BodyText"/>
        <w:rPr>
          <w:sz w:val="12"/>
        </w:rPr>
      </w:pPr>
    </w:p>
    <w:p>
      <w:pPr>
        <w:spacing w:before="94"/>
        <w:ind w:left="285" w:right="0" w:firstLine="0"/>
        <w:jc w:val="left"/>
        <w:rPr>
          <w:sz w:val="12"/>
        </w:rPr>
      </w:pPr>
      <w:r>
        <w:rPr/>
        <w:pict>
          <v:group style="position:absolute;margin-left:53.529999pt;margin-top:-124.598427pt;width:144.75pt;height:111.4pt;mso-position-horizontal-relative:page;mso-position-vertical-relative:paragraph;z-index:16041984" coordorigin="1071,-2492" coordsize="2895,2228">
            <v:rect style="position:absolute;left:1120;top:-1265;width:65;height:195" filled="true" fillcolor="#006caa" stroked="false">
              <v:fill type="solid"/>
            </v:rect>
            <v:rect style="position:absolute;left:1120;top:-1265;width:65;height:195" filled="false" stroked="true" strokeweight=".5pt" strokecolor="#000000">
              <v:stroke dashstyle="solid"/>
            </v:rect>
            <v:rect style="position:absolute;left:1183;top:-1560;width:78;height:298" filled="true" fillcolor="#f5b37a" stroked="false">
              <v:fill type="solid"/>
            </v:rect>
            <v:rect style="position:absolute;left:1183;top:-1560;width:78;height:298" filled="false" stroked="true" strokeweight=".5pt" strokecolor="#000000">
              <v:stroke dashstyle="solid"/>
            </v:rect>
            <v:rect style="position:absolute;left:1258;top:-1630;width:68;height:368" filled="true" fillcolor="#00a2a0" stroked="false">
              <v:fill type="solid"/>
            </v:rect>
            <v:rect style="position:absolute;left:1258;top:-1630;width:68;height:368" filled="false" stroked="true" strokeweight=".5pt" strokecolor="#000000">
              <v:stroke dashstyle="solid"/>
            </v:rect>
            <v:rect style="position:absolute;left:1323;top:-2030;width:68;height:768" filled="true" fillcolor="#cee7e8" stroked="false">
              <v:fill type="solid"/>
            </v:rect>
            <v:rect style="position:absolute;left:1323;top:-2030;width:68;height:768" filled="false" stroked="true" strokeweight=".5pt" strokecolor="#000000">
              <v:stroke dashstyle="solid"/>
            </v:rect>
            <v:rect style="position:absolute;left:1483;top:-1265;width:68;height:283" filled="true" fillcolor="#006caa" stroked="false">
              <v:fill type="solid"/>
            </v:rect>
            <v:rect style="position:absolute;left:1483;top:-1265;width:68;height:283" filled="false" stroked="true" strokeweight=".5pt" strokecolor="#000000">
              <v:stroke dashstyle="solid"/>
            </v:rect>
            <v:rect style="position:absolute;left:1548;top:-1265;width:68;height:490" filled="true" fillcolor="#f5b37a" stroked="false">
              <v:fill type="solid"/>
            </v:rect>
            <v:rect style="position:absolute;left:1548;top:-1265;width:68;height:490" filled="false" stroked="true" strokeweight=".5pt" strokecolor="#000000">
              <v:stroke dashstyle="solid"/>
            </v:rect>
            <v:rect style="position:absolute;left:1613;top:-1437;width:65;height:175" filled="true" fillcolor="#00a2a0" stroked="false">
              <v:fill type="solid"/>
            </v:rect>
            <v:rect style="position:absolute;left:1613;top:-1437;width:65;height:175" filled="false" stroked="true" strokeweight=".5pt" strokecolor="#000000">
              <v:stroke dashstyle="solid"/>
            </v:rect>
            <v:rect style="position:absolute;left:1675;top:-2237;width:68;height:975" filled="true" fillcolor="#cee7e8" stroked="false">
              <v:fill type="solid"/>
            </v:rect>
            <v:rect style="position:absolute;left:1675;top:-2237;width:68;height:975" filled="false" stroked="true" strokeweight=".5pt" strokecolor="#000000">
              <v:stroke dashstyle="solid"/>
            </v:rect>
            <v:rect style="position:absolute;left:1838;top:-1352;width:68;height:90" filled="true" fillcolor="#006caa" stroked="false">
              <v:fill type="solid"/>
            </v:rect>
            <v:rect style="position:absolute;left:1838;top:-1352;width:68;height:90" filled="false" stroked="true" strokeweight=".5pt" strokecolor="#000000">
              <v:stroke dashstyle="solid"/>
            </v:rect>
            <v:rect style="position:absolute;left:1903;top:-1265;width:78;height:55" filled="true" fillcolor="#f5b37a" stroked="false">
              <v:fill type="solid"/>
            </v:rect>
            <v:rect style="position:absolute;left:1903;top:-1265;width:78;height:55" filled="false" stroked="true" strokeweight=".5pt" strokecolor="#000000">
              <v:stroke dashstyle="solid"/>
            </v:rect>
            <v:rect style="position:absolute;left:1978;top:-1455;width:65;height:193" filled="true" fillcolor="#00a2a0" stroked="false">
              <v:fill type="solid"/>
            </v:rect>
            <v:rect style="position:absolute;left:1978;top:-1455;width:65;height:193" filled="false" stroked="true" strokeweight=".5pt" strokecolor="#000000">
              <v:stroke dashstyle="solid"/>
            </v:rect>
            <v:rect style="position:absolute;left:2040;top:-1490;width:68;height:228" filled="true" fillcolor="#cee7e8" stroked="false">
              <v:fill type="solid"/>
            </v:rect>
            <v:rect style="position:absolute;left:2040;top:-1490;width:68;height:228" filled="false" stroked="true" strokeweight=".5pt" strokecolor="#000000">
              <v:stroke dashstyle="solid"/>
            </v:rect>
            <v:rect style="position:absolute;left:2203;top:-2222;width:65;height:960" filled="true" fillcolor="#006caa" stroked="false">
              <v:fill type="solid"/>
            </v:rect>
            <v:rect style="position:absolute;left:2203;top:-2222;width:65;height:960" filled="false" stroked="true" strokeweight=".5pt" strokecolor="#000000">
              <v:stroke dashstyle="solid"/>
            </v:rect>
            <v:rect style="position:absolute;left:2265;top:-1490;width:78;height:228" filled="true" fillcolor="#f5b37a" stroked="false">
              <v:fill type="solid"/>
            </v:rect>
            <v:rect style="position:absolute;left:2265;top:-1490;width:78;height:228" filled="false" stroked="true" strokeweight=".5pt" strokecolor="#000000">
              <v:stroke dashstyle="solid"/>
            </v:rect>
            <v:rect style="position:absolute;left:2340;top:-1265;width:68;height:55" filled="true" fillcolor="#00a2a0" stroked="false">
              <v:fill type="solid"/>
            </v:rect>
            <v:rect style="position:absolute;left:2340;top:-1265;width:68;height:55" filled="false" stroked="true" strokeweight=".5pt" strokecolor="#000000">
              <v:stroke dashstyle="solid"/>
            </v:rect>
            <v:rect style="position:absolute;left:2405;top:-1265;width:68;height:195" filled="true" fillcolor="#cee7e8" stroked="false">
              <v:fill type="solid"/>
            </v:rect>
            <v:rect style="position:absolute;left:2405;top:-1265;width:68;height:195" filled="false" stroked="true" strokeweight=".5pt" strokecolor="#000000">
              <v:stroke dashstyle="solid"/>
            </v:rect>
            <v:rect style="position:absolute;left:2565;top:-1265;width:68;height:718" filled="true" fillcolor="#006caa" stroked="false">
              <v:fill type="solid"/>
            </v:rect>
            <v:rect style="position:absolute;left:2565;top:-1265;width:68;height:718" filled="false" stroked="true" strokeweight=".5pt" strokecolor="#000000">
              <v:stroke dashstyle="solid"/>
            </v:rect>
            <v:rect style="position:absolute;left:2630;top:-1265;width:68;height:73" filled="true" fillcolor="#f5b37a" stroked="false">
              <v:fill type="solid"/>
            </v:rect>
            <v:rect style="position:absolute;left:2630;top:-1265;width:68;height:73" filled="false" stroked="true" strokeweight=".5pt" strokecolor="#000000">
              <v:stroke dashstyle="solid"/>
            </v:rect>
            <v:rect style="position:absolute;left:2695;top:-1507;width:65;height:245" filled="true" fillcolor="#00a2a0" stroked="false">
              <v:fill type="solid"/>
            </v:rect>
            <v:rect style="position:absolute;left:2695;top:-1507;width:65;height:245" filled="false" stroked="true" strokeweight=".5pt" strokecolor="#000000">
              <v:stroke dashstyle="solid"/>
            </v:rect>
            <v:rect style="position:absolute;left:2758;top:-1770;width:68;height:508" filled="true" fillcolor="#cee7e8" stroked="false">
              <v:fill type="solid"/>
            </v:rect>
            <v:rect style="position:absolute;left:2758;top:-1770;width:68;height:508" filled="false" stroked="true" strokeweight=".5pt" strokecolor="#000000">
              <v:stroke dashstyle="solid"/>
            </v:rect>
            <v:rect style="position:absolute;left:2920;top:-1265;width:65;height:995" filled="true" fillcolor="#006caa" stroked="false">
              <v:fill type="solid"/>
            </v:rect>
            <v:rect style="position:absolute;left:2920;top:-1265;width:65;height:995" filled="false" stroked="true" strokeweight=".5pt" strokecolor="#000000">
              <v:stroke dashstyle="solid"/>
            </v:rect>
            <v:rect style="position:absolute;left:2983;top:-1265;width:78;height:230" filled="true" fillcolor="#f5b37a" stroked="false">
              <v:fill type="solid"/>
            </v:rect>
            <v:rect style="position:absolute;left:2983;top:-1265;width:78;height:230" filled="false" stroked="true" strokeweight=".5pt" strokecolor="#000000">
              <v:stroke dashstyle="solid"/>
            </v:rect>
            <v:rect style="position:absolute;left:3058;top:-1595;width:68;height:333" filled="true" fillcolor="#00a2a0" stroked="false">
              <v:fill type="solid"/>
            </v:rect>
            <v:rect style="position:absolute;left:3058;top:-1595;width:68;height:333" filled="false" stroked="true" strokeweight=".5pt" strokecolor="#000000">
              <v:stroke dashstyle="solid"/>
            </v:rect>
            <v:rect style="position:absolute;left:3123;top:-1265;width:68;height:108" filled="true" fillcolor="#cee7e8" stroked="false">
              <v:fill type="solid"/>
            </v:rect>
            <v:rect style="position:absolute;left:3123;top:-1265;width:68;height:108" filled="false" stroked="true" strokeweight=".5pt" strokecolor="#000000">
              <v:stroke dashstyle="solid"/>
            </v:rect>
            <v:rect style="position:absolute;left:3283;top:-1525;width:68;height:263" filled="true" fillcolor="#006caa" stroked="false">
              <v:fill type="solid"/>
            </v:rect>
            <v:rect style="position:absolute;left:3283;top:-1525;width:68;height:263" filled="false" stroked="true" strokeweight=".5pt" strokecolor="#000000">
              <v:stroke dashstyle="solid"/>
            </v:rect>
            <v:rect style="position:absolute;left:3348;top:-1265;width:68;height:213" filled="true" fillcolor="#f5b37a" stroked="false">
              <v:fill type="solid"/>
            </v:rect>
            <v:rect style="position:absolute;left:3348;top:-1265;width:68;height:213" filled="false" stroked="true" strokeweight=".5pt" strokecolor="#000000">
              <v:stroke dashstyle="solid"/>
            </v:rect>
            <v:rect style="position:absolute;left:3413;top:-1387;width:68;height:125" filled="true" fillcolor="#00a2a0" stroked="false">
              <v:fill type="solid"/>
            </v:rect>
            <v:rect style="position:absolute;left:3413;top:-1387;width:68;height:125" filled="false" stroked="true" strokeweight=".5pt" strokecolor="#000000">
              <v:stroke dashstyle="solid"/>
            </v:rect>
            <v:rect style="position:absolute;left:3478;top:-1265;width:65;height:178" filled="true" fillcolor="#cee7e8" stroked="false">
              <v:fill type="solid"/>
            </v:rect>
            <v:rect style="position:absolute;left:3478;top:-1265;width:65;height:178" filled="false" stroked="true" strokeweight=".5pt" strokecolor="#000000">
              <v:stroke dashstyle="solid"/>
            </v:rect>
            <v:rect style="position:absolute;left:3703;top:-1265;width:78;height:178" filled="true" fillcolor="#f5b37a" stroked="false">
              <v:fill type="solid"/>
            </v:rect>
            <v:rect style="position:absolute;left:3703;top:-1265;width:78;height:178" filled="false" stroked="true" strokeweight=".5pt" strokecolor="#000000">
              <v:stroke dashstyle="solid"/>
            </v:rect>
            <v:rect style="position:absolute;left:3778;top:-1265;width:65;height:108" filled="true" fillcolor="#00a2a0" stroked="false">
              <v:fill type="solid"/>
            </v:rect>
            <v:rect style="position:absolute;left:3778;top:-1265;width:65;height:108" filled="false" stroked="true" strokeweight=".5pt" strokecolor="#000000">
              <v:stroke dashstyle="solid"/>
            </v:rect>
            <v:rect style="position:absolute;left:3840;top:-1265;width:68;height:125" filled="true" fillcolor="#cee7e8" stroked="false">
              <v:fill type="solid"/>
            </v:rect>
            <v:shape style="position:absolute;left:1075;top:-1265;width:2885;height:125" coordorigin="1076,-1264" coordsize="2885,125" path="m3841,-1264l3908,-1264,3908,-1139,3841,-1139,3841,-1264xm1076,-1264l3961,-1262e" filled="false" stroked="true" strokeweight=".5pt" strokecolor="#000000">
              <v:path arrowok="t"/>
              <v:stroke dashstyle="solid"/>
            </v:shape>
            <v:shape style="position:absolute;left:1259;top:-1305;width:2165;height:45" coordorigin="1259,-1304" coordsize="2165,45" path="m1259,-1304l1259,-1259m1614,-1304l1614,-1259m1979,-1304l1979,-1259m2342,-1304l2342,-1259m2697,-1304l2697,-1259m3059,-1304l3059,-1259m3424,-1304l3424,-1259e" filled="false" stroked="true" strokeweight=".625pt" strokecolor="#000000">
              <v:path arrowok="t"/>
              <v:stroke dashstyle="solid"/>
            </v:shape>
            <v:shape style="position:absolute;left:1258;top:-2482;width:2520;height:2193" coordorigin="1258,-2482" coordsize="2520,2193" path="m1258,-2482l1613,-1647m1613,-1647l1978,-1717m1978,-1717l2341,-2204m2341,-2204l2696,-1247m2696,-1247l3058,-289m3058,-289l3423,-1282m3423,-1282l3778,-882e" filled="false" stroked="true" strokeweight="1pt" strokecolor="#de0035">
              <v:path arrowok="t"/>
              <v:stroke dashstyle="solid"/>
            </v:shape>
            <w10:wrap type="none"/>
          </v:group>
        </w:pict>
      </w:r>
      <w:r>
        <w:rPr/>
        <w:pict>
          <v:shape style="position:absolute;margin-left:53.779999pt;margin-top:2.90157pt;width:152.5pt;height:5.5pt;mso-position-horizontal-relative:page;mso-position-vertical-relative:paragraph;z-index:16042496" coordorigin="1076,58" coordsize="3050,110" path="m1083,166l3968,168m1076,58l1076,158m3602,113l3602,166m1448,102l1448,156m2161,101l2161,155m2516,58l2516,158m3956,105l3956,158m4126,158l4039,158m1796,105l1796,158m2876,105l2876,158m3236,105l3236,158e" filled="false" stroked="true" strokeweight=".5pt" strokecolor="#000000">
            <v:path arrowok="t"/>
            <v:stroke dashstyle="solid"/>
            <w10:wrap type="none"/>
          </v:shape>
        </w:pict>
      </w:r>
      <w:r>
        <w:rPr/>
        <w:pict>
          <v:line style="position:absolute;mso-position-horizontal-relative:page;mso-position-vertical-relative:paragraph;z-index:16044032" from="206.280006pt,-11.098431pt" to="201.947006pt,-11.098431pt" stroked="true" strokeweight=".5pt" strokecolor="#000000">
            <v:stroke dashstyle="solid"/>
            <w10:wrap type="none"/>
          </v:line>
        </w:pict>
      </w:r>
      <w:r>
        <w:rPr>
          <w:sz w:val="12"/>
        </w:rPr>
        <w:t>1,600</w:t>
      </w:r>
    </w:p>
    <w:p>
      <w:pPr>
        <w:pStyle w:val="Heading6"/>
        <w:spacing w:line="242" w:lineRule="auto" w:before="2"/>
        <w:ind w:left="565"/>
      </w:pPr>
      <w:r>
        <w:rPr/>
        <w:br w:type="column"/>
      </w:r>
      <w:r>
        <w:rPr/>
        <w:t>term. For example, the CBI quarterly industrial trends enquiry in April showed a sharp decline in firms’ anticipated stock levels over the coming four months.</w:t>
      </w:r>
    </w:p>
    <w:p>
      <w:pPr>
        <w:spacing w:after="0" w:line="242" w:lineRule="auto"/>
        <w:sectPr>
          <w:type w:val="continuous"/>
          <w:pgSz w:w="11900" w:h="16840"/>
          <w:pgMar w:top="1220" w:bottom="280" w:left="640" w:right="620"/>
          <w:cols w:num="4" w:equalWidth="0">
            <w:col w:w="1785" w:space="40"/>
            <w:col w:w="1386" w:space="39"/>
            <w:col w:w="596" w:space="534"/>
            <w:col w:w="6260"/>
          </w:cols>
        </w:sectPr>
      </w:pPr>
    </w:p>
    <w:p>
      <w:pPr>
        <w:spacing w:before="28"/>
        <w:ind w:left="195" w:right="0" w:firstLine="0"/>
        <w:jc w:val="left"/>
        <w:rPr>
          <w:sz w:val="12"/>
        </w:rPr>
      </w:pPr>
      <w:r>
        <w:rPr>
          <w:sz w:val="12"/>
        </w:rPr>
        <w:t>(a) At constant 1995 prices, excluding the alignment adjustment.</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4"/>
        </w:rPr>
      </w:pPr>
    </w:p>
    <w:p>
      <w:pPr>
        <w:spacing w:before="0"/>
        <w:ind w:left="167" w:right="0" w:firstLine="0"/>
        <w:jc w:val="left"/>
        <w:rPr>
          <w:b/>
          <w:sz w:val="20"/>
        </w:rPr>
      </w:pPr>
      <w:r>
        <w:rPr>
          <w:b/>
          <w:color w:val="0092C7"/>
          <w:sz w:val="20"/>
        </w:rPr>
        <w:t>Chart 2.14</w:t>
      </w:r>
    </w:p>
    <w:p>
      <w:pPr>
        <w:spacing w:line="249" w:lineRule="auto" w:before="10"/>
        <w:ind w:left="167" w:right="259" w:firstLine="0"/>
        <w:jc w:val="left"/>
        <w:rPr>
          <w:sz w:val="12"/>
        </w:rPr>
      </w:pPr>
      <w:r>
        <w:rPr>
          <w:b/>
          <w:color w:val="0092C7"/>
          <w:sz w:val="20"/>
        </w:rPr>
        <w:t>Ratio of whole-economy inventories to gross value added (GVA)</w:t>
      </w:r>
      <w:r>
        <w:rPr>
          <w:position w:val="4"/>
          <w:sz w:val="12"/>
        </w:rPr>
        <w:t>(a)</w:t>
      </w:r>
    </w:p>
    <w:p>
      <w:pPr>
        <w:spacing w:line="115" w:lineRule="exact" w:before="132"/>
        <w:ind w:left="0" w:right="240" w:firstLine="0"/>
        <w:jc w:val="right"/>
        <w:rPr>
          <w:sz w:val="12"/>
        </w:rPr>
      </w:pPr>
      <w:r>
        <w:rPr>
          <w:sz w:val="12"/>
        </w:rPr>
        <w:t>Per cent of GVA</w:t>
      </w:r>
    </w:p>
    <w:p>
      <w:pPr>
        <w:spacing w:line="115" w:lineRule="exact" w:before="0"/>
        <w:ind w:left="3492" w:right="0" w:firstLine="0"/>
        <w:jc w:val="left"/>
        <w:rPr>
          <w:sz w:val="12"/>
        </w:rPr>
      </w:pPr>
      <w:r>
        <w:rPr/>
        <w:pict>
          <v:line style="position:absolute;mso-position-horizontal-relative:page;mso-position-vertical-relative:paragraph;z-index:16048128" from="44.821999pt,3.0278pt" to="49.154999pt,3.0278pt" stroked="true" strokeweight=".5pt" strokecolor="#000000">
            <v:stroke dashstyle="solid"/>
            <w10:wrap type="none"/>
          </v:line>
        </w:pict>
      </w:r>
      <w:r>
        <w:rPr/>
        <w:pict>
          <v:line style="position:absolute;mso-position-horizontal-relative:page;mso-position-vertical-relative:paragraph;z-index:16048640" from="201.154999pt,3.0278pt" to="205.487999pt,3.0278pt" stroked="true" strokeweight=".5pt" strokecolor="#000000">
            <v:stroke dashstyle="solid"/>
            <w10:wrap type="none"/>
          </v:line>
        </w:pict>
      </w:r>
      <w:r>
        <w:rPr>
          <w:sz w:val="12"/>
        </w:rPr>
        <w:t>110</w:t>
      </w:r>
    </w:p>
    <w:p>
      <w:pPr>
        <w:pStyle w:val="BodyText"/>
        <w:rPr>
          <w:sz w:val="12"/>
        </w:rPr>
      </w:pPr>
    </w:p>
    <w:p>
      <w:pPr>
        <w:pStyle w:val="BodyText"/>
        <w:spacing w:before="8"/>
        <w:rPr>
          <w:sz w:val="11"/>
        </w:rPr>
      </w:pPr>
    </w:p>
    <w:p>
      <w:pPr>
        <w:spacing w:before="0"/>
        <w:ind w:left="0" w:right="38" w:firstLine="0"/>
        <w:jc w:val="right"/>
        <w:rPr>
          <w:sz w:val="12"/>
        </w:rPr>
      </w:pPr>
      <w:r>
        <w:rPr/>
        <w:pict>
          <v:group style="position:absolute;margin-left:44.821999pt;margin-top:-3.289846pt;width:161.8pt;height:136.950pt;mso-position-horizontal-relative:page;mso-position-vertical-relative:paragraph;z-index:16044544" coordorigin="896,-66" coordsize="3236,2739">
            <v:shape style="position:absolute;left:1069;top:199;width:170;height:375" coordorigin="1070,199" coordsize="170,375" path="m1070,199l1092,217m1092,217l1130,284m1130,284l1155,419m1155,419l1180,574m1180,574l1215,539m1215,539l1240,542e" filled="false" stroked="true" strokeweight="1pt" strokecolor="#de0035">
              <v:path arrowok="t"/>
              <v:stroke dashstyle="solid"/>
            </v:shape>
            <v:line style="position:absolute" from="1230,540" to="1287,540" stroked="true" strokeweight="1.125pt" strokecolor="#de0035">
              <v:stroke dashstyle="solid"/>
            </v:line>
            <v:shape style="position:absolute;left:1277;top:64;width:258;height:475" coordorigin="1277,64" coordsize="258,475" path="m1277,539l1302,419m1302,419l1325,267m1325,267l1362,319m1362,319l1387,322m1387,319l1412,322m1412,319l1447,267m1447,267l1472,284m1472,284l1510,234m1510,234l1535,64e" filled="false" stroked="true" strokeweight="1pt" strokecolor="#de0035">
              <v:path arrowok="t"/>
              <v:stroke dashstyle="solid"/>
            </v:shape>
            <v:line style="position:absolute" from="1546,54" to="1546,344" stroked="true" strokeweight="2.125pt" strokecolor="#de0035">
              <v:stroke dashstyle="solid"/>
            </v:line>
            <v:shape style="position:absolute;left:1557;top:-56;width:1775;height:2348" coordorigin="1557,-56" coordsize="1775,2348" path="m1557,334l1595,64m1595,64l1645,-6m1645,-6l1680,-56m1680,-56l1705,-6m1705,-6l1742,12m1742,12l1767,132m1767,132l1790,319m1790,319l1827,454m1827,454l1852,472m1852,472l1877,419m1877,419l1912,489m1912,489l1937,607m1937,607l1975,759m1975,759l1997,914m1997,914l2022,862m2022,862l2060,897m2060,897l2085,964m2085,964l2110,1014m2110,1014l2145,982m2145,982l2170,964m2170,964l2207,999m2207,999l2230,1134m2230,1134l2255,1237m2255,1237l2292,1169m2292,1169l2342,1269m2342,1269l2377,1354m2377,1354l2402,1439m2402,1439l2440,1474m2440,1474l2462,1492m2462,1492l2487,1559m2487,1559l2525,1609m2525,1609l2550,1679m2550,1679l2572,1712m2572,1712l2610,1679m2610,1679l2635,1747m2635,1747l2672,1627m2672,1627l2695,1559m2695,1559l2720,1542m2720,1542l2757,1524m2757,1524l2782,1542m2782,1542l2805,1559m2805,1559l2842,1594m2842,1594l2867,1577m2867,1577l2905,1627m2905,1627l2927,1694m2927,1694l2952,1747m2952,1747l2990,1814m2990,1814l3015,1899m3015,1899l3037,1917m3037,1917l3075,1984m3075,1984l3100,2002m3100,2002l3137,2069m3137,2069l3160,2137m3160,2137l3185,2172m3185,2172l3222,2222m3222,2222l3247,2239m3247,2239l3270,2274m3270,2274l3307,2289m3307,2289l3332,2292e" filled="false" stroked="true" strokeweight="1pt" strokecolor="#de0035">
              <v:path arrowok="t"/>
              <v:stroke dashstyle="solid"/>
            </v:shape>
            <v:line style="position:absolute" from="3322,2290" to="3380,2290" stroked="true" strokeweight="1.125pt" strokecolor="#de0035">
              <v:stroke dashstyle="solid"/>
            </v:line>
            <v:shape style="position:absolute;left:3369;top:2154;width:575;height:305" coordorigin="3370,2154" coordsize="575,305" path="m3370,2289l3392,2307m3392,2307l3417,2257m3417,2257l3455,2189m3455,2189l3480,2154m3480,2154l3502,2189m3502,2189l3540,2239m3540,2239l3565,2242m3565,2239l3602,2257m3602,2257l3625,2259m3625,2257l3650,2222m3650,2222l3687,2257m3687,2257l3712,2289m3712,2289l3735,2257m3735,2257l3772,2274m3772,2274l3797,2277m3797,2274l3832,2239m3832,2239l3857,2257m3857,2257l3882,2342m3882,2342l3920,2392m3920,2392l3945,2459e" filled="false" stroked="true" strokeweight="1pt" strokecolor="#de0035">
              <v:path arrowok="t"/>
              <v:stroke dashstyle="solid"/>
            </v:shape>
            <v:shape style="position:absolute;left:896;top:82;width:3231;height:2585" coordorigin="896,83" coordsize="3231,2585" path="m4023,83l4110,83m4023,492l4110,492m4023,902l4110,902m4023,1311l4110,1311m4023,2130l4110,2130m4023,1721l4110,1721m4023,2540l4110,2540m1074,2667l3939,2667m1076,2580l1076,2667m1191,2620l1191,2667m1306,2620l1306,2667m1422,2620l1422,2667m1537,2620l1537,2667m1653,2580l1653,2667m1768,2620l1768,2667m1884,2620l1884,2667m1999,2620l1999,2667m2114,2620l2114,2667m2230,2580l2230,2667m2345,2620l2345,2667m2461,2620l2461,2667m2576,2620l2576,2667m2691,2620l2691,2667m2807,2580l2807,2667m2922,2620l2922,2667m3038,2620l3038,2667m3153,2620l3153,2667m3269,2620l3269,2667m3384,2580l3384,2667m3499,2620l3499,2667m3615,2620l3615,2667m3730,2620l3730,2667m3846,2620l3846,2667m4107,2541l4107,2568,4087,2584,4127,2598,4087,2618,4127,2634,4104,2644,4103,2668m3933,2667l4110,2667m896,2540l983,2540m984,2541l984,2568,964,2584,1004,2598,964,2618,1004,2634,981,2644,980,2668m896,2667l1073,2667e" filled="false" stroked="true" strokeweight=".5pt" strokecolor="#000000">
              <v:path arrowok="t"/>
              <v:stroke dashstyle="solid"/>
            </v:shape>
            <w10:wrap type="none"/>
          </v:group>
        </w:pict>
      </w:r>
      <w:r>
        <w:rPr/>
        <w:pict>
          <v:line style="position:absolute;mso-position-horizontal-relative:page;mso-position-vertical-relative:paragraph;z-index:16045056" from="44.821999pt,4.127154pt" to="49.154999pt,4.127154pt" stroked="true" strokeweight=".5pt" strokecolor="#000000">
            <v:stroke dashstyle="solid"/>
            <w10:wrap type="none"/>
          </v:line>
        </w:pict>
      </w:r>
      <w:r>
        <w:rPr>
          <w:sz w:val="12"/>
        </w:rPr>
        <w:t>105</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6045568" from="44.821999pt,4.087966pt" to="49.154999pt,4.087966pt" stroked="true" strokeweight=".5pt" strokecolor="#000000">
            <v:stroke dashstyle="solid"/>
            <w10:wrap type="none"/>
          </v:line>
        </w:pict>
      </w:r>
      <w:r>
        <w:rPr>
          <w:sz w:val="12"/>
        </w:rPr>
        <w:t>100</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6046080" from="44.821999pt,4.049357pt" to="49.154999pt,4.049357pt" stroked="true" strokeweight=".5pt" strokecolor="#000000">
            <v:stroke dashstyle="solid"/>
            <w10:wrap type="none"/>
          </v:line>
        </w:pict>
      </w:r>
      <w:r>
        <w:rPr>
          <w:sz w:val="12"/>
        </w:rPr>
        <w:t>95</w:t>
      </w:r>
    </w:p>
    <w:p>
      <w:pPr>
        <w:pStyle w:val="BodyText"/>
        <w:rPr>
          <w:sz w:val="12"/>
        </w:rPr>
      </w:pPr>
    </w:p>
    <w:p>
      <w:pPr>
        <w:pStyle w:val="BodyText"/>
        <w:spacing w:before="8"/>
        <w:rPr>
          <w:sz w:val="11"/>
        </w:rPr>
      </w:pPr>
    </w:p>
    <w:p>
      <w:pPr>
        <w:spacing w:before="0"/>
        <w:ind w:left="0" w:right="38" w:firstLine="0"/>
        <w:jc w:val="right"/>
        <w:rPr>
          <w:sz w:val="12"/>
        </w:rPr>
      </w:pPr>
      <w:r>
        <w:rPr/>
        <w:pict>
          <v:line style="position:absolute;mso-position-horizontal-relative:page;mso-position-vertical-relative:paragraph;z-index:16046592" from="44.821999pt,4.010169pt" to="49.154999pt,4.010169pt" stroked="true" strokeweight=".5pt" strokecolor="#000000">
            <v:stroke dashstyle="solid"/>
            <w10:wrap type="none"/>
          </v:line>
        </w:pict>
      </w:r>
      <w:r>
        <w:rPr>
          <w:sz w:val="12"/>
        </w:rPr>
        <w:t>90</w:t>
      </w:r>
    </w:p>
    <w:p>
      <w:pPr>
        <w:pStyle w:val="BodyText"/>
        <w:rPr>
          <w:sz w:val="12"/>
        </w:rPr>
      </w:pPr>
    </w:p>
    <w:p>
      <w:pPr>
        <w:pStyle w:val="BodyText"/>
        <w:spacing w:before="7"/>
        <w:rPr>
          <w:sz w:val="11"/>
        </w:rPr>
      </w:pPr>
    </w:p>
    <w:p>
      <w:pPr>
        <w:spacing w:before="1"/>
        <w:ind w:left="0" w:right="38" w:firstLine="0"/>
        <w:jc w:val="right"/>
        <w:rPr>
          <w:sz w:val="12"/>
        </w:rPr>
      </w:pPr>
      <w:r>
        <w:rPr/>
        <w:pict>
          <v:line style="position:absolute;mso-position-horizontal-relative:page;mso-position-vertical-relative:paragraph;z-index:16047616" from="44.821999pt,4.02095pt" to="49.154999pt,4.02095pt" stroked="true" strokeweight=".5pt" strokecolor="#000000">
            <v:stroke dashstyle="solid"/>
            <w10:wrap type="none"/>
          </v:line>
        </w:pict>
      </w:r>
      <w:r>
        <w:rPr>
          <w:sz w:val="12"/>
        </w:rPr>
        <w:t>85</w:t>
      </w:r>
    </w:p>
    <w:p>
      <w:pPr>
        <w:pStyle w:val="BodyText"/>
        <w:rPr>
          <w:sz w:val="12"/>
        </w:rPr>
      </w:pPr>
    </w:p>
    <w:p>
      <w:pPr>
        <w:pStyle w:val="BodyText"/>
        <w:spacing w:before="7"/>
        <w:rPr>
          <w:sz w:val="11"/>
        </w:rPr>
      </w:pPr>
    </w:p>
    <w:p>
      <w:pPr>
        <w:spacing w:before="1"/>
        <w:ind w:left="0" w:right="38" w:firstLine="0"/>
        <w:jc w:val="right"/>
        <w:rPr>
          <w:sz w:val="12"/>
        </w:rPr>
      </w:pPr>
      <w:r>
        <w:rPr/>
        <w:pict>
          <v:line style="position:absolute;mso-position-horizontal-relative:page;mso-position-vertical-relative:paragraph;z-index:16047104" from="44.821999pt,3.981761pt" to="49.154999pt,3.981761pt" stroked="true" strokeweight=".5pt" strokecolor="#000000">
            <v:stroke dashstyle="solid"/>
            <w10:wrap type="none"/>
          </v:line>
        </w:pict>
      </w:r>
      <w:r>
        <w:rPr>
          <w:sz w:val="12"/>
        </w:rPr>
        <w:t>80</w:t>
      </w:r>
    </w:p>
    <w:p>
      <w:pPr>
        <w:pStyle w:val="BodyText"/>
        <w:rPr>
          <w:sz w:val="12"/>
        </w:rPr>
      </w:pPr>
    </w:p>
    <w:p>
      <w:pPr>
        <w:pStyle w:val="BodyText"/>
        <w:spacing w:before="7"/>
        <w:rPr>
          <w:sz w:val="11"/>
        </w:rPr>
      </w:pPr>
    </w:p>
    <w:p>
      <w:pPr>
        <w:spacing w:line="132" w:lineRule="exact" w:before="0"/>
        <w:ind w:left="3552" w:right="0" w:firstLine="0"/>
        <w:jc w:val="left"/>
        <w:rPr>
          <w:sz w:val="12"/>
        </w:rPr>
      </w:pPr>
      <w:r>
        <w:rPr>
          <w:sz w:val="12"/>
        </w:rPr>
        <w:t>75</w:t>
      </w:r>
    </w:p>
    <w:p>
      <w:pPr>
        <w:spacing w:line="111" w:lineRule="exact" w:before="0"/>
        <w:ind w:left="3612" w:right="0" w:firstLine="0"/>
        <w:jc w:val="left"/>
        <w:rPr>
          <w:sz w:val="12"/>
        </w:rPr>
      </w:pPr>
      <w:r>
        <w:rPr>
          <w:sz w:val="12"/>
        </w:rPr>
        <w:t>0</w:t>
      </w:r>
    </w:p>
    <w:p>
      <w:pPr>
        <w:tabs>
          <w:tab w:pos="1012" w:val="left" w:leader="none"/>
          <w:tab w:pos="1586" w:val="left" w:leader="none"/>
          <w:tab w:pos="2168" w:val="left" w:leader="none"/>
          <w:tab w:pos="2742" w:val="left" w:leader="none"/>
        </w:tabs>
        <w:spacing w:line="117" w:lineRule="exact" w:before="0"/>
        <w:ind w:left="330" w:right="0" w:firstLine="0"/>
        <w:jc w:val="left"/>
        <w:rPr>
          <w:sz w:val="12"/>
        </w:rPr>
      </w:pPr>
      <w:r>
        <w:rPr>
          <w:sz w:val="12"/>
        </w:rPr>
        <w:t>1975</w:t>
        <w:tab/>
        <w:t>80</w:t>
        <w:tab/>
        <w:t>85</w:t>
        <w:tab/>
        <w:t>90</w:t>
        <w:tab/>
        <w:t>95</w:t>
      </w:r>
    </w:p>
    <w:p>
      <w:pPr>
        <w:pStyle w:val="BodyText"/>
        <w:spacing w:before="8"/>
        <w:rPr>
          <w:sz w:val="15"/>
        </w:rPr>
      </w:pPr>
    </w:p>
    <w:p>
      <w:pPr>
        <w:pStyle w:val="ListParagraph"/>
        <w:numPr>
          <w:ilvl w:val="0"/>
          <w:numId w:val="15"/>
        </w:numPr>
        <w:tabs>
          <w:tab w:pos="404" w:val="left" w:leader="none"/>
        </w:tabs>
        <w:spacing w:line="240" w:lineRule="auto" w:before="0" w:after="0"/>
        <w:ind w:left="403" w:right="0" w:hanging="241"/>
        <w:jc w:val="left"/>
        <w:rPr>
          <w:sz w:val="12"/>
        </w:rPr>
      </w:pPr>
      <w:r>
        <w:rPr>
          <w:sz w:val="12"/>
        </w:rPr>
        <w:t>At constant 1995 prices.</w:t>
      </w:r>
    </w:p>
    <w:p>
      <w:pPr>
        <w:pStyle w:val="BodyText"/>
        <w:spacing w:before="5"/>
        <w:rPr>
          <w:sz w:val="26"/>
        </w:rPr>
      </w:pPr>
      <w:r>
        <w:rPr/>
        <w:br w:type="column"/>
      </w:r>
      <w:r>
        <w:rPr>
          <w:sz w:val="26"/>
        </w:rPr>
      </w:r>
    </w:p>
    <w:p>
      <w:pPr>
        <w:pStyle w:val="Heading6"/>
        <w:spacing w:line="242" w:lineRule="auto"/>
        <w:ind w:left="163" w:right="256"/>
      </w:pPr>
      <w:r>
        <w:rPr/>
        <w:t>The ratio of stocks to output across the economy has fallen since 1980 (see Chart 2.14). That decline was led primarily by a reduction in manufacturing sector inventories, reflecting both a fall in the sector’s</w:t>
      </w:r>
    </w:p>
    <w:p>
      <w:pPr>
        <w:spacing w:line="242" w:lineRule="auto" w:before="5"/>
        <w:ind w:left="163" w:right="256" w:firstLine="0"/>
        <w:jc w:val="left"/>
        <w:rPr>
          <w:sz w:val="24"/>
        </w:rPr>
      </w:pPr>
      <w:r>
        <w:rPr>
          <w:sz w:val="24"/>
        </w:rPr>
        <w:t>stock-output ratio and a contraction in the share of manufacturing in total UK output. The whole-economy stock-output ratio was broadly flat between 1995 and 1998, as an increase in retail stock holdings provided an offset to the trend in the manufacturing </w:t>
      </w:r>
      <w:r>
        <w:rPr>
          <w:spacing w:val="-3"/>
          <w:sz w:val="24"/>
        </w:rPr>
        <w:t>sector, </w:t>
      </w:r>
      <w:r>
        <w:rPr>
          <w:sz w:val="24"/>
        </w:rPr>
        <w:t>but it resumed its downward trend in 1999. Past declines in the stock-output ratio </w:t>
      </w:r>
      <w:r>
        <w:rPr>
          <w:spacing w:val="-3"/>
          <w:sz w:val="24"/>
        </w:rPr>
        <w:t>have </w:t>
      </w:r>
      <w:r>
        <w:rPr>
          <w:sz w:val="24"/>
        </w:rPr>
        <w:t>been associated with changes in production techniques, such as the introduction of ‘just-in-time’ supply management methods and more integrated production processes. Similar trends </w:t>
      </w:r>
      <w:r>
        <w:rPr>
          <w:spacing w:val="-3"/>
          <w:sz w:val="24"/>
        </w:rPr>
        <w:t>have </w:t>
      </w:r>
      <w:r>
        <w:rPr>
          <w:sz w:val="24"/>
        </w:rPr>
        <w:t>been observed in other industrialised countries such as the United States and Japan. In its central projection the MPC has assumed that the stock-output ratio in the United Kingdom will continue to decline, reflecting further improvements in production and distribution processes. Such improvements may result in part from the increasing use of electronic commerce by UK businesses.</w:t>
      </w:r>
    </w:p>
    <w:p>
      <w:pPr>
        <w:pStyle w:val="BodyText"/>
        <w:spacing w:before="10"/>
        <w:rPr>
          <w:sz w:val="29"/>
        </w:rPr>
      </w:pPr>
    </w:p>
    <w:p>
      <w:pPr>
        <w:pStyle w:val="Heading7"/>
        <w:ind w:left="163"/>
        <w:rPr>
          <w:i/>
        </w:rPr>
      </w:pPr>
      <w:r>
        <w:rPr>
          <w:i/>
          <w:color w:val="009391"/>
        </w:rPr>
        <w:t>Public sector demand</w:t>
      </w:r>
    </w:p>
    <w:p>
      <w:pPr>
        <w:spacing w:line="242" w:lineRule="auto" w:before="124"/>
        <w:ind w:left="163" w:right="2" w:firstLine="0"/>
        <w:jc w:val="left"/>
        <w:rPr>
          <w:sz w:val="24"/>
        </w:rPr>
      </w:pPr>
      <w:r>
        <w:rPr>
          <w:sz w:val="24"/>
        </w:rPr>
        <w:t>In assessing the outlook for the public finances, the MPC has taken as its central case the nominal government expenditure plans and effective tax rates from the Budget published on 21 March. These projections incorporate faster growth of real government consumption over the next two years than in the February </w:t>
      </w:r>
      <w:r>
        <w:rPr>
          <w:i/>
          <w:sz w:val="24"/>
        </w:rPr>
        <w:t>Report</w:t>
      </w:r>
      <w:r>
        <w:rPr>
          <w:sz w:val="24"/>
        </w:rPr>
        <w:t>. However, estimates of effective tax rates have also been revised upward somewhat over the past three months, and the</w:t>
      </w:r>
    </w:p>
    <w:p>
      <w:pPr>
        <w:pStyle w:val="BodyText"/>
        <w:spacing w:before="5"/>
        <w:rPr>
          <w:sz w:val="20"/>
        </w:rPr>
      </w:pPr>
      <w:r>
        <w:rPr/>
        <w:pict>
          <v:shape style="position:absolute;margin-left:278.5pt;margin-top:13.810234pt;width:277.5pt;height:.1pt;mso-position-horizontal-relative:page;mso-position-vertical-relative:paragraph;z-index:-15415808;mso-wrap-distance-left:0;mso-wrap-distance-right:0" coordorigin="5570,276" coordsize="5550,0" path="m5570,276l11120,276e" filled="false" stroked="true" strokeweight=".125pt" strokecolor="#000000">
            <v:path arrowok="t"/>
            <v:stroke dashstyle="solid"/>
            <w10:wrap type="topAndBottom"/>
          </v:shape>
        </w:pict>
      </w:r>
    </w:p>
    <w:p>
      <w:pPr>
        <w:pStyle w:val="ListParagraph"/>
        <w:numPr>
          <w:ilvl w:val="1"/>
          <w:numId w:val="15"/>
        </w:numPr>
        <w:tabs>
          <w:tab w:pos="404" w:val="left" w:leader="none"/>
        </w:tabs>
        <w:spacing w:line="240" w:lineRule="auto" w:before="1" w:after="0"/>
        <w:ind w:left="403" w:right="0" w:hanging="241"/>
        <w:jc w:val="left"/>
        <w:rPr>
          <w:sz w:val="16"/>
        </w:rPr>
      </w:pPr>
      <w:hyperlink w:history="true" w:anchor="_bookmark22">
        <w:r>
          <w:rPr>
            <w:sz w:val="16"/>
          </w:rPr>
          <w:t>See footnote 1 on page</w:t>
        </w:r>
        <w:r>
          <w:rPr>
            <w:spacing w:val="-6"/>
            <w:sz w:val="16"/>
          </w:rPr>
          <w:t> </w:t>
        </w:r>
        <w:r>
          <w:rPr>
            <w:sz w:val="16"/>
          </w:rPr>
          <w:t>20.</w:t>
        </w:r>
      </w:hyperlink>
    </w:p>
    <w:p>
      <w:pPr>
        <w:spacing w:after="0" w:line="240" w:lineRule="auto"/>
        <w:jc w:val="left"/>
        <w:rPr>
          <w:sz w:val="16"/>
        </w:rPr>
        <w:sectPr>
          <w:type w:val="continuous"/>
          <w:pgSz w:w="11900" w:h="16840"/>
          <w:pgMar w:top="1220" w:bottom="280" w:left="640" w:right="620"/>
          <w:cols w:num="2" w:equalWidth="0">
            <w:col w:w="3713" w:space="1070"/>
            <w:col w:w="5857"/>
          </w:cols>
        </w:sectPr>
      </w:pPr>
    </w:p>
    <w:p>
      <w:pPr>
        <w:pStyle w:val="BodyText"/>
        <w:rPr>
          <w:sz w:val="20"/>
        </w:rPr>
      </w:pPr>
    </w:p>
    <w:p>
      <w:pPr>
        <w:spacing w:after="0"/>
        <w:rPr>
          <w:sz w:val="20"/>
        </w:rPr>
        <w:sectPr>
          <w:pgSz w:w="11900" w:h="16840"/>
          <w:pgMar w:header="586" w:footer="597" w:top="780" w:bottom="780" w:left="640" w:right="620"/>
        </w:sectPr>
      </w:pPr>
    </w:p>
    <w:p>
      <w:pPr>
        <w:pStyle w:val="BodyText"/>
        <w:spacing w:before="3"/>
        <w:rPr>
          <w:sz w:val="22"/>
        </w:rPr>
      </w:pPr>
    </w:p>
    <w:p>
      <w:pPr>
        <w:spacing w:line="249" w:lineRule="auto" w:before="0"/>
        <w:ind w:left="184" w:right="2183" w:firstLine="0"/>
        <w:jc w:val="left"/>
        <w:rPr>
          <w:sz w:val="12"/>
        </w:rPr>
      </w:pPr>
      <w:bookmarkStart w:name="Output" w:id="49"/>
      <w:bookmarkEnd w:id="49"/>
      <w:r>
        <w:rPr/>
      </w:r>
      <w:bookmarkStart w:name="_bookmark24" w:id="50"/>
      <w:bookmarkEnd w:id="50"/>
      <w:r>
        <w:rPr/>
      </w:r>
      <w:r>
        <w:rPr>
          <w:b/>
          <w:color w:val="0092C7"/>
          <w:sz w:val="20"/>
        </w:rPr>
        <w:t>Chart 2.15 GDP growth</w:t>
      </w:r>
      <w:r>
        <w:rPr>
          <w:position w:val="4"/>
          <w:sz w:val="12"/>
        </w:rPr>
        <w:t>(a)</w:t>
      </w:r>
    </w:p>
    <w:p>
      <w:pPr>
        <w:tabs>
          <w:tab w:pos="2667" w:val="left" w:leader="none"/>
        </w:tabs>
        <w:spacing w:line="130" w:lineRule="exact" w:before="192"/>
        <w:ind w:left="330" w:right="0" w:firstLine="0"/>
        <w:jc w:val="left"/>
        <w:rPr>
          <w:sz w:val="12"/>
        </w:rPr>
      </w:pPr>
      <w:r>
        <w:rPr>
          <w:sz w:val="12"/>
        </w:rPr>
        <w:t>Percentage change</w:t>
        <w:tab/>
        <w:t>Percentage change</w:t>
      </w:r>
    </w:p>
    <w:p>
      <w:pPr>
        <w:pStyle w:val="Heading6"/>
        <w:spacing w:line="242" w:lineRule="auto" w:before="207"/>
        <w:ind w:left="184" w:right="138"/>
      </w:pPr>
      <w:r>
        <w:rPr/>
        <w:br w:type="column"/>
      </w:r>
      <w:r>
        <w:rPr/>
        <w:t>projection for benefit payments has been lowered. These factors dampen the impact of higher government consumption on overall output growth over the forecast</w:t>
      </w:r>
    </w:p>
    <w:p>
      <w:pPr>
        <w:spacing w:after="0" w:line="242" w:lineRule="auto"/>
        <w:sectPr>
          <w:type w:val="continuous"/>
          <w:pgSz w:w="11900" w:h="16840"/>
          <w:pgMar w:top="1220" w:bottom="280" w:left="640" w:right="620"/>
          <w:cols w:num="2" w:equalWidth="0">
            <w:col w:w="3604" w:space="1186"/>
            <w:col w:w="5850"/>
          </w:cols>
        </w:sectPr>
      </w:pPr>
    </w:p>
    <w:p>
      <w:pPr>
        <w:spacing w:line="114" w:lineRule="exact" w:before="0"/>
        <w:ind w:left="330" w:right="0" w:firstLine="0"/>
        <w:jc w:val="left"/>
        <w:rPr>
          <w:sz w:val="12"/>
        </w:rPr>
      </w:pPr>
      <w:r>
        <w:rPr>
          <w:sz w:val="12"/>
          <w:u w:val="single"/>
        </w:rPr>
        <w:t>on</w:t>
      </w:r>
      <w:r>
        <w:rPr>
          <w:sz w:val="12"/>
        </w:rPr>
        <w:t> a quarter earlier</w:t>
      </w:r>
    </w:p>
    <w:p>
      <w:pPr>
        <w:spacing w:line="117" w:lineRule="exact" w:before="0"/>
        <w:ind w:left="240" w:right="0" w:firstLine="0"/>
        <w:jc w:val="left"/>
        <w:rPr>
          <w:sz w:val="12"/>
        </w:rPr>
      </w:pPr>
      <w:r>
        <w:rPr>
          <w:sz w:val="12"/>
        </w:rPr>
        <w:t>6</w:t>
      </w:r>
    </w:p>
    <w:p>
      <w:pPr>
        <w:pStyle w:val="BodyText"/>
        <w:rPr>
          <w:sz w:val="12"/>
        </w:rPr>
      </w:pPr>
    </w:p>
    <w:p>
      <w:pPr>
        <w:pStyle w:val="BodyText"/>
        <w:spacing w:before="3"/>
        <w:rPr>
          <w:sz w:val="17"/>
        </w:rPr>
      </w:pPr>
    </w:p>
    <w:p>
      <w:pPr>
        <w:spacing w:before="0"/>
        <w:ind w:left="240" w:right="0" w:firstLine="0"/>
        <w:jc w:val="left"/>
        <w:rPr>
          <w:sz w:val="12"/>
        </w:rPr>
      </w:pPr>
      <w:r>
        <w:rPr/>
        <w:pict>
          <v:group style="position:absolute;margin-left:49.458pt;margin-top:2.851993pt;width:159.5pt;height:121.1pt;mso-position-horizontal-relative:page;mso-position-vertical-relative:paragraph;z-index:16050176" coordorigin="989,57" coordsize="3190,2422">
            <v:rect style="position:absolute;left:1155;top:2208;width:80;height:265" filled="true" fillcolor="#be869b" stroked="false">
              <v:fill type="solid"/>
            </v:rect>
            <v:rect style="position:absolute;left:1155;top:2208;width:80;height:265" filled="false" stroked="true" strokeweight=".5pt" strokecolor="#000000">
              <v:stroke dashstyle="solid"/>
            </v:rect>
            <v:rect style="position:absolute;left:1252;top:2208;width:80;height:265" filled="true" fillcolor="#be869b" stroked="false">
              <v:fill type="solid"/>
            </v:rect>
            <v:rect style="position:absolute;left:1252;top:2208;width:80;height:265" filled="false" stroked="true" strokeweight=".5pt" strokecolor="#000000">
              <v:stroke dashstyle="solid"/>
            </v:rect>
            <v:rect style="position:absolute;left:1332;top:1995;width:80;height:478" filled="true" fillcolor="#be869b" stroked="false">
              <v:fill type="solid"/>
            </v:rect>
            <v:rect style="position:absolute;left:1332;top:1995;width:80;height:478" filled="false" stroked="true" strokeweight=".5pt" strokecolor="#000000">
              <v:stroke dashstyle="solid"/>
            </v:rect>
            <v:rect style="position:absolute;left:1412;top:1963;width:80;height:510" filled="true" fillcolor="#be869b" stroked="false">
              <v:fill type="solid"/>
            </v:rect>
            <v:rect style="position:absolute;left:1412;top:1963;width:80;height:510" filled="false" stroked="true" strokeweight=".5pt" strokecolor="#000000">
              <v:stroke dashstyle="solid"/>
            </v:rect>
            <v:rect style="position:absolute;left:1572;top:1963;width:80;height:510" filled="true" fillcolor="#be869b" stroked="false">
              <v:fill type="solid"/>
            </v:rect>
            <v:rect style="position:absolute;left:1572;top:1963;width:80;height:510" filled="false" stroked="true" strokeweight=".5pt" strokecolor="#000000">
              <v:stroke dashstyle="solid"/>
            </v:rect>
            <v:rect style="position:absolute;left:1650;top:1863;width:80;height:610" filled="true" fillcolor="#be869b" stroked="false">
              <v:fill type="solid"/>
            </v:rect>
            <v:rect style="position:absolute;left:1650;top:1863;width:80;height:610" filled="false" stroked="true" strokeweight=".5pt" strokecolor="#000000">
              <v:stroke dashstyle="solid"/>
            </v:rect>
            <v:rect style="position:absolute;left:1730;top:1783;width:80;height:690" filled="true" fillcolor="#be869b" stroked="false">
              <v:fill type="solid"/>
            </v:rect>
            <v:rect style="position:absolute;left:1730;top:1783;width:80;height:690" filled="false" stroked="true" strokeweight=".5pt" strokecolor="#000000">
              <v:stroke dashstyle="solid"/>
            </v:rect>
            <v:rect style="position:absolute;left:1810;top:2078;width:80;height:395" filled="true" fillcolor="#be869b" stroked="false">
              <v:fill type="solid"/>
            </v:rect>
            <v:rect style="position:absolute;left:1810;top:2078;width:80;height:395" filled="false" stroked="true" strokeweight=".5pt" strokecolor="#000000">
              <v:stroke dashstyle="solid"/>
            </v:rect>
            <v:rect style="position:absolute;left:1950;top:2273;width:80;height:200" filled="true" fillcolor="#be869b" stroked="false">
              <v:fill type="solid"/>
            </v:rect>
            <v:rect style="position:absolute;left:1950;top:2273;width:80;height:200" filled="false" stroked="true" strokeweight=".5pt" strokecolor="#000000">
              <v:stroke dashstyle="solid"/>
            </v:rect>
            <v:rect style="position:absolute;left:2027;top:2273;width:80;height:200" filled="true" fillcolor="#be869b" stroked="false">
              <v:fill type="solid"/>
            </v:rect>
            <v:rect style="position:absolute;left:2027;top:2273;width:80;height:200" filled="false" stroked="true" strokeweight=".5pt" strokecolor="#000000">
              <v:stroke dashstyle="solid"/>
            </v:rect>
            <v:rect style="position:absolute;left:2107;top:2225;width:80;height:248" filled="true" fillcolor="#be869b" stroked="false">
              <v:fill type="solid"/>
            </v:rect>
            <v:rect style="position:absolute;left:2107;top:2225;width:80;height:248" filled="false" stroked="true" strokeweight=".5pt" strokecolor="#000000">
              <v:stroke dashstyle="solid"/>
            </v:rect>
            <v:rect style="position:absolute;left:2187;top:2175;width:80;height:298" filled="true" fillcolor="#be869b" stroked="false">
              <v:fill type="solid"/>
            </v:rect>
            <v:rect style="position:absolute;left:2187;top:2175;width:80;height:298" filled="false" stroked="true" strokeweight=".5pt" strokecolor="#000000">
              <v:stroke dashstyle="solid"/>
            </v:rect>
            <v:rect style="position:absolute;left:2367;top:2093;width:80;height:380" filled="true" fillcolor="#be869b" stroked="false">
              <v:fill type="solid"/>
            </v:rect>
            <v:rect style="position:absolute;left:2367;top:2093;width:80;height:380" filled="false" stroked="true" strokeweight=".5pt" strokecolor="#000000">
              <v:stroke dashstyle="solid"/>
            </v:rect>
            <v:rect style="position:absolute;left:2465;top:2240;width:80;height:233" filled="true" fillcolor="#be869b" stroked="false">
              <v:fill type="solid"/>
            </v:rect>
            <v:rect style="position:absolute;left:2465;top:2240;width:80;height:233" filled="false" stroked="true" strokeweight=".5pt" strokecolor="#000000">
              <v:stroke dashstyle="solid"/>
            </v:rect>
            <v:rect style="position:absolute;left:2545;top:2143;width:80;height:330" filled="true" fillcolor="#be869b" stroked="false">
              <v:fill type="solid"/>
            </v:rect>
            <v:rect style="position:absolute;left:2545;top:2143;width:80;height:330" filled="false" stroked="true" strokeweight=".5pt" strokecolor="#000000">
              <v:stroke dashstyle="solid"/>
            </v:rect>
            <v:rect style="position:absolute;left:2625;top:2043;width:80;height:430" filled="true" fillcolor="#be869b" stroked="false">
              <v:fill type="solid"/>
            </v:rect>
            <v:rect style="position:absolute;left:2625;top:2043;width:80;height:430" filled="false" stroked="true" strokeweight=".5pt" strokecolor="#000000">
              <v:stroke dashstyle="solid"/>
            </v:rect>
            <v:rect style="position:absolute;left:2765;top:1963;width:80;height:510" filled="true" fillcolor="#be869b" stroked="false">
              <v:fill type="solid"/>
            </v:rect>
            <v:rect style="position:absolute;left:2765;top:1963;width:80;height:510" filled="false" stroked="true" strokeweight=".5pt" strokecolor="#000000">
              <v:stroke dashstyle="solid"/>
            </v:rect>
            <v:rect style="position:absolute;left:2842;top:2060;width:80;height:413" filled="true" fillcolor="#be869b" stroked="false">
              <v:fill type="solid"/>
            </v:rect>
            <v:rect style="position:absolute;left:2842;top:2060;width:80;height:413" filled="false" stroked="true" strokeweight=".5pt" strokecolor="#000000">
              <v:stroke dashstyle="solid"/>
            </v:rect>
            <v:rect style="position:absolute;left:2922;top:1963;width:80;height:510" filled="true" fillcolor="#be869b" stroked="false">
              <v:fill type="solid"/>
            </v:rect>
            <v:rect style="position:absolute;left:2922;top:1963;width:80;height:510" filled="false" stroked="true" strokeweight=".5pt" strokecolor="#000000">
              <v:stroke dashstyle="solid"/>
            </v:rect>
            <v:rect style="position:absolute;left:3002;top:2240;width:80;height:233" filled="true" fillcolor="#be869b" stroked="false">
              <v:fill type="solid"/>
            </v:rect>
            <v:rect style="position:absolute;left:3002;top:2240;width:80;height:233" filled="false" stroked="true" strokeweight=".5pt" strokecolor="#000000">
              <v:stroke dashstyle="solid"/>
            </v:rect>
            <v:rect style="position:absolute;left:3162;top:2290;width:80;height:183" filled="true" fillcolor="#be869b" stroked="false">
              <v:fill type="solid"/>
            </v:rect>
            <v:rect style="position:absolute;left:3162;top:2290;width:80;height:183" filled="false" stroked="true" strokeweight=".5pt" strokecolor="#000000">
              <v:stroke dashstyle="solid"/>
            </v:rect>
            <v:rect style="position:absolute;left:3240;top:2158;width:80;height:315" filled="true" fillcolor="#be869b" stroked="false">
              <v:fill type="solid"/>
            </v:rect>
            <v:rect style="position:absolute;left:3240;top:2158;width:80;height:315" filled="false" stroked="true" strokeweight=".5pt" strokecolor="#000000">
              <v:stroke dashstyle="solid"/>
            </v:rect>
            <v:rect style="position:absolute;left:3320;top:2240;width:80;height:233" filled="true" fillcolor="#be869b" stroked="false">
              <v:fill type="solid"/>
            </v:rect>
            <v:rect style="position:absolute;left:3320;top:2240;width:80;height:233" filled="false" stroked="true" strokeweight=".5pt" strokecolor="#000000">
              <v:stroke dashstyle="solid"/>
            </v:rect>
            <v:rect style="position:absolute;left:3560;top:2290;width:80;height:183" filled="true" fillcolor="#be869b" stroked="false">
              <v:fill type="solid"/>
            </v:rect>
            <v:rect style="position:absolute;left:3560;top:2290;width:80;height:183" filled="false" stroked="true" strokeweight=".5pt" strokecolor="#000000">
              <v:stroke dashstyle="solid"/>
            </v:rect>
            <v:rect style="position:absolute;left:3637;top:2125;width:80;height:348" filled="true" fillcolor="#be869b" stroked="false">
              <v:fill type="solid"/>
            </v:rect>
            <v:rect style="position:absolute;left:3637;top:2125;width:80;height:348" filled="false" stroked="true" strokeweight=".5pt" strokecolor="#000000">
              <v:stroke dashstyle="solid"/>
            </v:rect>
            <v:rect style="position:absolute;left:3717;top:1995;width:80;height:478" filled="true" fillcolor="#be869b" stroked="false">
              <v:fill type="solid"/>
            </v:rect>
            <v:rect style="position:absolute;left:3717;top:1995;width:80;height:478" filled="false" stroked="true" strokeweight=".5pt" strokecolor="#000000">
              <v:stroke dashstyle="solid"/>
            </v:rect>
            <v:rect style="position:absolute;left:3797;top:2078;width:80;height:395" filled="true" fillcolor="#be869b" stroked="false">
              <v:fill type="solid"/>
            </v:rect>
            <v:rect style="position:absolute;left:3797;top:2078;width:80;height:395" filled="false" stroked="true" strokeweight=".5pt" strokecolor="#000000">
              <v:stroke dashstyle="solid"/>
            </v:rect>
            <v:rect style="position:absolute;left:3957;top:2258;width:80;height:215" filled="true" fillcolor="#be869b" stroked="false">
              <v:fill type="solid"/>
            </v:rect>
            <v:shape style="position:absolute;left:1142;top:2258;width:2895;height:215" coordorigin="1143,2258" coordsize="2895,215" path="m3958,2258l4038,2258,4038,2473,3958,2473,3958,2258xm1143,2471l4025,2473e" filled="false" stroked="true" strokeweight=".5pt" strokecolor="#000000">
              <v:path arrowok="t"/>
              <v:stroke dashstyle="solid"/>
            </v:shape>
            <v:shape style="position:absolute;left:1197;top:110;width:2288;height:1720" coordorigin="1198,111" coordsize="2288,1720" path="m1198,1831l1298,1471m1298,1471l1398,1258m1398,1258l1498,946m1498,946l1595,701m1595,701l1695,341m1695,341l1795,111m1795,111l1895,226m1895,226l1993,553m1993,553l2093,981m2093,981l2193,1438m2193,1438l2293,1553m2293,1553l2390,1356m2390,1356l2490,1308m2490,1308l2590,1226m2590,1226l2690,1093m2690,1093l2788,963m2788,963l2988,603m2988,603l3088,798m3088,798l3185,1143m3185,1143l3285,1241m3285,1241l3385,1521m3385,1521l3485,1748e" filled="false" stroked="true" strokeweight="1pt" strokecolor="#008360">
              <v:path arrowok="t"/>
              <v:stroke dashstyle="solid"/>
            </v:shape>
            <v:line style="position:absolute" from="3475,1750" to="3593,1750" stroked="true" strokeweight="1.125pt" strokecolor="#008360">
              <v:stroke dashstyle="solid"/>
            </v:line>
            <v:shape style="position:absolute;left:3582;top:1028;width:398;height:720" coordorigin="3583,1028" coordsize="398,720" path="m3583,1748l3683,1716m3683,1716l3783,1406m3783,1406l3883,1028m3883,1028l3980,1078e" filled="false" stroked="true" strokeweight="1pt" strokecolor="#008360">
              <v:path arrowok="t"/>
              <v:stroke dashstyle="solid"/>
            </v:shape>
            <v:shape style="position:absolute;left:989;top:62;width:3190;height:2412" coordorigin="989,62" coordsize="3190,2412" path="m1076,551l989,551m1076,1021l989,1021m1076,1501l989,1501m1076,1991l989,1991m1076,2471l989,2471m1143,2371l1143,2471m1543,2371l1543,2471m1076,62l989,62m4179,551l4093,551m4179,1021l4093,1021m4179,1502l4093,1502m4179,1991l4093,1991m4179,2472l4093,2472m4179,63l4093,63m1930,2373l1930,2473m2348,2373l2348,2473m2725,2373l2725,2473m3143,2373l3143,2473m3523,2371l3523,2471m3938,2373l3938,2473e" filled="false" stroked="true" strokeweight=".5pt" strokecolor="#000000">
              <v:path arrowok="t"/>
              <v:stroke dashstyle="solid"/>
            </v:shape>
            <v:shape style="position:absolute;left:1983;top:233;width:900;height:273" type="#_x0000_t202" filled="false" stroked="false">
              <v:textbox inset="0,0,0,0">
                <w:txbxContent>
                  <w:p>
                    <w:pPr>
                      <w:spacing w:line="242" w:lineRule="auto" w:before="0"/>
                      <w:ind w:left="30" w:right="18" w:hanging="30"/>
                      <w:jc w:val="left"/>
                      <w:rPr>
                        <w:sz w:val="12"/>
                      </w:rPr>
                    </w:pPr>
                    <w:r>
                      <w:rPr>
                        <w:sz w:val="12"/>
                      </w:rPr>
                      <w:t>Annual growth (right-hand scale)</w:t>
                    </w:r>
                  </w:p>
                </w:txbxContent>
              </v:textbox>
              <w10:wrap type="none"/>
            </v:shape>
            <v:shape style="position:absolute;left:2310;top:1667;width:850;height:273" type="#_x0000_t202" filled="false" stroked="false">
              <v:textbox inset="0,0,0,0">
                <w:txbxContent>
                  <w:p>
                    <w:pPr>
                      <w:spacing w:line="242" w:lineRule="auto" w:before="0"/>
                      <w:ind w:left="30" w:right="18" w:hanging="30"/>
                      <w:jc w:val="left"/>
                      <w:rPr>
                        <w:sz w:val="12"/>
                      </w:rPr>
                    </w:pPr>
                    <w:r>
                      <w:rPr>
                        <w:sz w:val="12"/>
                      </w:rPr>
                      <w:t>Quarterly growth (left-hand scale)</w:t>
                    </w:r>
                  </w:p>
                </w:txbxContent>
              </v:textbox>
              <w10:wrap type="none"/>
            </v:shape>
            <w10:wrap type="none"/>
          </v:group>
        </w:pict>
      </w:r>
      <w:r>
        <w:rPr>
          <w:sz w:val="12"/>
        </w:rPr>
        <w:t>5</w:t>
      </w:r>
    </w:p>
    <w:p>
      <w:pPr>
        <w:pStyle w:val="BodyText"/>
        <w:rPr>
          <w:sz w:val="12"/>
        </w:rPr>
      </w:pPr>
    </w:p>
    <w:p>
      <w:pPr>
        <w:pStyle w:val="BodyText"/>
        <w:rPr>
          <w:sz w:val="12"/>
        </w:rPr>
      </w:pPr>
    </w:p>
    <w:p>
      <w:pPr>
        <w:spacing w:before="76"/>
        <w:ind w:left="240" w:right="0" w:firstLine="0"/>
        <w:jc w:val="left"/>
        <w:rPr>
          <w:sz w:val="12"/>
        </w:rPr>
      </w:pPr>
      <w:r>
        <w:rPr>
          <w:sz w:val="12"/>
        </w:rPr>
        <w:t>4</w:t>
      </w:r>
    </w:p>
    <w:p>
      <w:pPr>
        <w:pStyle w:val="BodyText"/>
        <w:rPr>
          <w:sz w:val="12"/>
        </w:rPr>
      </w:pPr>
    </w:p>
    <w:p>
      <w:pPr>
        <w:pStyle w:val="BodyText"/>
        <w:spacing w:before="4"/>
        <w:rPr>
          <w:sz w:val="17"/>
        </w:rPr>
      </w:pPr>
    </w:p>
    <w:p>
      <w:pPr>
        <w:spacing w:before="0"/>
        <w:ind w:left="240" w:right="0" w:firstLine="0"/>
        <w:jc w:val="left"/>
        <w:rPr>
          <w:sz w:val="12"/>
        </w:rPr>
      </w:pPr>
      <w:r>
        <w:rPr>
          <w:sz w:val="12"/>
        </w:rPr>
        <w:t>3</w:t>
      </w:r>
    </w:p>
    <w:p>
      <w:pPr>
        <w:pStyle w:val="BodyText"/>
        <w:rPr>
          <w:sz w:val="12"/>
        </w:rPr>
      </w:pPr>
    </w:p>
    <w:p>
      <w:pPr>
        <w:pStyle w:val="BodyText"/>
        <w:spacing w:before="3"/>
        <w:rPr>
          <w:sz w:val="17"/>
        </w:rPr>
      </w:pPr>
    </w:p>
    <w:p>
      <w:pPr>
        <w:spacing w:before="0"/>
        <w:ind w:left="240" w:right="0" w:firstLine="0"/>
        <w:jc w:val="left"/>
        <w:rPr>
          <w:sz w:val="12"/>
        </w:rPr>
      </w:pPr>
      <w:r>
        <w:rPr>
          <w:sz w:val="12"/>
        </w:rPr>
        <w:t>2</w:t>
      </w:r>
    </w:p>
    <w:p>
      <w:pPr>
        <w:pStyle w:val="BodyText"/>
        <w:rPr>
          <w:sz w:val="12"/>
        </w:rPr>
      </w:pPr>
    </w:p>
    <w:p>
      <w:pPr>
        <w:pStyle w:val="BodyText"/>
        <w:rPr>
          <w:sz w:val="12"/>
        </w:rPr>
      </w:pPr>
    </w:p>
    <w:p>
      <w:pPr>
        <w:spacing w:before="79"/>
        <w:ind w:left="240" w:right="0" w:firstLine="0"/>
        <w:jc w:val="left"/>
        <w:rPr>
          <w:sz w:val="12"/>
        </w:rPr>
      </w:pPr>
      <w:r>
        <w:rPr>
          <w:sz w:val="12"/>
        </w:rPr>
        <w:t>1</w:t>
      </w:r>
    </w:p>
    <w:p>
      <w:pPr>
        <w:pStyle w:val="BodyText"/>
        <w:rPr>
          <w:sz w:val="12"/>
        </w:rPr>
      </w:pPr>
    </w:p>
    <w:p>
      <w:pPr>
        <w:pStyle w:val="BodyText"/>
        <w:spacing w:before="3"/>
        <w:rPr>
          <w:sz w:val="17"/>
        </w:rPr>
      </w:pPr>
    </w:p>
    <w:p>
      <w:pPr>
        <w:spacing w:line="108" w:lineRule="exact" w:before="0"/>
        <w:ind w:left="240" w:right="0" w:firstLine="0"/>
        <w:jc w:val="left"/>
        <w:rPr>
          <w:sz w:val="12"/>
        </w:rPr>
      </w:pPr>
      <w:r>
        <w:rPr>
          <w:sz w:val="12"/>
        </w:rPr>
        <w:t>0</w:t>
      </w:r>
    </w:p>
    <w:p>
      <w:pPr>
        <w:spacing w:line="237" w:lineRule="auto" w:before="0"/>
        <w:ind w:left="240" w:right="0" w:firstLine="0"/>
        <w:jc w:val="left"/>
        <w:rPr>
          <w:sz w:val="12"/>
        </w:rPr>
      </w:pPr>
      <w:r>
        <w:rPr/>
        <w:br w:type="column"/>
      </w:r>
      <w:r>
        <w:rPr>
          <w:sz w:val="12"/>
        </w:rPr>
        <w:t>on a year earl</w:t>
      </w:r>
      <w:r>
        <w:rPr>
          <w:sz w:val="12"/>
          <w:u w:val="single"/>
        </w:rPr>
        <w:t>ie</w:t>
      </w:r>
      <w:r>
        <w:rPr>
          <w:sz w:val="12"/>
        </w:rPr>
        <w:t>r </w:t>
      </w:r>
      <w:r>
        <w:rPr>
          <w:position w:val="-6"/>
          <w:sz w:val="12"/>
        </w:rPr>
        <w:t>6</w:t>
      </w:r>
    </w:p>
    <w:p>
      <w:pPr>
        <w:pStyle w:val="BodyText"/>
        <w:spacing w:before="9"/>
        <w:rPr>
          <w:sz w:val="28"/>
        </w:rPr>
      </w:pPr>
    </w:p>
    <w:p>
      <w:pPr>
        <w:spacing w:before="0"/>
        <w:ind w:left="0" w:right="38" w:firstLine="0"/>
        <w:jc w:val="right"/>
        <w:rPr>
          <w:sz w:val="12"/>
        </w:rPr>
      </w:pPr>
      <w:r>
        <w:rPr>
          <w:sz w:val="12"/>
        </w:rPr>
        <w:t>5</w:t>
      </w:r>
    </w:p>
    <w:p>
      <w:pPr>
        <w:pStyle w:val="BodyText"/>
        <w:rPr>
          <w:sz w:val="12"/>
        </w:rPr>
      </w:pPr>
    </w:p>
    <w:p>
      <w:pPr>
        <w:pStyle w:val="BodyText"/>
        <w:rPr>
          <w:sz w:val="12"/>
        </w:rPr>
      </w:pPr>
    </w:p>
    <w:p>
      <w:pPr>
        <w:spacing w:before="76"/>
        <w:ind w:left="0" w:right="38" w:firstLine="0"/>
        <w:jc w:val="right"/>
        <w:rPr>
          <w:sz w:val="12"/>
        </w:rPr>
      </w:pPr>
      <w:r>
        <w:rPr>
          <w:sz w:val="12"/>
        </w:rPr>
        <w:t>4</w:t>
      </w:r>
    </w:p>
    <w:p>
      <w:pPr>
        <w:pStyle w:val="BodyText"/>
        <w:rPr>
          <w:sz w:val="12"/>
        </w:rPr>
      </w:pPr>
    </w:p>
    <w:p>
      <w:pPr>
        <w:pStyle w:val="BodyText"/>
        <w:spacing w:before="4"/>
        <w:rPr>
          <w:sz w:val="17"/>
        </w:rPr>
      </w:pPr>
    </w:p>
    <w:p>
      <w:pPr>
        <w:spacing w:before="0"/>
        <w:ind w:left="0" w:right="38" w:firstLine="0"/>
        <w:jc w:val="right"/>
        <w:rPr>
          <w:sz w:val="12"/>
        </w:rPr>
      </w:pPr>
      <w:r>
        <w:rPr>
          <w:sz w:val="12"/>
        </w:rPr>
        <w:t>3</w:t>
      </w:r>
    </w:p>
    <w:p>
      <w:pPr>
        <w:pStyle w:val="BodyText"/>
        <w:rPr>
          <w:sz w:val="12"/>
        </w:rPr>
      </w:pPr>
    </w:p>
    <w:p>
      <w:pPr>
        <w:pStyle w:val="BodyText"/>
        <w:spacing w:before="3"/>
        <w:rPr>
          <w:sz w:val="17"/>
        </w:rPr>
      </w:pPr>
    </w:p>
    <w:p>
      <w:pPr>
        <w:spacing w:before="0"/>
        <w:ind w:left="0" w:right="38" w:firstLine="0"/>
        <w:jc w:val="right"/>
        <w:rPr>
          <w:sz w:val="12"/>
        </w:rPr>
      </w:pPr>
      <w:r>
        <w:rPr>
          <w:sz w:val="12"/>
        </w:rPr>
        <w:t>2</w:t>
      </w:r>
    </w:p>
    <w:p>
      <w:pPr>
        <w:pStyle w:val="BodyText"/>
        <w:rPr>
          <w:sz w:val="12"/>
        </w:rPr>
      </w:pPr>
    </w:p>
    <w:p>
      <w:pPr>
        <w:pStyle w:val="BodyText"/>
        <w:rPr>
          <w:sz w:val="12"/>
        </w:rPr>
      </w:pPr>
    </w:p>
    <w:p>
      <w:pPr>
        <w:spacing w:before="79"/>
        <w:ind w:left="0" w:right="38" w:firstLine="0"/>
        <w:jc w:val="right"/>
        <w:rPr>
          <w:sz w:val="12"/>
        </w:rPr>
      </w:pPr>
      <w:r>
        <w:rPr>
          <w:sz w:val="12"/>
        </w:rPr>
        <w:t>1</w:t>
      </w:r>
    </w:p>
    <w:p>
      <w:pPr>
        <w:pStyle w:val="BodyText"/>
        <w:rPr>
          <w:sz w:val="12"/>
        </w:rPr>
      </w:pPr>
    </w:p>
    <w:p>
      <w:pPr>
        <w:pStyle w:val="BodyText"/>
        <w:spacing w:before="3"/>
        <w:rPr>
          <w:sz w:val="17"/>
        </w:rPr>
      </w:pPr>
    </w:p>
    <w:p>
      <w:pPr>
        <w:spacing w:line="137" w:lineRule="exact" w:before="0"/>
        <w:ind w:left="0" w:right="38" w:firstLine="0"/>
        <w:jc w:val="right"/>
        <w:rPr>
          <w:sz w:val="12"/>
        </w:rPr>
      </w:pPr>
      <w:r>
        <w:rPr>
          <w:sz w:val="12"/>
        </w:rPr>
        <w:t>0</w:t>
      </w:r>
    </w:p>
    <w:p>
      <w:pPr>
        <w:pStyle w:val="Heading6"/>
        <w:spacing w:line="267" w:lineRule="exact"/>
        <w:ind w:left="240"/>
      </w:pPr>
      <w:r>
        <w:rPr/>
        <w:br w:type="column"/>
      </w:r>
      <w:r>
        <w:rPr/>
        <w:t>period.</w:t>
      </w:r>
    </w:p>
    <w:p>
      <w:pPr>
        <w:pStyle w:val="BodyText"/>
        <w:spacing w:before="7"/>
        <w:rPr>
          <w:sz w:val="26"/>
        </w:rPr>
      </w:pPr>
    </w:p>
    <w:p>
      <w:pPr>
        <w:pStyle w:val="Heading3"/>
        <w:numPr>
          <w:ilvl w:val="1"/>
          <w:numId w:val="16"/>
        </w:numPr>
        <w:tabs>
          <w:tab w:pos="4648" w:val="left" w:leader="none"/>
          <w:tab w:pos="4649" w:val="left" w:leader="none"/>
          <w:tab w:pos="5745" w:val="left" w:leader="none"/>
        </w:tabs>
        <w:spacing w:line="240" w:lineRule="auto" w:before="0" w:after="0"/>
        <w:ind w:left="4648" w:right="0" w:hanging="4409"/>
        <w:jc w:val="left"/>
      </w:pPr>
      <w:r>
        <w:rPr>
          <w:color w:val="009391"/>
          <w:u w:val="thick" w:color="0092C7"/>
        </w:rPr>
        <w:t>Output</w:t>
        <w:tab/>
      </w:r>
    </w:p>
    <w:p>
      <w:pPr>
        <w:pStyle w:val="BodyText"/>
        <w:rPr>
          <w:b/>
          <w:sz w:val="24"/>
        </w:rPr>
      </w:pPr>
    </w:p>
    <w:p>
      <w:pPr>
        <w:spacing w:line="242" w:lineRule="auto" w:before="0"/>
        <w:ind w:left="240" w:right="106" w:firstLine="0"/>
        <w:jc w:val="left"/>
        <w:rPr>
          <w:sz w:val="24"/>
        </w:rPr>
      </w:pPr>
      <w:r>
        <w:rPr>
          <w:sz w:val="24"/>
        </w:rPr>
        <w:t>According to preliminary estimates, GDP grew by 0.4% in 2000 Q1, compared with 0.8% in 1999 Q4, and the annual growth rate declined slightly to 2.9% (see</w:t>
      </w:r>
    </w:p>
    <w:p>
      <w:pPr>
        <w:spacing w:line="242" w:lineRule="auto" w:before="4"/>
        <w:ind w:left="240" w:right="106" w:firstLine="0"/>
        <w:jc w:val="left"/>
        <w:rPr>
          <w:sz w:val="24"/>
        </w:rPr>
      </w:pPr>
      <w:r>
        <w:rPr>
          <w:sz w:val="24"/>
        </w:rPr>
        <w:t>Chart 2.15). However, since the February </w:t>
      </w:r>
      <w:r>
        <w:rPr>
          <w:i/>
          <w:sz w:val="24"/>
        </w:rPr>
        <w:t>Report</w:t>
      </w:r>
      <w:r>
        <w:rPr>
          <w:sz w:val="24"/>
        </w:rPr>
        <w:t>, revisions to National Accounts data for 1998 and 1999 have raised estimates of the level of GDP in 1999 Q4 by 0.3%. On the expenditure side of the National Accounts,</w:t>
      </w:r>
    </w:p>
    <w:p>
      <w:pPr>
        <w:spacing w:after="0" w:line="242" w:lineRule="auto"/>
        <w:jc w:val="left"/>
        <w:rPr>
          <w:sz w:val="24"/>
        </w:rPr>
        <w:sectPr>
          <w:type w:val="continuous"/>
          <w:pgSz w:w="11900" w:h="16840"/>
          <w:pgMar w:top="1220" w:bottom="280" w:left="640" w:right="620"/>
          <w:cols w:num="3" w:equalWidth="0">
            <w:col w:w="1281" w:space="1267"/>
            <w:col w:w="1161" w:space="1026"/>
            <w:col w:w="5905"/>
          </w:cols>
        </w:sectPr>
      </w:pPr>
    </w:p>
    <w:p>
      <w:pPr>
        <w:tabs>
          <w:tab w:pos="1049" w:val="left" w:leader="none"/>
          <w:tab w:pos="1447" w:val="left" w:leader="none"/>
          <w:tab w:pos="1844" w:val="left" w:leader="none"/>
          <w:tab w:pos="2242" w:val="left" w:leader="none"/>
          <w:tab w:pos="2639" w:val="left" w:leader="none"/>
          <w:tab w:pos="3037" w:val="left" w:leader="none"/>
        </w:tabs>
        <w:spacing w:line="91" w:lineRule="exact" w:before="0"/>
        <w:ind w:left="592" w:right="0" w:firstLine="0"/>
        <w:jc w:val="left"/>
        <w:rPr>
          <w:sz w:val="12"/>
        </w:rPr>
      </w:pPr>
      <w:r>
        <w:rPr>
          <w:sz w:val="12"/>
        </w:rPr>
        <w:t>1993</w:t>
        <w:tab/>
        <w:t>94</w:t>
        <w:tab/>
        <w:t>95</w:t>
        <w:tab/>
        <w:t>96</w:t>
        <w:tab/>
        <w:t>97</w:t>
        <w:tab/>
        <w:t>98</w:t>
        <w:tab/>
        <w:t>99</w:t>
      </w:r>
      <w:r>
        <w:rPr>
          <w:spacing w:val="17"/>
          <w:sz w:val="12"/>
        </w:rPr>
        <w:t> </w:t>
      </w:r>
      <w:r>
        <w:rPr>
          <w:sz w:val="12"/>
        </w:rPr>
        <w:t>2000</w:t>
      </w:r>
    </w:p>
    <w:p>
      <w:pPr>
        <w:pStyle w:val="BodyText"/>
        <w:spacing w:before="3"/>
        <w:rPr>
          <w:sz w:val="13"/>
        </w:rPr>
      </w:pPr>
    </w:p>
    <w:p>
      <w:pPr>
        <w:spacing w:before="0"/>
        <w:ind w:left="193" w:right="0" w:firstLine="0"/>
        <w:jc w:val="left"/>
        <w:rPr>
          <w:sz w:val="12"/>
        </w:rPr>
      </w:pPr>
      <w:r>
        <w:rPr>
          <w:sz w:val="12"/>
        </w:rPr>
        <w:t>(a) At constant 1995 market 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9"/>
        </w:rPr>
      </w:pPr>
    </w:p>
    <w:p>
      <w:pPr>
        <w:spacing w:before="0"/>
        <w:ind w:left="170" w:right="0" w:firstLine="0"/>
        <w:jc w:val="left"/>
        <w:rPr>
          <w:b/>
          <w:sz w:val="20"/>
        </w:rPr>
      </w:pPr>
      <w:r>
        <w:rPr>
          <w:b/>
          <w:color w:val="0092C7"/>
          <w:sz w:val="20"/>
        </w:rPr>
        <w:t>Chart 2.16</w:t>
      </w:r>
    </w:p>
    <w:p>
      <w:pPr>
        <w:spacing w:line="249" w:lineRule="auto" w:before="10"/>
        <w:ind w:left="170" w:right="196" w:firstLine="0"/>
        <w:jc w:val="left"/>
        <w:rPr>
          <w:sz w:val="12"/>
        </w:rPr>
      </w:pPr>
      <w:r>
        <w:rPr>
          <w:b/>
          <w:color w:val="0092C7"/>
          <w:sz w:val="20"/>
        </w:rPr>
        <w:t>Contributions of domestic demand and net trade to GDP</w:t>
      </w:r>
      <w:r>
        <w:rPr>
          <w:position w:val="4"/>
          <w:sz w:val="12"/>
        </w:rPr>
        <w:t>(a)</w:t>
      </w:r>
    </w:p>
    <w:p>
      <w:pPr>
        <w:spacing w:before="155"/>
        <w:ind w:left="1593" w:right="0" w:firstLine="0"/>
        <w:jc w:val="left"/>
        <w:rPr>
          <w:sz w:val="12"/>
        </w:rPr>
      </w:pPr>
      <w:r>
        <w:rPr/>
        <w:pict>
          <v:line style="position:absolute;mso-position-horizontal-relative:page;mso-position-vertical-relative:paragraph;z-index:16056320" from="45.321999pt,15.748409pt" to="49.654999pt,15.748409pt" stroked="true" strokeweight=".5pt" strokecolor="#000000">
            <v:stroke dashstyle="solid"/>
            <w10:wrap type="none"/>
          </v:line>
        </w:pict>
      </w:r>
      <w:r>
        <w:rPr/>
        <w:pict>
          <v:line style="position:absolute;mso-position-horizontal-relative:page;mso-position-vertical-relative:paragraph;z-index:-22554112" from="201.654999pt,15.748409pt" to="205.987999pt,15.748409pt" stroked="true" strokeweight=".5pt" strokecolor="#000000">
            <v:stroke dashstyle="solid"/>
            <w10:wrap type="none"/>
          </v:line>
        </w:pict>
      </w:r>
      <w:r>
        <w:rPr>
          <w:sz w:val="12"/>
        </w:rPr>
        <w:t>Contributions to quarterly GDP growth</w:t>
      </w:r>
      <w:r>
        <w:rPr>
          <w:spacing w:val="19"/>
          <w:sz w:val="12"/>
        </w:rPr>
        <w:t> </w:t>
      </w:r>
      <w:r>
        <w:rPr>
          <w:position w:val="-8"/>
          <w:sz w:val="12"/>
        </w:rPr>
        <w:t>2.5</w:t>
      </w:r>
    </w:p>
    <w:p>
      <w:pPr>
        <w:pStyle w:val="BodyText"/>
        <w:spacing w:before="1"/>
        <w:rPr>
          <w:sz w:val="19"/>
        </w:rPr>
      </w:pPr>
    </w:p>
    <w:p>
      <w:pPr>
        <w:spacing w:before="0"/>
        <w:ind w:left="0" w:right="38" w:firstLine="0"/>
        <w:jc w:val="right"/>
        <w:rPr>
          <w:sz w:val="12"/>
        </w:rPr>
      </w:pPr>
      <w:r>
        <w:rPr/>
        <w:pict>
          <v:group style="position:absolute;margin-left:53.696999pt;margin-top:3.092155pt;width:152.3pt;height:116.5pt;mso-position-horizontal-relative:page;mso-position-vertical-relative:paragraph;z-index:16051712" coordorigin="1074,62" coordsize="3046,2330">
            <v:line style="position:absolute" from="1076,1502" to="3969,1502" stroked="true" strokeweight=".5pt" strokecolor="#000000">
              <v:stroke dashstyle="solid"/>
            </v:line>
            <v:shape style="position:absolute;left:1083;top:454;width:1063;height:1913" coordorigin="1084,454" coordsize="1063,1913" path="m1084,454l1241,2367m1241,2367l1386,1169m1386,1169l1541,1419m1541,1419l1686,1967m1686,1967l1844,1387m1844,1387l1989,1584m1989,1584l2146,1337e" filled="false" stroked="true" strokeweight="1pt" strokecolor="#f7b59a">
              <v:path arrowok="t"/>
              <v:stroke dashstyle="solid"/>
            </v:shape>
            <v:line style="position:absolute" from="2136,1344" to="2314,1344" stroked="true" strokeweight="1.75pt" strokecolor="#f7b59a">
              <v:stroke dashstyle="solid"/>
            </v:line>
            <v:shape style="position:absolute;left:2303;top:986;width:1665;height:1395" coordorigin="2304,987" coordsize="1665,1395" path="m2304,1352l2449,1967m2449,1967l2604,1319m2604,1319l2749,2217m2749,2217l2906,1934m2906,1934l3064,1702m3064,1702l3209,1934m3209,1934l3364,2099m3364,2099l3511,2167m3511,2167l3666,987m3666,987l3811,1419m3811,1419l3969,2382e" filled="false" stroked="true" strokeweight="1pt" strokecolor="#f7b59a">
              <v:path arrowok="t"/>
              <v:stroke dashstyle="solid"/>
            </v:shape>
            <v:shape style="position:absolute;left:1083;top:71;width:2885;height:2163" coordorigin="1084,72" coordsize="2885,2163" path="m1084,2234l1241,389m1241,389l1386,1502m1386,1502l1541,1137m1541,1137l1686,472m1686,472l1844,1237m1844,1237l1989,969m1989,969l2146,1019m2146,1019l2304,869m2304,869l2449,422m2449,422l2604,969m2604,969l2749,454m2749,454l2906,854m2906,854l3064,904m3064,904l3209,754m3209,754l3364,904m3364,904l3511,554m3511,554l3666,1484m3666,1484l3811,887m3811,887l3969,72e" filled="false" stroked="true" strokeweight="1pt" strokecolor="#006caa">
              <v:path arrowok="t"/>
              <v:stroke dashstyle="solid"/>
            </v:shape>
            <v:shape style="position:absolute;left:4033;top:70;width:87;height:2151" coordorigin="4033,71" coordsize="87,2151" path="m4033,71l4120,71m4033,429l4120,429m4033,787l4120,787m4033,1146l4120,1146m4033,1504l4120,1504m4033,2221l4120,2221m4033,1863l4120,1863e" filled="false" stroked="true" strokeweight=".5pt" strokecolor="#000000">
              <v:path arrowok="t"/>
              <v:stroke dashstyle="solid"/>
            </v:shape>
            <v:shape style="position:absolute;left:3038;top:143;width:890;height:134" type="#_x0000_t202" filled="false" stroked="false">
              <v:textbox inset="0,0,0,0">
                <w:txbxContent>
                  <w:p>
                    <w:pPr>
                      <w:spacing w:line="133" w:lineRule="exact" w:before="0"/>
                      <w:ind w:left="0" w:right="0" w:firstLine="0"/>
                      <w:jc w:val="left"/>
                      <w:rPr>
                        <w:sz w:val="12"/>
                      </w:rPr>
                    </w:pPr>
                    <w:r>
                      <w:rPr>
                        <w:sz w:val="12"/>
                      </w:rPr>
                      <w:t>Domestic demand</w:t>
                    </w:r>
                  </w:p>
                </w:txbxContent>
              </v:textbox>
              <w10:wrap type="none"/>
            </v:shape>
            <v:shape style="position:absolute;left:1709;top:1948;width:464;height:133" type="#_x0000_t202" filled="false" stroked="false">
              <v:textbox inset="0,0,0,0">
                <w:txbxContent>
                  <w:p>
                    <w:pPr>
                      <w:spacing w:line="133" w:lineRule="exact" w:before="0"/>
                      <w:ind w:left="0" w:right="0" w:firstLine="0"/>
                      <w:jc w:val="left"/>
                      <w:rPr>
                        <w:sz w:val="12"/>
                      </w:rPr>
                    </w:pPr>
                    <w:r>
                      <w:rPr>
                        <w:sz w:val="12"/>
                      </w:rPr>
                      <w:t>Net trade</w:t>
                    </w:r>
                  </w:p>
                </w:txbxContent>
              </v:textbox>
              <w10:wrap type="none"/>
            </v:shape>
            <w10:wrap type="none"/>
          </v:group>
        </w:pict>
      </w:r>
      <w:r>
        <w:rPr/>
        <w:pict>
          <v:line style="position:absolute;mso-position-horizontal-relative:page;mso-position-vertical-relative:paragraph;z-index:16052224" from="45.321999pt,3.532155pt" to="49.654999pt,3.532155pt" stroked="true" strokeweight=".5pt" strokecolor="#000000">
            <v:stroke dashstyle="solid"/>
            <w10:wrap type="none"/>
          </v:line>
        </w:pict>
      </w:r>
      <w:r>
        <w:rPr>
          <w:sz w:val="12"/>
        </w:rPr>
        <w:t>2.0</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052736" from="45.321999pt,7.632374pt" to="49.654999pt,7.632374pt" stroked="true" strokeweight=".5pt" strokecolor="#000000">
            <v:stroke dashstyle="solid"/>
            <w10:wrap type="none"/>
          </v:line>
        </w:pict>
      </w:r>
      <w:r>
        <w:rPr>
          <w:sz w:val="12"/>
        </w:rPr>
        <w:t>1.5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053248" from="45.321999pt,7.632564pt" to="49.654999pt,7.632564pt" stroked="true" strokeweight=".5pt" strokecolor="#000000">
            <v:stroke dashstyle="solid"/>
            <w10:wrap type="none"/>
          </v:line>
        </w:pict>
      </w:r>
      <w:r>
        <w:rPr>
          <w:sz w:val="12"/>
        </w:rPr>
        <w:t>1.0</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053760" from="45.321999pt,7.533752pt" to="49.654999pt,7.533752pt" stroked="true" strokeweight=".5pt" strokecolor="#000000">
            <v:stroke dashstyle="solid"/>
            <w10:wrap type="none"/>
          </v:line>
        </w:pict>
      </w:r>
      <w:r>
        <w:rPr>
          <w:sz w:val="12"/>
        </w:rPr>
        <w:t>0.5</w:t>
      </w:r>
    </w:p>
    <w:p>
      <w:pPr>
        <w:spacing w:before="32"/>
        <w:ind w:left="3469" w:right="0" w:firstLine="0"/>
        <w:jc w:val="left"/>
        <w:rPr>
          <w:sz w:val="16"/>
        </w:rPr>
      </w:pPr>
      <w:r>
        <w:rPr>
          <w:w w:val="100"/>
          <w:sz w:val="16"/>
        </w:rPr>
        <w:t>+</w:t>
      </w:r>
    </w:p>
    <w:p>
      <w:pPr>
        <w:spacing w:line="120" w:lineRule="exact" w:before="6"/>
        <w:ind w:left="3529" w:right="0" w:firstLine="0"/>
        <w:jc w:val="left"/>
        <w:rPr>
          <w:sz w:val="12"/>
        </w:rPr>
      </w:pPr>
      <w:r>
        <w:rPr/>
        <w:pict>
          <v:line style="position:absolute;mso-position-horizontal-relative:page;mso-position-vertical-relative:paragraph;z-index:16054272" from="45.321999pt,3.633972pt" to="49.654999pt,3.633972pt" stroked="true" strokeweight=".5pt" strokecolor="#000000">
            <v:stroke dashstyle="solid"/>
            <w10:wrap type="none"/>
          </v:line>
        </w:pict>
      </w:r>
      <w:r>
        <w:rPr>
          <w:sz w:val="12"/>
        </w:rPr>
        <w:t>0.0</w:t>
      </w:r>
    </w:p>
    <w:p>
      <w:pPr>
        <w:spacing w:line="166" w:lineRule="exact" w:before="0"/>
        <w:ind w:left="3472" w:right="0" w:firstLine="0"/>
        <w:jc w:val="left"/>
        <w:rPr>
          <w:sz w:val="16"/>
        </w:rPr>
      </w:pPr>
      <w:r>
        <w:rPr>
          <w:sz w:val="16"/>
        </w:rPr>
        <w:t>–</w:t>
      </w:r>
    </w:p>
    <w:p>
      <w:pPr>
        <w:spacing w:before="72"/>
        <w:ind w:left="0" w:right="38" w:firstLine="0"/>
        <w:jc w:val="right"/>
        <w:rPr>
          <w:sz w:val="12"/>
        </w:rPr>
      </w:pPr>
      <w:r>
        <w:rPr/>
        <w:pict>
          <v:line style="position:absolute;mso-position-horizontal-relative:page;mso-position-vertical-relative:paragraph;z-index:16055296" from="45.321999pt,6.884161pt" to="49.654999pt,6.884161pt" stroked="true" strokeweight=".5pt" strokecolor="#000000">
            <v:stroke dashstyle="solid"/>
            <w10:wrap type="none"/>
          </v:line>
        </w:pict>
      </w:r>
      <w:r>
        <w:rPr>
          <w:sz w:val="12"/>
        </w:rPr>
        <w:t>0.5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054784" from="45.321999pt,7.43435pt" to="49.654999pt,7.43435pt" stroked="true" strokeweight=".5pt" strokecolor="#000000">
            <v:stroke dashstyle="solid"/>
            <w10:wrap type="none"/>
          </v:line>
        </w:pict>
      </w:r>
      <w:r>
        <w:rPr>
          <w:sz w:val="12"/>
        </w:rPr>
        <w:t>1.0</w:t>
      </w:r>
    </w:p>
    <w:p>
      <w:pPr>
        <w:pStyle w:val="BodyText"/>
        <w:rPr>
          <w:sz w:val="12"/>
        </w:rPr>
      </w:pPr>
    </w:p>
    <w:p>
      <w:pPr>
        <w:spacing w:line="116" w:lineRule="exact" w:before="83"/>
        <w:ind w:left="3529" w:right="0" w:firstLine="0"/>
        <w:jc w:val="left"/>
        <w:rPr>
          <w:sz w:val="12"/>
        </w:rPr>
      </w:pPr>
      <w:r>
        <w:rPr/>
        <w:pict>
          <v:line style="position:absolute;mso-position-horizontal-relative:page;mso-position-vertical-relative:paragraph;z-index:16055808" from="45.321999pt,7.335569pt" to="49.654999pt,7.335569pt" stroked="true" strokeweight=".5pt" strokecolor="#000000">
            <v:stroke dashstyle="solid"/>
            <w10:wrap type="none"/>
          </v:line>
        </w:pict>
      </w:r>
      <w:r>
        <w:rPr/>
        <w:pict>
          <v:shape style="position:absolute;margin-left:53.582001pt;margin-top:2.793569pt;width:152.450pt;height:4.6pt;mso-position-horizontal-relative:page;mso-position-vertical-relative:paragraph;z-index:16056832" coordorigin="1072,56" coordsize="3049,92" path="m4033,147l4120,147m1072,147l3969,147m1073,56l1073,147m1226,100l1226,147m1378,100l1378,147m1531,100l1531,147m1684,56l1684,147m1837,100l1837,147m1989,100l1989,147m2142,100l2142,147m2295,56l2295,147m2447,100l2447,147m2600,100l2600,147m2753,100l2753,147m2906,56l2906,147m3058,100l3058,147m3211,100l3211,147m3364,100l3364,147m3517,56l3517,147m3669,100l3669,147m3822,100l3822,147m3975,100l3975,147e" filled="false" stroked="true" strokeweight=".5pt" strokecolor="#000000">
            <v:path arrowok="t"/>
            <v:stroke dashstyle="solid"/>
            <w10:wrap type="none"/>
          </v:shape>
        </w:pict>
      </w:r>
      <w:r>
        <w:rPr>
          <w:sz w:val="12"/>
        </w:rPr>
        <w:t>1.5</w:t>
      </w:r>
    </w:p>
    <w:p>
      <w:pPr>
        <w:tabs>
          <w:tab w:pos="1296" w:val="left" w:leader="none"/>
          <w:tab w:pos="1911" w:val="left" w:leader="none"/>
          <w:tab w:pos="2513" w:val="left" w:leader="none"/>
          <w:tab w:pos="3105" w:val="left" w:leader="none"/>
        </w:tabs>
        <w:spacing w:line="116" w:lineRule="exact" w:before="0"/>
        <w:ind w:left="621" w:right="0" w:firstLine="0"/>
        <w:jc w:val="left"/>
        <w:rPr>
          <w:sz w:val="12"/>
        </w:rPr>
      </w:pPr>
      <w:r>
        <w:rPr>
          <w:sz w:val="12"/>
        </w:rPr>
        <w:t>1995</w:t>
        <w:tab/>
        <w:t>96</w:t>
        <w:tab/>
        <w:t>97</w:t>
        <w:tab/>
        <w:t>98</w:t>
        <w:tab/>
        <w:t>99</w:t>
      </w:r>
    </w:p>
    <w:p>
      <w:pPr>
        <w:pStyle w:val="BodyText"/>
        <w:spacing w:before="4"/>
        <w:rPr>
          <w:sz w:val="12"/>
        </w:rPr>
      </w:pPr>
    </w:p>
    <w:p>
      <w:pPr>
        <w:spacing w:before="0"/>
        <w:ind w:left="170" w:right="0" w:firstLine="0"/>
        <w:jc w:val="left"/>
        <w:rPr>
          <w:sz w:val="12"/>
        </w:rPr>
      </w:pPr>
      <w:r>
        <w:rPr>
          <w:sz w:val="12"/>
        </w:rPr>
        <w:t>(a) At constant 1995 prices.</w:t>
      </w:r>
    </w:p>
    <w:p>
      <w:pPr>
        <w:pStyle w:val="Heading6"/>
        <w:spacing w:line="242" w:lineRule="auto" w:before="5"/>
        <w:ind w:right="220"/>
      </w:pPr>
      <w:r>
        <w:rPr/>
        <w:br w:type="column"/>
      </w:r>
      <w:r>
        <w:rPr/>
        <w:t>the revisions also raised estimates of the level of domestic demand and depressed the net trade position in 1999, further accentuating the contrast between the strength of domestic demand and the weakness of net trade (see Chart 2.16).</w:t>
      </w:r>
    </w:p>
    <w:p>
      <w:pPr>
        <w:pStyle w:val="BodyText"/>
        <w:spacing w:before="7"/>
        <w:rPr>
          <w:sz w:val="26"/>
        </w:rPr>
      </w:pPr>
    </w:p>
    <w:p>
      <w:pPr>
        <w:spacing w:line="242" w:lineRule="auto" w:before="0"/>
        <w:ind w:left="170" w:right="148" w:firstLine="0"/>
        <w:jc w:val="left"/>
        <w:rPr>
          <w:sz w:val="24"/>
        </w:rPr>
      </w:pPr>
      <w:r>
        <w:rPr>
          <w:sz w:val="24"/>
        </w:rPr>
        <w:t>Previous </w:t>
      </w:r>
      <w:r>
        <w:rPr>
          <w:i/>
          <w:sz w:val="24"/>
        </w:rPr>
        <w:t>Reports </w:t>
      </w:r>
      <w:r>
        <w:rPr>
          <w:spacing w:val="-3"/>
          <w:sz w:val="24"/>
        </w:rPr>
        <w:t>have </w:t>
      </w:r>
      <w:r>
        <w:rPr>
          <w:sz w:val="24"/>
        </w:rPr>
        <w:t>discussed the role of sterling’s appreciation since 1996 as a factor explaining the weakness of net trade relative to domestic demand. The impact of the strength of the exchange rate may also be seen at a more disaggregated level. Chart 2.17 suggests that industries which export a high proportion of their output </w:t>
      </w:r>
      <w:r>
        <w:rPr>
          <w:spacing w:val="-3"/>
          <w:sz w:val="24"/>
        </w:rPr>
        <w:t>have </w:t>
      </w:r>
      <w:r>
        <w:rPr>
          <w:sz w:val="24"/>
        </w:rPr>
        <w:t>recently tended to experience rather weaker growth than less export-intensive sectors of the </w:t>
      </w:r>
      <w:r>
        <w:rPr>
          <w:spacing w:val="-3"/>
          <w:sz w:val="24"/>
        </w:rPr>
        <w:t>economy. </w:t>
      </w:r>
      <w:r>
        <w:rPr>
          <w:spacing w:val="-4"/>
          <w:sz w:val="24"/>
        </w:rPr>
        <w:t>However, </w:t>
      </w:r>
      <w:r>
        <w:rPr>
          <w:sz w:val="24"/>
        </w:rPr>
        <w:t>the chart also illustrates that the correlation is far from perfect, reflecting the importance of other factors in determining output growth, such as</w:t>
      </w:r>
    </w:p>
    <w:p>
      <w:pPr>
        <w:spacing w:line="242" w:lineRule="auto" w:before="14"/>
        <w:ind w:left="170" w:right="148" w:firstLine="0"/>
        <w:jc w:val="left"/>
        <w:rPr>
          <w:sz w:val="24"/>
        </w:rPr>
      </w:pPr>
      <w:r>
        <w:rPr>
          <w:sz w:val="24"/>
        </w:rPr>
        <w:t>sector-specific influences on demand. The negative relationship between industrial output growth and export intensity is also less marked when considering growth over the past year rather than over the past three months, suggesting the need for caution in interpreting the more recent data.</w:t>
      </w:r>
    </w:p>
    <w:p>
      <w:pPr>
        <w:pStyle w:val="BodyText"/>
        <w:spacing w:before="9"/>
        <w:rPr>
          <w:sz w:val="26"/>
        </w:rPr>
      </w:pPr>
    </w:p>
    <w:p>
      <w:pPr>
        <w:spacing w:line="242" w:lineRule="auto" w:before="0"/>
        <w:ind w:left="170" w:right="166" w:firstLine="0"/>
        <w:jc w:val="left"/>
        <w:rPr>
          <w:sz w:val="24"/>
        </w:rPr>
      </w:pPr>
      <w:r>
        <w:rPr>
          <w:sz w:val="24"/>
        </w:rPr>
        <w:t>Industrial production fell by 0.8% in the three months to </w:t>
      </w:r>
      <w:r>
        <w:rPr>
          <w:spacing w:val="-3"/>
          <w:sz w:val="24"/>
        </w:rPr>
        <w:t>February, </w:t>
      </w:r>
      <w:r>
        <w:rPr>
          <w:sz w:val="24"/>
        </w:rPr>
        <w:t>in part reflecting weakness in energy-related sectors such as mining and utilities. </w:t>
      </w:r>
      <w:r>
        <w:rPr>
          <w:spacing w:val="-4"/>
          <w:sz w:val="24"/>
        </w:rPr>
        <w:t>However, </w:t>
      </w:r>
      <w:r>
        <w:rPr>
          <w:sz w:val="24"/>
        </w:rPr>
        <w:t>manufacturing output has also weakened since November 1999 (see Chart 2.18). The rebound in manufacturing output between the second and fourth quarters of 1999 left the level of output 1.5% higher in February compared with the same month a year earlier. But manufacturing output fell in each month between December and </w:t>
      </w:r>
      <w:r>
        <w:rPr>
          <w:spacing w:val="-3"/>
          <w:sz w:val="24"/>
        </w:rPr>
        <w:t>February, </w:t>
      </w:r>
      <w:r>
        <w:rPr>
          <w:sz w:val="24"/>
        </w:rPr>
        <w:t>slowing the three-month growth rate to -0.5% in February from 0.4% in Q4 and 1.4% in Q3 (see Chart 2.18). The output of both the chemicals and engineering industries—which had been</w:t>
      </w:r>
      <w:r>
        <w:rPr>
          <w:spacing w:val="-3"/>
          <w:sz w:val="24"/>
        </w:rPr>
        <w:t> </w:t>
      </w:r>
      <w:r>
        <w:rPr>
          <w:sz w:val="24"/>
        </w:rPr>
        <w:t>growing</w:t>
      </w:r>
    </w:p>
    <w:p>
      <w:pPr>
        <w:spacing w:after="0" w:line="242" w:lineRule="auto"/>
        <w:jc w:val="left"/>
        <w:rPr>
          <w:sz w:val="24"/>
        </w:rPr>
        <w:sectPr>
          <w:type w:val="continuous"/>
          <w:pgSz w:w="11900" w:h="16840"/>
          <w:pgMar w:top="1220" w:bottom="280" w:left="640" w:right="620"/>
          <w:cols w:num="2" w:equalWidth="0">
            <w:col w:w="3720" w:space="1084"/>
            <w:col w:w="5836"/>
          </w:cols>
        </w:sectPr>
      </w:pPr>
    </w:p>
    <w:p>
      <w:pPr>
        <w:pStyle w:val="BodyText"/>
        <w:rPr>
          <w:sz w:val="20"/>
        </w:rPr>
      </w:pPr>
    </w:p>
    <w:p>
      <w:pPr>
        <w:spacing w:after="0"/>
        <w:rPr>
          <w:sz w:val="20"/>
        </w:rPr>
        <w:sectPr>
          <w:headerReference w:type="default" r:id="rId109"/>
          <w:headerReference w:type="even" r:id="rId110"/>
          <w:footerReference w:type="default" r:id="rId111"/>
          <w:footerReference w:type="even" r:id="rId112"/>
          <w:pgSz w:w="11900" w:h="16840"/>
          <w:pgMar w:header="586" w:footer="617" w:top="780" w:bottom="800" w:left="640" w:right="620"/>
          <w:pgNumType w:start="23"/>
        </w:sectPr>
      </w:pPr>
    </w:p>
    <w:p>
      <w:pPr>
        <w:pStyle w:val="BodyText"/>
        <w:spacing w:before="8"/>
        <w:rPr>
          <w:sz w:val="19"/>
        </w:rPr>
      </w:pPr>
    </w:p>
    <w:p>
      <w:pPr>
        <w:spacing w:before="0"/>
        <w:ind w:left="155" w:right="0" w:firstLine="0"/>
        <w:jc w:val="left"/>
        <w:rPr>
          <w:b/>
          <w:sz w:val="20"/>
        </w:rPr>
      </w:pPr>
      <w:r>
        <w:rPr>
          <w:b/>
          <w:color w:val="0092C7"/>
          <w:sz w:val="20"/>
        </w:rPr>
        <w:t>Chart 2.17</w:t>
      </w:r>
    </w:p>
    <w:p>
      <w:pPr>
        <w:spacing w:line="249" w:lineRule="auto" w:before="10"/>
        <w:ind w:left="155" w:right="203" w:firstLine="0"/>
        <w:jc w:val="left"/>
        <w:rPr>
          <w:sz w:val="12"/>
        </w:rPr>
      </w:pPr>
      <w:r>
        <w:rPr>
          <w:b/>
          <w:color w:val="0092C7"/>
          <w:sz w:val="20"/>
        </w:rPr>
        <w:t>Export intensity and recent output growth of the main UK industries</w:t>
      </w:r>
      <w:r>
        <w:rPr>
          <w:position w:val="4"/>
          <w:sz w:val="12"/>
        </w:rPr>
        <w:t>(a)(b)</w:t>
      </w:r>
    </w:p>
    <w:p>
      <w:pPr>
        <w:spacing w:line="120" w:lineRule="exact" w:before="150"/>
        <w:ind w:left="0" w:right="570" w:firstLine="0"/>
        <w:jc w:val="right"/>
        <w:rPr>
          <w:sz w:val="12"/>
        </w:rPr>
      </w:pPr>
      <w:r>
        <w:rPr>
          <w:sz w:val="12"/>
        </w:rPr>
        <w:t>Output growth of each industry</w:t>
      </w:r>
    </w:p>
    <w:p>
      <w:pPr>
        <w:spacing w:line="120" w:lineRule="exact" w:before="0"/>
        <w:ind w:left="0" w:right="484" w:firstLine="0"/>
        <w:jc w:val="right"/>
        <w:rPr>
          <w:sz w:val="12"/>
        </w:rPr>
      </w:pPr>
      <w:r>
        <w:rPr>
          <w:sz w:val="12"/>
        </w:rPr>
        <w:t>3</w:t>
      </w:r>
    </w:p>
    <w:p>
      <w:pPr>
        <w:pStyle w:val="BodyText"/>
        <w:rPr>
          <w:sz w:val="12"/>
        </w:rPr>
      </w:pPr>
    </w:p>
    <w:p>
      <w:pPr>
        <w:pStyle w:val="BodyText"/>
        <w:rPr>
          <w:sz w:val="16"/>
        </w:rPr>
      </w:pPr>
    </w:p>
    <w:p>
      <w:pPr>
        <w:spacing w:before="0"/>
        <w:ind w:left="0" w:right="484" w:firstLine="0"/>
        <w:jc w:val="right"/>
        <w:rPr>
          <w:sz w:val="12"/>
        </w:rPr>
      </w:pPr>
      <w:r>
        <w:rPr/>
        <w:pict>
          <v:group style="position:absolute;margin-left:68.279999pt;margin-top:.976501pt;width:4.4pt;height:6.25pt;mso-position-horizontal-relative:page;mso-position-vertical-relative:paragraph;z-index:16070144" coordorigin="1366,20" coordsize="88,125">
            <v:shape style="position:absolute;left:1370;top:24;width:78;height:115" coordorigin="1371,25" coordsize="78,115" path="m1408,25l1371,82,1408,140,1448,82,1408,25xe" filled="true" fillcolor="#00a2a0" stroked="false">
              <v:path arrowok="t"/>
              <v:fill type="solid"/>
            </v:shape>
            <v:shape style="position:absolute;left:1370;top:24;width:78;height:115" coordorigin="1371,25" coordsize="78,115" path="m1408,25l1448,82,1408,140,1371,82,1408,25xe" filled="false" stroked="true" strokeweight=".5pt" strokecolor="#000000">
              <v:path arrowok="t"/>
              <v:stroke dashstyle="solid"/>
            </v:shape>
            <w10:wrap type="none"/>
          </v:group>
        </w:pict>
      </w:r>
      <w:r>
        <w:rPr/>
        <w:pict>
          <v:line style="position:absolute;mso-position-horizontal-relative:page;mso-position-vertical-relative:paragraph;z-index:16071680" from="46.654999pt,3.851501pt" to="42.321999pt,3.851501pt" stroked="true" strokeweight=".5pt" strokecolor="#000000">
            <v:stroke dashstyle="solid"/>
            <w10:wrap type="none"/>
          </v:line>
        </w:pict>
      </w:r>
      <w:r>
        <w:rPr/>
        <w:pict>
          <v:line style="position:absolute;mso-position-horizontal-relative:page;mso-position-vertical-relative:paragraph;z-index:16073728" from="201.655006pt,3.851501pt" to="197.322006pt,3.851501pt" stroked="true" strokeweight=".5pt" strokecolor="#000000">
            <v:stroke dashstyle="solid"/>
            <w10:wrap type="none"/>
          </v:line>
        </w:pict>
      </w:r>
      <w:r>
        <w:rPr>
          <w:sz w:val="12"/>
        </w:rPr>
        <w:t>2</w:t>
      </w:r>
    </w:p>
    <w:p>
      <w:pPr>
        <w:pStyle w:val="BodyText"/>
        <w:spacing w:before="9"/>
        <w:rPr>
          <w:sz w:val="14"/>
        </w:rPr>
      </w:pPr>
      <w:r>
        <w:rPr/>
        <w:pict>
          <v:group style="position:absolute;margin-left:83.654999pt;margin-top:10.458303pt;width:4.25pt;height:6.25pt;mso-position-horizontal-relative:page;mso-position-vertical-relative:paragraph;z-index:-15399424;mso-wrap-distance-left:0;mso-wrap-distance-right:0" coordorigin="1673,209" coordsize="85,125">
            <v:shape style="position:absolute;left:1678;top:214;width:75;height:115" coordorigin="1678,214" coordsize="75,115" path="m1716,214l1678,272,1716,329,1753,272,1716,214xe" filled="true" fillcolor="#00a2a0" stroked="false">
              <v:path arrowok="t"/>
              <v:fill type="solid"/>
            </v:shape>
            <v:shape style="position:absolute;left:1678;top:214;width:75;height:115" coordorigin="1678,214" coordsize="75,115" path="m1716,214l1753,272,1716,329,1678,272,1716,214xe" filled="false" stroked="true" strokeweight=".5pt" strokecolor="#000000">
              <v:path arrowok="t"/>
              <v:stroke dashstyle="solid"/>
            </v:shape>
            <w10:wrap type="topAndBottom"/>
          </v:group>
        </w:pict>
      </w:r>
    </w:p>
    <w:p>
      <w:pPr>
        <w:spacing w:before="0"/>
        <w:ind w:left="0" w:right="484" w:firstLine="0"/>
        <w:jc w:val="right"/>
        <w:rPr>
          <w:sz w:val="12"/>
        </w:rPr>
      </w:pPr>
      <w:r>
        <w:rPr>
          <w:sz w:val="12"/>
        </w:rPr>
        <w:t>1</w:t>
      </w:r>
    </w:p>
    <w:p>
      <w:pPr>
        <w:spacing w:before="71"/>
        <w:ind w:left="3401" w:right="0" w:firstLine="0"/>
        <w:jc w:val="left"/>
        <w:rPr>
          <w:sz w:val="16"/>
        </w:rPr>
      </w:pPr>
      <w:r>
        <w:rPr/>
        <w:pict>
          <v:group style="position:absolute;margin-left:142.404999pt;margin-top:-6.398242pt;width:4.4pt;height:6.4pt;mso-position-horizontal-relative:page;mso-position-vertical-relative:paragraph;z-index:16065536" coordorigin="2848,-128" coordsize="88,128">
            <v:shape style="position:absolute;left:2853;top:-123;width:78;height:118" coordorigin="2853,-123" coordsize="78,118" path="m2891,-123l2853,-65,2891,-5,2931,-65,2891,-123xe" filled="true" fillcolor="#00a2a0" stroked="false">
              <v:path arrowok="t"/>
              <v:fill type="solid"/>
            </v:shape>
            <v:shape style="position:absolute;left:2853;top:-123;width:78;height:118" coordorigin="2853,-123" coordsize="78,118" path="m2891,-123l2931,-65,2891,-5,2853,-65,2891,-123xe" filled="false" stroked="true" strokeweight=".5pt" strokecolor="#000000">
              <v:path arrowok="t"/>
              <v:stroke dashstyle="solid"/>
            </v:shape>
            <w10:wrap type="none"/>
          </v:group>
        </w:pict>
      </w:r>
      <w:r>
        <w:rPr/>
        <w:pict>
          <v:group style="position:absolute;margin-left:104.654999pt;margin-top:-2.523242pt;width:12.75pt;height:15.9pt;mso-position-horizontal-relative:page;mso-position-vertical-relative:paragraph;z-index:16067072" coordorigin="2093,-50" coordsize="255,318">
            <v:shape style="position:absolute;left:2265;top:-46;width:78;height:115" coordorigin="2266,-45" coordsize="78,115" path="m2303,-45l2266,12,2303,70,2343,12,2303,-45xe" filled="true" fillcolor="#00a2a0" stroked="false">
              <v:path arrowok="t"/>
              <v:fill type="solid"/>
            </v:shape>
            <v:shape style="position:absolute;left:2265;top:-46;width:78;height:115" coordorigin="2266,-45" coordsize="78,115" path="m2303,-45l2343,12,2303,70,2266,12,2303,-45xe" filled="false" stroked="true" strokeweight=".5pt" strokecolor="#000000">
              <v:path arrowok="t"/>
              <v:stroke dashstyle="solid"/>
            </v:shape>
            <v:shape style="position:absolute;left:2200;top:147;width:78;height:115" coordorigin="2201,147" coordsize="78,115" path="m2241,147l2201,205,2241,262,2278,205,2241,147xe" filled="true" fillcolor="#00a2a0" stroked="false">
              <v:path arrowok="t"/>
              <v:fill type="solid"/>
            </v:shape>
            <v:shape style="position:absolute;left:2200;top:147;width:78;height:115" coordorigin="2201,147" coordsize="78,115" path="m2241,147l2278,205,2241,262,2201,205,2241,147xe" filled="false" stroked="true" strokeweight=".5pt" strokecolor="#000000">
              <v:path arrowok="t"/>
              <v:stroke dashstyle="solid"/>
            </v:shape>
            <v:shape style="position:absolute;left:2098;top:109;width:78;height:115" coordorigin="2098,110" coordsize="78,115" path="m2138,110l2098,167,2138,225,2176,167,2138,110xe" filled="true" fillcolor="#00a2a0" stroked="false">
              <v:path arrowok="t"/>
              <v:fill type="solid"/>
            </v:shape>
            <v:shape style="position:absolute;left:2098;top:109;width:78;height:115" coordorigin="2098,110" coordsize="78,115" path="m2138,110l2176,167,2138,225,2098,167,2138,110xe" filled="false" stroked="true" strokeweight=".5pt" strokecolor="#000000">
              <v:path arrowok="t"/>
              <v:stroke dashstyle="solid"/>
            </v:shape>
            <w10:wrap type="none"/>
          </v:group>
        </w:pict>
      </w:r>
      <w:r>
        <w:rPr/>
        <w:pict>
          <v:group style="position:absolute;margin-left:90.654999pt;margin-top:8.101758pt;width:5.65pt;height:9.15pt;mso-position-horizontal-relative:page;mso-position-vertical-relative:paragraph;z-index:16068096" coordorigin="1813,162" coordsize="113,183">
            <v:shape style="position:absolute;left:1843;top:167;width:78;height:115" coordorigin="1843,167" coordsize="78,115" path="m1881,167l1843,225,1881,282,1921,225,1881,167xe" filled="true" fillcolor="#00a2a0" stroked="false">
              <v:path arrowok="t"/>
              <v:fill type="solid"/>
            </v:shape>
            <v:shape style="position:absolute;left:1843;top:167;width:78;height:115" coordorigin="1843,167" coordsize="78,115" path="m1881,167l1921,225,1881,282,1843,225,1881,167xe" filled="false" stroked="true" strokeweight=".5pt" strokecolor="#000000">
              <v:path arrowok="t"/>
              <v:stroke dashstyle="solid"/>
            </v:shape>
            <v:shape style="position:absolute;left:1830;top:187;width:78;height:115" coordorigin="1831,187" coordsize="78,115" path="m1868,187l1831,245,1868,302,1908,245,1868,187xe" filled="true" fillcolor="#00a2a0" stroked="false">
              <v:path arrowok="t"/>
              <v:fill type="solid"/>
            </v:shape>
            <v:shape style="position:absolute;left:1830;top:187;width:78;height:115" coordorigin="1831,187" coordsize="78,115" path="m1868,187l1908,245,1868,302,1831,245,1868,187xe" filled="false" stroked="true" strokeweight=".5pt" strokecolor="#000000">
              <v:path arrowok="t"/>
              <v:stroke dashstyle="solid"/>
            </v:shape>
            <v:shape style="position:absolute;left:1818;top:224;width:78;height:115" coordorigin="1818,225" coordsize="78,115" path="m1856,225l1818,282,1856,340,1896,282,1856,225xe" filled="true" fillcolor="#00a2a0" stroked="false">
              <v:path arrowok="t"/>
              <v:fill type="solid"/>
            </v:shape>
            <v:shape style="position:absolute;left:1818;top:224;width:78;height:115" coordorigin="1818,225" coordsize="78,115" path="m1856,225l1896,282,1856,340,1818,282,1856,225xe" filled="false" stroked="true" strokeweight=".5pt" strokecolor="#000000">
              <v:path arrowok="t"/>
              <v:stroke dashstyle="solid"/>
            </v:shape>
            <w10:wrap type="none"/>
          </v:group>
        </w:pict>
      </w:r>
      <w:r>
        <w:rPr/>
        <w:pict>
          <v:group style="position:absolute;margin-left:79.779999pt;margin-top:13.851758pt;width:4.4pt;height:6.25pt;mso-position-horizontal-relative:page;mso-position-vertical-relative:paragraph;z-index:-22541824" coordorigin="1596,277" coordsize="88,125">
            <v:shape style="position:absolute;left:1600;top:282;width:78;height:115" coordorigin="1601,282" coordsize="78,115" path="m1638,282l1601,340,1638,397,1678,340,1638,282xe" filled="true" fillcolor="#00a2a0" stroked="false">
              <v:path arrowok="t"/>
              <v:fill type="solid"/>
            </v:shape>
            <v:shape style="position:absolute;left:1600;top:282;width:78;height:115" coordorigin="1601,282" coordsize="78,115" path="m1638,282l1678,340,1638,397,1601,340,1638,282xe" filled="false" stroked="true" strokeweight=".5pt" strokecolor="#000000">
              <v:path arrowok="t"/>
              <v:stroke dashstyle="solid"/>
            </v:shape>
            <w10:wrap type="none"/>
          </v:group>
        </w:pict>
      </w:r>
      <w:r>
        <w:rPr/>
        <w:pict>
          <v:group style="position:absolute;margin-left:42.321999pt;margin-top:10.976758pt;width:26.5pt;height:11.15pt;mso-position-horizontal-relative:page;mso-position-vertical-relative:paragraph;z-index:-22540800" coordorigin="846,220" coordsize="530,223">
            <v:shape style="position:absolute;left:1293;top:224;width:78;height:115" coordorigin="1293,225" coordsize="78,115" path="m1333,225l1293,282,1333,340,1371,282,1333,225xe" filled="true" fillcolor="#00a2a0" stroked="false">
              <v:path arrowok="t"/>
              <v:fill type="solid"/>
            </v:shape>
            <v:shape style="position:absolute;left:1293;top:224;width:78;height:115" coordorigin="1293,225" coordsize="78,115" path="m1333,225l1371,282,1333,340,1293,282,1333,225xe" filled="false" stroked="true" strokeweight=".5pt" strokecolor="#000000">
              <v:path arrowok="t"/>
              <v:stroke dashstyle="solid"/>
            </v:shape>
            <v:shape style="position:absolute;left:1280;top:319;width:78;height:118" coordorigin="1281,320" coordsize="78,118" path="m1321,320l1281,377,1321,437,1358,377,1321,320xe" filled="true" fillcolor="#00a2a0" stroked="false">
              <v:path arrowok="t"/>
              <v:fill type="solid"/>
            </v:shape>
            <v:shape style="position:absolute;left:1280;top:319;width:78;height:118" coordorigin="1281,320" coordsize="78,118" path="m1321,320l1358,377,1321,437,1281,377,1321,320xe" filled="false" stroked="true" strokeweight=".5pt" strokecolor="#000000">
              <v:path arrowok="t"/>
              <v:stroke dashstyle="solid"/>
            </v:shape>
            <v:shape style="position:absolute;left:1153;top:244;width:78;height:115" coordorigin="1153,245" coordsize="78,115" path="m1191,245l1153,302,1191,360,1231,302,1191,245xe" filled="true" fillcolor="#00a2a0" stroked="false">
              <v:path arrowok="t"/>
              <v:fill type="solid"/>
            </v:shape>
            <v:shape style="position:absolute;left:1153;top:244;width:78;height:115" coordorigin="1153,245" coordsize="78,115" path="m1191,245l1231,302,1191,360,1153,302,1191,245xe" filled="false" stroked="true" strokeweight=".5pt" strokecolor="#000000">
              <v:path arrowok="t"/>
              <v:stroke dashstyle="solid"/>
            </v:shape>
            <v:shape style="position:absolute;left:955;top:257;width:138;height:185" type="#_x0000_t75" stroked="false">
              <v:imagedata r:id="rId113" o:title=""/>
            </v:shape>
            <v:line style="position:absolute" from="933,417" to="846,417" stroked="true" strokeweight=".5pt" strokecolor="#000000">
              <v:stroke dashstyle="solid"/>
            </v:line>
            <w10:wrap type="none"/>
          </v:group>
        </w:pict>
      </w:r>
      <w:r>
        <w:rPr/>
        <w:pict>
          <v:line style="position:absolute;mso-position-horizontal-relative:page;mso-position-vertical-relative:paragraph;z-index:16072192" from="46.654999pt,-3.523242pt" to="42.321999pt,-3.523242pt" stroked="true" strokeweight=".5pt" strokecolor="#000000">
            <v:stroke dashstyle="solid"/>
            <w10:wrap type="none"/>
          </v:line>
        </w:pict>
      </w:r>
      <w:r>
        <w:rPr/>
        <w:pict>
          <v:line style="position:absolute;mso-position-horizontal-relative:page;mso-position-vertical-relative:paragraph;z-index:16074240" from="201.655006pt,-3.523242pt" to="197.322006pt,-3.523242pt" stroked="true" strokeweight=".5pt" strokecolor="#000000">
            <v:stroke dashstyle="solid"/>
            <w10:wrap type="none"/>
          </v:line>
        </w:pict>
      </w:r>
      <w:r>
        <w:rPr>
          <w:w w:val="100"/>
          <w:sz w:val="16"/>
        </w:rPr>
        <w:t>+</w:t>
      </w:r>
    </w:p>
    <w:p>
      <w:pPr>
        <w:tabs>
          <w:tab w:pos="3037" w:val="left" w:leader="none"/>
        </w:tabs>
        <w:spacing w:before="80"/>
        <w:ind w:left="0" w:right="484" w:firstLine="0"/>
        <w:jc w:val="right"/>
        <w:rPr>
          <w:sz w:val="12"/>
        </w:rPr>
      </w:pPr>
      <w:r>
        <w:rPr/>
        <w:pict>
          <v:group style="position:absolute;margin-left:89.404999pt;margin-top:8.851074pt;width:4.25pt;height:6.25pt;mso-position-horizontal-relative:page;mso-position-vertical-relative:paragraph;z-index:-22542336" coordorigin="1788,177" coordsize="85,125">
            <v:shape style="position:absolute;left:1793;top:182;width:75;height:115" coordorigin="1793,182" coordsize="75,115" path="m1831,182l1793,240,1831,297,1868,240,1831,182xe" filled="true" fillcolor="#00a2a0" stroked="false">
              <v:path arrowok="t"/>
              <v:fill type="solid"/>
            </v:shape>
            <v:shape style="position:absolute;left:1793;top:182;width:75;height:115" coordorigin="1793,182" coordsize="75,115" path="m1831,182l1868,240,1831,297,1793,240,1831,182xe" filled="false" stroked="true" strokeweight=".5pt" strokecolor="#000000">
              <v:path arrowok="t"/>
              <v:stroke dashstyle="solid"/>
            </v:shape>
            <w10:wrap type="none"/>
          </v:group>
        </w:pict>
      </w:r>
      <w:r>
        <w:rPr>
          <w:sz w:val="12"/>
          <w:u w:val="single"/>
        </w:rPr>
        <w:t> </w:t>
        <w:tab/>
      </w:r>
      <w:r>
        <w:rPr>
          <w:sz w:val="12"/>
        </w:rPr>
        <w:t> </w:t>
      </w:r>
      <w:r>
        <w:rPr>
          <w:spacing w:val="-5"/>
          <w:sz w:val="12"/>
        </w:rPr>
        <w:t> </w:t>
      </w:r>
      <w:r>
        <w:rPr>
          <w:sz w:val="12"/>
        </w:rPr>
        <w:t>0</w:t>
      </w:r>
    </w:p>
    <w:p>
      <w:pPr>
        <w:spacing w:before="61"/>
        <w:ind w:left="3411" w:right="0" w:firstLine="0"/>
        <w:jc w:val="left"/>
        <w:rPr>
          <w:sz w:val="16"/>
        </w:rPr>
      </w:pPr>
      <w:r>
        <w:rPr/>
        <w:pict>
          <v:group style="position:absolute;margin-left:164.779999pt;margin-top:6.601758pt;width:12pt;height:14.9pt;mso-position-horizontal-relative:page;mso-position-vertical-relative:paragraph;z-index:16064512" coordorigin="3296,132" coordsize="240,298">
            <v:shape style="position:absolute;left:3453;top:137;width:78;height:115" coordorigin="3453,137" coordsize="78,115" path="m3493,137l3453,195,3493,252,3531,195,3493,137xe" filled="true" fillcolor="#00a2a0" stroked="false">
              <v:path arrowok="t"/>
              <v:fill type="solid"/>
            </v:shape>
            <v:shape style="position:absolute;left:3453;top:137;width:78;height:115" coordorigin="3453,137" coordsize="78,115" path="m3493,137l3531,195,3493,252,3453,195,3493,137xe" filled="false" stroked="true" strokeweight=".5pt" strokecolor="#000000">
              <v:path arrowok="t"/>
              <v:stroke dashstyle="solid"/>
            </v:shape>
            <v:shape style="position:absolute;left:3300;top:309;width:78;height:115" coordorigin="3301,310" coordsize="78,115" path="m3338,310l3301,367,3338,425,3378,367,3338,310xe" filled="true" fillcolor="#00a2a0" stroked="false">
              <v:path arrowok="t"/>
              <v:fill type="solid"/>
            </v:shape>
            <v:shape style="position:absolute;left:3300;top:309;width:78;height:115" coordorigin="3301,310" coordsize="78,115" path="m3338,310l3378,367,3338,425,3301,367,3338,310xe" filled="false" stroked="true" strokeweight=".5pt" strokecolor="#000000">
              <v:path arrowok="t"/>
              <v:stroke dashstyle="solid"/>
            </v:shape>
            <w10:wrap type="none"/>
          </v:group>
        </w:pict>
      </w:r>
      <w:r>
        <w:rPr/>
        <w:pict>
          <v:group style="position:absolute;margin-left:120.029999pt;margin-top:10.476758pt;width:4.4pt;height:6.25pt;mso-position-horizontal-relative:page;mso-position-vertical-relative:paragraph;z-index:16066560" coordorigin="2401,210" coordsize="88,125">
            <v:shape style="position:absolute;left:2405;top:214;width:78;height:115" coordorigin="2406,215" coordsize="78,115" path="m2443,215l2406,272,2443,330,2483,272,2443,215xe" filled="true" fillcolor="#00a2a0" stroked="false">
              <v:path arrowok="t"/>
              <v:fill type="solid"/>
            </v:shape>
            <v:shape style="position:absolute;left:2405;top:214;width:78;height:115" coordorigin="2406,215" coordsize="78,115" path="m2443,215l2483,272,2443,330,2406,272,2443,215xe" filled="false" stroked="true" strokeweight=".5pt" strokecolor="#000000">
              <v:path arrowok="t"/>
              <v:stroke dashstyle="solid"/>
            </v:shape>
            <w10:wrap type="none"/>
          </v:group>
        </w:pict>
      </w:r>
      <w:r>
        <w:rPr/>
        <w:pict>
          <v:group style="position:absolute;margin-left:106.029999pt;margin-top:1.726758pt;width:4.25pt;height:6.25pt;mso-position-horizontal-relative:page;mso-position-vertical-relative:paragraph;z-index:16067584" coordorigin="2121,35" coordsize="85,125">
            <v:shape style="position:absolute;left:2125;top:39;width:75;height:115" coordorigin="2126,40" coordsize="75,115" path="m2163,40l2126,97,2163,155,2201,97,2163,40xe" filled="true" fillcolor="#00a2a0" stroked="false">
              <v:path arrowok="t"/>
              <v:fill type="solid"/>
            </v:shape>
            <v:shape style="position:absolute;left:2125;top:39;width:75;height:115" coordorigin="2126,40" coordsize="75,115" path="m2163,40l2201,97,2163,155,2126,97,2163,40xe" filled="false" stroked="true" strokeweight=".5pt" strokecolor="#000000">
              <v:path arrowok="t"/>
              <v:stroke dashstyle="solid"/>
            </v:shape>
            <w10:wrap type="none"/>
          </v:group>
        </w:pict>
      </w:r>
      <w:r>
        <w:rPr>
          <w:sz w:val="16"/>
        </w:rPr>
        <w:t>–</w:t>
      </w:r>
    </w:p>
    <w:p>
      <w:pPr>
        <w:spacing w:before="97"/>
        <w:ind w:left="0" w:right="457" w:firstLine="0"/>
        <w:jc w:val="right"/>
        <w:rPr>
          <w:sz w:val="12"/>
        </w:rPr>
      </w:pPr>
      <w:r>
        <w:rPr/>
        <w:pict>
          <v:group style="position:absolute;margin-left:173.779999pt;margin-top:15.45138pt;width:10.65pt;height:15.9pt;mso-position-horizontal-relative:page;mso-position-vertical-relative:paragraph;z-index:16064000" coordorigin="3476,309" coordsize="213,318">
            <v:shape style="position:absolute;left:3608;top:314;width:75;height:115" coordorigin="3608,314" coordsize="75,115" path="m3646,314l3608,372,3646,429,3683,372,3646,314xe" filled="true" fillcolor="#00a2a0" stroked="false">
              <v:path arrowok="t"/>
              <v:fill type="solid"/>
            </v:shape>
            <v:shape style="position:absolute;left:3608;top:314;width:75;height:115" coordorigin="3608,314" coordsize="75,115" path="m3646,314l3683,372,3646,429,3608,372,3646,314xe" filled="false" stroked="true" strokeweight=".5pt" strokecolor="#000000">
              <v:path arrowok="t"/>
              <v:stroke dashstyle="solid"/>
            </v:shape>
            <v:shape style="position:absolute;left:3480;top:506;width:75;height:115" coordorigin="3481,507" coordsize="75,115" path="m3518,507l3481,564,3518,622,3556,564,3518,507xe" filled="true" fillcolor="#00a2a0" stroked="false">
              <v:path arrowok="t"/>
              <v:fill type="solid"/>
            </v:shape>
            <v:shape style="position:absolute;left:3480;top:506;width:75;height:115" coordorigin="3481,507" coordsize="75,115" path="m3518,507l3556,564,3518,622,3481,564,3518,507xe" filled="false" stroked="true" strokeweight=".5pt" strokecolor="#000000">
              <v:path arrowok="t"/>
              <v:stroke dashstyle="solid"/>
            </v:shape>
            <w10:wrap type="none"/>
          </v:group>
        </w:pict>
      </w:r>
      <w:r>
        <w:rPr/>
        <w:pict>
          <v:group style="position:absolute;margin-left:134.779999pt;margin-top:3.951379pt;width:4.25pt;height:6.25pt;mso-position-horizontal-relative:page;mso-position-vertical-relative:paragraph;z-index:16066048" coordorigin="2696,79" coordsize="85,125">
            <v:shape style="position:absolute;left:2700;top:84;width:75;height:115" coordorigin="2701,84" coordsize="75,115" path="m2738,84l2701,142,2738,199,2776,142,2738,84xe" filled="true" fillcolor="#00a2a0" stroked="false">
              <v:path arrowok="t"/>
              <v:fill type="solid"/>
            </v:shape>
            <v:shape style="position:absolute;left:2700;top:84;width:75;height:115" coordorigin="2701,84" coordsize="75,115" path="m2738,84l2776,142,2738,199,2701,142,2738,84xe" filled="false" stroked="true" strokeweight=".5pt" strokecolor="#000000">
              <v:path arrowok="t"/>
              <v:stroke dashstyle="solid"/>
            </v:shape>
            <w10:wrap type="none"/>
          </v:group>
        </w:pict>
      </w:r>
      <w:r>
        <w:rPr/>
        <w:pict>
          <v:group style="position:absolute;margin-left:91.279999pt;margin-top:6.826379pt;width:4.4pt;height:6.25pt;mso-position-horizontal-relative:page;mso-position-vertical-relative:paragraph;z-index:16068608" coordorigin="1826,137" coordsize="88,125">
            <v:shape style="position:absolute;left:1830;top:141;width:78;height:115" coordorigin="1831,142" coordsize="78,115" path="m1868,142l1831,199,1868,257,1908,199,1868,142xe" filled="true" fillcolor="#00a2a0" stroked="false">
              <v:path arrowok="t"/>
              <v:fill type="solid"/>
            </v:shape>
            <v:shape style="position:absolute;left:1830;top:141;width:78;height:115" coordorigin="1831,142" coordsize="78,115" path="m1868,142l1908,199,1868,257,1831,199,1868,142xe" filled="false" stroked="true" strokeweight=".5pt" strokecolor="#000000">
              <v:path arrowok="t"/>
              <v:stroke dashstyle="solid"/>
            </v:shape>
            <w10:wrap type="none"/>
          </v:group>
        </w:pict>
      </w:r>
      <w:r>
        <w:rPr/>
        <w:pict>
          <v:line style="position:absolute;mso-position-horizontal-relative:page;mso-position-vertical-relative:paragraph;z-index:16072704" from="46.654999pt,8.909379pt" to="42.321999pt,8.909379pt" stroked="true" strokeweight=".5pt" strokecolor="#000000">
            <v:stroke dashstyle="solid"/>
            <w10:wrap type="none"/>
          </v:line>
        </w:pict>
      </w:r>
      <w:r>
        <w:rPr/>
        <w:pict>
          <v:line style="position:absolute;mso-position-horizontal-relative:page;mso-position-vertical-relative:paragraph;z-index:16074752" from="201.655006pt,8.909379pt" to="197.322006pt,8.909379pt" stroked="true" strokeweight=".5pt" strokecolor="#000000">
            <v:stroke dashstyle="solid"/>
            <w10:wrap type="none"/>
          </v:line>
        </w:pict>
      </w:r>
      <w:r>
        <w:rPr>
          <w:sz w:val="12"/>
        </w:rPr>
        <w:t>1</w:t>
      </w:r>
    </w:p>
    <w:p>
      <w:pPr>
        <w:pStyle w:val="BodyText"/>
        <w:spacing w:before="5"/>
        <w:rPr>
          <w:sz w:val="6"/>
        </w:rPr>
      </w:pPr>
    </w:p>
    <w:p>
      <w:pPr>
        <w:pStyle w:val="BodyText"/>
        <w:spacing w:line="125" w:lineRule="exact"/>
        <w:ind w:left="2170"/>
        <w:rPr>
          <w:sz w:val="12"/>
        </w:rPr>
      </w:pPr>
      <w:r>
        <w:rPr>
          <w:position w:val="-2"/>
          <w:sz w:val="12"/>
        </w:rPr>
        <w:pict>
          <v:group style="width:4.25pt;height:6.25pt;mso-position-horizontal-relative:char;mso-position-vertical-relative:line" coordorigin="0,0" coordsize="85,125">
            <v:shape style="position:absolute;left:5;top:5;width:75;height:115" coordorigin="5,5" coordsize="75,115" path="m43,5l5,63,43,120,80,63,43,5xe" filled="true" fillcolor="#00a2a0" stroked="false">
              <v:path arrowok="t"/>
              <v:fill type="solid"/>
            </v:shape>
            <v:shape style="position:absolute;left:5;top:5;width:75;height:115" coordorigin="5,5" coordsize="75,115" path="m43,5l80,63,43,120,5,63,43,5xe" filled="false" stroked="true" strokeweight=".5pt" strokecolor="#000000">
              <v:path arrowok="t"/>
              <v:stroke dashstyle="solid"/>
            </v:shape>
          </v:group>
        </w:pict>
      </w:r>
      <w:r>
        <w:rPr>
          <w:position w:val="-2"/>
          <w:sz w:val="12"/>
        </w:rPr>
      </w:r>
    </w:p>
    <w:p>
      <w:pPr>
        <w:pStyle w:val="BodyText"/>
        <w:spacing w:before="7"/>
        <w:rPr>
          <w:sz w:val="12"/>
        </w:rPr>
      </w:pPr>
    </w:p>
    <w:p>
      <w:pPr>
        <w:spacing w:before="1"/>
        <w:ind w:left="0" w:right="457" w:firstLine="0"/>
        <w:jc w:val="right"/>
        <w:rPr>
          <w:sz w:val="12"/>
        </w:rPr>
      </w:pPr>
      <w:r>
        <w:rPr/>
        <w:pict>
          <v:group style="position:absolute;margin-left:150.029999pt;margin-top:-1.973438pt;width:4.4pt;height:6.4pt;mso-position-horizontal-relative:page;mso-position-vertical-relative:paragraph;z-index:16065024" coordorigin="3001,-39" coordsize="88,128">
            <v:shape style="position:absolute;left:3005;top:-35;width:78;height:118" coordorigin="3006,-34" coordsize="78,118" path="m3046,-34l3006,23,3046,83,3083,23,3046,-34xe" filled="true" fillcolor="#00a2a0" stroked="false">
              <v:path arrowok="t"/>
              <v:fill type="solid"/>
            </v:shape>
            <v:shape style="position:absolute;left:3005;top:-35;width:78;height:118" coordorigin="3006,-34" coordsize="78,118" path="m3046,-34l3083,23,3046,83,3006,23,3046,-34xe" filled="false" stroked="true" strokeweight=".5pt" strokecolor="#000000">
              <v:path arrowok="t"/>
              <v:stroke dashstyle="solid"/>
            </v:shape>
            <w10:wrap type="none"/>
          </v:group>
        </w:pict>
      </w:r>
      <w:r>
        <w:rPr/>
        <w:pict>
          <v:line style="position:absolute;mso-position-horizontal-relative:page;mso-position-vertical-relative:paragraph;z-index:16073216" from="46.654999pt,4.005562pt" to="42.321999pt,4.005562pt" stroked="true" strokeweight=".5pt" strokecolor="#000000">
            <v:stroke dashstyle="solid"/>
            <w10:wrap type="none"/>
          </v:line>
        </w:pict>
      </w:r>
      <w:r>
        <w:rPr/>
        <w:pict>
          <v:line style="position:absolute;mso-position-horizontal-relative:page;mso-position-vertical-relative:paragraph;z-index:16075264" from="201.655006pt,4.005562pt" to="197.322006pt,4.005562pt" stroked="true" strokeweight=".5pt" strokecolor="#000000">
            <v:stroke dashstyle="solid"/>
            <w10:wrap type="none"/>
          </v:line>
        </w:pict>
      </w:r>
      <w:r>
        <w:rPr>
          <w:sz w:val="12"/>
        </w:rPr>
        <w:t>2</w:t>
      </w:r>
    </w:p>
    <w:p>
      <w:pPr>
        <w:pStyle w:val="BodyText"/>
        <w:rPr>
          <w:sz w:val="12"/>
        </w:rPr>
      </w:pPr>
    </w:p>
    <w:p>
      <w:pPr>
        <w:pStyle w:val="BodyText"/>
        <w:spacing w:before="8"/>
        <w:rPr>
          <w:sz w:val="17"/>
        </w:rPr>
      </w:pPr>
    </w:p>
    <w:p>
      <w:pPr>
        <w:spacing w:line="129" w:lineRule="exact" w:before="0"/>
        <w:ind w:left="3475" w:right="0" w:firstLine="0"/>
        <w:jc w:val="left"/>
        <w:rPr>
          <w:sz w:val="12"/>
        </w:rPr>
      </w:pPr>
      <w:r>
        <w:rPr/>
        <w:pict>
          <v:shape style="position:absolute;margin-left:42.321999pt;margin-top:1.268563pt;width:159.35pt;height:2.85pt;mso-position-horizontal-relative:page;mso-position-vertical-relative:paragraph;z-index:16071168" coordorigin="846,25" coordsize="3187,57" path="m1001,80l3888,82m933,79l846,79m996,25l996,79m1402,25l1402,79m1829,25l1829,79m2236,25l2236,79m4033,79l3946,79m2642,25l2642,79m3049,25l3049,79m3476,25l3476,79m3882,25l3882,79e" filled="false" stroked="true" strokeweight=".5pt" strokecolor="#000000">
            <v:path arrowok="t"/>
            <v:stroke dashstyle="solid"/>
            <w10:wrap type="none"/>
          </v:shape>
        </w:pict>
      </w:r>
      <w:r>
        <w:rPr>
          <w:sz w:val="12"/>
        </w:rPr>
        <w:t>3</w:t>
      </w:r>
    </w:p>
    <w:p>
      <w:pPr>
        <w:tabs>
          <w:tab w:pos="695" w:val="left" w:leader="none"/>
          <w:tab w:pos="1115" w:val="left" w:leader="none"/>
          <w:tab w:pos="1525" w:val="left" w:leader="none"/>
          <w:tab w:pos="1935" w:val="left" w:leader="none"/>
          <w:tab w:pos="2343" w:val="left" w:leader="none"/>
          <w:tab w:pos="2765" w:val="left" w:leader="none"/>
          <w:tab w:pos="3173" w:val="left" w:leader="none"/>
        </w:tabs>
        <w:spacing w:line="129" w:lineRule="exact" w:before="0"/>
        <w:ind w:left="313" w:right="0" w:firstLine="0"/>
        <w:jc w:val="left"/>
        <w:rPr>
          <w:sz w:val="12"/>
        </w:rPr>
      </w:pPr>
      <w:r>
        <w:rPr>
          <w:sz w:val="12"/>
        </w:rPr>
        <w:t>0</w:t>
        <w:tab/>
        <w:t>10</w:t>
        <w:tab/>
        <w:t>20</w:t>
        <w:tab/>
        <w:t>30</w:t>
        <w:tab/>
        <w:t>40</w:t>
        <w:tab/>
        <w:t>50</w:t>
        <w:tab/>
        <w:t>60</w:t>
        <w:tab/>
        <w:t>70</w:t>
      </w:r>
    </w:p>
    <w:p>
      <w:pPr>
        <w:spacing w:before="9"/>
        <w:ind w:left="1088" w:right="0" w:firstLine="0"/>
        <w:jc w:val="left"/>
        <w:rPr>
          <w:sz w:val="12"/>
        </w:rPr>
      </w:pPr>
      <w:r>
        <w:rPr>
          <w:sz w:val="12"/>
        </w:rPr>
        <w:t>Export intensity of each industry</w:t>
      </w:r>
    </w:p>
    <w:p>
      <w:pPr>
        <w:pStyle w:val="BodyText"/>
        <w:rPr>
          <w:sz w:val="12"/>
        </w:rPr>
      </w:pPr>
    </w:p>
    <w:p>
      <w:pPr>
        <w:pStyle w:val="ListParagraph"/>
        <w:numPr>
          <w:ilvl w:val="0"/>
          <w:numId w:val="17"/>
        </w:numPr>
        <w:tabs>
          <w:tab w:pos="396" w:val="left" w:leader="none"/>
        </w:tabs>
        <w:spacing w:line="208" w:lineRule="auto" w:before="96" w:after="0"/>
        <w:ind w:left="395" w:right="304" w:hanging="240"/>
        <w:jc w:val="left"/>
        <w:rPr>
          <w:sz w:val="12"/>
        </w:rPr>
      </w:pPr>
      <w:r>
        <w:rPr>
          <w:sz w:val="12"/>
        </w:rPr>
        <w:t>Export intensity is defined as the proportion of each industry’s </w:t>
      </w:r>
      <w:r>
        <w:rPr>
          <w:spacing w:val="-4"/>
          <w:sz w:val="12"/>
        </w:rPr>
        <w:t>value </w:t>
      </w:r>
      <w:r>
        <w:rPr>
          <w:sz w:val="12"/>
        </w:rPr>
        <w:t>added that is exported in relation to final demand for its products, as measured by the UK input-output tables. Production and service sector industries are disaggregated to the level of detail available</w:t>
      </w:r>
    </w:p>
    <w:p>
      <w:pPr>
        <w:spacing w:line="114" w:lineRule="exact" w:before="0"/>
        <w:ind w:left="395" w:right="0" w:firstLine="0"/>
        <w:jc w:val="left"/>
        <w:rPr>
          <w:sz w:val="12"/>
        </w:rPr>
      </w:pPr>
      <w:r>
        <w:rPr>
          <w:sz w:val="12"/>
        </w:rPr>
        <w:t>in the ONS Index of Production and National Accounts respectively.</w:t>
      </w:r>
    </w:p>
    <w:p>
      <w:pPr>
        <w:pStyle w:val="ListParagraph"/>
        <w:numPr>
          <w:ilvl w:val="0"/>
          <w:numId w:val="17"/>
        </w:numPr>
        <w:tabs>
          <w:tab w:pos="396" w:val="left" w:leader="none"/>
        </w:tabs>
        <w:spacing w:line="208" w:lineRule="auto" w:before="5" w:after="0"/>
        <w:ind w:left="395" w:right="371" w:hanging="240"/>
        <w:jc w:val="left"/>
        <w:rPr>
          <w:sz w:val="12"/>
        </w:rPr>
      </w:pPr>
      <w:r>
        <w:rPr>
          <w:sz w:val="12"/>
        </w:rPr>
        <w:t>Output growth rates for production industries refer to growth in the three months to February 2000, compared with the previous three</w:t>
      </w:r>
    </w:p>
    <w:p>
      <w:pPr>
        <w:spacing w:line="208" w:lineRule="auto" w:before="0"/>
        <w:ind w:left="395" w:right="0" w:firstLine="0"/>
        <w:jc w:val="left"/>
        <w:rPr>
          <w:sz w:val="12"/>
        </w:rPr>
      </w:pPr>
      <w:r>
        <w:rPr>
          <w:sz w:val="12"/>
        </w:rPr>
        <w:t>months. Output growth rates in industries within the service, construction and</w:t>
      </w:r>
      <w:r>
        <w:rPr>
          <w:spacing w:val="-3"/>
          <w:sz w:val="12"/>
        </w:rPr>
        <w:t> </w:t>
      </w:r>
      <w:r>
        <w:rPr>
          <w:sz w:val="12"/>
        </w:rPr>
        <w:t>agriculture</w:t>
      </w:r>
      <w:r>
        <w:rPr>
          <w:spacing w:val="-2"/>
          <w:sz w:val="12"/>
        </w:rPr>
        <w:t> </w:t>
      </w:r>
      <w:r>
        <w:rPr>
          <w:sz w:val="12"/>
        </w:rPr>
        <w:t>sectors</w:t>
      </w:r>
      <w:r>
        <w:rPr>
          <w:spacing w:val="-2"/>
          <w:sz w:val="12"/>
        </w:rPr>
        <w:t> </w:t>
      </w:r>
      <w:r>
        <w:rPr>
          <w:sz w:val="12"/>
        </w:rPr>
        <w:t>refer</w:t>
      </w:r>
      <w:r>
        <w:rPr>
          <w:spacing w:val="-2"/>
          <w:sz w:val="12"/>
        </w:rPr>
        <w:t> </w:t>
      </w:r>
      <w:r>
        <w:rPr>
          <w:sz w:val="12"/>
        </w:rPr>
        <w:t>to</w:t>
      </w:r>
      <w:r>
        <w:rPr>
          <w:spacing w:val="-3"/>
          <w:sz w:val="12"/>
        </w:rPr>
        <w:t> </w:t>
      </w:r>
      <w:r>
        <w:rPr>
          <w:sz w:val="12"/>
        </w:rPr>
        <w:t>growth</w:t>
      </w:r>
      <w:r>
        <w:rPr>
          <w:spacing w:val="-2"/>
          <w:sz w:val="12"/>
        </w:rPr>
        <w:t> </w:t>
      </w:r>
      <w:r>
        <w:rPr>
          <w:sz w:val="12"/>
        </w:rPr>
        <w:t>in</w:t>
      </w:r>
      <w:r>
        <w:rPr>
          <w:spacing w:val="-2"/>
          <w:sz w:val="12"/>
        </w:rPr>
        <w:t> </w:t>
      </w:r>
      <w:r>
        <w:rPr>
          <w:sz w:val="12"/>
        </w:rPr>
        <w:t>the</w:t>
      </w:r>
      <w:r>
        <w:rPr>
          <w:spacing w:val="-2"/>
          <w:sz w:val="12"/>
        </w:rPr>
        <w:t> </w:t>
      </w:r>
      <w:r>
        <w:rPr>
          <w:sz w:val="12"/>
        </w:rPr>
        <w:t>three</w:t>
      </w:r>
      <w:r>
        <w:rPr>
          <w:spacing w:val="-2"/>
          <w:sz w:val="12"/>
        </w:rPr>
        <w:t> </w:t>
      </w:r>
      <w:r>
        <w:rPr>
          <w:sz w:val="12"/>
        </w:rPr>
        <w:t>months</w:t>
      </w:r>
      <w:r>
        <w:rPr>
          <w:spacing w:val="-3"/>
          <w:sz w:val="12"/>
        </w:rPr>
        <w:t> </w:t>
      </w:r>
      <w:r>
        <w:rPr>
          <w:sz w:val="12"/>
        </w:rPr>
        <w:t>to</w:t>
      </w:r>
    </w:p>
    <w:p>
      <w:pPr>
        <w:spacing w:line="123" w:lineRule="exact" w:before="0"/>
        <w:ind w:left="395" w:right="0" w:firstLine="0"/>
        <w:jc w:val="left"/>
        <w:rPr>
          <w:sz w:val="12"/>
        </w:rPr>
      </w:pPr>
      <w:r>
        <w:rPr>
          <w:sz w:val="12"/>
        </w:rPr>
        <w:t>December 1999, compared with the previous three months.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5"/>
        </w:rPr>
      </w:pPr>
    </w:p>
    <w:p>
      <w:pPr>
        <w:spacing w:line="249" w:lineRule="auto" w:before="0"/>
        <w:ind w:left="155" w:right="1903" w:firstLine="0"/>
        <w:jc w:val="left"/>
        <w:rPr>
          <w:b/>
          <w:sz w:val="20"/>
        </w:rPr>
      </w:pPr>
      <w:r>
        <w:rPr>
          <w:b/>
          <w:color w:val="0092C7"/>
          <w:sz w:val="20"/>
        </w:rPr>
        <w:t>Chart 2.18 Manufacturing output</w:t>
      </w:r>
    </w:p>
    <w:p>
      <w:pPr>
        <w:spacing w:line="242" w:lineRule="auto" w:before="207"/>
        <w:ind w:left="155" w:right="303" w:firstLine="0"/>
        <w:jc w:val="left"/>
        <w:rPr>
          <w:sz w:val="24"/>
        </w:rPr>
      </w:pPr>
      <w:r>
        <w:rPr/>
        <w:br w:type="column"/>
      </w:r>
      <w:r>
        <w:rPr>
          <w:sz w:val="24"/>
        </w:rPr>
        <w:t>particularly strongly in the second half of 1999—fell by 0.3% in the three months to February.</w:t>
      </w:r>
    </w:p>
    <w:p>
      <w:pPr>
        <w:pStyle w:val="BodyText"/>
        <w:spacing w:before="3"/>
        <w:rPr>
          <w:sz w:val="26"/>
        </w:rPr>
      </w:pPr>
    </w:p>
    <w:p>
      <w:pPr>
        <w:spacing w:line="242" w:lineRule="auto" w:before="1"/>
        <w:ind w:left="155" w:right="206" w:firstLine="0"/>
        <w:jc w:val="left"/>
        <w:rPr>
          <w:sz w:val="24"/>
        </w:rPr>
      </w:pPr>
      <w:r>
        <w:rPr>
          <w:sz w:val="24"/>
        </w:rPr>
        <w:t>Survey data indicate that business sentiment in the manufacturing sector has weakened in early 2000 (see Chart 2.18). The CIPS purchasing managers’ index fell in April to a point suggesting little growth in manufacturing </w:t>
      </w:r>
      <w:r>
        <w:rPr>
          <w:spacing w:val="-3"/>
          <w:sz w:val="24"/>
        </w:rPr>
        <w:t>activity, </w:t>
      </w:r>
      <w:r>
        <w:rPr>
          <w:sz w:val="24"/>
        </w:rPr>
        <w:t>while the CBI measure of business optimism declined sharply in 2000 Q1, to </w:t>
      </w:r>
      <w:r>
        <w:rPr>
          <w:spacing w:val="-3"/>
          <w:sz w:val="24"/>
        </w:rPr>
        <w:t>levels </w:t>
      </w:r>
      <w:r>
        <w:rPr>
          <w:sz w:val="24"/>
        </w:rPr>
        <w:t>recorded in spring 1999. The CBI and the CIPS </w:t>
      </w:r>
      <w:r>
        <w:rPr>
          <w:spacing w:val="-3"/>
          <w:sz w:val="24"/>
        </w:rPr>
        <w:t>have </w:t>
      </w:r>
      <w:r>
        <w:rPr>
          <w:sz w:val="24"/>
        </w:rPr>
        <w:t>noted that some of the weakness in manufacturing activity in Q1 may </w:t>
      </w:r>
      <w:r>
        <w:rPr>
          <w:spacing w:val="-3"/>
          <w:sz w:val="24"/>
        </w:rPr>
        <w:t>have </w:t>
      </w:r>
      <w:r>
        <w:rPr>
          <w:sz w:val="24"/>
        </w:rPr>
        <w:t>been accentuated by factors relating to the </w:t>
      </w:r>
      <w:r>
        <w:rPr>
          <w:spacing w:val="-3"/>
          <w:sz w:val="24"/>
        </w:rPr>
        <w:t>new </w:t>
      </w:r>
      <w:r>
        <w:rPr>
          <w:sz w:val="24"/>
        </w:rPr>
        <w:t>millennium. In particular, the CIPS has reported that output was depressed in early 2000 owing to some manufacturers’ customers running </w:t>
      </w:r>
      <w:r>
        <w:rPr>
          <w:spacing w:val="-3"/>
          <w:sz w:val="24"/>
        </w:rPr>
        <w:t>down </w:t>
      </w:r>
      <w:r>
        <w:rPr>
          <w:sz w:val="24"/>
        </w:rPr>
        <w:t>precautionary holdings of stocks which were built up before the date change. Perhaps consistent with this, </w:t>
      </w:r>
      <w:r>
        <w:rPr>
          <w:spacing w:val="-6"/>
          <w:sz w:val="24"/>
        </w:rPr>
        <w:t>and </w:t>
      </w:r>
      <w:r>
        <w:rPr>
          <w:sz w:val="24"/>
        </w:rPr>
        <w:t>with the continuing strength of domestic demand, the CBI quarterly industrial survey suggests that a small positive balance of respondents continue to expect a rise in the volume of </w:t>
      </w:r>
      <w:r>
        <w:rPr>
          <w:spacing w:val="-3"/>
          <w:sz w:val="24"/>
        </w:rPr>
        <w:t>new </w:t>
      </w:r>
      <w:r>
        <w:rPr>
          <w:sz w:val="24"/>
        </w:rPr>
        <w:t>orders </w:t>
      </w:r>
      <w:r>
        <w:rPr>
          <w:spacing w:val="-3"/>
          <w:sz w:val="24"/>
        </w:rPr>
        <w:t>over </w:t>
      </w:r>
      <w:r>
        <w:rPr>
          <w:sz w:val="24"/>
        </w:rPr>
        <w:t>the coming</w:t>
      </w:r>
      <w:r>
        <w:rPr>
          <w:spacing w:val="-12"/>
          <w:sz w:val="24"/>
        </w:rPr>
        <w:t> </w:t>
      </w:r>
      <w:r>
        <w:rPr>
          <w:spacing w:val="-3"/>
          <w:sz w:val="24"/>
        </w:rPr>
        <w:t>quarter.</w:t>
      </w:r>
    </w:p>
    <w:p>
      <w:pPr>
        <w:spacing w:line="242" w:lineRule="auto" w:before="23"/>
        <w:ind w:left="155" w:right="212" w:firstLine="0"/>
        <w:jc w:val="left"/>
        <w:rPr>
          <w:sz w:val="24"/>
        </w:rPr>
      </w:pPr>
      <w:r>
        <w:rPr>
          <w:sz w:val="24"/>
        </w:rPr>
        <w:t>However, both surveys have stressed the importance of weaker export orders in depressing business confidence in the manufacturing sector, reflecting the continued appreciation of sterling in recent months.</w:t>
      </w:r>
    </w:p>
    <w:p>
      <w:pPr>
        <w:spacing w:after="0" w:line="242" w:lineRule="auto"/>
        <w:jc w:val="left"/>
        <w:rPr>
          <w:sz w:val="24"/>
        </w:rPr>
        <w:sectPr>
          <w:type w:val="continuous"/>
          <w:pgSz w:w="11900" w:h="16840"/>
          <w:pgMar w:top="1220" w:bottom="280" w:left="640" w:right="620"/>
          <w:cols w:num="2" w:equalWidth="0">
            <w:col w:w="3995" w:space="795"/>
            <w:col w:w="5850"/>
          </w:cols>
        </w:sectPr>
      </w:pPr>
    </w:p>
    <w:p>
      <w:pPr>
        <w:spacing w:line="357" w:lineRule="auto" w:before="102"/>
        <w:ind w:left="171" w:right="21" w:firstLine="118"/>
        <w:jc w:val="left"/>
        <w:rPr>
          <w:sz w:val="12"/>
        </w:rPr>
      </w:pPr>
      <w:r>
        <w:rPr/>
        <w:pict>
          <v:line style="position:absolute;mso-position-horizontal-relative:page;mso-position-vertical-relative:paragraph;z-index:-22551040" from="52.446999pt,19.034754pt" to="48.112999pt,19.034754pt" stroked="true" strokeweight=".5pt" strokecolor="#000000">
            <v:stroke dashstyle="solid"/>
            <w10:wrap type="none"/>
          </v:line>
        </w:pict>
      </w:r>
      <w:r>
        <w:rPr>
          <w:sz w:val="12"/>
        </w:rPr>
        <w:t>Index 65</w:t>
      </w:r>
    </w:p>
    <w:p>
      <w:pPr>
        <w:pStyle w:val="BodyText"/>
        <w:rPr>
          <w:sz w:val="12"/>
        </w:rPr>
      </w:pPr>
    </w:p>
    <w:p>
      <w:pPr>
        <w:pStyle w:val="BodyText"/>
        <w:spacing w:before="7"/>
        <w:rPr>
          <w:sz w:val="11"/>
        </w:rPr>
      </w:pPr>
    </w:p>
    <w:p>
      <w:pPr>
        <w:spacing w:before="0"/>
        <w:ind w:left="171" w:right="0" w:firstLine="0"/>
        <w:jc w:val="left"/>
        <w:rPr>
          <w:sz w:val="12"/>
        </w:rPr>
      </w:pPr>
      <w:r>
        <w:rPr/>
        <w:pict>
          <v:group style="position:absolute;margin-left:48.112999pt;margin-top:-3.064636pt;width:151.950pt;height:96.75pt;mso-position-horizontal-relative:page;mso-position-vertical-relative:paragraph;z-index:16059392" coordorigin="962,-61" coordsize="3039,1935">
            <v:shape style="position:absolute;left:1115;top:501;width:673;height:943" coordorigin="1116,501" coordsize="673,943" path="m1116,1011l1151,1026m1151,1026l1173,861m1173,861l1206,816m1206,816l1228,876m1228,876l1263,1114m1263,1114l1286,1189m1286,1189l1321,1249m1321,1249l1343,1444m1343,1444l1378,1219m1378,1219l1401,1069m1401,1069l1436,1026m1436,1026l1468,801m1468,801l1491,966m1491,966l1526,876m1526,876l1548,741m1548,741l1583,846m1583,846l1606,786m1606,786l1641,711m1641,711l1663,666m1663,666l1698,801m1698,801l1721,666m1721,666l1753,606m1753,606l1788,501e" filled="false" stroked="true" strokeweight="1pt" strokecolor="#0099d9">
              <v:path arrowok="t"/>
              <v:stroke dashstyle="solid"/>
            </v:shape>
            <v:line style="position:absolute" from="1799,491" to="1799,856" stroked="true" strokeweight="2.125pt" strokecolor="#0099d9">
              <v:stroke dashstyle="solid"/>
            </v:line>
            <v:shape style="position:absolute;left:1810;top:501;width:93;height:345" coordorigin="1811,501" coordsize="93,345" path="m1811,846l1846,591m1846,591l1868,606m1868,606l1903,501e" filled="false" stroked="true" strokeweight="1pt" strokecolor="#0099d9">
              <v:path arrowok="t"/>
              <v:stroke dashstyle="solid"/>
            </v:shape>
            <v:line style="position:absolute" from="1914,179" to="1914,511" stroked="true" strokeweight="2.125pt" strokecolor="#0099d9">
              <v:stroke dashstyle="solid"/>
            </v:line>
            <v:shape style="position:absolute;left:1925;top:38;width:113;height:150" coordorigin="1926,39" coordsize="113,150" path="m1926,189l1958,39m1958,39l1983,41m1983,39l2016,84m2016,84l2038,86e" filled="false" stroked="true" strokeweight="1pt" strokecolor="#0099d9">
              <v:path arrowok="t"/>
              <v:stroke dashstyle="solid"/>
            </v:shape>
            <v:line style="position:absolute" from="2056,74" to="2056,526" stroked="true" strokeweight="2.75pt" strokecolor="#0099d9">
              <v:stroke dashstyle="solid"/>
            </v:line>
            <v:shape style="position:absolute;left:2073;top:396;width:490;height:718" coordorigin="2073,396" coordsize="490,718" path="m2073,516l2108,441m2108,441l2131,396m2131,396l2166,606m2166,606l2188,441m2188,441l2221,546m2221,546l2246,576m2246,576l2278,816m2278,816l2301,936m2301,936l2336,921m2336,921l2358,801m2358,801l2393,981m2393,981l2428,1039m2428,1039l2451,1114m2451,1114l2483,951m2483,951l2506,981m2506,981l2541,1011m2541,1011l2563,981e" filled="false" stroked="true" strokeweight="1pt" strokecolor="#0099d9">
              <v:path arrowok="t"/>
              <v:stroke dashstyle="solid"/>
            </v:shape>
            <v:line style="position:absolute" from="2553,982" to="2608,982" stroked="true" strokeweight="1.125pt" strokecolor="#0099d9">
              <v:stroke dashstyle="solid"/>
            </v:line>
            <v:line style="position:absolute" from="2609,971" to="2609,1289" stroked="true" strokeweight="2.125pt" strokecolor="#0099d9">
              <v:stroke dashstyle="solid"/>
            </v:line>
            <v:shape style="position:absolute;left:2620;top:546;width:845;height:1315" coordorigin="2621,546" coordsize="845,1315" path="m2621,1279l2656,591m2656,591l2678,561m2678,561l2713,591m2713,591l2746,561m2746,561l2768,591m2768,591l2803,606m2803,606l2826,741m2826,741l2861,606m2861,606l2883,711m2883,711l2918,861m2918,861l2941,756m2941,756l2976,801m2976,801l2998,804m2998,801l3031,756m3031,756l3066,921m3066,921l3088,831m3088,831l3123,621m3123,621l3146,546m3146,546l3181,771m3181,771l3203,876m3203,876l3236,981m3236,981l3261,891m3261,891l3293,1159m3293,1159l3316,1219m3316,1219l3351,1324m3351,1324l3386,1549m3386,1549l3408,1551m3408,1549l3443,1414m3443,1414l3466,1861e" filled="false" stroked="true" strokeweight="1pt" strokecolor="#0099d9">
              <v:path arrowok="t"/>
              <v:stroke dashstyle="solid"/>
            </v:shape>
            <v:line style="position:absolute" from="3456,1862" to="3508,1862" stroked="true" strokeweight="1.125pt" strokecolor="#0099d9">
              <v:stroke dashstyle="solid"/>
            </v:line>
            <v:shape style="position:absolute;left:3498;top:906;width:208;height:955" coordorigin="3498,906" coordsize="208,955" path="m3498,1861l3523,1669m3523,1669l3556,1549m3556,1549l3578,1354m3578,1354l3613,1219m3613,1219l3636,1144m3636,1144l3671,1011m3671,1011l3706,906e" filled="false" stroked="true" strokeweight="1pt" strokecolor="#0099d9">
              <v:path arrowok="t"/>
              <v:stroke dashstyle="solid"/>
            </v:shape>
            <v:line style="position:absolute" from="3717,656" to="3717,916" stroked="true" strokeweight="2.125pt" strokecolor="#0099d9">
              <v:stroke dashstyle="solid"/>
            </v:line>
            <v:shape style="position:absolute;left:3728;top:621;width:113;height:120" coordorigin="3728,621" coordsize="113,120" path="m3728,666l3761,711m3761,711l3783,621m3783,621l3818,711m3818,711l3841,741e" filled="false" stroked="true" strokeweight="1pt" strokecolor="#0099d9">
              <v:path arrowok="t"/>
              <v:stroke dashstyle="solid"/>
            </v:shape>
            <v:line style="position:absolute" from="3858,401" to="3858,751" stroked="true" strokeweight="2.75pt" strokecolor="#0099d9">
              <v:stroke dashstyle="solid"/>
            </v:line>
            <v:shape style="position:absolute;left:3875;top:411;width:115;height:570" coordorigin="3876,411" coordsize="115,570" path="m3876,411l3898,861m3898,861l3933,921m3933,921l3956,891m3956,891l3991,981e" filled="false" stroked="true" strokeweight="1pt" strokecolor="#0099d9">
              <v:path arrowok="t"/>
              <v:stroke dashstyle="solid"/>
            </v:shape>
            <v:shape style="position:absolute;left:1105;top:701;width:190;height:423" type="#_x0000_t75" stroked="false">
              <v:imagedata r:id="rId114" o:title=""/>
            </v:shape>
            <v:line style="position:absolute" from="1303,671" to="1303,1124" stroked="true" strokeweight="2.75pt" strokecolor="#de0035">
              <v:stroke dashstyle="solid"/>
            </v:line>
            <v:shape style="position:absolute;left:1320;top:681;width:58;height:255" coordorigin="1321,681" coordsize="58,255" path="m1321,681l1343,876m1343,876l1378,936e" filled="false" stroked="true" strokeweight="1pt" strokecolor="#de0035">
              <v:path arrowok="t"/>
              <v:stroke dashstyle="solid"/>
            </v:shape>
            <v:line style="position:absolute" from="1389,926" to="1389,1199" stroked="true" strokeweight="2.125pt" strokecolor="#de0035">
              <v:stroke dashstyle="solid"/>
            </v:line>
            <v:line style="position:absolute" from="1401,1189" to="1436,1159" stroked="true" strokeweight="1pt" strokecolor="#de0035">
              <v:stroke dashstyle="solid"/>
            </v:line>
            <v:line style="position:absolute" from="1426,1160" to="1478,1160" stroked="true" strokeweight="1.125pt" strokecolor="#de0035">
              <v:stroke dashstyle="solid"/>
            </v:line>
            <v:line style="position:absolute" from="1468,1159" to="1491,711" stroked="true" strokeweight="1pt" strokecolor="#de0035">
              <v:stroke dashstyle="solid"/>
            </v:line>
            <v:line style="position:absolute" from="1508,299" to="1508,721" stroked="true" strokeweight="2.75pt" strokecolor="#de0035">
              <v:stroke dashstyle="solid"/>
            </v:line>
            <v:line style="position:absolute" from="1526,309" to="1548,129" stroked="true" strokeweight="1pt" strokecolor="#de0035">
              <v:stroke dashstyle="solid"/>
            </v:line>
            <v:line style="position:absolute" from="1566,119" to="1566,601" stroked="true" strokeweight="2.75pt" strokecolor="#de0035">
              <v:stroke dashstyle="solid"/>
            </v:line>
            <v:line style="position:absolute" from="1583,591" to="1606,1114" stroked="true" strokeweight="1pt" strokecolor="#de0035">
              <v:stroke dashstyle="solid"/>
            </v:line>
            <v:shape style="position:absolute;left:1595;top:791;width:203;height:663" type="#_x0000_t75" stroked="false">
              <v:imagedata r:id="rId115" o:title=""/>
            </v:shape>
            <v:shape style="position:absolute;left:1788;top:-52;width:228;height:853" coordorigin="1788,-51" coordsize="228,853" path="m1788,801l1811,279m1811,279l1846,24m1846,24l1868,-51m1868,-51l1903,84m1903,84l1926,114m1926,114l1958,264m1958,264l1983,411m1983,411l2016,636e" filled="false" stroked="true" strokeweight="1pt" strokecolor="#de0035">
              <v:path arrowok="t"/>
              <v:stroke dashstyle="solid"/>
            </v:shape>
            <v:line style="position:absolute" from="2027,416" to="2027,646" stroked="true" strokeweight="2.125pt" strokecolor="#de0035">
              <v:stroke dashstyle="solid"/>
            </v:line>
            <v:shape style="position:absolute;left:2038;top:248;width:70;height:178" coordorigin="2038,249" coordsize="70,178" path="m2038,426l2073,354m2073,354l2108,249e" filled="false" stroked="true" strokeweight="1pt" strokecolor="#de0035">
              <v:path arrowok="t"/>
              <v:stroke dashstyle="solid"/>
            </v:shape>
            <v:line style="position:absolute" from="2119,239" to="2119,526" stroked="true" strokeweight="2.125pt" strokecolor="#de0035">
              <v:stroke dashstyle="solid"/>
            </v:line>
            <v:line style="position:absolute" from="2148,506" to="2148,871" stroked="true" strokeweight="2.75pt" strokecolor="#de0035">
              <v:stroke dashstyle="solid"/>
            </v:line>
            <v:line style="position:absolute" from="2177,851" to="2177,1169" stroked="true" strokeweight="2.125pt" strokecolor="#de0035">
              <v:stroke dashstyle="solid"/>
            </v:line>
            <v:shape style="position:absolute;left:2188;top:1038;width:90;height:330" coordorigin="2188,1039" coordsize="90,330" path="m2188,1159l2221,1369m2221,1369l2246,1174m2246,1174l2278,1039e" filled="false" stroked="true" strokeweight="1pt" strokecolor="#de0035">
              <v:path arrowok="t"/>
              <v:stroke dashstyle="solid"/>
            </v:shape>
            <v:line style="position:absolute" from="2289,791" to="2289,1049" stroked="true" strokeweight="2.125pt" strokecolor="#de0035">
              <v:stroke dashstyle="solid"/>
            </v:line>
            <v:shape style="position:absolute;left:2300;top:801;width:93;height:150" coordorigin="2301,801" coordsize="93,150" path="m2301,801l2336,861m2336,861l2358,864m2358,861l2393,951e" filled="false" stroked="true" strokeweight="1pt" strokecolor="#de0035">
              <v:path arrowok="t"/>
              <v:stroke dashstyle="solid"/>
            </v:shape>
            <v:line style="position:absolute" from="2383,952" to="2438,952" stroked="true" strokeweight="1.125pt" strokecolor="#de0035">
              <v:stroke dashstyle="solid"/>
            </v:line>
            <v:shape style="position:absolute;left:2428;top:951;width:113;height:178" coordorigin="2428,951" coordsize="113,178" path="m2428,951l2451,1054m2451,1054l2483,1129m2483,1129l2506,1084m2506,1084l2541,1099e" filled="false" stroked="true" strokeweight="1pt" strokecolor="#de0035">
              <v:path arrowok="t"/>
              <v:stroke dashstyle="solid"/>
            </v:shape>
            <v:line style="position:absolute" from="2552,866" to="2552,1109" stroked="true" strokeweight="2.125pt" strokecolor="#de0035">
              <v:stroke dashstyle="solid"/>
            </v:line>
            <v:shape style="position:absolute;left:2563;top:876;width:93;height:403" coordorigin="2563,876" coordsize="93,403" path="m2563,876l2598,1129m2598,1129l2621,1084m2621,1084l2656,1279e" filled="false" stroked="true" strokeweight="1pt" strokecolor="#de0035">
              <v:path arrowok="t"/>
              <v:stroke dashstyle="solid"/>
            </v:shape>
            <v:line style="position:absolute" from="2667,956" to="2667,1289" stroked="true" strokeweight="2.125pt" strokecolor="#de0035">
              <v:stroke dashstyle="solid"/>
            </v:line>
            <v:shape style="position:absolute;left:2678;top:576;width:240;height:390" coordorigin="2678,576" coordsize="240,390" path="m2678,966l2713,906m2713,906l2746,831m2746,831l2768,921m2768,921l2803,816m2803,816l2826,771m2826,771l2861,576m2861,576l2883,591m2883,591l2918,636e" filled="false" stroked="true" strokeweight="1pt" strokecolor="#de0035">
              <v:path arrowok="t"/>
              <v:stroke dashstyle="solid"/>
            </v:shape>
            <v:line style="position:absolute" from="2929,626" to="2929,961" stroked="true" strokeweight="2.125pt" strokecolor="#de0035">
              <v:stroke dashstyle="solid"/>
            </v:line>
            <v:shape style="position:absolute;left:2940;top:636;width:820;height:853" coordorigin="2941,636" coordsize="820,853" path="m2941,951l2976,1234m2976,1234l2998,1189m2998,1189l3031,966m3031,966l3066,756m3066,756l3088,801m3088,801l3123,1039m3123,1039l3146,1084m3146,1084l3181,1069m3181,1069l3203,981m3203,981l3236,891m3236,891l3261,894m3261,891l3293,771m3293,771l3316,906m3316,906l3351,876m3351,876l3386,981m3386,981l3408,921m3408,921l3443,1144m3443,1144l3466,1294m3466,1294l3498,1489m3498,1489l3523,1474m3523,1474l3556,1429m3556,1429l3578,1369m3578,1369l3613,1204m3613,1204l3636,1069m3636,1069l3671,876m3671,876l3706,906m3706,906l3728,756m3728,756l3761,636e" filled="false" stroked="true" strokeweight="1pt" strokecolor="#de0035">
              <v:path arrowok="t"/>
              <v:stroke dashstyle="solid"/>
            </v:shape>
            <v:line style="position:absolute" from="3772,359" to="3772,646" stroked="true" strokeweight="2.125pt" strokecolor="#de0035">
              <v:stroke dashstyle="solid"/>
            </v:line>
            <v:shape style="position:absolute;left:3783;top:368;width:150;height:880" coordorigin="3783,369" coordsize="150,880" path="m3783,369l3818,426m3818,426l3841,561m3841,561l3876,816m3876,816l3898,981m3898,981l3933,1249e" filled="false" stroked="true" strokeweight="1pt" strokecolor="#de0035">
              <v:path arrowok="t"/>
              <v:stroke dashstyle="solid"/>
            </v:shape>
            <v:shape style="position:absolute;left:962;top:56;width:3024;height:1460" coordorigin="962,56" coordsize="3024,1460" path="m1049,56l962,56m1049,546l962,546m1049,1039l962,1039m1049,1516l962,1516m1116,1040l3986,1040e" filled="false" stroked="true" strokeweight=".5pt" strokecolor="#000000">
              <v:path arrowok="t"/>
              <v:stroke dashstyle="solid"/>
            </v:shape>
            <w10:wrap type="none"/>
          </v:group>
        </w:pict>
      </w:r>
      <w:r>
        <w:rPr>
          <w:sz w:val="12"/>
        </w:rPr>
        <w:t>60</w:t>
      </w:r>
    </w:p>
    <w:p>
      <w:pPr>
        <w:pStyle w:val="BodyText"/>
        <w:rPr>
          <w:sz w:val="12"/>
        </w:rPr>
      </w:pPr>
    </w:p>
    <w:p>
      <w:pPr>
        <w:pStyle w:val="BodyText"/>
        <w:spacing w:before="6"/>
        <w:rPr>
          <w:sz w:val="17"/>
        </w:rPr>
      </w:pPr>
    </w:p>
    <w:p>
      <w:pPr>
        <w:spacing w:before="0"/>
        <w:ind w:left="171" w:right="0" w:firstLine="0"/>
        <w:jc w:val="left"/>
        <w:rPr>
          <w:sz w:val="12"/>
        </w:rPr>
      </w:pPr>
      <w:r>
        <w:rPr>
          <w:sz w:val="12"/>
        </w:rPr>
        <w:t>55</w:t>
      </w:r>
    </w:p>
    <w:p>
      <w:pPr>
        <w:pStyle w:val="BodyText"/>
        <w:rPr>
          <w:sz w:val="12"/>
        </w:rPr>
      </w:pPr>
    </w:p>
    <w:p>
      <w:pPr>
        <w:pStyle w:val="BodyText"/>
        <w:rPr>
          <w:sz w:val="12"/>
        </w:rPr>
      </w:pPr>
    </w:p>
    <w:p>
      <w:pPr>
        <w:spacing w:before="81"/>
        <w:ind w:left="171" w:right="0" w:firstLine="0"/>
        <w:jc w:val="left"/>
        <w:rPr>
          <w:sz w:val="12"/>
        </w:rPr>
      </w:pPr>
      <w:r>
        <w:rPr>
          <w:sz w:val="12"/>
        </w:rPr>
        <w:t>50</w:t>
      </w:r>
    </w:p>
    <w:p>
      <w:pPr>
        <w:pStyle w:val="BodyText"/>
        <w:rPr>
          <w:sz w:val="12"/>
        </w:rPr>
      </w:pPr>
    </w:p>
    <w:p>
      <w:pPr>
        <w:pStyle w:val="BodyText"/>
        <w:spacing w:before="6"/>
        <w:rPr>
          <w:sz w:val="17"/>
        </w:rPr>
      </w:pPr>
    </w:p>
    <w:p>
      <w:pPr>
        <w:spacing w:before="0"/>
        <w:ind w:left="171" w:right="0" w:firstLine="0"/>
        <w:jc w:val="left"/>
        <w:rPr>
          <w:sz w:val="12"/>
        </w:rPr>
      </w:pPr>
      <w:r>
        <w:rPr>
          <w:sz w:val="12"/>
        </w:rPr>
        <w:t>45</w:t>
      </w:r>
    </w:p>
    <w:p>
      <w:pPr>
        <w:spacing w:line="218" w:lineRule="auto" w:before="112"/>
        <w:ind w:left="1652" w:right="35" w:hanging="363"/>
        <w:jc w:val="left"/>
        <w:rPr>
          <w:sz w:val="12"/>
        </w:rPr>
      </w:pPr>
      <w:r>
        <w:rPr/>
        <w:br w:type="column"/>
      </w:r>
      <w:r>
        <w:rPr>
          <w:sz w:val="12"/>
        </w:rPr>
        <w:t>Percentage change, three months on previous three mont</w:t>
      </w:r>
      <w:r>
        <w:rPr>
          <w:sz w:val="12"/>
          <w:u w:val="single"/>
        </w:rPr>
        <w:t>h</w:t>
      </w:r>
      <w:r>
        <w:rPr>
          <w:sz w:val="12"/>
        </w:rPr>
        <w:t>s </w:t>
      </w:r>
      <w:r>
        <w:rPr>
          <w:position w:val="-5"/>
          <w:sz w:val="12"/>
        </w:rPr>
        <w:t>3</w:t>
      </w:r>
    </w:p>
    <w:p>
      <w:pPr>
        <w:spacing w:line="242" w:lineRule="auto" w:before="16"/>
        <w:ind w:left="201" w:right="1420" w:hanging="30"/>
        <w:jc w:val="left"/>
        <w:rPr>
          <w:sz w:val="12"/>
        </w:rPr>
      </w:pPr>
      <w:r>
        <w:rPr>
          <w:sz w:val="12"/>
        </w:rPr>
        <w:t>Manufacturing output growth (right-hand scale)</w:t>
      </w:r>
    </w:p>
    <w:p>
      <w:pPr>
        <w:spacing w:before="46"/>
        <w:ind w:left="2913" w:right="0" w:firstLine="0"/>
        <w:jc w:val="left"/>
        <w:rPr>
          <w:sz w:val="12"/>
        </w:rPr>
      </w:pPr>
      <w:r>
        <w:rPr/>
        <w:pict>
          <v:line style="position:absolute;mso-position-horizontal-relative:page;mso-position-vertical-relative:paragraph;z-index:16060928" from="208.112999pt,6.131391pt" to="203.779999pt,6.131391pt" stroked="true" strokeweight=".5pt" strokecolor="#000000">
            <v:stroke dashstyle="solid"/>
            <w10:wrap type="none"/>
          </v:line>
        </w:pict>
      </w:r>
      <w:r>
        <w:rPr>
          <w:sz w:val="12"/>
        </w:rPr>
        <w:t>2</w:t>
      </w:r>
    </w:p>
    <w:p>
      <w:pPr>
        <w:pStyle w:val="BodyText"/>
        <w:rPr>
          <w:sz w:val="12"/>
        </w:rPr>
      </w:pPr>
    </w:p>
    <w:p>
      <w:pPr>
        <w:pStyle w:val="BodyText"/>
        <w:spacing w:before="6"/>
        <w:rPr>
          <w:sz w:val="17"/>
        </w:rPr>
      </w:pPr>
    </w:p>
    <w:p>
      <w:pPr>
        <w:spacing w:before="0"/>
        <w:ind w:left="2913" w:right="0" w:firstLine="0"/>
        <w:jc w:val="left"/>
        <w:rPr>
          <w:sz w:val="12"/>
        </w:rPr>
      </w:pPr>
      <w:r>
        <w:rPr/>
        <w:pict>
          <v:line style="position:absolute;mso-position-horizontal-relative:page;mso-position-vertical-relative:paragraph;z-index:16061440" from="208.112999pt,4.456207pt" to="203.779999pt,4.456207pt" stroked="true" strokeweight=".5pt" strokecolor="#000000">
            <v:stroke dashstyle="solid"/>
            <w10:wrap type="none"/>
          </v:line>
        </w:pict>
      </w:r>
      <w:r>
        <w:rPr>
          <w:sz w:val="12"/>
        </w:rPr>
        <w:t>1</w:t>
      </w:r>
    </w:p>
    <w:p>
      <w:pPr>
        <w:pStyle w:val="BodyText"/>
        <w:spacing w:before="2"/>
        <w:rPr>
          <w:sz w:val="13"/>
        </w:rPr>
      </w:pPr>
    </w:p>
    <w:p>
      <w:pPr>
        <w:spacing w:before="0"/>
        <w:ind w:left="2838" w:right="0" w:firstLine="0"/>
        <w:jc w:val="left"/>
        <w:rPr>
          <w:sz w:val="16"/>
        </w:rPr>
      </w:pPr>
      <w:r>
        <w:rPr>
          <w:w w:val="100"/>
          <w:sz w:val="16"/>
        </w:rPr>
        <w:t>+</w:t>
      </w:r>
    </w:p>
    <w:p>
      <w:pPr>
        <w:spacing w:before="22"/>
        <w:ind w:left="2913" w:right="0" w:firstLine="0"/>
        <w:jc w:val="left"/>
        <w:rPr>
          <w:sz w:val="12"/>
        </w:rPr>
      </w:pPr>
      <w:r>
        <w:rPr/>
        <w:pict>
          <v:line style="position:absolute;mso-position-horizontal-relative:page;mso-position-vertical-relative:paragraph;z-index:16061952" from="208.112999pt,5.431207pt" to="203.779999pt,5.431207pt" stroked="true" strokeweight=".5pt" strokecolor="#000000">
            <v:stroke dashstyle="solid"/>
            <w10:wrap type="none"/>
          </v:line>
        </w:pict>
      </w:r>
      <w:r>
        <w:rPr>
          <w:sz w:val="12"/>
        </w:rPr>
        <w:t>0</w:t>
      </w:r>
    </w:p>
    <w:p>
      <w:pPr>
        <w:spacing w:before="59"/>
        <w:ind w:left="2848" w:right="0" w:firstLine="0"/>
        <w:jc w:val="left"/>
        <w:rPr>
          <w:sz w:val="16"/>
        </w:rPr>
      </w:pPr>
      <w:r>
        <w:rPr>
          <w:sz w:val="16"/>
        </w:rPr>
        <w:t>–</w:t>
      </w:r>
    </w:p>
    <w:p>
      <w:pPr>
        <w:spacing w:before="96"/>
        <w:ind w:left="2913" w:right="0" w:firstLine="0"/>
        <w:jc w:val="left"/>
        <w:rPr>
          <w:sz w:val="12"/>
        </w:rPr>
      </w:pPr>
      <w:r>
        <w:rPr/>
        <w:pict>
          <v:line style="position:absolute;mso-position-horizontal-relative:page;mso-position-vertical-relative:paragraph;z-index:16062464" from="208.112999pt,9.130994pt" to="203.779999pt,9.130994pt" stroked="true" strokeweight=".5pt" strokecolor="#000000">
            <v:stroke dashstyle="solid"/>
            <w10:wrap type="none"/>
          </v:line>
        </w:pict>
      </w:r>
      <w:r>
        <w:rPr>
          <w:sz w:val="12"/>
        </w:rPr>
        <w:t>1</w:t>
      </w:r>
    </w:p>
    <w:p>
      <w:pPr>
        <w:pStyle w:val="BodyText"/>
        <w:spacing w:before="5"/>
        <w:rPr>
          <w:sz w:val="26"/>
        </w:rPr>
      </w:pPr>
      <w:r>
        <w:rPr/>
        <w:br w:type="column"/>
      </w:r>
      <w:r>
        <w:rPr>
          <w:sz w:val="26"/>
        </w:rPr>
      </w:r>
    </w:p>
    <w:p>
      <w:pPr>
        <w:pStyle w:val="Heading6"/>
        <w:spacing w:line="242" w:lineRule="auto" w:before="1"/>
        <w:ind w:left="171"/>
      </w:pPr>
      <w:r>
        <w:rPr/>
        <w:t>Service sector output rose by 0.9% in 1999 Q4. The strongest growth remained in the post and telecommunications sector, though rapid expansion was also reported in transport and financial intermediation. Preliminary estimates suggest that service sector output rose by a further 0.8% in 2000 Q1 (see Chart 2.19), to a level 3.2% higher than a year earlier, and survey data indicate that the outlook for service sector output</w:t>
      </w:r>
    </w:p>
    <w:p>
      <w:pPr>
        <w:spacing w:after="0" w:line="242" w:lineRule="auto"/>
        <w:sectPr>
          <w:type w:val="continuous"/>
          <w:pgSz w:w="11900" w:h="16840"/>
          <w:pgMar w:top="1220" w:bottom="280" w:left="640" w:right="620"/>
          <w:cols w:num="3" w:equalWidth="0">
            <w:col w:w="604" w:space="58"/>
            <w:col w:w="3014" w:space="1098"/>
            <w:col w:w="5866"/>
          </w:cols>
        </w:sectPr>
      </w:pPr>
    </w:p>
    <w:p>
      <w:pPr>
        <w:tabs>
          <w:tab w:pos="1528" w:val="left" w:leader="none"/>
          <w:tab w:pos="3635" w:val="right" w:leader="none"/>
        </w:tabs>
        <w:spacing w:line="163" w:lineRule="auto" w:before="147"/>
        <w:ind w:left="171" w:right="0" w:firstLine="0"/>
        <w:jc w:val="left"/>
        <w:rPr>
          <w:sz w:val="12"/>
        </w:rPr>
      </w:pPr>
      <w:r>
        <w:rPr/>
        <w:pict>
          <v:line style="position:absolute;mso-position-horizontal-relative:page;mso-position-vertical-relative:paragraph;z-index:-22551552" from="52.446999pt,12.313066pt" to="48.112999pt,12.313066pt" stroked="true" strokeweight=".5pt" strokecolor="#000000">
            <v:stroke dashstyle="solid"/>
            <w10:wrap type="none"/>
          </v:line>
        </w:pict>
      </w:r>
      <w:r>
        <w:rPr/>
        <w:pict>
          <v:line style="position:absolute;mso-position-horizontal-relative:page;mso-position-vertical-relative:paragraph;z-index:-22548480" from="208.112999pt,12.313066pt" to="203.779999pt,12.313066pt" stroked="true" strokeweight=".5pt" strokecolor="#000000">
            <v:stroke dashstyle="solid"/>
            <w10:wrap type="none"/>
          </v:line>
        </w:pict>
      </w:r>
      <w:r>
        <w:rPr>
          <w:position w:val="-4"/>
          <w:sz w:val="12"/>
        </w:rPr>
        <w:t>40</w:t>
        <w:tab/>
      </w:r>
      <w:r>
        <w:rPr>
          <w:sz w:val="12"/>
        </w:rPr>
        <w:t>CIPS purchasing managers’ index</w:t>
        <w:tab/>
      </w:r>
      <w:r>
        <w:rPr>
          <w:position w:val="-2"/>
          <w:sz w:val="12"/>
        </w:rPr>
        <w:t>2</w:t>
      </w:r>
    </w:p>
    <w:p>
      <w:pPr>
        <w:spacing w:line="114" w:lineRule="exact" w:before="0"/>
        <w:ind w:left="1558" w:right="0" w:firstLine="0"/>
        <w:jc w:val="left"/>
        <w:rPr>
          <w:sz w:val="12"/>
        </w:rPr>
      </w:pPr>
      <w:r>
        <w:rPr>
          <w:sz w:val="12"/>
        </w:rPr>
        <w:t>of manufacturing activity (a)</w:t>
      </w:r>
    </w:p>
    <w:p>
      <w:pPr>
        <w:spacing w:before="2"/>
        <w:ind w:left="1558" w:right="0" w:firstLine="0"/>
        <w:jc w:val="left"/>
        <w:rPr>
          <w:sz w:val="12"/>
        </w:rPr>
      </w:pPr>
      <w:r>
        <w:rPr>
          <w:sz w:val="12"/>
        </w:rPr>
        <w:t>(left-hand scale)</w:t>
      </w:r>
    </w:p>
    <w:p>
      <w:pPr>
        <w:tabs>
          <w:tab w:pos="3575" w:val="left" w:leader="none"/>
        </w:tabs>
        <w:spacing w:line="141" w:lineRule="exact" w:before="89"/>
        <w:ind w:left="171" w:right="0" w:firstLine="0"/>
        <w:jc w:val="left"/>
        <w:rPr>
          <w:sz w:val="12"/>
        </w:rPr>
      </w:pPr>
      <w:r>
        <w:rPr/>
        <w:pict>
          <v:shape style="position:absolute;margin-left:48.112999pt;margin-top:6.59257pt;width:151.450pt;height:2.7pt;mso-position-horizontal-relative:page;mso-position-vertical-relative:paragraph;z-index:-22552576" coordorigin="962,132" coordsize="3029,54" path="m1116,178l3991,180m1049,170l962,170m1116,132l1116,185m1466,132l1466,185m1806,132l1806,185m2166,132l2166,185m2506,132l2506,185m2856,132l2856,185m3196,132l3196,185m3556,132l3556,185m3896,132l3896,185e" filled="false" stroked="true" strokeweight=".5pt" strokecolor="#000000">
            <v:path arrowok="t"/>
            <v:stroke dashstyle="solid"/>
            <w10:wrap type="none"/>
          </v:shape>
        </w:pict>
      </w:r>
      <w:r>
        <w:rPr/>
        <w:pict>
          <v:line style="position:absolute;mso-position-horizontal-relative:page;mso-position-vertical-relative:paragraph;z-index:-22547968" from="208.112999pt,8.50957pt" to="203.779999pt,8.50957pt" stroked="true" strokeweight=".5pt" strokecolor="#000000">
            <v:stroke dashstyle="solid"/>
            <w10:wrap type="none"/>
          </v:line>
        </w:pict>
      </w:r>
      <w:r>
        <w:rPr>
          <w:sz w:val="12"/>
        </w:rPr>
        <w:t>35</w:t>
        <w:tab/>
      </w:r>
      <w:r>
        <w:rPr>
          <w:position w:val="2"/>
          <w:sz w:val="12"/>
        </w:rPr>
        <w:t>3</w:t>
      </w:r>
    </w:p>
    <w:p>
      <w:pPr>
        <w:tabs>
          <w:tab w:pos="1280" w:val="left" w:leader="none"/>
          <w:tab w:pos="1633" w:val="left" w:leader="none"/>
          <w:tab w:pos="1975" w:val="left" w:leader="none"/>
          <w:tab w:pos="2330" w:val="left" w:leader="none"/>
          <w:tab w:pos="2670" w:val="left" w:leader="none"/>
          <w:tab w:pos="3035" w:val="left" w:leader="none"/>
        </w:tabs>
        <w:spacing w:line="121" w:lineRule="exact" w:before="0"/>
        <w:ind w:left="533" w:right="0" w:firstLine="0"/>
        <w:jc w:val="left"/>
        <w:rPr>
          <w:sz w:val="12"/>
        </w:rPr>
      </w:pPr>
      <w:r>
        <w:rPr>
          <w:sz w:val="12"/>
        </w:rPr>
        <w:t>1992    </w:t>
      </w:r>
      <w:r>
        <w:rPr>
          <w:spacing w:val="15"/>
          <w:sz w:val="12"/>
        </w:rPr>
        <w:t> </w:t>
      </w:r>
      <w:r>
        <w:rPr>
          <w:sz w:val="12"/>
        </w:rPr>
        <w:t>93</w:t>
        <w:tab/>
        <w:t>94</w:t>
        <w:tab/>
        <w:t>95</w:t>
        <w:tab/>
        <w:t>96</w:t>
        <w:tab/>
        <w:t>97</w:t>
        <w:tab/>
        <w:t>98</w:t>
        <w:tab/>
        <w:t>99</w:t>
      </w:r>
      <w:r>
        <w:rPr>
          <w:spacing w:val="27"/>
          <w:sz w:val="12"/>
        </w:rPr>
        <w:t> </w:t>
      </w:r>
      <w:r>
        <w:rPr>
          <w:sz w:val="12"/>
        </w:rPr>
        <w:t>2000</w:t>
      </w:r>
    </w:p>
    <w:p>
      <w:pPr>
        <w:pStyle w:val="BodyText"/>
        <w:rPr>
          <w:sz w:val="12"/>
        </w:rPr>
      </w:pPr>
    </w:p>
    <w:p>
      <w:pPr>
        <w:pStyle w:val="BodyText"/>
        <w:spacing w:before="8"/>
        <w:rPr>
          <w:sz w:val="10"/>
        </w:rPr>
      </w:pPr>
    </w:p>
    <w:p>
      <w:pPr>
        <w:spacing w:before="0"/>
        <w:ind w:left="165" w:right="0" w:firstLine="0"/>
        <w:jc w:val="left"/>
        <w:rPr>
          <w:sz w:val="12"/>
        </w:rPr>
      </w:pPr>
      <w:r>
        <w:rPr>
          <w:sz w:val="12"/>
        </w:rPr>
        <w:t>Sources: ONS and CIPS.</w:t>
      </w:r>
    </w:p>
    <w:p>
      <w:pPr>
        <w:pStyle w:val="BodyText"/>
        <w:spacing w:before="2"/>
        <w:rPr>
          <w:sz w:val="10"/>
        </w:rPr>
      </w:pPr>
    </w:p>
    <w:p>
      <w:pPr>
        <w:spacing w:line="208" w:lineRule="auto" w:before="0"/>
        <w:ind w:left="405" w:right="0" w:hanging="240"/>
        <w:jc w:val="left"/>
        <w:rPr>
          <w:sz w:val="12"/>
        </w:rPr>
      </w:pPr>
      <w:r>
        <w:rPr>
          <w:sz w:val="12"/>
        </w:rPr>
        <w:t>(a) A reading above 50 suggests expansion, a reading below 50 suggests contraction.</w:t>
      </w:r>
    </w:p>
    <w:p>
      <w:pPr>
        <w:pStyle w:val="Heading6"/>
        <w:spacing w:line="242" w:lineRule="auto" w:before="10"/>
        <w:ind w:left="165" w:right="261"/>
      </w:pPr>
      <w:r>
        <w:rPr/>
        <w:br w:type="column"/>
      </w:r>
      <w:r>
        <w:rPr/>
        <w:t>remains firm. The CIPS business activity index for the service sector rose in March to its highest level since June 1997, and remained close to that level in April.</w:t>
      </w:r>
    </w:p>
    <w:p>
      <w:pPr>
        <w:spacing w:line="242" w:lineRule="auto" w:before="4"/>
        <w:ind w:left="165" w:right="236" w:firstLine="0"/>
        <w:jc w:val="left"/>
        <w:rPr>
          <w:sz w:val="24"/>
        </w:rPr>
      </w:pPr>
      <w:r>
        <w:rPr>
          <w:sz w:val="24"/>
        </w:rPr>
        <w:t>Consistent with this, the BCC survey suggests that domestic sales and orders in the service sector continued to increase strongly in 2000 Q1, albeit less rapidly than in Q4, while growth in export demand for services picked up in Q1 compared with Q4 despite the higher exchange rate.</w:t>
      </w:r>
    </w:p>
    <w:p>
      <w:pPr>
        <w:pStyle w:val="BodyText"/>
        <w:spacing w:before="8"/>
        <w:rPr>
          <w:sz w:val="26"/>
        </w:rPr>
      </w:pPr>
    </w:p>
    <w:p>
      <w:pPr>
        <w:spacing w:line="242" w:lineRule="auto" w:before="0"/>
        <w:ind w:left="165" w:right="239" w:firstLine="0"/>
        <w:jc w:val="left"/>
        <w:rPr>
          <w:sz w:val="24"/>
        </w:rPr>
      </w:pPr>
      <w:r>
        <w:rPr>
          <w:sz w:val="24"/>
        </w:rPr>
        <w:t>National Accounts data suggest that construction output grew by 0.6% in 1999 Q4, following similar growth in Q3, and was 2.1% higher than a year earlier. The outlook for construction remains positive. The volume of </w:t>
      </w:r>
      <w:r>
        <w:rPr>
          <w:spacing w:val="-3"/>
          <w:sz w:val="24"/>
        </w:rPr>
        <w:t>new </w:t>
      </w:r>
      <w:r>
        <w:rPr>
          <w:sz w:val="24"/>
        </w:rPr>
        <w:t>orders in the construction sector strengthened in recent months, rising by 5.8% in the three months to February compared with the previous three months.</w:t>
      </w:r>
      <w:r>
        <w:rPr>
          <w:spacing w:val="55"/>
          <w:sz w:val="24"/>
        </w:rPr>
        <w:t> </w:t>
      </w:r>
      <w:r>
        <w:rPr>
          <w:spacing w:val="-6"/>
          <w:sz w:val="24"/>
        </w:rPr>
        <w:t>The</w:t>
      </w:r>
    </w:p>
    <w:p>
      <w:pPr>
        <w:spacing w:after="0" w:line="242" w:lineRule="auto"/>
        <w:jc w:val="left"/>
        <w:rPr>
          <w:sz w:val="24"/>
        </w:rPr>
        <w:sectPr>
          <w:type w:val="continuous"/>
          <w:pgSz w:w="11900" w:h="16840"/>
          <w:pgMar w:top="1220" w:bottom="280" w:left="640" w:right="620"/>
          <w:cols w:num="2" w:equalWidth="0">
            <w:col w:w="3756" w:space="1024"/>
            <w:col w:w="5860"/>
          </w:cols>
        </w:sectPr>
      </w:pPr>
    </w:p>
    <w:p>
      <w:pPr>
        <w:pStyle w:val="BodyText"/>
        <w:rPr>
          <w:sz w:val="20"/>
        </w:rPr>
      </w:pPr>
    </w:p>
    <w:p>
      <w:pPr>
        <w:spacing w:after="0"/>
        <w:rPr>
          <w:sz w:val="20"/>
        </w:rPr>
        <w:sectPr>
          <w:pgSz w:w="11900" w:h="16840"/>
          <w:pgMar w:header="586" w:footer="597" w:top="780" w:bottom="780" w:left="640" w:right="620"/>
        </w:sectPr>
      </w:pPr>
    </w:p>
    <w:p>
      <w:pPr>
        <w:pStyle w:val="BodyText"/>
        <w:spacing w:before="3"/>
        <w:rPr>
          <w:sz w:val="19"/>
        </w:rPr>
      </w:pPr>
    </w:p>
    <w:p>
      <w:pPr>
        <w:spacing w:before="0"/>
        <w:ind w:left="184" w:right="0" w:firstLine="0"/>
        <w:jc w:val="left"/>
        <w:rPr>
          <w:b/>
          <w:sz w:val="20"/>
        </w:rPr>
      </w:pPr>
      <w:bookmarkStart w:name="Summary" w:id="51"/>
      <w:bookmarkEnd w:id="51"/>
      <w:r>
        <w:rPr/>
      </w:r>
      <w:bookmarkStart w:name="_bookmark25" w:id="52"/>
      <w:bookmarkEnd w:id="52"/>
      <w:r>
        <w:rPr/>
      </w:r>
      <w:r>
        <w:rPr>
          <w:b/>
          <w:color w:val="0092C7"/>
          <w:sz w:val="20"/>
        </w:rPr>
        <w:t>Chart 2.19</w:t>
      </w:r>
    </w:p>
    <w:p>
      <w:pPr>
        <w:spacing w:before="10"/>
        <w:ind w:left="184" w:right="0" w:firstLine="0"/>
        <w:jc w:val="left"/>
        <w:rPr>
          <w:b/>
          <w:sz w:val="20"/>
        </w:rPr>
      </w:pPr>
      <w:r>
        <w:rPr>
          <w:b/>
          <w:color w:val="0092C7"/>
          <w:sz w:val="20"/>
        </w:rPr>
        <w:t>Measures of services output</w:t>
      </w:r>
    </w:p>
    <w:p>
      <w:pPr>
        <w:spacing w:line="242" w:lineRule="auto" w:before="207"/>
        <w:ind w:left="184" w:right="93" w:firstLine="0"/>
        <w:jc w:val="left"/>
        <w:rPr>
          <w:sz w:val="24"/>
        </w:rPr>
      </w:pPr>
      <w:r>
        <w:rPr/>
        <w:br w:type="column"/>
      </w:r>
      <w:r>
        <w:rPr>
          <w:sz w:val="24"/>
        </w:rPr>
        <w:t>CIPS index of construction activity fell a little in April, but remains at a level consistent with rapid rates of</w:t>
      </w:r>
    </w:p>
    <w:p>
      <w:pPr>
        <w:spacing w:after="0" w:line="242" w:lineRule="auto"/>
        <w:jc w:val="left"/>
        <w:rPr>
          <w:sz w:val="24"/>
        </w:rPr>
        <w:sectPr>
          <w:type w:val="continuous"/>
          <w:pgSz w:w="11900" w:h="16840"/>
          <w:pgMar w:top="1220" w:bottom="280" w:left="640" w:right="620"/>
          <w:cols w:num="2" w:equalWidth="0">
            <w:col w:w="2596" w:space="2174"/>
            <w:col w:w="5870"/>
          </w:cols>
        </w:sectPr>
      </w:pPr>
    </w:p>
    <w:p>
      <w:pPr>
        <w:spacing w:before="104"/>
        <w:ind w:left="236" w:right="0" w:firstLine="0"/>
        <w:jc w:val="left"/>
        <w:rPr>
          <w:sz w:val="12"/>
        </w:rPr>
      </w:pPr>
      <w:r>
        <w:rPr/>
        <w:pict>
          <v:group style="position:absolute;margin-left:59.845001pt;margin-top:22.551868pt;width:153.4pt;height:106pt;mso-position-horizontal-relative:page;mso-position-vertical-relative:paragraph;z-index:16091648" coordorigin="1197,451" coordsize="3068,2120">
            <v:shape style="position:absolute;left:1206;top:461;width:2888;height:1953" coordorigin="1207,461" coordsize="2888,1953" path="m1207,799l1449,621m1449,621l1694,461m1694,461l1924,1254m1924,1254l2169,1651m2169,1651l2412,1106m2412,1106l2657,1681m2657,1681l2887,2414m2887,2414l3132,2239m3132,2239l3377,1871m3377,1871l3619,1519m3619,1519l3852,1181m3852,1181l4094,1549e" filled="false" stroked="true" strokeweight="1pt" strokecolor="#f6bd61">
              <v:path arrowok="t"/>
              <v:stroke dashstyle="solid"/>
            </v:shape>
            <v:shape style="position:absolute;left:1206;top:488;width:2645;height:2073" coordorigin="1207,489" coordsize="2645,2073" path="m1207,844l1449,489m1449,489l1694,1004m1694,1004l1924,1299m1924,1299l2169,1064m2169,1064l2412,1386m2412,1386l2657,1754m2657,1754l2887,2561m2887,2561l3132,2386m3132,2386l3377,1504m3377,1504l3619,1356m3619,1356l3852,1299e" filled="false" stroked="true" strokeweight="1pt" strokecolor="#0099d9">
              <v:path arrowok="t"/>
              <v:stroke dashstyle="solid"/>
            </v:shape>
            <v:line style="position:absolute" from="3842,1291" to="4104,1291" stroked="true" strokeweight="1.75pt" strokecolor="#0099d9">
              <v:stroke dashstyle="solid"/>
            </v:line>
            <v:shape style="position:absolute;left:4171;top:683;width:94;height:1640" coordorigin="4171,684" coordsize="94,1640" path="m4258,1914l4171,1914m4258,2324l4171,2324m4264,684l4178,684m4264,1094l4178,1094m4264,1504l4178,1504e" filled="false" stroked="true" strokeweight=".5pt" strokecolor="#000000">
              <v:path arrowok="t"/>
              <v:stroke dashstyle="solid"/>
            </v:shape>
            <v:line style="position:absolute" from="2994,927" to="3294,1440" stroked="true" strokeweight=".5pt" strokecolor="#000000">
              <v:stroke dashstyle="solid"/>
            </v:line>
            <v:shape style="position:absolute;left:3264;top:1412;width:65;height:86" coordorigin="3264,1413" coordsize="65,86" path="m3308,1413l3264,1438,3278,1449,3287,1457,3329,1499,3325,1490,3322,1480,3318,1468,3315,1455,3313,1444,3308,1413xe" filled="true" fillcolor="#000000" stroked="false">
              <v:path arrowok="t"/>
              <v:fill type="solid"/>
            </v:shape>
            <v:shape style="position:absolute;left:2516;top:645;width:1293;height:273" type="#_x0000_t202" filled="false" stroked="false">
              <v:textbox inset="0,0,0,0">
                <w:txbxContent>
                  <w:p>
                    <w:pPr>
                      <w:spacing w:line="242" w:lineRule="auto" w:before="0"/>
                      <w:ind w:left="30" w:right="0" w:hanging="30"/>
                      <w:jc w:val="left"/>
                      <w:rPr>
                        <w:sz w:val="12"/>
                      </w:rPr>
                    </w:pPr>
                    <w:r>
                      <w:rPr>
                        <w:sz w:val="12"/>
                      </w:rPr>
                      <w:t>CIPS business activity index (left-hand scale) (a)</w:t>
                    </w:r>
                  </w:p>
                </w:txbxContent>
              </v:textbox>
              <w10:wrap type="none"/>
            </v:shape>
            <v:shape style="position:absolute;left:1531;top:1667;width:1014;height:273" type="#_x0000_t202" filled="false" stroked="false">
              <v:textbox inset="0,0,0,0">
                <w:txbxContent>
                  <w:p>
                    <w:pPr>
                      <w:spacing w:line="242" w:lineRule="auto" w:before="0"/>
                      <w:ind w:left="30" w:right="18" w:hanging="30"/>
                      <w:jc w:val="left"/>
                      <w:rPr>
                        <w:sz w:val="12"/>
                      </w:rPr>
                    </w:pPr>
                    <w:r>
                      <w:rPr>
                        <w:sz w:val="12"/>
                      </w:rPr>
                      <w:t>ONS services output (right-hand scale)</w:t>
                    </w:r>
                  </w:p>
                </w:txbxContent>
              </v:textbox>
              <w10:wrap type="none"/>
            </v:shape>
            <w10:wrap type="none"/>
          </v:group>
        </w:pict>
      </w:r>
      <w:r>
        <w:rPr/>
        <w:pict>
          <v:line style="position:absolute;mso-position-horizontal-relative:page;mso-position-vertical-relative:paragraph;z-index:-22519296" from="56.053001pt,13.176867pt" to="51.720001pt,13.176867pt" stroked="true" strokeweight=".5pt" strokecolor="#000000">
            <v:stroke dashstyle="solid"/>
            <w10:wrap type="none"/>
          </v:line>
        </w:pict>
      </w:r>
      <w:r>
        <w:rPr>
          <w:position w:val="-7"/>
          <w:sz w:val="12"/>
        </w:rPr>
        <w:t>65 </w:t>
      </w:r>
      <w:r>
        <w:rPr>
          <w:sz w:val="12"/>
        </w:rPr>
        <w:t>Index</w:t>
      </w:r>
    </w:p>
    <w:p>
      <w:pPr>
        <w:pStyle w:val="BodyText"/>
        <w:rPr>
          <w:sz w:val="20"/>
        </w:rPr>
      </w:pPr>
    </w:p>
    <w:p>
      <w:pPr>
        <w:pStyle w:val="BodyText"/>
        <w:rPr>
          <w:sz w:val="20"/>
        </w:rPr>
      </w:pPr>
    </w:p>
    <w:p>
      <w:pPr>
        <w:spacing w:before="124"/>
        <w:ind w:left="217" w:right="328" w:firstLine="0"/>
        <w:jc w:val="center"/>
        <w:rPr>
          <w:sz w:val="12"/>
        </w:rPr>
      </w:pPr>
      <w:r>
        <w:rPr/>
        <w:pict>
          <v:line style="position:absolute;mso-position-horizontal-relative:page;mso-position-vertical-relative:paragraph;z-index:16092672" from="56.053001pt,10.110339pt" to="51.720001pt,10.110339pt" stroked="true" strokeweight=".5pt" strokecolor="#000000">
            <v:stroke dashstyle="solid"/>
            <w10:wrap type="none"/>
          </v:line>
        </w:pict>
      </w:r>
      <w:r>
        <w:rPr>
          <w:sz w:val="12"/>
        </w:rPr>
        <w:t>60</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217" w:right="328" w:firstLine="0"/>
        <w:jc w:val="center"/>
        <w:rPr>
          <w:sz w:val="12"/>
        </w:rPr>
      </w:pPr>
      <w:r>
        <w:rPr/>
        <w:pict>
          <v:line style="position:absolute;mso-position-horizontal-relative:page;mso-position-vertical-relative:paragraph;z-index:16093184" from="56.053001pt,3.910339pt" to="51.720001pt,3.910339pt" stroked="true" strokeweight=".5pt" strokecolor="#000000">
            <v:stroke dashstyle="solid"/>
            <w10:wrap type="none"/>
          </v:line>
        </w:pict>
      </w:r>
      <w:r>
        <w:rPr>
          <w:sz w:val="12"/>
        </w:rPr>
        <w:t>55</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217" w:right="328" w:firstLine="0"/>
        <w:jc w:val="center"/>
        <w:rPr>
          <w:sz w:val="12"/>
        </w:rPr>
      </w:pPr>
      <w:r>
        <w:rPr/>
        <w:pict>
          <v:line style="position:absolute;mso-position-horizontal-relative:page;mso-position-vertical-relative:paragraph;z-index:16093696" from="56.053001pt,3.910339pt" to="51.720001pt,3.910339pt" stroked="true" strokeweight=".5pt" strokecolor="#000000">
            <v:stroke dashstyle="solid"/>
            <w10:wrap type="none"/>
          </v:line>
        </w:pict>
      </w:r>
      <w:r>
        <w:rPr>
          <w:sz w:val="12"/>
        </w:rPr>
        <w:t>50</w:t>
      </w:r>
    </w:p>
    <w:p>
      <w:pPr>
        <w:pStyle w:val="BodyText"/>
        <w:rPr>
          <w:sz w:val="12"/>
        </w:rPr>
      </w:pPr>
    </w:p>
    <w:p>
      <w:pPr>
        <w:pStyle w:val="BodyText"/>
        <w:rPr>
          <w:sz w:val="12"/>
        </w:rPr>
      </w:pPr>
    </w:p>
    <w:p>
      <w:pPr>
        <w:pStyle w:val="BodyText"/>
        <w:rPr>
          <w:sz w:val="12"/>
        </w:rPr>
      </w:pPr>
    </w:p>
    <w:p>
      <w:pPr>
        <w:pStyle w:val="BodyText"/>
        <w:spacing w:before="7"/>
        <w:rPr>
          <w:sz w:val="14"/>
        </w:rPr>
      </w:pPr>
    </w:p>
    <w:p>
      <w:pPr>
        <w:spacing w:line="27" w:lineRule="exact" w:before="0"/>
        <w:ind w:left="217" w:right="328" w:firstLine="0"/>
        <w:jc w:val="center"/>
        <w:rPr>
          <w:sz w:val="12"/>
        </w:rPr>
      </w:pPr>
      <w:r>
        <w:rPr/>
        <w:pict>
          <v:group style="position:absolute;margin-left:59.970001pt;margin-top:-.818661pt;width:144.75pt;height:5pt;mso-position-horizontal-relative:page;mso-position-vertical-relative:paragraph;z-index:16094208" coordorigin="1199,-16" coordsize="2895,100">
            <v:shape style="position:absolute;left:1204;top:-17;width:2640;height:100" coordorigin="1204,-16" coordsize="2640,100" path="m1204,-16l1204,84m3374,30l3374,84m3614,30l3614,84m2164,-16l2164,84m3844,30l3844,84e" filled="false" stroked="true" strokeweight=".5pt" strokecolor="#000000">
              <v:path arrowok="t"/>
              <v:stroke dashstyle="solid"/>
            </v:shape>
            <v:line style="position:absolute" from="1204,79" to="4094,79" stroked="true" strokeweight=".5pt" strokecolor="#000000">
              <v:stroke dashstyle="solid"/>
            </v:line>
            <v:shape style="position:absolute;left:1454;top:-17;width:2630;height:100" coordorigin="1454,-16" coordsize="2630,100" path="m3124,-16l3124,84m4084,-16l4084,84m2414,30l2414,84m2654,30l2654,84m2884,30l2884,84m1454,30l1454,84m1694,30l1694,84m1924,30l1924,84e" filled="false" stroked="true" strokeweight=".5pt" strokecolor="#000000">
              <v:path arrowok="t"/>
              <v:stroke dashstyle="solid"/>
            </v:shape>
            <w10:wrap type="none"/>
          </v:group>
        </w:pict>
      </w:r>
      <w:r>
        <w:rPr>
          <w:sz w:val="12"/>
        </w:rPr>
        <w:t>45</w:t>
      </w:r>
    </w:p>
    <w:p>
      <w:pPr>
        <w:pStyle w:val="BodyText"/>
        <w:rPr>
          <w:sz w:val="4"/>
        </w:rPr>
      </w:pPr>
    </w:p>
    <w:p>
      <w:pPr>
        <w:pStyle w:val="BodyText"/>
        <w:spacing w:line="20" w:lineRule="exact"/>
        <w:ind w:left="389"/>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spacing w:before="104"/>
        <w:ind w:left="236" w:right="0" w:firstLine="0"/>
        <w:jc w:val="left"/>
        <w:rPr>
          <w:sz w:val="12"/>
        </w:rPr>
      </w:pPr>
      <w:r>
        <w:rPr/>
        <w:br w:type="column"/>
      </w:r>
      <w:r>
        <w:rPr>
          <w:sz w:val="12"/>
        </w:rPr>
        <w:t>Percentage change on a quarter earlier</w:t>
      </w:r>
    </w:p>
    <w:p>
      <w:pPr>
        <w:pStyle w:val="BodyText"/>
        <w:spacing w:line="20" w:lineRule="exact"/>
        <w:ind w:left="1962" w:right="-58"/>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1"/>
        </w:rPr>
      </w:pPr>
      <w:r>
        <w:rPr/>
        <w:pict>
          <v:shape style="position:absolute;margin-left:208.552994pt;margin-top:8.617227pt;width:4.350pt;height:.1pt;mso-position-horizontal-relative:page;mso-position-vertical-relative:paragraph;z-index:-15380480;mso-wrap-distance-left:0;mso-wrap-distance-right:0" coordorigin="4171,172" coordsize="87,0" path="m4258,172l4171,172e" filled="false" stroked="true" strokeweight=".5pt" strokecolor="#000000">
            <v:path arrowok="t"/>
            <v:stroke dashstyle="solid"/>
            <w10:wrap type="topAndBottom"/>
          </v:shape>
        </w:pict>
      </w:r>
      <w:r>
        <w:rPr/>
        <w:pict>
          <v:shape style="position:absolute;margin-left:208.552994pt;margin-top:29.117226pt;width:4.350pt;height:.1pt;mso-position-horizontal-relative:page;mso-position-vertical-relative:paragraph;z-index:-15379968;mso-wrap-distance-left:0;mso-wrap-distance-right:0" coordorigin="4171,582" coordsize="87,0" path="m4258,582l4171,582e" filled="false" stroked="true" strokeweight=".5pt" strokecolor="#000000">
            <v:path arrowok="t"/>
            <v:stroke dashstyle="solid"/>
            <w10:wrap type="topAndBottom"/>
          </v:shape>
        </w:pict>
      </w:r>
    </w:p>
    <w:p>
      <w:pPr>
        <w:pStyle w:val="BodyText"/>
        <w:spacing w:before="10"/>
        <w:rPr>
          <w:sz w:val="28"/>
        </w:rPr>
      </w:pPr>
    </w:p>
    <w:p>
      <w:pPr>
        <w:pStyle w:val="BodyText"/>
        <w:spacing w:before="10"/>
        <w:rPr>
          <w:sz w:val="17"/>
        </w:rPr>
      </w:pPr>
      <w:r>
        <w:rPr/>
        <w:br w:type="column"/>
      </w:r>
      <w:r>
        <w:rPr>
          <w:sz w:val="17"/>
        </w:rPr>
      </w:r>
    </w:p>
    <w:p>
      <w:pPr>
        <w:spacing w:before="0"/>
        <w:ind w:left="-17" w:right="0" w:firstLine="0"/>
        <w:jc w:val="left"/>
        <w:rPr>
          <w:sz w:val="12"/>
        </w:rPr>
      </w:pPr>
      <w:r>
        <w:rPr>
          <w:sz w:val="12"/>
        </w:rPr>
        <w:t>1.4</w:t>
      </w:r>
    </w:p>
    <w:p>
      <w:pPr>
        <w:pStyle w:val="BodyText"/>
        <w:rPr>
          <w:sz w:val="12"/>
        </w:rPr>
      </w:pPr>
    </w:p>
    <w:p>
      <w:pPr>
        <w:pStyle w:val="BodyText"/>
        <w:spacing w:before="6"/>
        <w:rPr>
          <w:sz w:val="11"/>
        </w:rPr>
      </w:pPr>
    </w:p>
    <w:p>
      <w:pPr>
        <w:spacing w:before="0"/>
        <w:ind w:left="-17" w:right="0" w:firstLine="0"/>
        <w:jc w:val="left"/>
        <w:rPr>
          <w:sz w:val="12"/>
        </w:rPr>
      </w:pPr>
      <w:r>
        <w:rPr>
          <w:sz w:val="12"/>
        </w:rPr>
        <w:t>1.2</w:t>
      </w:r>
    </w:p>
    <w:p>
      <w:pPr>
        <w:pStyle w:val="BodyText"/>
        <w:rPr>
          <w:sz w:val="12"/>
        </w:rPr>
      </w:pPr>
    </w:p>
    <w:p>
      <w:pPr>
        <w:pStyle w:val="BodyText"/>
        <w:spacing w:before="8"/>
        <w:rPr>
          <w:sz w:val="11"/>
        </w:rPr>
      </w:pPr>
    </w:p>
    <w:p>
      <w:pPr>
        <w:spacing w:before="0"/>
        <w:ind w:left="-17" w:right="0" w:firstLine="0"/>
        <w:jc w:val="left"/>
        <w:rPr>
          <w:sz w:val="12"/>
        </w:rPr>
      </w:pPr>
      <w:r>
        <w:rPr>
          <w:sz w:val="12"/>
        </w:rPr>
        <w:t>1.0</w:t>
      </w:r>
    </w:p>
    <w:p>
      <w:pPr>
        <w:pStyle w:val="BodyText"/>
        <w:rPr>
          <w:sz w:val="12"/>
        </w:rPr>
      </w:pPr>
    </w:p>
    <w:p>
      <w:pPr>
        <w:pStyle w:val="BodyText"/>
        <w:spacing w:before="10"/>
        <w:rPr>
          <w:sz w:val="11"/>
        </w:rPr>
      </w:pPr>
    </w:p>
    <w:p>
      <w:pPr>
        <w:spacing w:before="0"/>
        <w:ind w:left="-17" w:right="0" w:firstLine="0"/>
        <w:jc w:val="left"/>
        <w:rPr>
          <w:sz w:val="12"/>
        </w:rPr>
      </w:pPr>
      <w:r>
        <w:rPr>
          <w:sz w:val="12"/>
        </w:rPr>
        <w:t>0.8</w:t>
      </w:r>
    </w:p>
    <w:p>
      <w:pPr>
        <w:pStyle w:val="BodyText"/>
        <w:rPr>
          <w:sz w:val="12"/>
        </w:rPr>
      </w:pPr>
    </w:p>
    <w:p>
      <w:pPr>
        <w:pStyle w:val="BodyText"/>
        <w:spacing w:before="7"/>
        <w:rPr>
          <w:sz w:val="11"/>
        </w:rPr>
      </w:pPr>
    </w:p>
    <w:p>
      <w:pPr>
        <w:spacing w:before="0"/>
        <w:ind w:left="-17" w:right="0" w:firstLine="0"/>
        <w:jc w:val="left"/>
        <w:rPr>
          <w:sz w:val="12"/>
        </w:rPr>
      </w:pPr>
      <w:r>
        <w:rPr>
          <w:sz w:val="12"/>
        </w:rPr>
        <w:t>0.6</w:t>
      </w:r>
    </w:p>
    <w:p>
      <w:pPr>
        <w:pStyle w:val="BodyText"/>
        <w:rPr>
          <w:sz w:val="12"/>
        </w:rPr>
      </w:pPr>
    </w:p>
    <w:p>
      <w:pPr>
        <w:pStyle w:val="BodyText"/>
        <w:spacing w:before="10"/>
        <w:rPr>
          <w:sz w:val="11"/>
        </w:rPr>
      </w:pPr>
    </w:p>
    <w:p>
      <w:pPr>
        <w:spacing w:before="0"/>
        <w:ind w:left="-17" w:right="0" w:firstLine="0"/>
        <w:jc w:val="left"/>
        <w:rPr>
          <w:sz w:val="12"/>
        </w:rPr>
      </w:pPr>
      <w:r>
        <w:rPr>
          <w:sz w:val="12"/>
        </w:rPr>
        <w:t>0.4</w:t>
      </w:r>
    </w:p>
    <w:p>
      <w:pPr>
        <w:pStyle w:val="BodyText"/>
        <w:rPr>
          <w:sz w:val="12"/>
        </w:rPr>
      </w:pPr>
    </w:p>
    <w:p>
      <w:pPr>
        <w:pStyle w:val="BodyText"/>
        <w:spacing w:before="10"/>
        <w:rPr>
          <w:sz w:val="11"/>
        </w:rPr>
      </w:pPr>
    </w:p>
    <w:p>
      <w:pPr>
        <w:spacing w:before="1"/>
        <w:ind w:left="-17" w:right="0" w:firstLine="0"/>
        <w:jc w:val="left"/>
        <w:rPr>
          <w:sz w:val="12"/>
        </w:rPr>
      </w:pPr>
      <w:r>
        <w:rPr>
          <w:sz w:val="12"/>
        </w:rPr>
        <w:t>0.2</w:t>
      </w:r>
    </w:p>
    <w:p>
      <w:pPr>
        <w:pStyle w:val="BodyText"/>
        <w:rPr>
          <w:sz w:val="12"/>
        </w:rPr>
      </w:pPr>
    </w:p>
    <w:p>
      <w:pPr>
        <w:pStyle w:val="BodyText"/>
        <w:spacing w:before="11"/>
        <w:rPr>
          <w:sz w:val="11"/>
        </w:rPr>
      </w:pPr>
    </w:p>
    <w:p>
      <w:pPr>
        <w:spacing w:line="7" w:lineRule="exact" w:before="0"/>
        <w:ind w:left="-17" w:right="0" w:firstLine="0"/>
        <w:jc w:val="left"/>
        <w:rPr>
          <w:sz w:val="12"/>
        </w:rPr>
      </w:pPr>
      <w:r>
        <w:rPr>
          <w:sz w:val="12"/>
        </w:rPr>
        <w:t>0.0</w:t>
      </w:r>
    </w:p>
    <w:p>
      <w:pPr>
        <w:pStyle w:val="Heading6"/>
        <w:spacing w:line="242" w:lineRule="auto" w:before="3"/>
        <w:ind w:left="236" w:right="112"/>
      </w:pPr>
      <w:r>
        <w:rPr/>
        <w:br w:type="column"/>
      </w:r>
      <w:r>
        <w:rPr/>
        <w:t>business expansion (see Chart 2.20). The CIPS survey also continues to report widespread expectations of increases in future construction output.</w:t>
      </w:r>
    </w:p>
    <w:p>
      <w:pPr>
        <w:pStyle w:val="BodyText"/>
        <w:spacing w:before="7"/>
        <w:rPr>
          <w:sz w:val="24"/>
        </w:rPr>
      </w:pPr>
    </w:p>
    <w:p>
      <w:pPr>
        <w:spacing w:line="242" w:lineRule="auto" w:before="0"/>
        <w:ind w:left="236" w:right="172" w:firstLine="0"/>
        <w:jc w:val="left"/>
        <w:rPr>
          <w:sz w:val="24"/>
        </w:rPr>
      </w:pPr>
      <w:r>
        <w:rPr>
          <w:sz w:val="24"/>
        </w:rPr>
        <w:t>Within the three construction sectors covered by the CIPS </w:t>
      </w:r>
      <w:r>
        <w:rPr>
          <w:spacing w:val="-4"/>
          <w:sz w:val="24"/>
        </w:rPr>
        <w:t>survey, </w:t>
      </w:r>
      <w:r>
        <w:rPr>
          <w:sz w:val="24"/>
        </w:rPr>
        <w:t>the housing sector has tended to record the strongest levels of business sentiment over the past year (see Chart 2.20).  But while moderately strong investment indicators would tend to support the outlook for commercial construction work in the near term, there are some signs that activity in the housing market may</w:t>
      </w:r>
      <w:r>
        <w:rPr>
          <w:spacing w:val="-7"/>
          <w:sz w:val="24"/>
        </w:rPr>
        <w:t> </w:t>
      </w:r>
      <w:r>
        <w:rPr>
          <w:spacing w:val="-9"/>
          <w:sz w:val="24"/>
        </w:rPr>
        <w:t>be</w:t>
      </w:r>
    </w:p>
    <w:p>
      <w:pPr>
        <w:spacing w:after="0" w:line="242" w:lineRule="auto"/>
        <w:jc w:val="left"/>
        <w:rPr>
          <w:sz w:val="24"/>
        </w:rPr>
        <w:sectPr>
          <w:type w:val="continuous"/>
          <w:pgSz w:w="11900" w:h="16840"/>
          <w:pgMar w:top="1220" w:bottom="280" w:left="640" w:right="620"/>
          <w:cols w:num="4" w:equalWidth="0">
            <w:col w:w="706" w:space="858"/>
            <w:col w:w="2072" w:space="39"/>
            <w:col w:w="174" w:space="870"/>
            <w:col w:w="5921"/>
          </w:cols>
        </w:sectPr>
      </w:pPr>
    </w:p>
    <w:p>
      <w:pPr>
        <w:tabs>
          <w:tab w:pos="1959" w:val="left" w:leader="none"/>
          <w:tab w:pos="2931" w:val="left" w:leader="none"/>
        </w:tabs>
        <w:spacing w:line="129" w:lineRule="exact" w:before="0"/>
        <w:ind w:left="936" w:right="0" w:firstLine="0"/>
        <w:jc w:val="left"/>
        <w:rPr>
          <w:sz w:val="12"/>
        </w:rPr>
      </w:pPr>
      <w:r>
        <w:rPr>
          <w:sz w:val="12"/>
        </w:rPr>
        <w:t>1997</w:t>
        <w:tab/>
        <w:t>98</w:t>
        <w:tab/>
      </w:r>
      <w:r>
        <w:rPr>
          <w:spacing w:val="-10"/>
          <w:sz w:val="12"/>
        </w:rPr>
        <w:t>99</w:t>
      </w:r>
    </w:p>
    <w:p>
      <w:pPr>
        <w:pStyle w:val="BodyText"/>
        <w:spacing w:before="4"/>
        <w:rPr>
          <w:sz w:val="16"/>
        </w:rPr>
      </w:pPr>
    </w:p>
    <w:p>
      <w:pPr>
        <w:spacing w:before="0"/>
        <w:ind w:left="184" w:right="0" w:firstLine="0"/>
        <w:jc w:val="left"/>
        <w:rPr>
          <w:sz w:val="12"/>
        </w:rPr>
      </w:pPr>
      <w:r>
        <w:rPr>
          <w:sz w:val="12"/>
        </w:rPr>
        <w:t>Sources: ONS and CIPS.</w:t>
      </w:r>
    </w:p>
    <w:p>
      <w:pPr>
        <w:spacing w:line="129" w:lineRule="exact" w:before="0"/>
        <w:ind w:left="169" w:right="0" w:firstLine="0"/>
        <w:jc w:val="left"/>
        <w:rPr>
          <w:sz w:val="12"/>
        </w:rPr>
      </w:pPr>
      <w:r>
        <w:rPr/>
        <w:br w:type="column"/>
      </w:r>
      <w:r>
        <w:rPr>
          <w:sz w:val="12"/>
        </w:rPr>
        <w:t>2000</w:t>
      </w:r>
    </w:p>
    <w:p>
      <w:pPr>
        <w:pStyle w:val="Heading6"/>
        <w:spacing w:line="181" w:lineRule="exact"/>
        <w:ind w:left="184"/>
      </w:pPr>
      <w:r>
        <w:rPr/>
        <w:br w:type="column"/>
      </w:r>
      <w:r>
        <w:rPr/>
        <w:t>slowing. Private housing starts fell by 5.1% in the three</w:t>
      </w:r>
    </w:p>
    <w:p>
      <w:pPr>
        <w:spacing w:before="4"/>
        <w:ind w:left="184" w:right="0" w:firstLine="0"/>
        <w:jc w:val="left"/>
        <w:rPr>
          <w:sz w:val="24"/>
        </w:rPr>
      </w:pPr>
      <w:r>
        <w:rPr>
          <w:sz w:val="24"/>
        </w:rPr>
        <w:t>months to February compared with the previous three</w:t>
      </w:r>
    </w:p>
    <w:p>
      <w:pPr>
        <w:spacing w:after="0"/>
        <w:jc w:val="left"/>
        <w:rPr>
          <w:sz w:val="24"/>
        </w:rPr>
        <w:sectPr>
          <w:type w:val="continuous"/>
          <w:pgSz w:w="11900" w:h="16840"/>
          <w:pgMar w:top="1220" w:bottom="280" w:left="640" w:right="620"/>
          <w:cols w:num="3" w:equalWidth="0">
            <w:col w:w="3052" w:space="40"/>
            <w:col w:w="451" w:space="1227"/>
            <w:col w:w="5870"/>
          </w:cols>
        </w:sectPr>
      </w:pPr>
    </w:p>
    <w:p>
      <w:pPr>
        <w:pStyle w:val="BodyText"/>
        <w:spacing w:before="8"/>
        <w:rPr>
          <w:sz w:val="9"/>
        </w:rPr>
      </w:pPr>
    </w:p>
    <w:p>
      <w:pPr>
        <w:spacing w:line="208" w:lineRule="auto" w:before="0"/>
        <w:ind w:left="424" w:right="0" w:hanging="240"/>
        <w:jc w:val="left"/>
        <w:rPr>
          <w:sz w:val="12"/>
        </w:rPr>
      </w:pPr>
      <w:r>
        <w:rPr>
          <w:sz w:val="12"/>
        </w:rPr>
        <w:t>(a) A reading above 50 suggests expansion, a reading below 50 suggests contraction.</w:t>
      </w:r>
    </w:p>
    <w:p>
      <w:pPr>
        <w:pStyle w:val="BodyText"/>
        <w:rPr>
          <w:sz w:val="12"/>
        </w:rPr>
      </w:pPr>
    </w:p>
    <w:p>
      <w:pPr>
        <w:pStyle w:val="BodyText"/>
        <w:spacing w:before="8"/>
        <w:rPr>
          <w:sz w:val="17"/>
        </w:rPr>
      </w:pPr>
    </w:p>
    <w:p>
      <w:pPr>
        <w:spacing w:before="0"/>
        <w:ind w:left="170" w:right="0" w:firstLine="0"/>
        <w:jc w:val="left"/>
        <w:rPr>
          <w:b/>
          <w:sz w:val="20"/>
        </w:rPr>
      </w:pPr>
      <w:r>
        <w:rPr>
          <w:b/>
          <w:color w:val="0092C7"/>
          <w:sz w:val="20"/>
        </w:rPr>
        <w:t>Chart 2.20</w:t>
      </w:r>
    </w:p>
    <w:p>
      <w:pPr>
        <w:spacing w:before="10"/>
        <w:ind w:left="170" w:right="0" w:firstLine="0"/>
        <w:jc w:val="left"/>
        <w:rPr>
          <w:sz w:val="12"/>
        </w:rPr>
      </w:pPr>
      <w:r>
        <w:rPr>
          <w:b/>
          <w:color w:val="0092C7"/>
          <w:sz w:val="20"/>
        </w:rPr>
        <w:t>CIPS construction survey</w:t>
      </w:r>
      <w:r>
        <w:rPr>
          <w:position w:val="4"/>
          <w:sz w:val="12"/>
        </w:rPr>
        <w:t>(a)</w:t>
      </w:r>
    </w:p>
    <w:p>
      <w:pPr>
        <w:pStyle w:val="BodyText"/>
        <w:spacing w:before="1"/>
        <w:rPr>
          <w:sz w:val="19"/>
        </w:rPr>
      </w:pPr>
    </w:p>
    <w:p>
      <w:pPr>
        <w:spacing w:line="32" w:lineRule="exact" w:before="0"/>
        <w:ind w:left="0" w:right="311" w:firstLine="0"/>
        <w:jc w:val="right"/>
        <w:rPr>
          <w:sz w:val="12"/>
        </w:rPr>
      </w:pPr>
      <w:r>
        <w:rPr>
          <w:sz w:val="12"/>
        </w:rPr>
        <w:t>Index</w:t>
      </w:r>
    </w:p>
    <w:p>
      <w:pPr>
        <w:pStyle w:val="BodyText"/>
        <w:spacing w:before="11"/>
        <w:rPr>
          <w:sz w:val="9"/>
        </w:rPr>
      </w:pPr>
    </w:p>
    <w:p>
      <w:pPr>
        <w:tabs>
          <w:tab w:pos="3358" w:val="left" w:leader="none"/>
        </w:tabs>
        <w:spacing w:line="20" w:lineRule="exact"/>
        <w:ind w:left="221" w:right="0" w:firstLine="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Heading6"/>
        <w:spacing w:line="242" w:lineRule="auto" w:before="4"/>
        <w:ind w:right="187"/>
      </w:pPr>
      <w:r>
        <w:rPr/>
        <w:br w:type="column"/>
      </w:r>
      <w:r>
        <w:rPr/>
        <w:t>months, and were 1.1% lower than a year earlier. The decline in housing starts is in line with survey evidence from the House Builders’ Federation, which has reported falling numbers of site visits and smaller increases in net site reservations in recent months (see Chart 2.21). On</w:t>
      </w:r>
    </w:p>
    <w:p>
      <w:pPr>
        <w:spacing w:after="0" w:line="242" w:lineRule="auto"/>
        <w:sectPr>
          <w:type w:val="continuous"/>
          <w:pgSz w:w="11900" w:h="16840"/>
          <w:pgMar w:top="1220" w:bottom="280" w:left="640" w:right="620"/>
          <w:cols w:num="2" w:equalWidth="0">
            <w:col w:w="3774" w:space="1010"/>
            <w:col w:w="585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0"/>
        </w:rPr>
      </w:pPr>
    </w:p>
    <w:p>
      <w:pPr>
        <w:pStyle w:val="BodyText"/>
        <w:spacing w:line="20" w:lineRule="exact"/>
        <w:ind w:left="221"/>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rPr>
          <w:sz w:val="12"/>
        </w:rPr>
      </w:pPr>
    </w:p>
    <w:p>
      <w:pPr>
        <w:pStyle w:val="BodyText"/>
        <w:rPr>
          <w:sz w:val="12"/>
        </w:rPr>
      </w:pPr>
    </w:p>
    <w:p>
      <w:pPr>
        <w:spacing w:before="69"/>
        <w:ind w:left="180" w:right="0" w:firstLine="0"/>
        <w:jc w:val="left"/>
        <w:rPr>
          <w:sz w:val="12"/>
        </w:rPr>
      </w:pPr>
      <w:r>
        <w:rPr>
          <w:sz w:val="12"/>
        </w:rPr>
        <w:t>Source: CIPS.</w:t>
      </w:r>
    </w:p>
    <w:p>
      <w:pPr>
        <w:spacing w:line="69" w:lineRule="exact" w:before="0"/>
        <w:ind w:left="2567" w:right="0" w:firstLine="0"/>
        <w:jc w:val="left"/>
        <w:rPr>
          <w:sz w:val="12"/>
        </w:rPr>
      </w:pPr>
      <w:r>
        <w:rPr/>
        <w:br w:type="column"/>
      </w:r>
      <w:r>
        <w:rPr>
          <w:sz w:val="12"/>
        </w:rPr>
        <w:t>75</w:t>
      </w:r>
    </w:p>
    <w:p>
      <w:pPr>
        <w:pStyle w:val="BodyText"/>
        <w:rPr>
          <w:sz w:val="12"/>
        </w:rPr>
      </w:pPr>
    </w:p>
    <w:p>
      <w:pPr>
        <w:spacing w:before="81"/>
        <w:ind w:left="0" w:right="38" w:firstLine="0"/>
        <w:jc w:val="right"/>
        <w:rPr>
          <w:sz w:val="12"/>
        </w:rPr>
      </w:pPr>
      <w:r>
        <w:rPr/>
        <w:pict>
          <v:group style="position:absolute;margin-left:43.333pt;margin-top:1.194775pt;width:161.2pt;height:114.75pt;mso-position-horizontal-relative:page;mso-position-vertical-relative:paragraph;z-index:16081408" coordorigin="867,24" coordsize="3224,2295">
            <v:shape style="position:absolute;left:1030;top:586;width:2250;height:1358" coordorigin="1030,586" coordsize="2250,1358" path="m1030,854l1135,586m1135,586l1240,646m1240,646l1348,899m1348,899l1453,1004m1453,1004l1573,1034m1573,1034l1678,1184m1678,1184l1785,1496m1785,1496l1890,1794m1890,1794l1995,1899m1995,1899l2103,1944m2103,1944l2208,1899m2208,1899l2315,1704m2315,1704l2420,1436m2420,1436l2540,1211m2540,1211l2655,949m2650,956l2755,719m2755,719l2858,616m2858,616l2963,721m2963,721l3070,854m3070,854l3175,959m3175,959l3280,1034e" filled="false" stroked="true" strokeweight="1pt" strokecolor="#de0035">
              <v:path arrowok="t"/>
              <v:stroke dashstyle="solid"/>
            </v:shape>
            <v:line style="position:absolute" from="3270,1035" to="3398,1035" stroked="true" strokeweight="1.125pt" strokecolor="#de0035">
              <v:stroke dashstyle="solid"/>
            </v:line>
            <v:shape style="position:absolute;left:3387;top:661;width:543;height:373" coordorigin="3388,661" coordsize="543,373" path="m3388,1034l3505,1004m3505,1004l3613,869m3613,869l3718,691m3718,691l3825,661m3825,661l3930,751e" filled="false" stroked="true" strokeweight="1pt" strokecolor="#de0035">
              <v:path arrowok="t"/>
              <v:stroke dashstyle="solid"/>
            </v:shape>
            <v:shape style="position:absolute;left:1030;top:333;width:2795;height:1565" coordorigin="1030,334" coordsize="2795,1565" path="m1030,1316l1135,1034m1135,1034l1240,1094m1240,1094l1348,1316m1348,1316l1453,1256m1453,1256l1573,1211m1573,1211l1678,1316m1678,1316l1785,1614m1785,1614l1890,1899m1890,1899l1995,1794m1995,1794l2103,1629m2103,1629l2208,1809m2208,1809l2315,1779m2315,1779l2420,1199m2420,1199l2540,824m2540,824l2750,349m2750,349l2858,334m2858,334l2963,421m2963,421l3070,466m3070,466l3175,631m3175,631l3280,736m3280,736l3388,631m3388,631l3505,736m3505,736l3613,839m3613,839l3718,631m3718,631l3825,394e" filled="false" stroked="true" strokeweight="1pt" strokecolor="#009391">
              <v:path arrowok="t"/>
              <v:stroke dashstyle="solid"/>
            </v:shape>
            <v:line style="position:absolute" from="3815,395" to="3940,395" stroked="true" strokeweight="1.125pt" strokecolor="#009391">
              <v:stroke dashstyle="solid"/>
            </v:line>
            <v:shape style="position:absolute;left:1030;top:1331;width:423;height:568" coordorigin="1030,1331" coordsize="423,568" path="m1030,1496l1135,1331m1135,1331l1240,1361m1240,1361l1348,1644m1348,1644l1453,1899e" filled="false" stroked="true" strokeweight="1pt" strokecolor="#0099d9">
              <v:path arrowok="t"/>
              <v:stroke dashstyle="solid"/>
            </v:shape>
            <v:line style="position:absolute" from="1443,1900" to="1583,1900" stroked="true" strokeweight="1.125pt" strokecolor="#0099d9">
              <v:stroke dashstyle="solid"/>
            </v:line>
            <v:shape style="position:absolute;left:1572;top:1271;width:1390;height:1030" coordorigin="1573,1271" coordsize="1390,1030" path="m1573,1899l1678,1749m1678,1749l1785,1794m1785,1794l1890,1974m1890,1974l1995,2121m1995,2121l2103,2256m2103,2256l2208,2301m2208,2301l2315,2076m2315,2076l2420,1839m2420,1839l2540,1749m2540,1749l2645,1556m2645,1556l2750,1271m2750,1271l2858,1301m2858,1301l2963,1556e" filled="false" stroked="true" strokeweight="1pt" strokecolor="#0099d9">
              <v:path arrowok="t"/>
              <v:stroke dashstyle="solid"/>
            </v:shape>
            <v:line style="position:absolute" from="2953,1558" to="3080,1558" stroked="true" strokeweight="1.125pt" strokecolor="#0099d9">
              <v:stroke dashstyle="solid"/>
            </v:line>
            <v:shape style="position:absolute;left:3070;top:1198;width:860;height:460" coordorigin="3070,1199" coordsize="860,460" path="m3070,1556l3175,1301m3175,1301l3280,1199m3280,1199l3388,1466m3388,1466l3505,1659m3505,1659l3613,1436m3613,1436l3718,1331m3718,1331l3825,1541m3825,1541l3930,1644e" filled="false" stroked="true" strokeweight="1pt" strokecolor="#0099d9">
              <v:path arrowok="t"/>
              <v:stroke dashstyle="solid"/>
            </v:shape>
            <v:shape style="position:absolute;left:1030;top:33;width:2900;height:1850" coordorigin="1030,34" coordsize="2900,1850" path="m1030,406l1135,34m1135,34l1240,109m1240,109l1348,481m1348,481l1453,736m1453,736l1573,751m1573,751l1678,899m1678,899l1785,1316m1785,1316l1890,1614m1890,1614l1995,1794m1995,1794l2103,1884m2103,1884l2208,1719m2208,1719l2315,1466m2315,1466l2420,1331m2420,1331l2540,1169m2540,1169l2633,944m2633,944l2743,700m2743,700l2858,466m2858,466l2963,421m2963,421l3070,631m3070,631l3175,869m3175,869l3280,1019m3280,1019l3388,974m3388,974l3505,839m3505,839l3613,676m3613,676l3718,511m3718,511l3825,556m3825,556l3930,706e" filled="false" stroked="true" strokeweight="1pt" strokecolor="#b3dabb">
              <v:path arrowok="t"/>
              <v:stroke dashstyle="solid"/>
            </v:shape>
            <v:shape style="position:absolute;left:866;top:147;width:3224;height:2167" coordorigin="867,148" coordsize="3224,2167" path="m953,869l867,869m953,1239l867,1239m953,1600l867,1600m953,1954l867,1954m953,2314l867,2314m953,148l867,148m953,509l867,509m4090,869l4003,869m4090,1239l4003,1239m4090,1954l4003,1954m4090,2314l4003,2314m4090,148l4003,148m4090,509l4003,509e" filled="false" stroked="true" strokeweight=".5pt" strokecolor="#000000">
              <v:path arrowok="t"/>
              <v:stroke dashstyle="solid"/>
            </v:shape>
            <v:line style="position:absolute" from="1037,1605" to="3932,1605" stroked="true" strokeweight="1pt" strokecolor="#000000">
              <v:stroke dashstyle="dash"/>
            </v:line>
            <v:line style="position:absolute" from="2920,1854" to="2920,801" stroked="true" strokeweight=".5pt" strokecolor="#000000">
              <v:stroke dashstyle="solid"/>
            </v:line>
            <v:shape style="position:absolute;left:2894;top:732;width:51;height:85" coordorigin="2895,733" coordsize="51,85" path="m2920,733l2895,817,2945,817,2924,752,2921,742,2920,733xe" filled="true" fillcolor="#000000" stroked="false">
              <v:path arrowok="t"/>
              <v:fill type="solid"/>
            </v:shape>
            <v:line style="position:absolute" from="4090,1605" to="4003,1605" stroked="true" strokeweight=".5pt" strokecolor="#000000">
              <v:stroke dashstyle="solid"/>
            </v:line>
            <v:shape style="position:absolute;left:1287;top:59;width:614;height:133" type="#_x0000_t202" filled="false" stroked="false">
              <v:textbox inset="0,0,0,0">
                <w:txbxContent>
                  <w:p>
                    <w:pPr>
                      <w:spacing w:line="133" w:lineRule="exact" w:before="0"/>
                      <w:ind w:left="0" w:right="0" w:firstLine="0"/>
                      <w:jc w:val="left"/>
                      <w:rPr>
                        <w:sz w:val="12"/>
                      </w:rPr>
                    </w:pPr>
                    <w:r>
                      <w:rPr>
                        <w:sz w:val="12"/>
                      </w:rPr>
                      <w:t>Commercial</w:t>
                    </w:r>
                  </w:p>
                </w:txbxContent>
              </v:textbox>
              <w10:wrap type="none"/>
            </v:shape>
            <v:shape style="position:absolute;left:2630;top:196;width:427;height:133" type="#_x0000_t202" filled="false" stroked="false">
              <v:textbox inset="0,0,0,0">
                <w:txbxContent>
                  <w:p>
                    <w:pPr>
                      <w:spacing w:line="133" w:lineRule="exact" w:before="0"/>
                      <w:ind w:left="0" w:right="0" w:firstLine="0"/>
                      <w:jc w:val="left"/>
                      <w:rPr>
                        <w:sz w:val="12"/>
                      </w:rPr>
                    </w:pPr>
                    <w:r>
                      <w:rPr>
                        <w:sz w:val="12"/>
                      </w:rPr>
                      <w:t>Housing</w:t>
                    </w:r>
                  </w:p>
                </w:txbxContent>
              </v:textbox>
              <w10:wrap type="none"/>
            </v:shape>
            <v:shape style="position:absolute;left:1140;top:1793;width:617;height:273" type="#_x0000_t202" filled="false" stroked="false">
              <v:textbox inset="0,0,0,0">
                <w:txbxContent>
                  <w:p>
                    <w:pPr>
                      <w:spacing w:line="242" w:lineRule="auto" w:before="0"/>
                      <w:ind w:left="30" w:right="0" w:hanging="30"/>
                      <w:jc w:val="left"/>
                      <w:rPr>
                        <w:sz w:val="12"/>
                      </w:rPr>
                    </w:pPr>
                    <w:r>
                      <w:rPr>
                        <w:sz w:val="12"/>
                      </w:rPr>
                      <w:t>Civil engineering</w:t>
                    </w:r>
                  </w:p>
                </w:txbxContent>
              </v:textbox>
              <w10:wrap type="none"/>
            </v:shape>
            <v:shape style="position:absolute;left:2613;top:1880;width:897;height:273" type="#_x0000_t202" filled="false" stroked="false">
              <v:textbox inset="0,0,0,0">
                <w:txbxContent>
                  <w:p>
                    <w:pPr>
                      <w:spacing w:line="242" w:lineRule="auto" w:before="0"/>
                      <w:ind w:left="30" w:right="0" w:hanging="30"/>
                      <w:jc w:val="left"/>
                      <w:rPr>
                        <w:sz w:val="12"/>
                      </w:rPr>
                    </w:pPr>
                    <w:r>
                      <w:rPr>
                        <w:sz w:val="12"/>
                      </w:rPr>
                      <w:t>Total construction activity</w:t>
                    </w:r>
                  </w:p>
                </w:txbxContent>
              </v:textbox>
              <w10:wrap type="none"/>
            </v:shape>
            <w10:wrap type="none"/>
          </v:group>
        </w:pict>
      </w:r>
      <w:r>
        <w:rPr>
          <w:sz w:val="12"/>
        </w:rPr>
        <w:t>70</w:t>
      </w:r>
    </w:p>
    <w:p>
      <w:pPr>
        <w:pStyle w:val="BodyText"/>
        <w:rPr>
          <w:sz w:val="12"/>
        </w:rPr>
      </w:pPr>
    </w:p>
    <w:p>
      <w:pPr>
        <w:spacing w:before="86"/>
        <w:ind w:left="0" w:right="38" w:firstLine="0"/>
        <w:jc w:val="right"/>
        <w:rPr>
          <w:sz w:val="12"/>
        </w:rPr>
      </w:pPr>
      <w:r>
        <w:rPr>
          <w:sz w:val="12"/>
        </w:rPr>
        <w:t>65</w:t>
      </w:r>
    </w:p>
    <w:p>
      <w:pPr>
        <w:pStyle w:val="BodyText"/>
        <w:rPr>
          <w:sz w:val="12"/>
        </w:rPr>
      </w:pPr>
    </w:p>
    <w:p>
      <w:pPr>
        <w:spacing w:before="84"/>
        <w:ind w:left="0" w:right="38" w:firstLine="0"/>
        <w:jc w:val="right"/>
        <w:rPr>
          <w:sz w:val="12"/>
        </w:rPr>
      </w:pPr>
      <w:r>
        <w:rPr>
          <w:sz w:val="12"/>
        </w:rPr>
        <w:t>60</w:t>
      </w:r>
    </w:p>
    <w:p>
      <w:pPr>
        <w:pStyle w:val="BodyText"/>
        <w:rPr>
          <w:sz w:val="12"/>
        </w:rPr>
      </w:pPr>
    </w:p>
    <w:p>
      <w:pPr>
        <w:spacing w:before="96"/>
        <w:ind w:left="0" w:right="38" w:firstLine="0"/>
        <w:jc w:val="right"/>
        <w:rPr>
          <w:sz w:val="12"/>
        </w:rPr>
      </w:pPr>
      <w:r>
        <w:rPr>
          <w:sz w:val="12"/>
        </w:rPr>
        <w:t>55</w:t>
      </w:r>
    </w:p>
    <w:p>
      <w:pPr>
        <w:pStyle w:val="BodyText"/>
        <w:rPr>
          <w:sz w:val="12"/>
        </w:rPr>
      </w:pPr>
    </w:p>
    <w:p>
      <w:pPr>
        <w:spacing w:before="78"/>
        <w:ind w:left="0" w:right="38" w:firstLine="0"/>
        <w:jc w:val="right"/>
        <w:rPr>
          <w:sz w:val="12"/>
        </w:rPr>
      </w:pPr>
      <w:r>
        <w:rPr>
          <w:sz w:val="12"/>
        </w:rPr>
        <w:t>50</w:t>
      </w:r>
    </w:p>
    <w:p>
      <w:pPr>
        <w:pStyle w:val="BodyText"/>
        <w:rPr>
          <w:sz w:val="12"/>
        </w:rPr>
      </w:pPr>
    </w:p>
    <w:p>
      <w:pPr>
        <w:spacing w:before="81"/>
        <w:ind w:left="0" w:right="38" w:firstLine="0"/>
        <w:jc w:val="right"/>
        <w:rPr>
          <w:sz w:val="12"/>
        </w:rPr>
      </w:pPr>
      <w:r>
        <w:rPr>
          <w:sz w:val="12"/>
        </w:rPr>
        <w:t>45</w:t>
      </w:r>
    </w:p>
    <w:p>
      <w:pPr>
        <w:pStyle w:val="BodyText"/>
        <w:rPr>
          <w:sz w:val="12"/>
        </w:rPr>
      </w:pPr>
    </w:p>
    <w:p>
      <w:pPr>
        <w:spacing w:before="82"/>
        <w:ind w:left="0" w:right="38" w:firstLine="0"/>
        <w:jc w:val="right"/>
        <w:rPr>
          <w:sz w:val="12"/>
        </w:rPr>
      </w:pPr>
      <w:r>
        <w:rPr>
          <w:sz w:val="12"/>
        </w:rPr>
        <w:t>40</w:t>
      </w:r>
    </w:p>
    <w:p>
      <w:pPr>
        <w:pStyle w:val="BodyText"/>
        <w:rPr>
          <w:sz w:val="12"/>
        </w:rPr>
      </w:pPr>
    </w:p>
    <w:p>
      <w:pPr>
        <w:spacing w:line="119" w:lineRule="exact" w:before="81"/>
        <w:ind w:left="2567" w:right="0" w:firstLine="0"/>
        <w:jc w:val="left"/>
        <w:rPr>
          <w:sz w:val="12"/>
        </w:rPr>
      </w:pPr>
      <w:r>
        <w:rPr/>
        <w:pict>
          <v:group style="position:absolute;margin-left:51.25pt;margin-top:2.901555pt;width:145.25pt;height:5pt;mso-position-horizontal-relative:page;mso-position-vertical-relative:paragraph;z-index:16081920" coordorigin="1025,58" coordsize="2905,100">
            <v:shape style="position:absolute;left:1030;top:58;width:2895;height:100" coordorigin="1030,58" coordsize="2895,100" path="m1030,58l1030,158m3718,101l3718,154m1137,105l1137,158m3822,103l3822,156m2310,58l2310,158m3925,105l3925,158e" filled="false" stroked="true" strokeweight=".5pt" strokecolor="#000000">
              <v:path arrowok="t"/>
              <v:stroke dashstyle="solid"/>
            </v:shape>
            <v:line style="position:absolute" from="1030,153" to="3925,153" stroked="true" strokeweight=".5pt" strokecolor="#000000">
              <v:stroke dashstyle="solid"/>
            </v:line>
            <v:shape style="position:absolute;left:1243;top:58;width:2372;height:100" coordorigin="1243,58" coordsize="2372,100" path="m3615,58l3615,158m1243,105l1243,158m1350,105l1350,158m1457,105l1457,158m1563,105l1563,158m1670,105l1670,158m1777,105l1777,158m1883,105l1883,158m1990,105l1990,158m2097,105l2097,158m2203,105l2203,158m2419,101l2419,154m2527,101l2527,154m2636,101l2636,154m2745,101l2745,154m2854,101l2854,154m2962,101l2962,154m3071,101l3071,154m3180,101l3180,154m3289,101l3289,154m3397,101l3397,154m3506,101l3506,154e" filled="false" stroked="true" strokeweight=".5pt" strokecolor="#000000">
              <v:path arrowok="t"/>
              <v:stroke dashstyle="solid"/>
            </v:shape>
            <w10:wrap type="none"/>
          </v:group>
        </w:pict>
      </w:r>
      <w:r>
        <w:rPr/>
        <w:pict>
          <v:line style="position:absolute;mso-position-horizontal-relative:page;mso-position-vertical-relative:paragraph;z-index:16082432" from="204.500007pt,7.756555pt" to="200.167007pt,7.756555pt" stroked="true" strokeweight=".5pt" strokecolor="#000000">
            <v:stroke dashstyle="solid"/>
            <w10:wrap type="none"/>
          </v:line>
        </w:pict>
      </w:r>
      <w:r>
        <w:rPr>
          <w:sz w:val="12"/>
        </w:rPr>
        <w:t>35</w:t>
      </w:r>
    </w:p>
    <w:p>
      <w:pPr>
        <w:tabs>
          <w:tab w:pos="1357" w:val="left" w:leader="none"/>
          <w:tab w:pos="2107" w:val="left" w:leader="none"/>
        </w:tabs>
        <w:spacing w:line="119" w:lineRule="exact" w:before="0"/>
        <w:ind w:left="12" w:right="0" w:firstLine="0"/>
        <w:jc w:val="left"/>
        <w:rPr>
          <w:sz w:val="12"/>
        </w:rPr>
      </w:pPr>
      <w:r>
        <w:rPr>
          <w:sz w:val="12"/>
        </w:rPr>
        <w:t>1998</w:t>
        <w:tab/>
        <w:t>99</w:t>
        <w:tab/>
        <w:t>2000</w:t>
      </w:r>
    </w:p>
    <w:p>
      <w:pPr>
        <w:pStyle w:val="Heading6"/>
        <w:spacing w:line="132" w:lineRule="exact"/>
        <w:ind w:left="180"/>
      </w:pPr>
      <w:r>
        <w:rPr/>
        <w:br w:type="column"/>
      </w:r>
      <w:r>
        <w:rPr/>
        <w:t>the other hand, the loan approvals and lending data</w:t>
      </w:r>
    </w:p>
    <w:p>
      <w:pPr>
        <w:spacing w:line="242" w:lineRule="auto" w:before="4"/>
        <w:ind w:left="180" w:right="234" w:firstLine="0"/>
        <w:jc w:val="left"/>
        <w:rPr>
          <w:sz w:val="24"/>
        </w:rPr>
      </w:pPr>
      <w:r>
        <w:rPr>
          <w:sz w:val="24"/>
        </w:rPr>
        <w:t>reported in </w:t>
      </w:r>
      <w:hyperlink w:history="true" w:anchor="_bookmark4">
        <w:r>
          <w:rPr>
            <w:sz w:val="24"/>
          </w:rPr>
          <w:t>Section 1</w:t>
        </w:r>
      </w:hyperlink>
      <w:r>
        <w:rPr>
          <w:sz w:val="24"/>
        </w:rPr>
        <w:t> continue to support a firmer picture.</w:t>
      </w:r>
    </w:p>
    <w:p>
      <w:pPr>
        <w:pStyle w:val="BodyText"/>
        <w:spacing w:before="6"/>
        <w:rPr>
          <w:sz w:val="26"/>
        </w:rPr>
      </w:pPr>
    </w:p>
    <w:p>
      <w:pPr>
        <w:pStyle w:val="Heading3"/>
        <w:numPr>
          <w:ilvl w:val="1"/>
          <w:numId w:val="16"/>
        </w:numPr>
        <w:tabs>
          <w:tab w:pos="4278" w:val="left" w:leader="none"/>
          <w:tab w:pos="4279" w:val="left" w:leader="none"/>
          <w:tab w:pos="5705" w:val="left" w:leader="none"/>
        </w:tabs>
        <w:spacing w:line="240" w:lineRule="auto" w:before="0" w:after="0"/>
        <w:ind w:left="4278" w:right="0" w:hanging="4099"/>
        <w:jc w:val="left"/>
      </w:pPr>
      <w:r>
        <w:rPr>
          <w:color w:val="009391"/>
          <w:u w:val="thick" w:color="0092C7"/>
        </w:rPr>
        <w:t>Summary</w:t>
        <w:tab/>
      </w:r>
    </w:p>
    <w:p>
      <w:pPr>
        <w:spacing w:line="242" w:lineRule="auto" w:before="264"/>
        <w:ind w:left="180" w:right="139" w:firstLine="0"/>
        <w:jc w:val="left"/>
        <w:rPr>
          <w:sz w:val="24"/>
        </w:rPr>
      </w:pPr>
      <w:r>
        <w:rPr>
          <w:sz w:val="24"/>
        </w:rPr>
        <w:t>Output growth weakened in the first quarter of 2000, but expenditure indicators are rather stronger and prospects for medium-term GDP growth in the United Kingdom remain favourable. The outlook for consumption in the near term is supported by continued strong growth in wealth, labour income and borrowing. </w:t>
      </w:r>
      <w:r>
        <w:rPr>
          <w:spacing w:val="-4"/>
          <w:sz w:val="24"/>
        </w:rPr>
        <w:t>However, </w:t>
      </w:r>
      <w:r>
        <w:rPr>
          <w:sz w:val="24"/>
        </w:rPr>
        <w:t>consumer confidence has fallen, and consumption</w:t>
      </w:r>
      <w:r>
        <w:rPr>
          <w:spacing w:val="-6"/>
          <w:sz w:val="24"/>
        </w:rPr>
        <w:t> </w:t>
      </w:r>
      <w:r>
        <w:rPr>
          <w:spacing w:val="-4"/>
          <w:sz w:val="24"/>
        </w:rPr>
        <w:t>growth</w:t>
      </w:r>
    </w:p>
    <w:p>
      <w:pPr>
        <w:spacing w:after="0" w:line="242" w:lineRule="auto"/>
        <w:jc w:val="left"/>
        <w:rPr>
          <w:sz w:val="24"/>
        </w:rPr>
        <w:sectPr>
          <w:type w:val="continuous"/>
          <w:pgSz w:w="11900" w:h="16840"/>
          <w:pgMar w:top="1220" w:bottom="280" w:left="640" w:right="620"/>
          <w:cols w:num="3" w:equalWidth="0">
            <w:col w:w="890" w:space="40"/>
            <w:col w:w="2728" w:space="1116"/>
            <w:col w:w="5866"/>
          </w:cols>
        </w:sectPr>
      </w:pPr>
    </w:p>
    <w:p>
      <w:pPr>
        <w:spacing w:line="77" w:lineRule="exact" w:before="0"/>
        <w:ind w:left="180" w:right="0" w:firstLine="0"/>
        <w:jc w:val="left"/>
        <w:rPr>
          <w:sz w:val="12"/>
        </w:rPr>
      </w:pPr>
      <w:r>
        <w:rPr>
          <w:sz w:val="12"/>
        </w:rPr>
        <w:t>(a) A reading above 50 suggests expansion, a reading below 50 suggests</w:t>
      </w:r>
    </w:p>
    <w:p>
      <w:pPr>
        <w:spacing w:line="129" w:lineRule="exact" w:before="0"/>
        <w:ind w:left="420" w:right="0" w:firstLine="0"/>
        <w:jc w:val="left"/>
        <w:rPr>
          <w:sz w:val="12"/>
        </w:rPr>
      </w:pPr>
      <w:r>
        <w:rPr>
          <w:sz w:val="12"/>
        </w:rPr>
        <w:t>contraction.</w:t>
      </w:r>
    </w:p>
    <w:p>
      <w:pPr>
        <w:pStyle w:val="BodyText"/>
        <w:spacing w:before="7"/>
        <w:rPr>
          <w:sz w:val="17"/>
        </w:rPr>
      </w:pPr>
    </w:p>
    <w:p>
      <w:pPr>
        <w:spacing w:before="1"/>
        <w:ind w:left="170" w:right="0" w:firstLine="0"/>
        <w:jc w:val="left"/>
        <w:rPr>
          <w:b/>
          <w:sz w:val="20"/>
        </w:rPr>
      </w:pPr>
      <w:r>
        <w:rPr>
          <w:b/>
          <w:color w:val="0092C7"/>
          <w:sz w:val="20"/>
        </w:rPr>
        <w:t>Chart 2.21</w:t>
      </w:r>
    </w:p>
    <w:p>
      <w:pPr>
        <w:spacing w:before="10"/>
        <w:ind w:left="170" w:right="0" w:firstLine="0"/>
        <w:jc w:val="left"/>
        <w:rPr>
          <w:b/>
          <w:sz w:val="20"/>
        </w:rPr>
      </w:pPr>
      <w:r>
        <w:rPr>
          <w:b/>
          <w:color w:val="0092C7"/>
          <w:sz w:val="20"/>
        </w:rPr>
        <w:t>Housing starts and site reservations</w:t>
      </w:r>
    </w:p>
    <w:p>
      <w:pPr>
        <w:spacing w:line="280" w:lineRule="atLeast" w:before="4"/>
        <w:ind w:left="170" w:right="153" w:firstLine="0"/>
        <w:jc w:val="left"/>
        <w:rPr>
          <w:sz w:val="24"/>
        </w:rPr>
      </w:pPr>
      <w:r>
        <w:rPr/>
        <w:br w:type="column"/>
      </w:r>
      <w:r>
        <w:rPr>
          <w:sz w:val="24"/>
        </w:rPr>
        <w:t>is likely to slow in the coming quarters. Investment growth remains supported by the strength of prospective domestic and overseas demand growth, which seem stronger than at the time of the previous </w:t>
      </w:r>
      <w:r>
        <w:rPr>
          <w:i/>
          <w:sz w:val="24"/>
        </w:rPr>
        <w:t>Report</w:t>
      </w:r>
      <w:r>
        <w:rPr>
          <w:sz w:val="24"/>
        </w:rPr>
        <w:t>.</w:t>
      </w:r>
    </w:p>
    <w:p>
      <w:pPr>
        <w:spacing w:after="0" w:line="280" w:lineRule="atLeast"/>
        <w:jc w:val="left"/>
        <w:rPr>
          <w:sz w:val="24"/>
        </w:rPr>
        <w:sectPr>
          <w:type w:val="continuous"/>
          <w:pgSz w:w="11900" w:h="16840"/>
          <w:pgMar w:top="1220" w:bottom="280" w:left="640" w:right="620"/>
          <w:cols w:num="2" w:equalWidth="0">
            <w:col w:w="3770" w:space="1014"/>
            <w:col w:w="5856"/>
          </w:cols>
        </w:sectPr>
      </w:pPr>
    </w:p>
    <w:p>
      <w:pPr>
        <w:spacing w:line="50" w:lineRule="exact" w:before="0"/>
        <w:ind w:left="350" w:right="0" w:firstLine="0"/>
        <w:jc w:val="left"/>
        <w:rPr>
          <w:sz w:val="12"/>
        </w:rPr>
      </w:pPr>
      <w:r>
        <w:rPr>
          <w:sz w:val="12"/>
        </w:rPr>
        <w:t>Net balance</w:t>
      </w:r>
    </w:p>
    <w:p>
      <w:pPr>
        <w:spacing w:line="119" w:lineRule="exact" w:before="0"/>
        <w:ind w:left="180" w:right="0" w:firstLine="0"/>
        <w:jc w:val="left"/>
        <w:rPr>
          <w:sz w:val="12"/>
        </w:rPr>
      </w:pPr>
      <w:r>
        <w:rPr/>
        <w:pict>
          <v:group style="position:absolute;margin-left:58pt;margin-top:8.777039pt;width:152.75pt;height:124.2pt;mso-position-horizontal-relative:page;mso-position-vertical-relative:paragraph;z-index:16083968" coordorigin="1160,176" coordsize="3055,2484">
            <v:shape style="position:absolute;left:1160;top:1575;width:343;height:755" type="#_x0000_t75" stroked="false">
              <v:imagedata r:id="rId116" o:title=""/>
            </v:shape>
            <v:line style="position:absolute" from="1493,2206" to="1520,1733" stroked="true" strokeweight="1pt" strokecolor="#de8508">
              <v:stroke dashstyle="solid"/>
            </v:line>
            <v:line style="position:absolute" from="1540,1333" to="1540,1743" stroked="true" strokeweight="3pt" strokecolor="#de8508">
              <v:stroke dashstyle="solid"/>
            </v:line>
            <v:line style="position:absolute" from="1574,926" to="1574,1353" stroked="true" strokeweight="2.375pt" strokecolor="#de8508">
              <v:stroke dashstyle="solid"/>
            </v:line>
            <v:line style="position:absolute" from="1588,936" to="1613,951" stroked="true" strokeweight="1pt" strokecolor="#de8508">
              <v:stroke dashstyle="solid"/>
            </v:line>
            <v:line style="position:absolute" from="1603,952" to="1650,952" stroked="true" strokeweight="1.125pt" strokecolor="#de8508">
              <v:stroke dashstyle="solid"/>
            </v:line>
            <v:shape style="position:absolute;left:1640;top:495;width:323;height:783" coordorigin="1640,496" coordsize="323,783" path="m1640,951l1668,1163m1668,1163l1695,1278m1695,1278l1735,1213m1735,1213l1763,1146m1763,1146l1788,1001m1788,1001l1815,788m1815,788l1843,886m1843,886l1883,838m1883,838l1910,871m1910,871l1938,658m1938,658l1963,496e" filled="false" stroked="true" strokeweight="1pt" strokecolor="#de8508">
              <v:path arrowok="t"/>
              <v:stroke dashstyle="solid"/>
            </v:shape>
            <v:shape style="position:absolute;left:1952;top:496;width:88;height:2" coordorigin="1953,497" coordsize="88,0" path="m1953,497l2000,497m1980,497l2040,497e" filled="false" stroked="true" strokeweight="1.125pt" strokecolor="#de8508">
              <v:path arrowok="t"/>
              <v:stroke dashstyle="solid"/>
            </v:shape>
            <v:shape style="position:absolute;left:2030;top:478;width:175;height:65" coordorigin="2030,478" coordsize="175,65" path="m2030,496l2058,478m2058,478l2085,543m2085,543l2113,478m2113,478l2138,511m2138,511l2178,496m2178,496l2205,478e" filled="false" stroked="true" strokeweight="1pt" strokecolor="#de8508">
              <v:path arrowok="t"/>
              <v:stroke dashstyle="solid"/>
            </v:shape>
            <v:line style="position:absolute" from="2219,468" to="2219,831" stroked="true" strokeweight="2.375pt" strokecolor="#de8508">
              <v:stroke dashstyle="solid"/>
            </v:line>
            <v:line style="position:absolute" from="2233,821" to="2260,983" stroked="true" strokeweight="1pt" strokecolor="#de8508">
              <v:stroke dashstyle="solid"/>
            </v:line>
            <v:line style="position:absolute" from="2273,973" to="2273,1321" stroked="true" strokeweight="2.25pt" strokecolor="#de8508">
              <v:stroke dashstyle="solid"/>
            </v:line>
            <v:shape style="position:absolute;left:2285;top:1245;width:338;height:700" coordorigin="2285,1246" coordsize="338,700" path="m2285,1311l2328,1358m2328,1358l2353,1441m2353,1441l2380,1293m2380,1293l2408,1278m2408,1278l2435,1246m2435,1246l2475,1553m2475,1553l2503,1718m2503,1718l2528,1946m2528,1946l2555,1863m2555,1863l2583,1896m2583,1896l2623,1848e" filled="false" stroked="true" strokeweight="1pt" strokecolor="#de8508">
              <v:path arrowok="t"/>
              <v:stroke dashstyle="solid"/>
            </v:shape>
            <v:line style="position:absolute" from="2613,1849" to="2660,1849" stroked="true" strokeweight="1.125pt" strokecolor="#de8508">
              <v:stroke dashstyle="solid"/>
            </v:line>
            <v:shape style="position:absolute;left:2650;top:1310;width:148;height:538" coordorigin="2650,1311" coordsize="148,538" path="m2650,1848l2678,1733m2678,1733l2703,1651m2703,1651l2730,1701m2730,1701l2758,1538m2758,1538l2798,1311e" filled="false" stroked="true" strokeweight="1pt" strokecolor="#de8508">
              <v:path arrowok="t"/>
              <v:stroke dashstyle="solid"/>
            </v:shape>
            <v:line style="position:absolute" from="2811,926" to="2811,1321" stroked="true" strokeweight="2.375pt" strokecolor="#de8508">
              <v:stroke dashstyle="solid"/>
            </v:line>
            <v:shape style="position:absolute;left:2825;top:575;width:120;height:360" coordorigin="2825,576" coordsize="120,360" path="m2825,936l2850,806m2850,806l2878,676m2878,676l2905,756m2905,756l2945,576e" filled="false" stroked="true" strokeweight="1pt" strokecolor="#de8508">
              <v:path arrowok="t"/>
              <v:stroke dashstyle="solid"/>
            </v:shape>
            <v:line style="position:absolute" from="2935,577" to="2983,577" stroked="true" strokeweight="1.125pt" strokecolor="#de8508">
              <v:stroke dashstyle="solid"/>
            </v:line>
            <v:line style="position:absolute" from="2973,576" to="3000,431" stroked="true" strokeweight="1pt" strokecolor="#de8508">
              <v:stroke dashstyle="solid"/>
            </v:line>
            <v:line style="position:absolute" from="3013,421" to="3013,701" stroked="true" strokeweight="2.25pt" strokecolor="#de8508">
              <v:stroke dashstyle="solid"/>
            </v:line>
            <v:line style="position:absolute" from="3039,681" to="3039,993" stroked="true" strokeweight="2.375pt" strokecolor="#de8508">
              <v:stroke dashstyle="solid"/>
            </v:line>
            <v:shape style="position:absolute;left:3052;top:788;width:270;height:458" coordorigin="3053,788" coordsize="270,458" path="m3053,983l3093,1246m3093,1246l3120,1213m3120,1213l3148,1048m3148,1048l3175,983m3175,983l3200,806m3200,806l3243,788m3243,788l3268,871m3268,871l3295,1016m3295,1016l3323,983e" filled="false" stroked="true" strokeweight="1pt" strokecolor="#de8508">
              <v:path arrowok="t"/>
              <v:stroke dashstyle="solid"/>
            </v:shape>
            <v:line style="position:absolute" from="3313,984" to="3360,984" stroked="true" strokeweight="1.125pt" strokecolor="#de8508">
              <v:stroke dashstyle="solid"/>
            </v:line>
            <v:shape style="position:absolute;left:3350;top:983;width:93;height:310" coordorigin="3350,983" coordsize="93,310" path="m3350,983l3390,1181m3390,1181l3415,1228m3415,1228l3443,1293e" filled="false" stroked="true" strokeweight="1pt" strokecolor="#de8508">
              <v:path arrowok="t"/>
              <v:stroke dashstyle="solid"/>
            </v:shape>
            <v:shape style="position:absolute;left:3432;top:990;width:75;height:313" coordorigin="3433,991" coordsize="75,313" path="m3508,991l3480,991,3460,991,3433,991,3433,1303,3480,1303,3480,1288,3508,1288,3508,991xe" filled="true" fillcolor="#de8508" stroked="false">
              <v:path arrowok="t"/>
              <v:fill type="solid"/>
            </v:shape>
            <v:line style="position:absolute" from="3498,1278" to="3538,1213" stroked="true" strokeweight="1pt" strokecolor="#de8508">
              <v:stroke dashstyle="solid"/>
            </v:line>
            <v:line style="position:absolute" from="3551,1203" to="3551,1531" stroked="true" strokeweight="2.375pt" strokecolor="#de8508">
              <v:stroke dashstyle="solid"/>
            </v:line>
            <v:shape style="position:absolute;left:3565;top:1065;width:470;height:455" coordorigin="3565,1066" coordsize="470,455" path="m3565,1521l3590,1343m3590,1343l3618,1358m3618,1358l3673,1293m3673,1293l3713,1278m3713,1278l3740,1163m3740,1163l3765,1293m3765,1293l3793,1261m3793,1261l3820,1293m3820,1293l3860,1196m3860,1196l3888,1246m3888,1246l3915,1181m3915,1181l3940,1066m3940,1066l3968,1113m3968,1113l4008,1163m4008,1163l4035,1343e" filled="false" stroked="true" strokeweight="1pt" strokecolor="#de8508">
              <v:path arrowok="t"/>
              <v:stroke dashstyle="solid"/>
            </v:shape>
            <v:shape style="position:absolute;left:1276;top:1430;width:28;height:460" coordorigin="1276,1431" coordsize="28,460" path="m1276,1431l1276,1891m1304,1431l1304,1711e" filled="false" stroked="true" strokeweight="2.375pt" strokecolor="#610e7a">
              <v:path arrowok="t"/>
              <v:stroke dashstyle="solid"/>
            </v:shape>
            <v:shape style="position:absolute;left:1317;top:1310;width:175;height:1335" coordorigin="1318,1311" coordsize="175,1335" path="m1318,1701l1345,1946m1345,1946l1373,2646m1373,2646l1413,2613m1413,2613l1438,2466m1438,2466l1465,2221m1465,2221l1493,1311e" filled="false" stroked="true" strokeweight="1pt" strokecolor="#610e7a">
              <v:path arrowok="t"/>
              <v:stroke dashstyle="solid"/>
            </v:shape>
            <v:line style="position:absolute" from="1506,958" to="1506,1321" stroked="true" strokeweight="2.375pt" strokecolor="#610e7a">
              <v:stroke dashstyle="solid"/>
            </v:line>
            <v:shape style="position:absolute;left:1520;top:543;width:148;height:425" coordorigin="1520,543" coordsize="148,425" path="m1520,968l1560,658m1560,658l1588,543m1588,543l1613,723m1613,723l1640,806m1640,806l1668,951e" filled="false" stroked="true" strokeweight="1pt" strokecolor="#610e7a">
              <v:path arrowok="t"/>
              <v:stroke dashstyle="solid"/>
            </v:shape>
            <v:line style="position:absolute" from="1681,616" to="1681,961" stroked="true" strokeweight="2.375pt" strokecolor="#610e7a">
              <v:stroke dashstyle="solid"/>
            </v:line>
            <v:shape style="position:absolute;left:1695;top:235;width:148;height:423" coordorigin="1695,236" coordsize="148,423" path="m1695,626l1735,316m1735,316l1763,236m1763,236l1788,431m1788,431l1815,446m1815,446l1843,658e" filled="false" stroked="true" strokeweight="1pt" strokecolor="#610e7a">
              <v:path arrowok="t"/>
              <v:stroke dashstyle="solid"/>
            </v:shape>
            <v:line style="position:absolute" from="1863,258" to="1863,668" stroked="true" strokeweight="3pt" strokecolor="#610e7a">
              <v:stroke dashstyle="solid"/>
            </v:line>
            <v:line style="position:absolute" from="1896,258" to="1896,603" stroked="true" strokeweight="2.375pt" strokecolor="#610e7a">
              <v:stroke dashstyle="solid"/>
            </v:line>
            <v:shape style="position:absolute;left:1910;top:560;width:148;height:505" coordorigin="1910,561" coordsize="148,505" path="m1910,593l1938,756m1938,756l1963,561m1963,561l1990,691m1990,691l2030,1066m2030,1066l2058,1033e" filled="false" stroked="true" strokeweight="1pt" strokecolor="#610e7a">
              <v:path arrowok="t"/>
              <v:stroke dashstyle="solid"/>
            </v:shape>
            <v:line style="position:absolute" from="2048,1034" to="2095,1034" stroked="true" strokeweight="1.125pt" strokecolor="#610e7a">
              <v:stroke dashstyle="solid"/>
            </v:line>
            <v:shape style="position:absolute;left:2085;top:918;width:93;height:115" coordorigin="2085,918" coordsize="93,115" path="m2085,1033l2113,983m2113,983l2138,918m2138,918l2178,983e" filled="false" stroked="true" strokeweight="1pt" strokecolor="#610e7a">
              <v:path arrowok="t"/>
              <v:stroke dashstyle="solid"/>
            </v:shape>
            <v:line style="position:absolute" from="2191,973" to="2191,1418" stroked="true" strokeweight="2.375pt" strokecolor="#610e7a">
              <v:stroke dashstyle="solid"/>
            </v:line>
            <v:shape style="position:absolute;left:2205;top:1408;width:230;height:1238" coordorigin="2205,1408" coordsize="230,1238" path="m2205,1408l2233,2256m2233,2256l2260,2123m2260,2123l2285,1651m2285,1651l2328,2026m2328,2026l2353,2498m2353,2498l2380,2646m2380,2646l2408,2498m2408,2498l2435,2531e" filled="false" stroked="true" strokeweight="1pt" strokecolor="#610e7a">
              <v:path arrowok="t"/>
              <v:stroke dashstyle="solid"/>
            </v:shape>
            <v:line style="position:absolute" from="2455,2048" to="2455,2541" stroked="true" strokeweight="3pt" strokecolor="#610e7a">
              <v:stroke dashstyle="solid"/>
            </v:line>
            <v:shape style="position:absolute;left:2465;top:1478;width:195;height:590" type="#_x0000_t75" stroked="false">
              <v:imagedata r:id="rId117" o:title=""/>
            </v:shape>
            <v:line style="position:absolute" from="2664,1056" to="2664,1516" stroked="true" strokeweight="2.375pt" strokecolor="#610e7a">
              <v:stroke dashstyle="solid"/>
            </v:line>
            <v:line style="position:absolute" from="2690,713" to="2690,1076" stroked="true" strokeweight="2.25pt" strokecolor="#610e7a">
              <v:stroke dashstyle="solid"/>
            </v:line>
            <v:shape style="position:absolute;left:2702;top:575;width:55;height:165" coordorigin="2703,576" coordsize="55,165" path="m2703,723l2730,576m2730,576l2758,741e" filled="false" stroked="true" strokeweight="1pt" strokecolor="#610e7a">
              <v:path arrowok="t"/>
              <v:stroke dashstyle="solid"/>
            </v:shape>
            <v:line style="position:absolute" from="2778,176" to="2778,751" stroked="true" strokeweight="3pt" strokecolor="#610e7a">
              <v:stroke dashstyle="solid"/>
            </v:line>
            <v:shape style="position:absolute;left:2787;top:175;width:195;height:363" type="#_x0000_t75" stroked="false">
              <v:imagedata r:id="rId118" o:title=""/>
            </v:shape>
            <v:line style="position:absolute" from="2986,356" to="2986,766" stroked="true" strokeweight="2.375pt" strokecolor="#610e7a">
              <v:stroke dashstyle="solid"/>
            </v:line>
            <v:shape style="position:absolute;left:3000;top:755;width:53;height:358" coordorigin="3000,756" coordsize="53,358" path="m3000,756l3025,871m3025,871l3053,1113e" filled="false" stroked="true" strokeweight="1pt" strokecolor="#610e7a">
              <v:path arrowok="t"/>
              <v:stroke dashstyle="solid"/>
            </v:shape>
            <v:line style="position:absolute" from="3073,648" to="3073,1123" stroked="true" strokeweight="3pt" strokecolor="#610e7a">
              <v:stroke dashstyle="solid"/>
            </v:line>
            <v:shape style="position:absolute;left:3092;top:543;width:83;height:458" coordorigin="3093,543" coordsize="83,458" path="m3093,658l3120,543m3120,543l3148,1001m3148,1001l3175,968e" filled="false" stroked="true" strokeweight="1pt" strokecolor="#610e7a">
              <v:path arrowok="t"/>
              <v:stroke dashstyle="solid"/>
            </v:shape>
            <v:line style="position:absolute" from="3188,958" to="3188,1303" stroked="true" strokeweight="2.25pt" strokecolor="#610e7a">
              <v:stroke dashstyle="solid"/>
            </v:line>
            <v:shape style="position:absolute;left:3200;top:1113;width:95;height:458" coordorigin="3200,1113" coordsize="95,458" path="m3200,1293l3243,1163m3243,1163l3268,1113m3268,1113l3295,1571e" filled="false" stroked="true" strokeweight="1pt" strokecolor="#610e7a">
              <v:path arrowok="t"/>
              <v:stroke dashstyle="solid"/>
            </v:shape>
            <v:shape style="position:absolute;left:3285;top:1235;width:343;height:605" type="#_x0000_t75" stroked="false">
              <v:imagedata r:id="rId119" o:title=""/>
            </v:shape>
            <v:line style="position:absolute" from="3618,1553" to="3645,983" stroked="true" strokeweight="1pt" strokecolor="#610e7a">
              <v:stroke dashstyle="solid"/>
            </v:line>
            <v:line style="position:absolute" from="3659,666" to="3659,993" stroked="true" strokeweight="2.375pt" strokecolor="#610e7a">
              <v:stroke dashstyle="solid"/>
            </v:line>
            <v:line style="position:absolute" from="3693,666" to="3693,1076" stroked="true" strokeweight="3pt" strokecolor="#610e7a">
              <v:stroke dashstyle="solid"/>
            </v:line>
            <v:line style="position:absolute" from="3713,1066" to="3740,1131" stroked="true" strokeweight="1pt" strokecolor="#610e7a">
              <v:stroke dashstyle="solid"/>
            </v:line>
            <v:line style="position:absolute" from="3753,876" to="3753,1141" stroked="true" strokeweight="2.25pt" strokecolor="#610e7a">
              <v:stroke dashstyle="solid"/>
            </v:line>
            <v:shape style="position:absolute;left:3778;top:273;width:28;height:623" coordorigin="3779,273" coordsize="28,623" path="m3779,533l3779,896m3806,273l3806,553e" filled="false" stroked="true" strokeweight="2.375pt" strokecolor="#610e7a">
              <v:path arrowok="t"/>
              <v:stroke dashstyle="solid"/>
            </v:shape>
            <v:line style="position:absolute" from="3820,283" to="3860,218" stroked="true" strokeweight="1pt" strokecolor="#610e7a">
              <v:stroke dashstyle="solid"/>
            </v:line>
            <v:line style="position:absolute" from="3850,219" to="3898,219" stroked="true" strokeweight="1.125pt" strokecolor="#610e7a">
              <v:stroke dashstyle="solid"/>
            </v:line>
            <v:shape style="position:absolute;left:3887;top:218;width:80;height:588" coordorigin="3888,218" coordsize="80,588" path="m3888,218l3915,691m3915,691l3940,641m3940,641l3968,806e" filled="false" stroked="true" strokeweight="1pt" strokecolor="#610e7a">
              <v:path arrowok="t"/>
              <v:stroke dashstyle="solid"/>
            </v:shape>
            <v:line style="position:absolute" from="3988,796" to="3988,1321" stroked="true" strokeweight="3pt" strokecolor="#610e7a">
              <v:stroke dashstyle="solid"/>
            </v:line>
            <v:shape style="position:absolute;left:4007;top:1310;width:55;height:178" coordorigin="4008,1311" coordsize="55,178" path="m4008,1311l4035,1488m4035,1488l4063,1326e" filled="false" stroked="true" strokeweight="1pt" strokecolor="#610e7a">
              <v:path arrowok="t"/>
              <v:stroke dashstyle="solid"/>
            </v:shape>
            <v:shape style="position:absolute;left:4128;top:393;width:87;height:2167" coordorigin="4128,393" coordsize="87,2167" path="m4215,2207l4128,2207m4215,2560l4128,2560m4215,393l4128,393m4215,760l4128,760m4215,1106l4128,1106m4215,1486l4128,1486m4215,1846l4128,1846e" filled="false" stroked="true" strokeweight=".5pt" strokecolor="#000000">
              <v:path arrowok="t"/>
              <v:stroke dashstyle="solid"/>
            </v:shape>
            <v:line style="position:absolute" from="1170,1486" to="4070,1486" stroked="true" strokeweight=".5pt" strokecolor="#000000">
              <v:stroke dashstyle="solid"/>
            </v:line>
            <v:shape style="position:absolute;left:2778;top:1661;width:307;height:307" type="#_x0000_t75" stroked="false">
              <v:imagedata r:id="rId120" o:title=""/>
            </v:shape>
            <v:shape style="position:absolute;left:1160;top:175;width:3055;height:2484"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0"/>
                      <w:rPr>
                        <w:sz w:val="10"/>
                      </w:rPr>
                    </w:pPr>
                  </w:p>
                  <w:p>
                    <w:pPr>
                      <w:spacing w:line="242" w:lineRule="auto" w:before="1"/>
                      <w:ind w:left="1649" w:right="554" w:hanging="30"/>
                      <w:jc w:val="left"/>
                      <w:rPr>
                        <w:sz w:val="12"/>
                      </w:rPr>
                    </w:pPr>
                    <w:r>
                      <w:rPr>
                        <w:sz w:val="12"/>
                      </w:rPr>
                      <w:t>Housing starts (a) (right-hand scale)</w:t>
                    </w:r>
                  </w:p>
                  <w:p>
                    <w:pPr>
                      <w:spacing w:line="240" w:lineRule="auto" w:before="6"/>
                      <w:rPr>
                        <w:sz w:val="12"/>
                      </w:rPr>
                    </w:pPr>
                  </w:p>
                  <w:p>
                    <w:pPr>
                      <w:spacing w:line="242" w:lineRule="auto" w:before="1"/>
                      <w:ind w:left="1333" w:right="599" w:hanging="30"/>
                      <w:jc w:val="left"/>
                      <w:rPr>
                        <w:sz w:val="12"/>
                      </w:rPr>
                    </w:pPr>
                    <w:r>
                      <w:rPr>
                        <w:sz w:val="12"/>
                      </w:rPr>
                      <w:t>Net site reservations (b) (left-hand scale)</w:t>
                    </w:r>
                  </w:p>
                </w:txbxContent>
              </v:textbox>
              <w10:wrap type="none"/>
            </v:shape>
            <w10:wrap type="none"/>
          </v:group>
        </w:pict>
      </w:r>
      <w:r>
        <w:rPr/>
        <w:pict>
          <v:line style="position:absolute;mso-position-horizontal-relative:page;mso-position-vertical-relative:paragraph;z-index:16087552" from="54.167pt,2.902039pt" to="49.833pt,2.902039pt" stroked="true" strokeweight=".5pt" strokecolor="#000000">
            <v:stroke dashstyle="solid"/>
            <w10:wrap type="none"/>
          </v:line>
        </w:pict>
      </w:r>
      <w:r>
        <w:rPr>
          <w:sz w:val="12"/>
        </w:rPr>
        <w:t>50</w:t>
      </w:r>
    </w:p>
    <w:p>
      <w:pPr>
        <w:pStyle w:val="BodyText"/>
        <w:spacing w:before="5"/>
        <w:rPr>
          <w:sz w:val="13"/>
        </w:rPr>
      </w:pPr>
    </w:p>
    <w:p>
      <w:pPr>
        <w:spacing w:before="0"/>
        <w:ind w:left="180" w:right="0" w:firstLine="0"/>
        <w:jc w:val="left"/>
        <w:rPr>
          <w:sz w:val="12"/>
        </w:rPr>
      </w:pPr>
      <w:r>
        <w:rPr/>
        <w:pict>
          <v:line style="position:absolute;mso-position-horizontal-relative:page;mso-position-vertical-relative:paragraph;z-index:16088064" from="54.167pt,3.226593pt" to="49.833pt,3.226593pt" stroked="true" strokeweight=".5pt" strokecolor="#000000">
            <v:stroke dashstyle="solid"/>
            <w10:wrap type="none"/>
          </v:line>
        </w:pict>
      </w:r>
      <w:r>
        <w:rPr>
          <w:sz w:val="12"/>
        </w:rPr>
        <w:t>40</w:t>
      </w:r>
    </w:p>
    <w:p>
      <w:pPr>
        <w:pStyle w:val="BodyText"/>
        <w:spacing w:before="5"/>
        <w:rPr>
          <w:sz w:val="12"/>
        </w:rPr>
      </w:pPr>
    </w:p>
    <w:p>
      <w:pPr>
        <w:spacing w:before="0"/>
        <w:ind w:left="180" w:right="0" w:firstLine="0"/>
        <w:jc w:val="left"/>
        <w:rPr>
          <w:sz w:val="12"/>
        </w:rPr>
      </w:pPr>
      <w:r>
        <w:rPr/>
        <w:pict>
          <v:line style="position:absolute;mso-position-horizontal-relative:page;mso-position-vertical-relative:paragraph;z-index:16088576" from="54.167pt,3.659592pt" to="49.833pt,3.659592pt" stroked="true" strokeweight=".5pt" strokecolor="#000000">
            <v:stroke dashstyle="solid"/>
            <w10:wrap type="none"/>
          </v:line>
        </w:pict>
      </w:r>
      <w:r>
        <w:rPr>
          <w:sz w:val="12"/>
        </w:rPr>
        <w:t>30</w:t>
      </w:r>
    </w:p>
    <w:p>
      <w:pPr>
        <w:pStyle w:val="BodyText"/>
        <w:spacing w:before="1"/>
        <w:rPr>
          <w:sz w:val="13"/>
        </w:rPr>
      </w:pPr>
    </w:p>
    <w:p>
      <w:pPr>
        <w:spacing w:before="0"/>
        <w:ind w:left="180" w:right="0" w:firstLine="0"/>
        <w:jc w:val="left"/>
        <w:rPr>
          <w:sz w:val="12"/>
        </w:rPr>
      </w:pPr>
      <w:r>
        <w:rPr/>
        <w:pict>
          <v:line style="position:absolute;mso-position-horizontal-relative:page;mso-position-vertical-relative:paragraph;z-index:16089088" from="54.167pt,4.226593pt" to="49.833pt,4.226593pt" stroked="true" strokeweight=".5pt" strokecolor="#000000">
            <v:stroke dashstyle="solid"/>
            <w10:wrap type="none"/>
          </v:line>
        </w:pict>
      </w:r>
      <w:r>
        <w:rPr>
          <w:sz w:val="12"/>
        </w:rPr>
        <w:t>20</w:t>
      </w:r>
    </w:p>
    <w:p>
      <w:pPr>
        <w:pStyle w:val="BodyText"/>
        <w:spacing w:before="5"/>
        <w:rPr>
          <w:sz w:val="13"/>
        </w:rPr>
      </w:pPr>
    </w:p>
    <w:p>
      <w:pPr>
        <w:spacing w:line="129" w:lineRule="exact" w:before="0"/>
        <w:ind w:left="180" w:right="0" w:firstLine="0"/>
        <w:jc w:val="left"/>
        <w:rPr>
          <w:sz w:val="12"/>
        </w:rPr>
      </w:pPr>
      <w:r>
        <w:rPr/>
        <w:pict>
          <v:line style="position:absolute;mso-position-horizontal-relative:page;mso-position-vertical-relative:paragraph;z-index:16089600" from="54.167pt,3.101593pt" to="49.833pt,3.101593pt" stroked="true" strokeweight=".5pt" strokecolor="#000000">
            <v:stroke dashstyle="solid"/>
            <w10:wrap type="none"/>
          </v:line>
        </w:pict>
      </w:r>
      <w:r>
        <w:rPr>
          <w:sz w:val="12"/>
        </w:rPr>
        <w:t>10</w:t>
      </w:r>
    </w:p>
    <w:p>
      <w:pPr>
        <w:spacing w:line="160" w:lineRule="exact" w:before="0"/>
        <w:ind w:left="379" w:right="0" w:firstLine="0"/>
        <w:jc w:val="left"/>
        <w:rPr>
          <w:sz w:val="16"/>
        </w:rPr>
      </w:pPr>
      <w:r>
        <w:rPr>
          <w:w w:val="100"/>
          <w:sz w:val="16"/>
        </w:rPr>
        <w:t>+</w:t>
      </w:r>
    </w:p>
    <w:p>
      <w:pPr>
        <w:spacing w:line="100" w:lineRule="exact" w:before="0"/>
        <w:ind w:left="250" w:right="0" w:firstLine="0"/>
        <w:jc w:val="left"/>
        <w:rPr>
          <w:sz w:val="12"/>
        </w:rPr>
      </w:pPr>
      <w:r>
        <w:rPr/>
        <w:pict>
          <v:line style="position:absolute;mso-position-horizontal-relative:page;mso-position-vertical-relative:paragraph;z-index:16084480" from="54.333pt,2.852005pt" to="50pt,2.852005pt" stroked="true" strokeweight=".5pt" strokecolor="#000000">
            <v:stroke dashstyle="solid"/>
            <w10:wrap type="none"/>
          </v:line>
        </w:pict>
      </w:r>
      <w:r>
        <w:rPr>
          <w:sz w:val="12"/>
        </w:rPr>
        <w:t>0</w:t>
      </w:r>
    </w:p>
    <w:p>
      <w:pPr>
        <w:spacing w:line="161" w:lineRule="exact" w:before="0"/>
        <w:ind w:left="390" w:right="0" w:firstLine="0"/>
        <w:jc w:val="left"/>
        <w:rPr>
          <w:sz w:val="16"/>
        </w:rPr>
      </w:pPr>
      <w:r>
        <w:rPr>
          <w:sz w:val="16"/>
        </w:rPr>
        <w:t>–</w:t>
      </w:r>
    </w:p>
    <w:p>
      <w:pPr>
        <w:spacing w:before="19"/>
        <w:ind w:left="170" w:right="0" w:firstLine="0"/>
        <w:jc w:val="left"/>
        <w:rPr>
          <w:sz w:val="12"/>
        </w:rPr>
      </w:pPr>
      <w:r>
        <w:rPr/>
        <w:pict>
          <v:line style="position:absolute;mso-position-horizontal-relative:page;mso-position-vertical-relative:paragraph;z-index:16084992" from="54.333pt,3.802081pt" to="50pt,3.802081pt" stroked="true" strokeweight=".5pt" strokecolor="#000000">
            <v:stroke dashstyle="solid"/>
            <w10:wrap type="none"/>
          </v:line>
        </w:pict>
      </w:r>
      <w:r>
        <w:rPr>
          <w:sz w:val="12"/>
        </w:rPr>
        <w:t>10</w:t>
      </w:r>
    </w:p>
    <w:p>
      <w:pPr>
        <w:pStyle w:val="BodyText"/>
        <w:spacing w:before="7"/>
        <w:rPr>
          <w:sz w:val="13"/>
        </w:rPr>
      </w:pPr>
    </w:p>
    <w:p>
      <w:pPr>
        <w:spacing w:before="0"/>
        <w:ind w:left="170" w:right="0" w:firstLine="0"/>
        <w:jc w:val="left"/>
        <w:rPr>
          <w:sz w:val="12"/>
        </w:rPr>
      </w:pPr>
      <w:r>
        <w:rPr/>
        <w:pict>
          <v:line style="position:absolute;mso-position-horizontal-relative:page;mso-position-vertical-relative:paragraph;z-index:16085504" from="54.333pt,2.602295pt" to="50pt,2.602295pt" stroked="true" strokeweight=".5pt" strokecolor="#000000">
            <v:stroke dashstyle="solid"/>
            <w10:wrap type="none"/>
          </v:line>
        </w:pict>
      </w:r>
      <w:r>
        <w:rPr>
          <w:sz w:val="12"/>
        </w:rPr>
        <w:t>20</w:t>
      </w:r>
    </w:p>
    <w:p>
      <w:pPr>
        <w:pStyle w:val="BodyText"/>
        <w:spacing w:before="5"/>
        <w:rPr>
          <w:sz w:val="13"/>
        </w:rPr>
      </w:pPr>
    </w:p>
    <w:p>
      <w:pPr>
        <w:spacing w:before="0"/>
        <w:ind w:left="170" w:right="0" w:firstLine="0"/>
        <w:jc w:val="left"/>
        <w:rPr>
          <w:sz w:val="12"/>
        </w:rPr>
      </w:pPr>
      <w:r>
        <w:rPr/>
        <w:pict>
          <v:line style="position:absolute;mso-position-horizontal-relative:page;mso-position-vertical-relative:paragraph;z-index:16086016" from="54.333pt,2.977295pt" to="50pt,2.977295pt" stroked="true" strokeweight=".5pt" strokecolor="#000000">
            <v:stroke dashstyle="solid"/>
            <w10:wrap type="none"/>
          </v:line>
        </w:pict>
      </w:r>
      <w:r>
        <w:rPr>
          <w:sz w:val="12"/>
        </w:rPr>
        <w:t>30</w:t>
      </w:r>
    </w:p>
    <w:p>
      <w:pPr>
        <w:pStyle w:val="BodyText"/>
        <w:spacing w:before="2"/>
        <w:rPr>
          <w:sz w:val="12"/>
        </w:rPr>
      </w:pPr>
    </w:p>
    <w:p>
      <w:pPr>
        <w:spacing w:before="0"/>
        <w:ind w:left="170" w:right="0" w:firstLine="0"/>
        <w:jc w:val="left"/>
        <w:rPr>
          <w:sz w:val="12"/>
        </w:rPr>
      </w:pPr>
      <w:r>
        <w:rPr/>
        <w:pict>
          <v:line style="position:absolute;mso-position-horizontal-relative:page;mso-position-vertical-relative:paragraph;z-index:16086528" from="54.333pt,2.602287pt" to="50pt,2.602287pt" stroked="true" strokeweight=".5pt" strokecolor="#000000">
            <v:stroke dashstyle="solid"/>
            <w10:wrap type="none"/>
          </v:line>
        </w:pict>
      </w:r>
      <w:r>
        <w:rPr>
          <w:sz w:val="12"/>
        </w:rPr>
        <w:t>40</w:t>
      </w:r>
    </w:p>
    <w:p>
      <w:pPr>
        <w:pStyle w:val="BodyText"/>
        <w:spacing w:before="5"/>
        <w:rPr>
          <w:sz w:val="13"/>
        </w:rPr>
      </w:pPr>
    </w:p>
    <w:p>
      <w:pPr>
        <w:spacing w:line="108" w:lineRule="exact" w:before="0"/>
        <w:ind w:left="170" w:right="0" w:firstLine="0"/>
        <w:jc w:val="left"/>
        <w:rPr>
          <w:sz w:val="12"/>
        </w:rPr>
      </w:pPr>
      <w:r>
        <w:rPr/>
        <w:pict>
          <v:shape style="position:absolute;margin-left:58.5pt;margin-top:.310287pt;width:152.25pt;height:2.8pt;mso-position-horizontal-relative:page;mso-position-vertical-relative:paragraph;z-index:16082944" coordorigin="1170,6" coordsize="3045,56" path="m1170,60l4063,62m1170,6l1170,60m1520,6l1520,60m1880,6l1880,60m2230,6l2230,60m4215,61l4128,61m2580,6l2580,60m2930,6l2930,60m3290,6l3290,60m3640,6l3640,60m4000,6l4000,60e" filled="false" stroked="true" strokeweight=".5pt" strokecolor="#000000">
            <v:path arrowok="t"/>
            <v:stroke dashstyle="solid"/>
            <w10:wrap type="none"/>
          </v:shape>
        </w:pict>
      </w:r>
      <w:r>
        <w:rPr/>
        <w:pict>
          <v:line style="position:absolute;mso-position-horizontal-relative:page;mso-position-vertical-relative:paragraph;z-index:16087040" from="54.333pt,2.977287pt" to="50pt,2.977287pt" stroked="true" strokeweight=".5pt" strokecolor="#000000">
            <v:stroke dashstyle="solid"/>
            <w10:wrap type="none"/>
          </v:line>
        </w:pict>
      </w:r>
      <w:r>
        <w:rPr>
          <w:sz w:val="12"/>
        </w:rPr>
        <w:t>50</w:t>
      </w:r>
    </w:p>
    <w:p>
      <w:pPr>
        <w:spacing w:line="91" w:lineRule="auto" w:before="0"/>
        <w:ind w:left="170" w:right="0" w:firstLine="0"/>
        <w:jc w:val="left"/>
        <w:rPr>
          <w:sz w:val="12"/>
        </w:rPr>
      </w:pPr>
      <w:r>
        <w:rPr/>
        <w:br w:type="column"/>
      </w:r>
      <w:r>
        <w:rPr>
          <w:sz w:val="12"/>
        </w:rPr>
        <w:t>Thousands </w:t>
      </w:r>
      <w:r>
        <w:rPr>
          <w:spacing w:val="10"/>
          <w:sz w:val="12"/>
        </w:rPr>
        <w:t> </w:t>
      </w:r>
      <w:r>
        <w:rPr>
          <w:position w:val="-6"/>
          <w:sz w:val="12"/>
        </w:rPr>
        <w:t>18</w:t>
      </w:r>
    </w:p>
    <w:p>
      <w:pPr>
        <w:pStyle w:val="BodyText"/>
        <w:spacing w:before="5"/>
        <w:rPr>
          <w:sz w:val="20"/>
        </w:rPr>
      </w:pPr>
    </w:p>
    <w:p>
      <w:pPr>
        <w:spacing w:before="0"/>
        <w:ind w:left="0" w:right="38" w:firstLine="0"/>
        <w:jc w:val="right"/>
        <w:rPr>
          <w:sz w:val="12"/>
        </w:rPr>
      </w:pPr>
      <w:r>
        <w:rPr/>
        <w:pict>
          <v:line style="position:absolute;mso-position-horizontal-relative:page;mso-position-vertical-relative:paragraph;z-index:16090112" from="210.750007pt,-13.772644pt" to="206.417007pt,-13.772644pt" stroked="true" strokeweight=".5pt" strokecolor="#000000">
            <v:stroke dashstyle="solid"/>
            <w10:wrap type="none"/>
          </v:line>
        </w:pict>
      </w:r>
      <w:r>
        <w:rPr>
          <w:sz w:val="12"/>
        </w:rPr>
        <w:t>17</w:t>
      </w:r>
    </w:p>
    <w:p>
      <w:pPr>
        <w:pStyle w:val="BodyText"/>
        <w:rPr>
          <w:sz w:val="12"/>
        </w:rPr>
      </w:pPr>
    </w:p>
    <w:p>
      <w:pPr>
        <w:spacing w:before="82"/>
        <w:ind w:left="0" w:right="38" w:firstLine="0"/>
        <w:jc w:val="right"/>
        <w:rPr>
          <w:sz w:val="12"/>
        </w:rPr>
      </w:pPr>
      <w:r>
        <w:rPr>
          <w:sz w:val="12"/>
        </w:rPr>
        <w:t>16</w:t>
      </w:r>
    </w:p>
    <w:p>
      <w:pPr>
        <w:pStyle w:val="BodyText"/>
        <w:rPr>
          <w:sz w:val="12"/>
        </w:rPr>
      </w:pPr>
    </w:p>
    <w:p>
      <w:pPr>
        <w:spacing w:before="84"/>
        <w:ind w:left="0" w:right="38" w:firstLine="0"/>
        <w:jc w:val="right"/>
        <w:rPr>
          <w:sz w:val="12"/>
        </w:rPr>
      </w:pPr>
      <w:r>
        <w:rPr>
          <w:sz w:val="12"/>
        </w:rPr>
        <w:t>15</w:t>
      </w:r>
    </w:p>
    <w:p>
      <w:pPr>
        <w:pStyle w:val="BodyText"/>
        <w:rPr>
          <w:sz w:val="12"/>
        </w:rPr>
      </w:pPr>
    </w:p>
    <w:p>
      <w:pPr>
        <w:spacing w:before="99"/>
        <w:ind w:left="0" w:right="38" w:firstLine="0"/>
        <w:jc w:val="right"/>
        <w:rPr>
          <w:sz w:val="12"/>
        </w:rPr>
      </w:pPr>
      <w:r>
        <w:rPr>
          <w:sz w:val="12"/>
        </w:rPr>
        <w:t>14</w:t>
      </w:r>
    </w:p>
    <w:p>
      <w:pPr>
        <w:pStyle w:val="BodyText"/>
        <w:rPr>
          <w:sz w:val="12"/>
        </w:rPr>
      </w:pPr>
    </w:p>
    <w:p>
      <w:pPr>
        <w:spacing w:before="81"/>
        <w:ind w:left="0" w:right="38" w:firstLine="0"/>
        <w:jc w:val="right"/>
        <w:rPr>
          <w:sz w:val="12"/>
        </w:rPr>
      </w:pPr>
      <w:r>
        <w:rPr>
          <w:sz w:val="12"/>
        </w:rPr>
        <w:t>13</w:t>
      </w:r>
    </w:p>
    <w:p>
      <w:pPr>
        <w:pStyle w:val="BodyText"/>
        <w:rPr>
          <w:sz w:val="12"/>
        </w:rPr>
      </w:pPr>
    </w:p>
    <w:p>
      <w:pPr>
        <w:spacing w:before="82"/>
        <w:ind w:left="0" w:right="38" w:firstLine="0"/>
        <w:jc w:val="right"/>
        <w:rPr>
          <w:sz w:val="12"/>
        </w:rPr>
      </w:pPr>
      <w:r>
        <w:rPr>
          <w:sz w:val="12"/>
        </w:rPr>
        <w:t>12</w:t>
      </w:r>
    </w:p>
    <w:p>
      <w:pPr>
        <w:pStyle w:val="BodyText"/>
        <w:rPr>
          <w:sz w:val="12"/>
        </w:rPr>
      </w:pPr>
    </w:p>
    <w:p>
      <w:pPr>
        <w:spacing w:before="84"/>
        <w:ind w:left="0" w:right="38" w:firstLine="0"/>
        <w:jc w:val="right"/>
        <w:rPr>
          <w:sz w:val="12"/>
        </w:rPr>
      </w:pPr>
      <w:r>
        <w:rPr>
          <w:sz w:val="12"/>
        </w:rPr>
        <w:t>11</w:t>
      </w:r>
    </w:p>
    <w:p>
      <w:pPr>
        <w:pStyle w:val="BodyText"/>
        <w:rPr>
          <w:sz w:val="12"/>
        </w:rPr>
      </w:pPr>
    </w:p>
    <w:p>
      <w:pPr>
        <w:spacing w:before="81"/>
        <w:ind w:left="0" w:right="38" w:firstLine="0"/>
        <w:jc w:val="right"/>
        <w:rPr>
          <w:sz w:val="12"/>
        </w:rPr>
      </w:pPr>
      <w:r>
        <w:rPr>
          <w:sz w:val="12"/>
        </w:rPr>
        <w:t>10</w:t>
      </w:r>
    </w:p>
    <w:p>
      <w:pPr>
        <w:pStyle w:val="Heading6"/>
        <w:spacing w:line="242" w:lineRule="auto" w:before="5"/>
        <w:ind w:right="153"/>
      </w:pPr>
      <w:r>
        <w:rPr/>
        <w:br w:type="column"/>
      </w:r>
      <w:r>
        <w:rPr/>
        <w:t>However, the contribution of net trade to GDP growth is expected to remain negative over the next two years, reflecting the likely strength of imports as domestic demand remains above trend, and the continuing influence of the strength of sterling. Reflecting the balance of these considerations, the MPC expects GDP growth to slow moderately in the coming quarters before settling at around or a little above trend.</w:t>
      </w:r>
    </w:p>
    <w:p>
      <w:pPr>
        <w:spacing w:after="0" w:line="242" w:lineRule="auto"/>
        <w:sectPr>
          <w:type w:val="continuous"/>
          <w:pgSz w:w="11900" w:h="16840"/>
          <w:pgMar w:top="1220" w:bottom="280" w:left="640" w:right="620"/>
          <w:cols w:num="3" w:equalWidth="0">
            <w:col w:w="961" w:space="1916"/>
            <w:col w:w="920" w:space="987"/>
            <w:col w:w="5856"/>
          </w:cols>
        </w:sectPr>
      </w:pPr>
    </w:p>
    <w:p>
      <w:pPr>
        <w:tabs>
          <w:tab w:pos="1377" w:val="left" w:leader="none"/>
          <w:tab w:pos="1727" w:val="left" w:leader="none"/>
          <w:tab w:pos="2077" w:val="left" w:leader="none"/>
          <w:tab w:pos="2442" w:val="left" w:leader="none"/>
          <w:tab w:pos="2789" w:val="left" w:leader="none"/>
          <w:tab w:pos="3139" w:val="left" w:leader="none"/>
        </w:tabs>
        <w:spacing w:line="133" w:lineRule="exact" w:before="0"/>
        <w:ind w:left="577" w:right="0" w:firstLine="0"/>
        <w:jc w:val="left"/>
        <w:rPr>
          <w:sz w:val="12"/>
        </w:rPr>
      </w:pPr>
      <w:r>
        <w:rPr>
          <w:sz w:val="12"/>
        </w:rPr>
        <w:t>1992     </w:t>
      </w:r>
      <w:r>
        <w:rPr>
          <w:spacing w:val="17"/>
          <w:sz w:val="12"/>
        </w:rPr>
        <w:t> </w:t>
      </w:r>
      <w:r>
        <w:rPr>
          <w:sz w:val="12"/>
        </w:rPr>
        <w:t>93</w:t>
        <w:tab/>
        <w:t>94</w:t>
        <w:tab/>
        <w:t>95</w:t>
        <w:tab/>
        <w:t>96</w:t>
        <w:tab/>
        <w:t>97</w:t>
        <w:tab/>
        <w:t>98</w:t>
        <w:tab/>
        <w:t>99</w:t>
      </w:r>
      <w:r>
        <w:rPr>
          <w:spacing w:val="10"/>
          <w:sz w:val="12"/>
        </w:rPr>
        <w:t> </w:t>
      </w:r>
      <w:r>
        <w:rPr>
          <w:sz w:val="12"/>
        </w:rPr>
        <w:t>2000</w:t>
      </w:r>
    </w:p>
    <w:p>
      <w:pPr>
        <w:pStyle w:val="BodyText"/>
        <w:spacing w:before="10"/>
        <w:rPr>
          <w:sz w:val="13"/>
        </w:rPr>
      </w:pPr>
    </w:p>
    <w:p>
      <w:pPr>
        <w:spacing w:before="0"/>
        <w:ind w:left="170" w:right="0" w:firstLine="0"/>
        <w:jc w:val="left"/>
        <w:rPr>
          <w:sz w:val="12"/>
        </w:rPr>
      </w:pPr>
      <w:r>
        <w:rPr>
          <w:sz w:val="12"/>
        </w:rPr>
        <w:t>Sources: DETR and House Builders’ Federation.</w:t>
      </w:r>
    </w:p>
    <w:p>
      <w:pPr>
        <w:pStyle w:val="ListParagraph"/>
        <w:numPr>
          <w:ilvl w:val="0"/>
          <w:numId w:val="18"/>
        </w:numPr>
        <w:tabs>
          <w:tab w:pos="410" w:val="left" w:leader="none"/>
        </w:tabs>
        <w:spacing w:line="129" w:lineRule="exact" w:before="102" w:after="0"/>
        <w:ind w:left="410" w:right="0" w:hanging="240"/>
        <w:jc w:val="left"/>
        <w:rPr>
          <w:sz w:val="12"/>
        </w:rPr>
      </w:pPr>
      <w:r>
        <w:rPr>
          <w:sz w:val="12"/>
        </w:rPr>
        <w:t>Three-month backward-looking moving average.</w:t>
      </w:r>
    </w:p>
    <w:p>
      <w:pPr>
        <w:pStyle w:val="ListParagraph"/>
        <w:numPr>
          <w:ilvl w:val="0"/>
          <w:numId w:val="18"/>
        </w:numPr>
        <w:tabs>
          <w:tab w:pos="411" w:val="left" w:leader="none"/>
        </w:tabs>
        <w:spacing w:line="208" w:lineRule="auto" w:before="6" w:after="0"/>
        <w:ind w:left="410" w:right="7218" w:hanging="240"/>
        <w:jc w:val="left"/>
        <w:rPr>
          <w:sz w:val="12"/>
        </w:rPr>
      </w:pPr>
      <w:r>
        <w:rPr>
          <w:sz w:val="12"/>
        </w:rPr>
        <w:t>Net balance of survey respondents reporting an increase in </w:t>
      </w:r>
      <w:r>
        <w:rPr>
          <w:spacing w:val="-5"/>
          <w:sz w:val="12"/>
        </w:rPr>
        <w:t>site </w:t>
      </w:r>
      <w:r>
        <w:rPr>
          <w:sz w:val="12"/>
        </w:rPr>
        <w:t>reservations compared with a year</w:t>
      </w:r>
      <w:r>
        <w:rPr>
          <w:spacing w:val="-9"/>
          <w:sz w:val="12"/>
        </w:rPr>
        <w:t> </w:t>
      </w:r>
      <w:r>
        <w:rPr>
          <w:sz w:val="12"/>
        </w:rPr>
        <w:t>earlier.</w:t>
      </w:r>
    </w:p>
    <w:p>
      <w:pPr>
        <w:spacing w:after="0" w:line="208" w:lineRule="auto"/>
        <w:jc w:val="left"/>
        <w:rPr>
          <w:sz w:val="12"/>
        </w:rPr>
        <w:sectPr>
          <w:type w:val="continuous"/>
          <w:pgSz w:w="11900" w:h="16840"/>
          <w:pgMar w:top="1220" w:bottom="280" w:left="640" w:right="620"/>
        </w:sectPr>
      </w:pPr>
    </w:p>
    <w:p>
      <w:pPr>
        <w:pStyle w:val="BodyText"/>
        <w:spacing w:line="20" w:lineRule="exact"/>
        <w:ind w:left="13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pStyle w:val="BodyText"/>
        <w:spacing w:before="10"/>
        <w:rPr>
          <w:sz w:val="17"/>
        </w:rPr>
      </w:pPr>
      <w:r>
        <w:rPr/>
        <w:pict>
          <v:shape style="position:absolute;margin-left:40.090pt;margin-top:11.500977pt;width:516pt;height:48pt;mso-position-horizontal-relative:page;mso-position-vertical-relative:paragraph;z-index:-15362048;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The labour market" w:id="53"/>
                  <w:bookmarkEnd w:id="53"/>
                  <w:r>
                    <w:rPr/>
                  </w:r>
                  <w:bookmarkStart w:name="Employment, labour market tightness and " w:id="54"/>
                  <w:bookmarkEnd w:id="54"/>
                  <w:r>
                    <w:rPr/>
                  </w:r>
                  <w:bookmarkStart w:name="_bookmark26" w:id="55"/>
                  <w:bookmarkEnd w:id="55"/>
                  <w:r>
                    <w:rPr/>
                  </w:r>
                  <w:r>
                    <w:rPr>
                      <w:b/>
                      <w:color w:val="009391"/>
                      <w:sz w:val="48"/>
                    </w:rPr>
                    <w:t>The</w:t>
                  </w:r>
                  <w:r>
                    <w:rPr>
                      <w:b/>
                      <w:color w:val="009391"/>
                      <w:spacing w:val="-2"/>
                      <w:sz w:val="48"/>
                    </w:rPr>
                    <w:t> </w:t>
                  </w:r>
                  <w:r>
                    <w:rPr>
                      <w:b/>
                      <w:color w:val="009391"/>
                      <w:sz w:val="48"/>
                    </w:rPr>
                    <w:t>labour</w:t>
                  </w:r>
                  <w:r>
                    <w:rPr>
                      <w:b/>
                      <w:color w:val="009391"/>
                      <w:spacing w:val="-1"/>
                      <w:sz w:val="48"/>
                    </w:rPr>
                    <w:t> </w:t>
                  </w:r>
                  <w:r>
                    <w:rPr>
                      <w:b/>
                      <w:color w:val="009391"/>
                      <w:sz w:val="48"/>
                    </w:rPr>
                    <w:t>market</w:t>
                    <w:tab/>
                  </w:r>
                  <w:r>
                    <w:rPr>
                      <w:b/>
                      <w:color w:val="009391"/>
                      <w:sz w:val="72"/>
                    </w:rPr>
                    <w:t>3</w:t>
                  </w:r>
                </w:p>
              </w:txbxContent>
            </v:textbox>
            <v:fill type="solid"/>
            <w10:wrap type="topAndBottom"/>
          </v:shape>
        </w:pict>
      </w:r>
    </w:p>
    <w:p>
      <w:pPr>
        <w:pStyle w:val="BodyText"/>
        <w:rPr>
          <w:sz w:val="20"/>
        </w:rPr>
      </w:pPr>
    </w:p>
    <w:p>
      <w:pPr>
        <w:pStyle w:val="BodyText"/>
        <w:rPr>
          <w:sz w:val="20"/>
        </w:rPr>
      </w:pPr>
    </w:p>
    <w:p>
      <w:pPr>
        <w:spacing w:after="0"/>
        <w:rPr>
          <w:sz w:val="20"/>
        </w:rPr>
        <w:sectPr>
          <w:headerReference w:type="default" r:id="rId121"/>
          <w:footerReference w:type="default" r:id="rId122"/>
          <w:footerReference w:type="even" r:id="rId123"/>
          <w:pgSz w:w="11900" w:h="16840"/>
          <w:pgMar w:header="0" w:footer="617" w:top="780" w:bottom="800" w:left="640" w:right="620"/>
          <w:pgNumType w:start="25"/>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before="137"/>
        <w:ind w:left="170" w:right="0" w:firstLine="0"/>
        <w:jc w:val="left"/>
        <w:rPr>
          <w:b/>
          <w:sz w:val="20"/>
        </w:rPr>
      </w:pPr>
      <w:r>
        <w:rPr>
          <w:b/>
          <w:color w:val="0092C7"/>
          <w:sz w:val="20"/>
        </w:rPr>
        <w:t>Chart 3.1</w:t>
      </w:r>
    </w:p>
    <w:p>
      <w:pPr>
        <w:spacing w:line="249" w:lineRule="auto" w:before="10"/>
        <w:ind w:left="170" w:right="659" w:firstLine="0"/>
        <w:jc w:val="left"/>
        <w:rPr>
          <w:b/>
          <w:sz w:val="20"/>
        </w:rPr>
      </w:pPr>
      <w:r>
        <w:rPr>
          <w:b/>
          <w:color w:val="0092C7"/>
          <w:sz w:val="20"/>
        </w:rPr>
        <w:t>Growth in LFS employment and hours worked</w:t>
      </w:r>
    </w:p>
    <w:p>
      <w:pPr>
        <w:spacing w:before="87"/>
        <w:ind w:left="1324" w:right="0" w:firstLine="0"/>
        <w:jc w:val="left"/>
        <w:rPr>
          <w:sz w:val="12"/>
        </w:rPr>
      </w:pPr>
      <w:r>
        <w:rPr/>
        <w:pict>
          <v:line style="position:absolute;mso-position-horizontal-relative:page;mso-position-vertical-relative:paragraph;z-index:16104960" from="42.458pt,12.316062pt" to="46.792pt,12.316062pt" stroked="true" strokeweight=".5pt" strokecolor="#000000">
            <v:stroke dashstyle="solid"/>
            <w10:wrap type="none"/>
          </v:line>
        </w:pict>
      </w:r>
      <w:r>
        <w:rPr/>
        <w:pict>
          <v:line style="position:absolute;mso-position-horizontal-relative:page;mso-position-vertical-relative:paragraph;z-index:-22501888" from="198.042007pt,12.931063pt" to="202.375007pt,12.931063pt" stroked="true" strokeweight=".5pt" strokecolor="#000000">
            <v:stroke dashstyle="solid"/>
            <w10:wrap type="none"/>
          </v:line>
        </w:pict>
      </w:r>
      <w:r>
        <w:rPr>
          <w:sz w:val="12"/>
        </w:rPr>
        <w:t>Percentage changes on three months earlier</w:t>
      </w:r>
      <w:r>
        <w:rPr>
          <w:spacing w:val="-6"/>
          <w:sz w:val="12"/>
        </w:rPr>
        <w:t> </w:t>
      </w:r>
      <w:r>
        <w:rPr>
          <w:position w:val="-7"/>
          <w:sz w:val="12"/>
        </w:rPr>
        <w:t>1.0</w:t>
      </w:r>
    </w:p>
    <w:p>
      <w:pPr>
        <w:spacing w:before="147"/>
        <w:ind w:left="0" w:right="38" w:firstLine="0"/>
        <w:jc w:val="right"/>
        <w:rPr>
          <w:sz w:val="12"/>
        </w:rPr>
      </w:pPr>
      <w:r>
        <w:rPr/>
        <w:pict>
          <v:group style="position:absolute;margin-left:50.5pt;margin-top:15.30155pt;width:158.9pt;height:119.9pt;mso-position-horizontal-relative:page;mso-position-vertical-relative:paragraph;z-index:16099840" coordorigin="1010,306" coordsize="3178,2398">
            <v:rect style="position:absolute;left:1295;top:509;width:167;height:878" filled="true" fillcolor="#9ed01a" stroked="false">
              <v:fill type="solid"/>
            </v:rect>
            <v:rect style="position:absolute;left:1295;top:509;width:167;height:878" filled="false" stroked="true" strokeweight=".5pt" strokecolor="#000000">
              <v:stroke dashstyle="solid"/>
            </v:rect>
            <v:rect style="position:absolute;left:1295;top:311;width:167;height:205" filled="true" fillcolor="#00a2a0" stroked="false">
              <v:fill type="solid"/>
            </v:rect>
            <v:rect style="position:absolute;left:1295;top:311;width:167;height:205" filled="false" stroked="true" strokeweight=".5pt" strokecolor="#000000">
              <v:stroke dashstyle="solid"/>
            </v:rect>
            <v:rect style="position:absolute;left:2016;top:1388;width:159;height:1298" filled="true" fillcolor="#9ed01a" stroked="false">
              <v:fill type="solid"/>
            </v:rect>
            <v:rect style="position:absolute;left:2016;top:1388;width:159;height:1298" filled="false" stroked="true" strokeweight=".5pt" strokecolor="#000000">
              <v:stroke dashstyle="solid"/>
            </v:rect>
            <v:rect style="position:absolute;left:2016;top:881;width:159;height:510" filled="true" fillcolor="#00a2a0" stroked="false">
              <v:fill type="solid"/>
            </v:rect>
            <v:rect style="position:absolute;left:2016;top:881;width:159;height:510" filled="false" stroked="true" strokeweight=".5pt" strokecolor="#000000">
              <v:stroke dashstyle="solid"/>
            </v:rect>
            <v:rect style="position:absolute;left:2737;top:1388;width:159;height:1310" filled="true" fillcolor="#9ed01a" stroked="false">
              <v:fill type="solid"/>
            </v:rect>
            <v:rect style="position:absolute;left:2737;top:1388;width:159;height:1310" filled="false" stroked="true" strokeweight=".5pt" strokecolor="#000000">
              <v:stroke dashstyle="solid"/>
            </v:rect>
            <v:rect style="position:absolute;left:2737;top:1046;width:159;height:345" filled="true" fillcolor="#00a2a0" stroked="false">
              <v:fill type="solid"/>
            </v:rect>
            <v:rect style="position:absolute;left:2737;top:1046;width:159;height:345" filled="false" stroked="true" strokeweight=".5pt" strokecolor="#000000">
              <v:stroke dashstyle="solid"/>
            </v:rect>
            <v:rect style="position:absolute;left:3449;top:1101;width:167;height:286" filled="true" fillcolor="#9ed01a" stroked="false">
              <v:fill type="solid"/>
            </v:rect>
            <v:rect style="position:absolute;left:3449;top:941;width:167;height:445" filled="false" stroked="true" strokeweight=".5pt" strokecolor="#000000">
              <v:stroke dashstyle="solid"/>
            </v:rect>
            <v:rect style="position:absolute;left:3449;top:793;width:167;height:308" filled="true" fillcolor="#00a2a0" stroked="false">
              <v:fill type="solid"/>
            </v:rect>
            <v:shape style="position:absolute;left:1010;top:793;width:3038;height:594" coordorigin="1010,794" coordsize="3038,594" path="m3450,794l3616,794,3616,1101,3450,1101,3450,794xm3961,1387l4048,1387m1010,1387l3910,1387e" filled="false" stroked="true" strokeweight=".5pt" strokecolor="#000000">
              <v:path arrowok="t"/>
              <v:stroke dashstyle="solid"/>
            </v:shape>
            <v:shape style="position:absolute;left:1381;top:501;width:2155;height:1625" coordorigin="1381,501" coordsize="2155,1625" path="m1381,501l2102,1949m2102,1949l2814,2126m2814,2126l3535,1021e" filled="false" stroked="true" strokeweight="1pt" strokecolor="#de0035">
              <v:path arrowok="t"/>
              <v:stroke dashstyle="solid"/>
            </v:shape>
            <v:shape style="position:absolute;left:1509;top:338;width:640;height:134" type="#_x0000_t202" filled="false" stroked="false">
              <v:textbox inset="0,0,0,0">
                <w:txbxContent>
                  <w:p>
                    <w:pPr>
                      <w:spacing w:line="133" w:lineRule="exact" w:before="0"/>
                      <w:ind w:left="0" w:right="0" w:firstLine="0"/>
                      <w:jc w:val="left"/>
                      <w:rPr>
                        <w:sz w:val="12"/>
                      </w:rPr>
                    </w:pPr>
                    <w:r>
                      <w:rPr>
                        <w:sz w:val="12"/>
                      </w:rPr>
                      <w:t>Employment</w:t>
                    </w:r>
                  </w:p>
                </w:txbxContent>
              </v:textbox>
              <w10:wrap type="none"/>
            </v:shape>
            <v:shape style="position:absolute;left:4018;top:440;width:169;height:1140" type="#_x0000_t202" filled="false" stroked="false">
              <v:textbox inset="0,0,0,0">
                <w:txbxContent>
                  <w:p>
                    <w:pPr>
                      <w:spacing w:line="133" w:lineRule="exact" w:before="0"/>
                      <w:ind w:left="58" w:right="0" w:firstLine="0"/>
                      <w:jc w:val="left"/>
                      <w:rPr>
                        <w:sz w:val="12"/>
                      </w:rPr>
                    </w:pPr>
                    <w:r>
                      <w:rPr>
                        <w:sz w:val="12"/>
                      </w:rPr>
                      <w:t>0.</w:t>
                    </w:r>
                  </w:p>
                  <w:p>
                    <w:pPr>
                      <w:spacing w:line="240" w:lineRule="auto" w:before="0"/>
                      <w:rPr>
                        <w:sz w:val="13"/>
                      </w:rPr>
                    </w:pPr>
                  </w:p>
                  <w:p>
                    <w:pPr>
                      <w:spacing w:before="0"/>
                      <w:ind w:left="58" w:right="0" w:firstLine="0"/>
                      <w:jc w:val="left"/>
                      <w:rPr>
                        <w:sz w:val="12"/>
                      </w:rPr>
                    </w:pPr>
                    <w:r>
                      <w:rPr>
                        <w:sz w:val="12"/>
                      </w:rPr>
                      <w:t>0.</w:t>
                    </w:r>
                  </w:p>
                  <w:p>
                    <w:pPr>
                      <w:spacing w:line="240" w:lineRule="auto" w:before="1"/>
                      <w:rPr>
                        <w:sz w:val="13"/>
                      </w:rPr>
                    </w:pPr>
                  </w:p>
                  <w:p>
                    <w:pPr>
                      <w:spacing w:before="0"/>
                      <w:ind w:left="58" w:right="0" w:firstLine="0"/>
                      <w:jc w:val="left"/>
                      <w:rPr>
                        <w:sz w:val="12"/>
                      </w:rPr>
                    </w:pPr>
                    <w:r>
                      <w:rPr>
                        <w:sz w:val="12"/>
                      </w:rPr>
                      <w:t>0.</w:t>
                    </w:r>
                  </w:p>
                  <w:p>
                    <w:pPr>
                      <w:spacing w:line="161" w:lineRule="exact" w:before="12"/>
                      <w:ind w:left="0" w:right="0" w:firstLine="0"/>
                      <w:jc w:val="left"/>
                      <w:rPr>
                        <w:sz w:val="16"/>
                      </w:rPr>
                    </w:pPr>
                    <w:r>
                      <w:rPr>
                        <w:sz w:val="16"/>
                      </w:rPr>
                      <w:t>+</w:t>
                    </w:r>
                  </w:p>
                  <w:p>
                    <w:pPr>
                      <w:spacing w:line="95" w:lineRule="exact" w:before="0"/>
                      <w:ind w:left="58" w:right="0" w:firstLine="0"/>
                      <w:jc w:val="left"/>
                      <w:rPr>
                        <w:sz w:val="12"/>
                      </w:rPr>
                    </w:pPr>
                    <w:r>
                      <w:rPr>
                        <w:sz w:val="12"/>
                      </w:rPr>
                      <w:t>0.</w:t>
                    </w:r>
                  </w:p>
                  <w:p>
                    <w:pPr>
                      <w:spacing w:line="163" w:lineRule="exact" w:before="0"/>
                      <w:ind w:left="5" w:right="0" w:firstLine="0"/>
                      <w:jc w:val="left"/>
                      <w:rPr>
                        <w:sz w:val="16"/>
                      </w:rPr>
                    </w:pPr>
                    <w:r>
                      <w:rPr>
                        <w:sz w:val="16"/>
                      </w:rPr>
                      <w:t>–</w:t>
                    </w:r>
                  </w:p>
                </w:txbxContent>
              </v:textbox>
              <w10:wrap type="none"/>
            </v:shape>
            <v:shape style="position:absolute;left:3147;top:1639;width:570;height:254" type="#_x0000_t202" filled="false" stroked="false">
              <v:textbox inset="0,0,0,0">
                <w:txbxContent>
                  <w:p>
                    <w:pPr>
                      <w:spacing w:line="208" w:lineRule="auto" w:before="9"/>
                      <w:ind w:left="60" w:right="0" w:hanging="60"/>
                      <w:jc w:val="left"/>
                      <w:rPr>
                        <w:sz w:val="12"/>
                      </w:rPr>
                    </w:pPr>
                    <w:r>
                      <w:rPr>
                        <w:sz w:val="12"/>
                      </w:rPr>
                      <w:t>Total hours worked</w:t>
                    </w:r>
                  </w:p>
                </w:txbxContent>
              </v:textbox>
              <w10:wrap type="none"/>
            </v:shape>
            <v:shape style="position:absolute;left:4077;top:1592;width:111;height:709" type="#_x0000_t202" filled="false" stroked="false">
              <v:textbox inset="0,0,0,0">
                <w:txbxContent>
                  <w:p>
                    <w:pPr>
                      <w:spacing w:line="133" w:lineRule="exact" w:before="0"/>
                      <w:ind w:left="0" w:right="0" w:firstLine="0"/>
                      <w:jc w:val="left"/>
                      <w:rPr>
                        <w:sz w:val="12"/>
                      </w:rPr>
                    </w:pPr>
                    <w:r>
                      <w:rPr>
                        <w:sz w:val="12"/>
                      </w:rPr>
                      <w:t>0.</w:t>
                    </w:r>
                  </w:p>
                  <w:p>
                    <w:pPr>
                      <w:spacing w:line="240" w:lineRule="auto" w:before="0"/>
                      <w:rPr>
                        <w:sz w:val="13"/>
                      </w:rPr>
                    </w:pPr>
                  </w:p>
                  <w:p>
                    <w:pPr>
                      <w:spacing w:before="0"/>
                      <w:ind w:left="0" w:right="0" w:firstLine="0"/>
                      <w:jc w:val="left"/>
                      <w:rPr>
                        <w:sz w:val="12"/>
                      </w:rPr>
                    </w:pPr>
                    <w:r>
                      <w:rPr>
                        <w:sz w:val="12"/>
                      </w:rPr>
                      <w:t>0.</w:t>
                    </w:r>
                  </w:p>
                  <w:p>
                    <w:pPr>
                      <w:spacing w:line="240" w:lineRule="auto" w:before="1"/>
                      <w:rPr>
                        <w:sz w:val="13"/>
                      </w:rPr>
                    </w:pPr>
                  </w:p>
                  <w:p>
                    <w:pPr>
                      <w:spacing w:before="0"/>
                      <w:ind w:left="0" w:right="0" w:firstLine="0"/>
                      <w:jc w:val="left"/>
                      <w:rPr>
                        <w:sz w:val="12"/>
                      </w:rPr>
                    </w:pPr>
                    <w:r>
                      <w:rPr>
                        <w:sz w:val="12"/>
                      </w:rPr>
                      <w:t>0.</w:t>
                    </w:r>
                  </w:p>
                </w:txbxContent>
              </v:textbox>
              <w10:wrap type="none"/>
            </v:shape>
            <v:shape style="position:absolute;left:1258;top:2284;width:724;height:254" type="#_x0000_t202" filled="false" stroked="false">
              <v:textbox inset="0,0,0,0">
                <w:txbxContent>
                  <w:p>
                    <w:pPr>
                      <w:spacing w:line="208" w:lineRule="auto" w:before="9"/>
                      <w:ind w:left="60" w:right="0" w:hanging="60"/>
                      <w:jc w:val="left"/>
                      <w:rPr>
                        <w:sz w:val="12"/>
                      </w:rPr>
                    </w:pPr>
                    <w:r>
                      <w:rPr>
                        <w:sz w:val="12"/>
                      </w:rPr>
                      <w:t>Average hours worked</w:t>
                    </w:r>
                  </w:p>
                </w:txbxContent>
              </v:textbox>
              <w10:wrap type="none"/>
            </v:shape>
            <v:shape style="position:absolute;left:4077;top:2456;width:111;height:133" type="#_x0000_t202" filled="false" stroked="false">
              <v:textbox inset="0,0,0,0">
                <w:txbxContent>
                  <w:p>
                    <w:pPr>
                      <w:spacing w:line="133" w:lineRule="exact" w:before="0"/>
                      <w:ind w:left="0" w:right="0" w:firstLine="0"/>
                      <w:jc w:val="left"/>
                      <w:rPr>
                        <w:sz w:val="12"/>
                      </w:rPr>
                    </w:pPr>
                    <w:r>
                      <w:rPr>
                        <w:sz w:val="12"/>
                      </w:rPr>
                      <w:t>0.</w:t>
                    </w:r>
                  </w:p>
                </w:txbxContent>
              </v:textbox>
              <w10:wrap type="none"/>
            </v:shape>
            <w10:wrap type="none"/>
          </v:group>
        </w:pict>
      </w:r>
      <w:r>
        <w:rPr/>
        <w:pict>
          <v:line style="position:absolute;mso-position-horizontal-relative:page;mso-position-vertical-relative:paragraph;z-index:16100352" from="42.458pt,11.37655pt" to="46.792pt,11.37655pt" stroked="true" strokeweight=".5pt" strokecolor="#000000">
            <v:stroke dashstyle="solid"/>
            <w10:wrap type="none"/>
          </v:line>
        </w:pict>
      </w:r>
      <w:r>
        <w:rPr/>
        <w:pict>
          <v:line style="position:absolute;mso-position-horizontal-relative:page;mso-position-vertical-relative:paragraph;z-index:16105472" from="198.042007pt,11.990549pt" to="202.375007pt,11.990549pt" stroked="true" strokeweight=".5pt" strokecolor="#000000">
            <v:stroke dashstyle="solid"/>
            <w10:wrap type="none"/>
          </v:line>
        </w:pict>
      </w:r>
      <w:r>
        <w:rPr>
          <w:sz w:val="12"/>
        </w:rPr>
        <w:t>0.8</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100864" from="42.458pt,3.961556pt" to="46.792pt,3.961556pt" stroked="true" strokeweight=".5pt" strokecolor="#000000">
            <v:stroke dashstyle="solid"/>
            <w10:wrap type="none"/>
          </v:line>
        </w:pict>
      </w:r>
      <w:r>
        <w:rPr/>
        <w:pict>
          <v:line style="position:absolute;mso-position-horizontal-relative:page;mso-position-vertical-relative:paragraph;z-index:16105984" from="198.042007pt,4.576556pt" to="202.375007pt,4.576556pt" stroked="true" strokeweight=".5pt" strokecolor="#000000">
            <v:stroke dashstyle="solid"/>
            <w10:wrap type="none"/>
          </v:line>
        </w:pict>
      </w:r>
      <w:r>
        <w:rPr>
          <w:sz w:val="12"/>
        </w:rPr>
        <w:t>6</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101376" from="42.458pt,3.897562pt" to="46.792pt,3.897562pt" stroked="true" strokeweight=".5pt" strokecolor="#000000">
            <v:stroke dashstyle="solid"/>
            <w10:wrap type="none"/>
          </v:line>
        </w:pict>
      </w:r>
      <w:r>
        <w:rPr/>
        <w:pict>
          <v:line style="position:absolute;mso-position-horizontal-relative:page;mso-position-vertical-relative:paragraph;z-index:16106496" from="198.042007pt,4.511562pt" to="202.375007pt,4.511562pt" stroked="true" strokeweight=".5pt" strokecolor="#000000">
            <v:stroke dashstyle="solid"/>
            <w10:wrap type="none"/>
          </v:line>
        </w:pict>
      </w:r>
      <w:r>
        <w:rPr>
          <w:sz w:val="12"/>
        </w:rPr>
        <w:t>4</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101888" from="42.458pt,3.832568pt" to="46.792pt,3.832568pt" stroked="true" strokeweight=".5pt" strokecolor="#000000">
            <v:stroke dashstyle="solid"/>
            <w10:wrap type="none"/>
          </v:line>
        </w:pict>
      </w:r>
      <w:r>
        <w:rPr/>
        <w:pict>
          <v:line style="position:absolute;mso-position-horizontal-relative:page;mso-position-vertical-relative:paragraph;z-index:16107008" from="198.042007pt,4.447568pt" to="202.375007pt,4.447568pt" stroked="true" strokeweight=".5pt" strokecolor="#000000">
            <v:stroke dashstyle="solid"/>
            <w10:wrap type="none"/>
          </v:line>
        </w:pict>
      </w:r>
      <w:r>
        <w:rPr>
          <w:sz w:val="12"/>
        </w:rPr>
        <w:t>2</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102400" from="42.458pt,3.767574pt" to="46.792pt,3.767574pt" stroked="true" strokeweight=".5pt" strokecolor="#000000">
            <v:stroke dashstyle="solid"/>
            <w10:wrap type="none"/>
          </v:line>
        </w:pict>
      </w:r>
      <w:r>
        <w:rPr>
          <w:sz w:val="12"/>
        </w:rPr>
        <w:t>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102912" from="42.458pt,3.70355pt" to="46.792pt,3.70355pt" stroked="true" strokeweight=".5pt" strokecolor="#000000">
            <v:stroke dashstyle="solid"/>
            <w10:wrap type="none"/>
          </v:line>
        </w:pict>
      </w:r>
      <w:r>
        <w:rPr/>
        <w:pict>
          <v:line style="position:absolute;mso-position-horizontal-relative:page;mso-position-vertical-relative:paragraph;z-index:16107520" from="198.042007pt,4.31755pt" to="202.375007pt,4.31755pt" stroked="true" strokeweight=".5pt" strokecolor="#000000">
            <v:stroke dashstyle="solid"/>
            <w10:wrap type="none"/>
          </v:line>
        </w:pict>
      </w:r>
      <w:r>
        <w:rPr>
          <w:sz w:val="12"/>
        </w:rPr>
        <w:t>2</w:t>
      </w:r>
    </w:p>
    <w:p>
      <w:pPr>
        <w:pStyle w:val="BodyText"/>
        <w:rPr>
          <w:sz w:val="13"/>
        </w:rPr>
      </w:pPr>
    </w:p>
    <w:p>
      <w:pPr>
        <w:spacing w:before="1"/>
        <w:ind w:left="0" w:right="38" w:firstLine="0"/>
        <w:jc w:val="right"/>
        <w:rPr>
          <w:sz w:val="12"/>
        </w:rPr>
      </w:pPr>
      <w:r>
        <w:rPr/>
        <w:pict>
          <v:line style="position:absolute;mso-position-horizontal-relative:page;mso-position-vertical-relative:paragraph;z-index:16103424" from="42.458pt,3.688556pt" to="46.792pt,3.688556pt" stroked="true" strokeweight=".5pt" strokecolor="#000000">
            <v:stroke dashstyle="solid"/>
            <w10:wrap type="none"/>
          </v:line>
        </w:pict>
      </w:r>
      <w:r>
        <w:rPr/>
        <w:pict>
          <v:line style="position:absolute;mso-position-horizontal-relative:page;mso-position-vertical-relative:paragraph;z-index:16108032" from="198.042007pt,4.303555pt" to="202.375007pt,4.303555pt" stroked="true" strokeweight=".5pt" strokecolor="#000000">
            <v:stroke dashstyle="solid"/>
            <w10:wrap type="none"/>
          </v:line>
        </w:pict>
      </w:r>
      <w:r>
        <w:rPr>
          <w:sz w:val="12"/>
        </w:rPr>
        <w:t>4</w:t>
      </w: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104448" from="42.458pt,3.574562pt" to="46.792pt,3.574562pt" stroked="true" strokeweight=".5pt" strokecolor="#000000">
            <v:stroke dashstyle="solid"/>
            <w10:wrap type="none"/>
          </v:line>
        </w:pict>
      </w:r>
      <w:r>
        <w:rPr/>
        <w:pict>
          <v:line style="position:absolute;mso-position-horizontal-relative:page;mso-position-vertical-relative:paragraph;z-index:16109056" from="198.042007pt,4.188562pt" to="202.375007pt,4.188562pt" stroked="true" strokeweight=".5pt" strokecolor="#000000">
            <v:stroke dashstyle="solid"/>
            <w10:wrap type="none"/>
          </v:line>
        </w:pict>
      </w:r>
      <w:r>
        <w:rPr>
          <w:sz w:val="12"/>
        </w:rPr>
        <w:t>6</w:t>
      </w:r>
    </w:p>
    <w:p>
      <w:pPr>
        <w:pStyle w:val="BodyText"/>
        <w:rPr>
          <w:sz w:val="13"/>
        </w:rPr>
      </w:pPr>
    </w:p>
    <w:p>
      <w:pPr>
        <w:spacing w:before="1"/>
        <w:ind w:left="0" w:right="38" w:firstLine="0"/>
        <w:jc w:val="right"/>
        <w:rPr>
          <w:sz w:val="12"/>
        </w:rPr>
      </w:pPr>
      <w:r>
        <w:rPr/>
        <w:pict>
          <v:line style="position:absolute;mso-position-horizontal-relative:page;mso-position-vertical-relative:paragraph;z-index:16103936" from="42.458pt,3.559568pt" to="46.792pt,3.559568pt" stroked="true" strokeweight=".5pt" strokecolor="#000000">
            <v:stroke dashstyle="solid"/>
            <w10:wrap type="none"/>
          </v:line>
        </w:pict>
      </w:r>
      <w:r>
        <w:rPr/>
        <w:pict>
          <v:line style="position:absolute;mso-position-horizontal-relative:page;mso-position-vertical-relative:paragraph;z-index:16108544" from="198.042007pt,4.174568pt" to="202.375007pt,4.174568pt" stroked="true" strokeweight=".5pt" strokecolor="#000000">
            <v:stroke dashstyle="solid"/>
            <w10:wrap type="none"/>
          </v:line>
        </w:pict>
      </w:r>
      <w:r>
        <w:rPr>
          <w:sz w:val="12"/>
        </w:rPr>
        <w:t>8</w:t>
      </w:r>
    </w:p>
    <w:p>
      <w:pPr>
        <w:pStyle w:val="Heading6"/>
        <w:spacing w:line="242" w:lineRule="auto" w:before="218"/>
        <w:ind w:right="365"/>
      </w:pPr>
      <w:r>
        <w:rPr/>
        <w:br w:type="column"/>
      </w:r>
      <w:r>
        <w:rPr/>
        <w:t>Labour market conditions remain tight. Employment has continued to grow steadily, and total hours worked have picked up slightly in recent months. Productivity growth has picked up markedly. Claimant count unemployment has fallen further. On the broader LFS measure unemployment has also fallen, reflecting a decline in the number of long-term unemployed.</w:t>
      </w:r>
    </w:p>
    <w:p>
      <w:pPr>
        <w:spacing w:line="242" w:lineRule="auto" w:before="9"/>
        <w:ind w:left="170" w:right="248" w:firstLine="0"/>
        <w:jc w:val="left"/>
        <w:rPr>
          <w:sz w:val="24"/>
        </w:rPr>
      </w:pPr>
      <w:r>
        <w:rPr>
          <w:sz w:val="24"/>
        </w:rPr>
        <w:t>Reported labour shortages remain widespread. Average earnings growth has been significantly stronger than expected in recent months, while settlements have continued to edge down. So growth in components of pay not accounted for by wage settlements has risen further. That may in part reflect high bonuses paid around the turn of the year. Firms may have used these to reward staff for past productivity and profitability gains, or for millennium preparation and working, or to aid staff retention in a tight market.</w:t>
      </w:r>
    </w:p>
    <w:p>
      <w:pPr>
        <w:pStyle w:val="BodyText"/>
        <w:spacing w:before="2"/>
        <w:rPr>
          <w:sz w:val="29"/>
        </w:rPr>
      </w:pPr>
    </w:p>
    <w:p>
      <w:pPr>
        <w:pStyle w:val="Heading3"/>
        <w:numPr>
          <w:ilvl w:val="1"/>
          <w:numId w:val="19"/>
        </w:numPr>
        <w:tabs>
          <w:tab w:pos="911" w:val="left" w:leader="none"/>
          <w:tab w:pos="912" w:val="left" w:leader="none"/>
        </w:tabs>
        <w:spacing w:line="301" w:lineRule="exact" w:before="0" w:after="0"/>
        <w:ind w:left="911" w:right="0" w:hanging="742"/>
        <w:jc w:val="left"/>
        <w:rPr>
          <w:color w:val="009391"/>
        </w:rPr>
      </w:pPr>
      <w:r>
        <w:rPr>
          <w:color w:val="009391"/>
        </w:rPr>
        <w:t>Employment, labour market</w:t>
      </w:r>
      <w:r>
        <w:rPr>
          <w:color w:val="009391"/>
          <w:spacing w:val="-14"/>
        </w:rPr>
        <w:t> </w:t>
      </w:r>
      <w:r>
        <w:rPr>
          <w:color w:val="009391"/>
        </w:rPr>
        <w:t>tightness</w:t>
      </w:r>
    </w:p>
    <w:p>
      <w:pPr>
        <w:pStyle w:val="Heading3"/>
        <w:tabs>
          <w:tab w:pos="2541" w:val="left" w:leader="none"/>
          <w:tab w:pos="5659" w:val="left" w:leader="none"/>
        </w:tabs>
        <w:spacing w:line="301" w:lineRule="exact"/>
        <w:ind w:left="170"/>
      </w:pPr>
      <w:r>
        <w:rPr>
          <w:color w:val="009391"/>
          <w:u w:val="thick" w:color="0092C7"/>
        </w:rPr>
        <w:t> </w:t>
        <w:tab/>
        <w:t>and productivity</w:t>
      </w:r>
      <w:r>
        <w:rPr>
          <w:color w:val="009391"/>
          <w:spacing w:val="-33"/>
          <w:u w:val="thick" w:color="0092C7"/>
        </w:rPr>
        <w:t> </w:t>
      </w:r>
      <w:r>
        <w:rPr>
          <w:color w:val="009391"/>
          <w:u w:val="thick" w:color="0092C7"/>
        </w:rPr>
        <w:t>growth</w:t>
        <w:tab/>
      </w:r>
    </w:p>
    <w:p>
      <w:pPr>
        <w:spacing w:line="242" w:lineRule="auto" w:before="264"/>
        <w:ind w:left="170" w:right="248" w:firstLine="0"/>
        <w:jc w:val="left"/>
        <w:rPr>
          <w:sz w:val="24"/>
        </w:rPr>
      </w:pPr>
      <w:r>
        <w:rPr>
          <w:sz w:val="24"/>
        </w:rPr>
        <w:t>Whole-economy employment has continued to grow steadily. Labour Force Survey (LFS) employment rose by 59,000 (0.2%) in the three months to February, and the Workforce Jobs measure rose by 80,000 (0.3%) in 1999 Q4, and by 207,000 (0.7%) in the year to Q4.</w:t>
      </w:r>
    </w:p>
    <w:p>
      <w:pPr>
        <w:spacing w:line="242" w:lineRule="auto" w:before="6"/>
        <w:ind w:left="170" w:right="248" w:firstLine="0"/>
        <w:jc w:val="left"/>
        <w:rPr>
          <w:sz w:val="24"/>
        </w:rPr>
      </w:pPr>
      <w:r>
        <w:rPr>
          <w:sz w:val="24"/>
        </w:rPr>
        <w:t>Moreover, average hours per head rose in the three months to February (see Chart 3.1), although they fell</w:t>
      </w:r>
    </w:p>
    <w:p>
      <w:pPr>
        <w:spacing w:after="0" w:line="242" w:lineRule="auto"/>
        <w:jc w:val="left"/>
        <w:rPr>
          <w:sz w:val="24"/>
        </w:rPr>
        <w:sectPr>
          <w:type w:val="continuous"/>
          <w:pgSz w:w="11900" w:h="16840"/>
          <w:pgMar w:top="1220" w:bottom="280" w:left="640" w:right="620"/>
          <w:cols w:num="2" w:equalWidth="0">
            <w:col w:w="3628" w:space="1172"/>
            <w:col w:w="5840"/>
          </w:cols>
        </w:sectPr>
      </w:pPr>
    </w:p>
    <w:p>
      <w:pPr>
        <w:pStyle w:val="BodyText"/>
        <w:spacing w:line="143" w:lineRule="exact"/>
        <w:ind w:left="204" w:right="-87"/>
        <w:rPr>
          <w:sz w:val="14"/>
        </w:rPr>
      </w:pPr>
      <w:r>
        <w:rPr>
          <w:position w:val="-2"/>
          <w:sz w:val="14"/>
        </w:rPr>
        <w:pict>
          <v:group style="width:159.950pt;height:6.95pt;mso-position-horizontal-relative:char;mso-position-vertical-relative:line" coordorigin="0,0" coordsize="3199,139">
            <v:shape style="position:absolute;left:0;top:0;width:3199;height:134" coordorigin="0,0" coordsize="3199,134" path="m161,120l3061,120m161,53l161,120m910,53l910,120m1627,53l1627,120m2344,0l2344,120m3061,53l3061,120m0,121l87,121m3112,133l3198,133e" filled="false" stroked="true" strokeweight=".5pt" strokecolor="#000000">
              <v:path arrowok="t"/>
              <v:stroke dashstyle="solid"/>
            </v:shape>
          </v:group>
        </w:pict>
      </w:r>
      <w:r>
        <w:rPr>
          <w:position w:val="-2"/>
          <w:sz w:val="14"/>
        </w:rPr>
      </w:r>
    </w:p>
    <w:p>
      <w:pPr>
        <w:tabs>
          <w:tab w:pos="726" w:val="left" w:leader="none"/>
          <w:tab w:pos="1461" w:val="left" w:leader="none"/>
          <w:tab w:pos="2215" w:val="left" w:leader="none"/>
        </w:tabs>
        <w:spacing w:before="16"/>
        <w:ind w:left="0" w:right="326" w:firstLine="0"/>
        <w:jc w:val="right"/>
        <w:rPr>
          <w:sz w:val="12"/>
        </w:rPr>
      </w:pPr>
      <w:r>
        <w:rPr>
          <w:sz w:val="12"/>
        </w:rPr>
        <w:t>May</w:t>
        <w:tab/>
        <w:t>Aug.</w:t>
        <w:tab/>
        <w:t>Nov.</w:t>
        <w:tab/>
        <w:t>Feb.</w:t>
      </w:r>
    </w:p>
    <w:p>
      <w:pPr>
        <w:tabs>
          <w:tab w:pos="1473" w:val="left" w:leader="none"/>
        </w:tabs>
        <w:spacing w:before="35"/>
        <w:ind w:left="0" w:right="312" w:firstLine="0"/>
        <w:jc w:val="right"/>
        <w:rPr>
          <w:sz w:val="12"/>
        </w:rPr>
      </w:pPr>
      <w:r>
        <w:rPr>
          <w:sz w:val="12"/>
        </w:rPr>
        <w:t>1999</w:t>
        <w:tab/>
        <w:t>2000</w:t>
      </w:r>
    </w:p>
    <w:p>
      <w:pPr>
        <w:pStyle w:val="BodyText"/>
        <w:rPr>
          <w:sz w:val="12"/>
        </w:rPr>
      </w:pPr>
    </w:p>
    <w:p>
      <w:pPr>
        <w:pStyle w:val="BodyText"/>
        <w:spacing w:before="10"/>
        <w:rPr>
          <w:sz w:val="11"/>
        </w:rPr>
      </w:pPr>
    </w:p>
    <w:p>
      <w:pPr>
        <w:spacing w:before="0"/>
        <w:ind w:left="170" w:right="0" w:firstLine="0"/>
        <w:jc w:val="left"/>
        <w:rPr>
          <w:b/>
          <w:sz w:val="20"/>
        </w:rPr>
      </w:pPr>
      <w:r>
        <w:rPr>
          <w:b/>
          <w:color w:val="0092C7"/>
          <w:sz w:val="20"/>
        </w:rPr>
        <w:t>Chart 3.2</w:t>
      </w:r>
    </w:p>
    <w:p>
      <w:pPr>
        <w:spacing w:before="10"/>
        <w:ind w:left="170" w:right="0" w:firstLine="0"/>
        <w:jc w:val="left"/>
        <w:rPr>
          <w:b/>
          <w:sz w:val="20"/>
        </w:rPr>
      </w:pPr>
      <w:r>
        <w:rPr>
          <w:b/>
          <w:color w:val="0092C7"/>
          <w:sz w:val="20"/>
        </w:rPr>
        <w:t>Quarterly changes in Workforce Jobs</w:t>
      </w:r>
    </w:p>
    <w:p>
      <w:pPr>
        <w:spacing w:before="76"/>
        <w:ind w:left="6" w:right="0" w:firstLine="0"/>
        <w:jc w:val="left"/>
        <w:rPr>
          <w:sz w:val="12"/>
        </w:rPr>
      </w:pPr>
      <w:r>
        <w:rPr/>
        <w:br w:type="column"/>
      </w:r>
      <w:r>
        <w:rPr>
          <w:sz w:val="12"/>
        </w:rPr>
        <w:t>1.0</w:t>
      </w:r>
    </w:p>
    <w:p>
      <w:pPr>
        <w:pStyle w:val="Heading6"/>
        <w:spacing w:line="242" w:lineRule="auto" w:before="3"/>
        <w:ind w:right="119"/>
      </w:pPr>
      <w:r>
        <w:rPr/>
        <w:br w:type="column"/>
      </w:r>
      <w:r>
        <w:rPr/>
        <w:t>compared with the same period a year earlier, leaving total hours worked—in principle, a more comprehensive measure of labour usage—unchanged in the year to February.</w:t>
      </w:r>
    </w:p>
    <w:p>
      <w:pPr>
        <w:spacing w:after="0" w:line="242" w:lineRule="auto"/>
        <w:sectPr>
          <w:type w:val="continuous"/>
          <w:pgSz w:w="11900" w:h="16840"/>
          <w:pgMar w:top="1220" w:bottom="280" w:left="640" w:right="620"/>
          <w:cols w:num="3" w:equalWidth="0">
            <w:col w:w="3392" w:space="40"/>
            <w:col w:w="197" w:space="1171"/>
            <w:col w:w="5840"/>
          </w:cols>
        </w:sectPr>
      </w:pPr>
    </w:p>
    <w:p>
      <w:pPr>
        <w:pStyle w:val="BodyText"/>
        <w:spacing w:before="1"/>
        <w:rPr>
          <w:sz w:val="12"/>
        </w:rPr>
      </w:pPr>
    </w:p>
    <w:p>
      <w:pPr>
        <w:spacing w:line="319" w:lineRule="auto" w:before="0"/>
        <w:ind w:left="405" w:right="-19" w:firstLine="0"/>
        <w:jc w:val="left"/>
        <w:rPr>
          <w:sz w:val="12"/>
        </w:rPr>
      </w:pPr>
      <w:r>
        <w:rPr/>
        <w:pict>
          <v:group style="position:absolute;margin-left:41.849998pt;margin-top:-.178913pt;width:8.85pt;height:20.7pt;mso-position-horizontal-relative:page;mso-position-vertical-relative:paragraph;z-index:16110592" coordorigin="837,-4" coordsize="177,414">
            <v:line style="position:absolute" from="837,405" to="922,405" stroked="true" strokeweight=".5pt" strokecolor="#000000">
              <v:stroke dashstyle="solid"/>
            </v:line>
            <v:shape style="position:absolute;left:837;top:-4;width:177;height:347" type="#_x0000_t75" stroked="false">
              <v:imagedata r:id="rId124" o:title=""/>
            </v:shape>
            <w10:wrap type="none"/>
          </v:group>
        </w:pict>
      </w:r>
      <w:r>
        <w:rPr>
          <w:sz w:val="12"/>
        </w:rPr>
        <w:t>Services Construction</w:t>
      </w:r>
    </w:p>
    <w:p>
      <w:pPr>
        <w:pStyle w:val="BodyText"/>
        <w:spacing w:before="1"/>
        <w:rPr>
          <w:sz w:val="12"/>
        </w:rPr>
      </w:pPr>
      <w:r>
        <w:rPr/>
        <w:br w:type="column"/>
      </w:r>
      <w:r>
        <w:rPr>
          <w:sz w:val="12"/>
        </w:rPr>
      </w:r>
    </w:p>
    <w:p>
      <w:pPr>
        <w:spacing w:line="319" w:lineRule="auto" w:before="0"/>
        <w:ind w:left="286" w:right="-20" w:firstLine="0"/>
        <w:jc w:val="left"/>
        <w:rPr>
          <w:sz w:val="12"/>
        </w:rPr>
      </w:pPr>
      <w:r>
        <w:rPr/>
        <w:drawing>
          <wp:anchor distT="0" distB="0" distL="0" distR="0" allowOverlap="1" layoutInCell="1" locked="0" behindDoc="0" simplePos="0" relativeHeight="16111104">
            <wp:simplePos x="0" y="0"/>
            <wp:positionH relativeFrom="page">
              <wp:posOffset>1120241</wp:posOffset>
            </wp:positionH>
            <wp:positionV relativeFrom="paragraph">
              <wp:posOffset>6857</wp:posOffset>
            </wp:positionV>
            <wp:extent cx="112179" cy="219862"/>
            <wp:effectExtent l="0" t="0" r="0" b="0"/>
            <wp:wrapNone/>
            <wp:docPr id="247" name="image66.png"/>
            <wp:cNvGraphicFramePr>
              <a:graphicFrameLocks noChangeAspect="1"/>
            </wp:cNvGraphicFramePr>
            <a:graphic>
              <a:graphicData uri="http://schemas.openxmlformats.org/drawingml/2006/picture">
                <pic:pic>
                  <pic:nvPicPr>
                    <pic:cNvPr id="248" name="image66.png"/>
                    <pic:cNvPicPr/>
                  </pic:nvPicPr>
                  <pic:blipFill>
                    <a:blip r:embed="rId125" cstate="print"/>
                    <a:stretch>
                      <a:fillRect/>
                    </a:stretch>
                  </pic:blipFill>
                  <pic:spPr>
                    <a:xfrm>
                      <a:off x="0" y="0"/>
                      <a:ext cx="112179" cy="219862"/>
                    </a:xfrm>
                    <a:prstGeom prst="rect">
                      <a:avLst/>
                    </a:prstGeom>
                  </pic:spPr>
                </pic:pic>
              </a:graphicData>
            </a:graphic>
          </wp:anchor>
        </w:drawing>
      </w:r>
      <w:r>
        <w:rPr>
          <w:sz w:val="12"/>
        </w:rPr>
        <w:t>Production Agriculture</w:t>
      </w:r>
    </w:p>
    <w:p>
      <w:pPr>
        <w:pStyle w:val="BodyText"/>
        <w:spacing w:before="1"/>
        <w:rPr>
          <w:sz w:val="12"/>
        </w:rPr>
      </w:pPr>
      <w:r>
        <w:rPr/>
        <w:br w:type="column"/>
      </w:r>
      <w:r>
        <w:rPr>
          <w:sz w:val="12"/>
        </w:rPr>
      </w:r>
    </w:p>
    <w:p>
      <w:pPr>
        <w:spacing w:before="0"/>
        <w:ind w:left="308" w:right="0" w:firstLine="0"/>
        <w:jc w:val="left"/>
        <w:rPr>
          <w:sz w:val="12"/>
        </w:rPr>
      </w:pPr>
      <w:r>
        <w:rPr/>
        <w:pict>
          <v:line style="position:absolute;mso-position-horizontal-relative:page;mso-position-vertical-relative:paragraph;z-index:16111616" from="132.957993pt,3.102576pt" to="142.291993pt,3.102576pt" stroked="true" strokeweight="1pt" strokecolor="#de0035">
            <v:stroke dashstyle="solid"/>
            <w10:wrap type="none"/>
          </v:line>
        </w:pict>
      </w:r>
      <w:r>
        <w:rPr>
          <w:sz w:val="12"/>
        </w:rPr>
        <w:t>Whole economy</w:t>
      </w:r>
    </w:p>
    <w:p>
      <w:pPr>
        <w:spacing w:before="92"/>
        <w:ind w:left="953" w:right="0" w:firstLine="0"/>
        <w:jc w:val="left"/>
        <w:rPr>
          <w:sz w:val="12"/>
        </w:rPr>
      </w:pPr>
      <w:r>
        <w:rPr>
          <w:sz w:val="12"/>
        </w:rPr>
        <w:t>Thousands</w:t>
      </w:r>
    </w:p>
    <w:p>
      <w:pPr>
        <w:pStyle w:val="BodyText"/>
        <w:spacing w:before="9"/>
        <w:rPr>
          <w:sz w:val="2"/>
        </w:rPr>
      </w:pPr>
    </w:p>
    <w:p>
      <w:pPr>
        <w:pStyle w:val="BodyText"/>
        <w:spacing w:line="20" w:lineRule="exact"/>
        <w:ind w:left="1383" w:right="-72"/>
        <w:rPr>
          <w:sz w:val="2"/>
        </w:rPr>
      </w:pPr>
      <w:r>
        <w:rPr>
          <w:sz w:val="2"/>
        </w:rPr>
        <w:pict>
          <v:group style="width:4.25pt;height:.5pt;mso-position-horizontal-relative:char;mso-position-vertical-relative:line" coordorigin="0,0" coordsize="85,10">
            <v:line style="position:absolute" from="0,5" to="85,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7"/>
        </w:rPr>
      </w:pPr>
    </w:p>
    <w:p>
      <w:pPr>
        <w:spacing w:before="0"/>
        <w:ind w:left="24" w:right="0" w:firstLine="0"/>
        <w:jc w:val="left"/>
        <w:rPr>
          <w:sz w:val="12"/>
        </w:rPr>
      </w:pPr>
      <w:r>
        <w:rPr>
          <w:sz w:val="12"/>
        </w:rPr>
        <w:t>300</w:t>
      </w:r>
    </w:p>
    <w:p>
      <w:pPr>
        <w:pStyle w:val="BodyText"/>
        <w:rPr>
          <w:sz w:val="12"/>
        </w:rPr>
      </w:pPr>
    </w:p>
    <w:p>
      <w:pPr>
        <w:spacing w:before="84"/>
        <w:ind w:left="24" w:right="0" w:firstLine="0"/>
        <w:jc w:val="left"/>
        <w:rPr>
          <w:sz w:val="12"/>
        </w:rPr>
      </w:pPr>
      <w:r>
        <w:rPr>
          <w:sz w:val="12"/>
        </w:rPr>
        <w:t>250</w:t>
      </w:r>
    </w:p>
    <w:p>
      <w:pPr>
        <w:pStyle w:val="BodyText"/>
        <w:rPr>
          <w:sz w:val="12"/>
        </w:rPr>
      </w:pPr>
    </w:p>
    <w:p>
      <w:pPr>
        <w:spacing w:before="84"/>
        <w:ind w:left="24" w:right="0" w:firstLine="0"/>
        <w:jc w:val="left"/>
        <w:rPr>
          <w:sz w:val="12"/>
        </w:rPr>
      </w:pPr>
      <w:r>
        <w:rPr>
          <w:sz w:val="12"/>
        </w:rPr>
        <w:t>200</w:t>
      </w:r>
    </w:p>
    <w:p>
      <w:pPr>
        <w:pStyle w:val="BodyText"/>
        <w:rPr>
          <w:sz w:val="12"/>
        </w:rPr>
      </w:pPr>
    </w:p>
    <w:p>
      <w:pPr>
        <w:spacing w:before="84"/>
        <w:ind w:left="24" w:right="0" w:firstLine="0"/>
        <w:jc w:val="left"/>
        <w:rPr>
          <w:sz w:val="12"/>
        </w:rPr>
      </w:pPr>
      <w:r>
        <w:rPr>
          <w:sz w:val="12"/>
        </w:rPr>
        <w:t>150</w:t>
      </w:r>
    </w:p>
    <w:p>
      <w:pPr>
        <w:pStyle w:val="BodyText"/>
        <w:rPr>
          <w:sz w:val="12"/>
        </w:rPr>
      </w:pPr>
    </w:p>
    <w:p>
      <w:pPr>
        <w:spacing w:before="84"/>
        <w:ind w:left="24" w:right="0" w:firstLine="0"/>
        <w:jc w:val="left"/>
        <w:rPr>
          <w:sz w:val="12"/>
        </w:rPr>
      </w:pPr>
      <w:r>
        <w:rPr>
          <w:sz w:val="12"/>
        </w:rPr>
        <w:t>100</w:t>
      </w:r>
    </w:p>
    <w:p>
      <w:pPr>
        <w:pStyle w:val="BodyText"/>
        <w:rPr>
          <w:sz w:val="12"/>
        </w:rPr>
      </w:pPr>
    </w:p>
    <w:p>
      <w:pPr>
        <w:spacing w:before="84"/>
        <w:ind w:left="83" w:right="0" w:firstLine="0"/>
        <w:jc w:val="left"/>
        <w:rPr>
          <w:sz w:val="12"/>
        </w:rPr>
      </w:pPr>
      <w:r>
        <w:rPr>
          <w:sz w:val="12"/>
        </w:rPr>
        <w:t>50</w:t>
      </w:r>
    </w:p>
    <w:p>
      <w:pPr>
        <w:spacing w:line="171" w:lineRule="exact" w:before="64"/>
        <w:ind w:left="-12" w:right="0" w:firstLine="0"/>
        <w:jc w:val="left"/>
        <w:rPr>
          <w:sz w:val="16"/>
        </w:rPr>
      </w:pPr>
      <w:r>
        <w:rPr>
          <w:sz w:val="16"/>
        </w:rPr>
        <w:t>+</w:t>
      </w:r>
    </w:p>
    <w:p>
      <w:pPr>
        <w:spacing w:line="113" w:lineRule="exact" w:before="0"/>
        <w:ind w:left="142" w:right="0" w:firstLine="0"/>
        <w:jc w:val="left"/>
        <w:rPr>
          <w:sz w:val="12"/>
        </w:rPr>
      </w:pPr>
      <w:r>
        <w:rPr>
          <w:sz w:val="12"/>
        </w:rPr>
        <w:t>0</w:t>
      </w:r>
    </w:p>
    <w:p>
      <w:pPr>
        <w:spacing w:line="172" w:lineRule="exact" w:before="0"/>
        <w:ind w:left="2" w:right="0" w:firstLine="0"/>
        <w:jc w:val="left"/>
        <w:rPr>
          <w:sz w:val="16"/>
        </w:rPr>
      </w:pPr>
      <w:r>
        <w:rPr>
          <w:sz w:val="16"/>
        </w:rPr>
        <w:t>–</w:t>
      </w:r>
    </w:p>
    <w:p>
      <w:pPr>
        <w:spacing w:before="63"/>
        <w:ind w:left="83" w:right="0" w:firstLine="0"/>
        <w:jc w:val="left"/>
        <w:rPr>
          <w:sz w:val="12"/>
        </w:rPr>
      </w:pPr>
      <w:r>
        <w:rPr>
          <w:sz w:val="12"/>
        </w:rPr>
        <w:t>50</w:t>
      </w:r>
    </w:p>
    <w:p>
      <w:pPr>
        <w:pStyle w:val="BodyText"/>
        <w:spacing w:before="7"/>
        <w:rPr>
          <w:sz w:val="21"/>
        </w:rPr>
      </w:pPr>
      <w:r>
        <w:rPr/>
        <w:br w:type="column"/>
      </w:r>
      <w:r>
        <w:rPr>
          <w:sz w:val="21"/>
        </w:rPr>
      </w:r>
    </w:p>
    <w:p>
      <w:pPr>
        <w:pStyle w:val="Heading6"/>
        <w:spacing w:line="242" w:lineRule="auto"/>
        <w:ind w:left="405" w:right="472"/>
      </w:pPr>
      <w:r>
        <w:rPr/>
        <w:t>Employment growth in recent quarters has reflected the continued strength of recruitment in the service sector: in the year to 1999 Q4, the number of service sector jobs rose by 354,000, or 1.7%, according to the Workforce Jobs survey (see Chart 3.2). Employment growth in finance and business services accounted for</w:t>
      </w:r>
    </w:p>
    <w:p>
      <w:pPr>
        <w:spacing w:line="242" w:lineRule="auto" w:before="8"/>
        <w:ind w:left="405" w:right="285" w:firstLine="0"/>
        <w:jc w:val="left"/>
        <w:rPr>
          <w:sz w:val="24"/>
        </w:rPr>
      </w:pPr>
      <w:r>
        <w:rPr>
          <w:sz w:val="24"/>
        </w:rPr>
        <w:t>roughly a third of the rise in service sector jobs over the period. By contrast, the number of jobs in the production industries fell by 148,000, or 3.2%, in the year to Q4. But there are signs that the rate of decline has slowed: the fall in production industry employment</w:t>
      </w:r>
    </w:p>
    <w:p>
      <w:pPr>
        <w:spacing w:after="0" w:line="242" w:lineRule="auto"/>
        <w:jc w:val="left"/>
        <w:rPr>
          <w:sz w:val="24"/>
        </w:rPr>
        <w:sectPr>
          <w:type w:val="continuous"/>
          <w:pgSz w:w="11900" w:h="16840"/>
          <w:pgMar w:top="1220" w:bottom="280" w:left="640" w:right="620"/>
          <w:cols w:num="5" w:equalWidth="0">
            <w:col w:w="1026" w:space="40"/>
            <w:col w:w="840" w:space="39"/>
            <w:col w:w="1473" w:space="40"/>
            <w:col w:w="245" w:space="861"/>
            <w:col w:w="6076"/>
          </w:cols>
        </w:sectPr>
      </w:pPr>
    </w:p>
    <w:p>
      <w:pPr>
        <w:pStyle w:val="BodyText"/>
        <w:spacing w:before="3"/>
        <w:rPr>
          <w:sz w:val="12"/>
        </w:rPr>
      </w:pPr>
    </w:p>
    <w:p>
      <w:pPr>
        <w:tabs>
          <w:tab w:pos="1775" w:val="left" w:leader="none"/>
          <w:tab w:pos="2775" w:val="left" w:leader="none"/>
        </w:tabs>
        <w:spacing w:before="0"/>
        <w:ind w:left="717" w:right="0" w:firstLine="0"/>
        <w:jc w:val="left"/>
        <w:rPr>
          <w:sz w:val="12"/>
        </w:rPr>
      </w:pPr>
      <w:r>
        <w:rPr/>
        <w:pict>
          <v:group style="position:absolute;margin-left:41.849998pt;margin-top:-128.193192pt;width:161.1pt;height:126.75pt;mso-position-horizontal-relative:page;mso-position-vertical-relative:paragraph;z-index:16110080" coordorigin="837,-2564" coordsize="3222,2535">
            <v:rect style="position:absolute;left:1041;top:-785;width:81;height:30" filled="true" fillcolor="#006caa" stroked="false">
              <v:fill type="solid"/>
            </v:rect>
            <v:rect style="position:absolute;left:1041;top:-788;width:81;height:35" filled="false" stroked="true" strokeweight=".5pt" strokecolor="#000000">
              <v:stroke dashstyle="solid"/>
            </v:rect>
            <v:rect style="position:absolute;left:1041;top:-945;width:81;height:160" filled="true" fillcolor="#835335" stroked="false">
              <v:fill type="solid"/>
            </v:rect>
            <v:rect style="position:absolute;left:1041;top:-948;width:81;height:163" filled="false" stroked="true" strokeweight=".5pt" strokecolor="#000000">
              <v:stroke dashstyle="solid"/>
            </v:rect>
            <v:rect style="position:absolute;left:1041;top:-2003;width:81;height:1058" filled="true" fillcolor="#f6bd61" stroked="false">
              <v:fill type="solid"/>
            </v:rect>
            <v:rect style="position:absolute;left:1041;top:-2003;width:81;height:1058" filled="false" stroked="true" strokeweight=".5pt" strokecolor="#000000">
              <v:stroke dashstyle="solid"/>
            </v:rect>
            <v:rect style="position:absolute;left:1041;top:-755;width:81;height:193" filled="true" fillcolor="#b3dabb" stroked="false">
              <v:fill type="solid"/>
            </v:rect>
            <v:rect style="position:absolute;left:1041;top:-755;width:81;height:193" filled="false" stroked="true" strokeweight=".5pt" strokecolor="#000000">
              <v:stroke dashstyle="solid"/>
            </v:rect>
            <v:rect style="position:absolute;left:1288;top:-978;width:94;height:225" filled="true" fillcolor="#006caa" stroked="false">
              <v:fill type="solid"/>
            </v:rect>
            <v:rect style="position:absolute;left:1288;top:-980;width:94;height:228" filled="false" stroked="true" strokeweight=".5pt" strokecolor="#000000">
              <v:stroke dashstyle="solid"/>
            </v:rect>
            <v:rect style="position:absolute;left:1288;top:-755;width:94;height:50" filled="true" fillcolor="#835335" stroked="false">
              <v:fill type="solid"/>
            </v:rect>
            <v:rect style="position:absolute;left:1288;top:-755;width:94;height:50" filled="false" stroked="true" strokeweight=".5pt" strokecolor="#000000">
              <v:stroke dashstyle="solid"/>
            </v:rect>
            <v:rect style="position:absolute;left:1288;top:-2275;width:94;height:1298" filled="true" fillcolor="#f6bd61" stroked="false">
              <v:fill type="solid"/>
            </v:rect>
            <v:rect style="position:absolute;left:1288;top:-2275;width:94;height:1298" filled="false" stroked="true" strokeweight=".5pt" strokecolor="#000000">
              <v:stroke dashstyle="solid"/>
            </v:rect>
            <v:rect style="position:absolute;left:1288;top:-2483;width:94;height:210" filled="true" fillcolor="#b3dabb" stroked="false">
              <v:fill type="solid"/>
            </v:rect>
            <v:rect style="position:absolute;left:1288;top:-2483;width:94;height:210" filled="false" stroked="true" strokeweight=".5pt" strokecolor="#000000">
              <v:stroke dashstyle="solid"/>
            </v:rect>
            <v:rect style="position:absolute;left:1536;top:-753;width:94;height:208" filled="true" fillcolor="#006caa" stroked="false">
              <v:fill type="solid"/>
            </v:rect>
            <v:rect style="position:absolute;left:1536;top:-755;width:94;height:210" filled="false" stroked="true" strokeweight=".5pt" strokecolor="#000000">
              <v:stroke dashstyle="solid"/>
            </v:rect>
            <v:rect style="position:absolute;left:1536;top:-913;width:94;height:160" filled="true" fillcolor="#835335" stroked="false">
              <v:fill type="solid"/>
            </v:rect>
            <v:rect style="position:absolute;left:1536;top:-915;width:94;height:163" filled="false" stroked="true" strokeweight=".5pt" strokecolor="#000000">
              <v:stroke dashstyle="solid"/>
            </v:rect>
            <v:rect style="position:absolute;left:1536;top:-1220;width:94;height:308" filled="true" fillcolor="#f6bd61" stroked="false">
              <v:fill type="solid"/>
            </v:rect>
            <v:rect style="position:absolute;left:1536;top:-1220;width:94;height:308" filled="false" stroked="true" strokeweight=".5pt" strokecolor="#000000">
              <v:stroke dashstyle="solid"/>
            </v:rect>
            <v:rect style="position:absolute;left:1536;top:-1235;width:94;height:18" filled="true" fillcolor="#b3dabb" stroked="false">
              <v:fill type="solid"/>
            </v:rect>
            <v:rect style="position:absolute;left:1536;top:-1235;width:94;height:18" filled="false" stroked="true" strokeweight=".5pt" strokecolor="#000000">
              <v:stroke dashstyle="solid"/>
            </v:rect>
            <v:rect style="position:absolute;left:1783;top:-883;width:94;height:130" filled="true" fillcolor="#006caa" stroked="false">
              <v:fill type="solid"/>
            </v:rect>
            <v:rect style="position:absolute;left:1783;top:-885;width:94;height:133" filled="false" stroked="true" strokeweight=".5pt" strokecolor="#000000">
              <v:stroke dashstyle="solid"/>
            </v:rect>
            <v:rect style="position:absolute;left:1783;top:-1140;width:94;height:258" filled="true" fillcolor="#835335" stroked="false">
              <v:fill type="solid"/>
            </v:rect>
            <v:rect style="position:absolute;left:1783;top:-1140;width:94;height:258" filled="false" stroked="true" strokeweight=".5pt" strokecolor="#000000">
              <v:stroke dashstyle="solid"/>
            </v:rect>
            <v:rect style="position:absolute;left:1783;top:-1860;width:94;height:723" filled="true" fillcolor="#f6bd61" stroked="false">
              <v:fill type="solid"/>
            </v:rect>
            <v:rect style="position:absolute;left:1783;top:-1860;width:94;height:723" filled="false" stroked="true" strokeweight=".5pt" strokecolor="#000000">
              <v:stroke dashstyle="solid"/>
            </v:rect>
            <v:rect style="position:absolute;left:1783;top:-755;width:94;height:33" filled="true" fillcolor="#b3dabb" stroked="false">
              <v:fill type="solid"/>
            </v:rect>
            <v:rect style="position:absolute;left:1783;top:-755;width:94;height:33" filled="false" stroked="true" strokeweight=".5pt" strokecolor="#000000">
              <v:stroke dashstyle="solid"/>
            </v:rect>
            <v:rect style="position:absolute;left:2043;top:-1108;width:81;height:355" filled="true" fillcolor="#006caa" stroked="false">
              <v:fill type="solid"/>
            </v:rect>
            <v:rect style="position:absolute;left:2043;top:-1108;width:81;height:355" filled="false" stroked="true" strokeweight=".5pt" strokecolor="#000000">
              <v:stroke dashstyle="solid"/>
            </v:rect>
            <v:rect style="position:absolute;left:2043;top:-1185;width:81;height:80" filled="true" fillcolor="#835335" stroked="false">
              <v:fill type="solid"/>
            </v:rect>
            <v:rect style="position:absolute;left:2043;top:-1188;width:81;height:83" filled="false" stroked="true" strokeweight=".5pt" strokecolor="#000000">
              <v:stroke dashstyle="solid"/>
            </v:rect>
            <v:rect style="position:absolute;left:2043;top:-2275;width:81;height:1090" filled="true" fillcolor="#f6bd61" stroked="false">
              <v:fill type="solid"/>
            </v:rect>
            <v:rect style="position:absolute;left:2043;top:-2275;width:81;height:1090" filled="false" stroked="true" strokeweight=".5pt" strokecolor="#000000">
              <v:stroke dashstyle="solid"/>
            </v:rect>
            <v:rect style="position:absolute;left:2043;top:-755;width:81;height:65" filled="true" fillcolor="#b3dabb" stroked="false">
              <v:fill type="solid"/>
            </v:rect>
            <v:rect style="position:absolute;left:2043;top:-755;width:81;height:65" filled="false" stroked="true" strokeweight=".5pt" strokecolor="#000000">
              <v:stroke dashstyle="solid"/>
            </v:rect>
            <v:rect style="position:absolute;left:2290;top:-755;width:81;height:128" filled="true" fillcolor="#006caa" stroked="false">
              <v:fill type="solid"/>
            </v:rect>
            <v:rect style="position:absolute;left:2290;top:-755;width:81;height:130" filled="false" stroked="true" strokeweight=".5pt" strokecolor="#000000">
              <v:stroke dashstyle="solid"/>
            </v:rect>
            <v:rect style="position:absolute;left:2290;top:-628;width:81;height:95" filled="true" fillcolor="#835335" stroked="false">
              <v:fill type="solid"/>
            </v:rect>
            <v:rect style="position:absolute;left:2290;top:-628;width:81;height:98" filled="false" stroked="true" strokeweight=".5pt" strokecolor="#000000">
              <v:stroke dashstyle="solid"/>
            </v:rect>
            <v:rect style="position:absolute;left:2290;top:-533;width:81;height:275" filled="true" fillcolor="#f6bd61" stroked="false">
              <v:fill type="solid"/>
            </v:rect>
            <v:rect style="position:absolute;left:2290;top:-533;width:81;height:275" filled="false" stroked="true" strokeweight=".5pt" strokecolor="#000000">
              <v:stroke dashstyle="solid"/>
            </v:rect>
            <v:rect style="position:absolute;left:2290;top:-260;width:81;height:18" filled="true" fillcolor="#b3dabb" stroked="false">
              <v:fill type="solid"/>
            </v:rect>
            <v:rect style="position:absolute;left:2290;top:-260;width:81;height:18" filled="false" stroked="true" strokeweight=".5pt" strokecolor="#000000">
              <v:stroke dashstyle="solid"/>
            </v:rect>
            <v:rect style="position:absolute;left:2538;top:-753;width:81;height:158" filled="true" fillcolor="#006caa" stroked="false">
              <v:fill type="solid"/>
            </v:rect>
            <v:rect style="position:absolute;left:2538;top:-755;width:81;height:163" filled="false" stroked="true" strokeweight=".5pt" strokecolor="#000000">
              <v:stroke dashstyle="solid"/>
            </v:rect>
            <v:rect style="position:absolute;left:2538;top:-595;width:81;height:110" filled="true" fillcolor="#835335" stroked="false">
              <v:fill type="solid"/>
            </v:rect>
            <v:rect style="position:absolute;left:2538;top:-595;width:81;height:113" filled="false" stroked="true" strokeweight=".5pt" strokecolor="#000000">
              <v:stroke dashstyle="solid"/>
            </v:rect>
            <v:rect style="position:absolute;left:2538;top:-2100;width:81;height:1348" filled="true" fillcolor="#f6bd61" stroked="false">
              <v:fill type="solid"/>
            </v:rect>
            <v:rect style="position:absolute;left:2538;top:-2100;width:81;height:1348" filled="false" stroked="true" strokeweight=".5pt" strokecolor="#000000">
              <v:stroke dashstyle="solid"/>
            </v:rect>
            <v:rect style="position:absolute;left:2538;top:-485;width:81;height:163" filled="true" fillcolor="#b3dabb" stroked="false">
              <v:fill type="solid"/>
            </v:rect>
            <v:rect style="position:absolute;left:2538;top:-485;width:81;height:163" filled="false" stroked="true" strokeweight=".5pt" strokecolor="#000000">
              <v:stroke dashstyle="solid"/>
            </v:rect>
            <v:rect style="position:absolute;left:2785;top:-755;width:81;height:450" filled="true" fillcolor="#006caa" stroked="false">
              <v:fill type="solid"/>
            </v:rect>
            <v:rect style="position:absolute;left:2785;top:-755;width:81;height:450" filled="false" stroked="true" strokeweight=".5pt" strokecolor="#000000">
              <v:stroke dashstyle="solid"/>
            </v:rect>
            <v:rect style="position:absolute;left:2785;top:-883;width:81;height:130" filled="true" fillcolor="#835335" stroked="false">
              <v:fill type="solid"/>
            </v:rect>
            <v:rect style="position:absolute;left:2785;top:-885;width:81;height:133" filled="false" stroked="true" strokeweight=".5pt" strokecolor="#000000">
              <v:stroke dashstyle="solid"/>
            </v:rect>
            <v:rect style="position:absolute;left:2785;top:-1555;width:81;height:673" filled="true" fillcolor="#f6bd61" stroked="false">
              <v:fill type="solid"/>
            </v:rect>
            <v:rect style="position:absolute;left:2785;top:-1555;width:81;height:673" filled="false" stroked="true" strokeweight=".5pt" strokecolor="#000000">
              <v:stroke dashstyle="solid"/>
            </v:rect>
            <v:rect style="position:absolute;left:2785;top:-308;width:81;height:145" filled="true" fillcolor="#b3dabb" stroked="false">
              <v:fill type="solid"/>
            </v:rect>
            <v:rect style="position:absolute;left:2785;top:-308;width:81;height:145" filled="false" stroked="true" strokeweight=".5pt" strokecolor="#000000">
              <v:stroke dashstyle="solid"/>
            </v:rect>
            <v:rect style="position:absolute;left:3033;top:-755;width:94;height:385" filled="true" fillcolor="#006caa" stroked="false">
              <v:fill type="solid"/>
            </v:rect>
            <v:rect style="position:absolute;left:3033;top:-755;width:94;height:385" filled="false" stroked="true" strokeweight=".5pt" strokecolor="#000000">
              <v:stroke dashstyle="solid"/>
            </v:rect>
            <v:rect style="position:absolute;left:3033;top:-1253;width:94;height:500" filled="true" fillcolor="#f6bd61" stroked="false">
              <v:fill type="solid"/>
            </v:rect>
            <v:rect style="position:absolute;left:3033;top:-1253;width:94;height:500" filled="false" stroked="true" strokeweight=".5pt" strokecolor="#000000">
              <v:stroke dashstyle="solid"/>
            </v:rect>
            <v:rect style="position:absolute;left:3033;top:-373;width:94;height:20" filled="true" fillcolor="#b3dabb" stroked="false">
              <v:fill type="solid"/>
            </v:rect>
            <v:rect style="position:absolute;left:3033;top:-373;width:94;height:20" filled="false" stroked="true" strokeweight=".5pt" strokecolor="#000000">
              <v:stroke dashstyle="solid"/>
            </v:rect>
            <v:rect style="position:absolute;left:3280;top:-753;width:94;height:240" filled="true" fillcolor="#006caa" stroked="false">
              <v:fill type="solid"/>
            </v:rect>
            <v:rect style="position:absolute;left:3280;top:-755;width:94;height:243" filled="false" stroked="true" strokeweight=".5pt" strokecolor="#000000">
              <v:stroke dashstyle="solid"/>
            </v:rect>
            <v:rect style="position:absolute;left:3280;top:-850;width:94;height:98" filled="true" fillcolor="#835335" stroked="false">
              <v:fill type="solid"/>
            </v:rect>
            <v:rect style="position:absolute;left:3280;top:-853;width:94;height:100" filled="false" stroked="true" strokeweight=".5pt" strokecolor="#000000">
              <v:stroke dashstyle="solid"/>
            </v:rect>
            <v:rect style="position:absolute;left:3280;top:-1828;width:94;height:978" filled="true" fillcolor="#f6bd61" stroked="false">
              <v:fill type="solid"/>
            </v:rect>
            <v:rect style="position:absolute;left:3280;top:-1828;width:94;height:978" filled="false" stroked="true" strokeweight=".5pt" strokecolor="#000000">
              <v:stroke dashstyle="solid"/>
            </v:rect>
            <v:rect style="position:absolute;left:3527;top:-755;width:94;height:353" filled="true" fillcolor="#006caa" stroked="false">
              <v:fill type="solid"/>
            </v:rect>
            <v:rect style="position:absolute;left:3527;top:-755;width:94;height:353" filled="false" stroked="true" strokeweight=".5pt" strokecolor="#000000">
              <v:stroke dashstyle="solid"/>
            </v:rect>
            <v:rect style="position:absolute;left:3527;top:-405;width:94;height:18" filled="true" fillcolor="#835335" stroked="false">
              <v:fill type="solid"/>
            </v:rect>
            <v:shape style="position:absolute;left:3522;top:-399;width:104;height:15" coordorigin="3523,-398" coordsize="104,15" path="m3523,-383l3626,-383m3523,-398l3626,-398e" filled="false" stroked="true" strokeweight=".375pt" strokecolor="#000000">
              <v:path arrowok="t"/>
              <v:stroke dashstyle="solid"/>
            </v:shape>
            <v:rect style="position:absolute;left:3527;top:-1253;width:94;height:500" filled="true" fillcolor="#f6bd61" stroked="false">
              <v:fill type="solid"/>
            </v:rect>
            <v:rect style="position:absolute;left:3527;top:-1253;width:94;height:500" filled="false" stroked="true" strokeweight=".5pt" strokecolor="#000000">
              <v:stroke dashstyle="solid"/>
            </v:rect>
            <v:rect style="position:absolute;left:3527;top:-388;width:94;height:130" filled="true" fillcolor="#b3dabb" stroked="false">
              <v:fill type="solid"/>
            </v:rect>
            <v:rect style="position:absolute;left:3527;top:-388;width:94;height:130" filled="false" stroked="true" strokeweight=".5pt" strokecolor="#000000">
              <v:stroke dashstyle="solid"/>
            </v:rect>
            <v:rect style="position:absolute;left:3787;top:-755;width:81;height:98" filled="true" fillcolor="#006caa" stroked="false">
              <v:fill type="solid"/>
            </v:rect>
            <v:rect style="position:absolute;left:3787;top:-755;width:81;height:98" filled="false" stroked="true" strokeweight=".5pt" strokecolor="#000000">
              <v:stroke dashstyle="solid"/>
            </v:rect>
            <v:rect style="position:absolute;left:3787;top:-770;width:81;height:18" filled="true" fillcolor="#835335" stroked="false">
              <v:fill type="solid"/>
            </v:rect>
            <v:shape style="position:absolute;left:3782;top:-774;width:91;height:15" coordorigin="3783,-773" coordsize="91,15" path="m3783,-773l3873,-773m3783,-758l3873,-758e" filled="false" stroked="true" strokeweight=".375pt" strokecolor="#000000">
              <v:path arrowok="t"/>
              <v:stroke dashstyle="solid"/>
            </v:shape>
            <v:rect style="position:absolute;left:3787;top:-1365;width:81;height:595" filled="true" fillcolor="#f6bd61" stroked="false">
              <v:fill type="solid"/>
            </v:rect>
            <v:rect style="position:absolute;left:3787;top:-1365;width:81;height:595" filled="false" stroked="true" strokeweight=".5pt" strokecolor="#000000">
              <v:stroke dashstyle="solid"/>
            </v:rect>
            <v:rect style="position:absolute;left:3787;top:-1428;width:81;height:65" filled="true" fillcolor="#b3dabb" stroked="false">
              <v:fill type="solid"/>
            </v:rect>
            <v:shape style="position:absolute;left:991;top:-1428;width:2934;height:675" coordorigin="991,-1427" coordsize="2934,675" path="m3788,-1427l3868,-1427,3868,-1362,3788,-1362,3788,-1427xm991,-755l3925,-752e" filled="false" stroked="true" strokeweight=".5pt" strokecolor="#000000">
              <v:path arrowok="t"/>
              <v:stroke dashstyle="solid"/>
            </v:shape>
            <v:shape style="position:absolute;left:1085;top:-2453;width:2737;height:2208" coordorigin="1085,-2452" coordsize="2737,2208" path="m1085,-1812l1333,-2452m1333,-2452l1580,-1027m1580,-1027l1828,-1827m1828,-1827l2078,-2212m2078,-2212l2325,-245m2325,-245l2582,-1667m2582,-1667l2832,-965m2832,-965l3080,-835m3080,-835l3327,-1587m3327,-1587l3574,-755m3574,-755l3822,-1332e" filled="false" stroked="true" strokeweight="1pt" strokecolor="#de0035">
              <v:path arrowok="t"/>
              <v:stroke dashstyle="solid"/>
            </v:shape>
            <v:shape style="position:absolute;left:837;top:-2559;width:3222;height:2525" coordorigin="837,-2559" coordsize="3222,2525" path="m994,-35l3918,-35m991,-102l991,-35m1959,-102l1959,-35m2946,-102l2946,-35m837,-2559l922,-2559m837,-2198l922,-2198m837,-1838l922,-1838m837,-1477l922,-1477m837,-1117l922,-1117m837,-396l922,-396m837,-756l922,-756m837,-35l922,-35m3973,-2558l4058,-2558m3973,-2198l4058,-2198m3973,-1837l4058,-1837m3973,-1477l4058,-1477m3973,-1116l4058,-1116m3973,-395l4058,-395m3973,-756l4058,-756m3973,-35l4058,-35e" filled="false" stroked="true" strokeweight=".5pt" strokecolor="#000000">
              <v:path arrowok="t"/>
              <v:stroke dashstyle="solid"/>
            </v:shape>
            <w10:wrap type="none"/>
          </v:group>
        </w:pict>
      </w:r>
      <w:r>
        <w:rPr>
          <w:sz w:val="12"/>
        </w:rPr>
        <w:t>1997</w:t>
        <w:tab/>
        <w:t>98</w:t>
        <w:tab/>
      </w:r>
      <w:r>
        <w:rPr>
          <w:spacing w:val="-10"/>
          <w:sz w:val="12"/>
        </w:rPr>
        <w:t>99</w:t>
      </w:r>
    </w:p>
    <w:p>
      <w:pPr>
        <w:spacing w:before="29"/>
        <w:ind w:left="0" w:right="38" w:firstLine="0"/>
        <w:jc w:val="right"/>
        <w:rPr>
          <w:sz w:val="12"/>
        </w:rPr>
      </w:pPr>
      <w:r>
        <w:rPr/>
        <w:br w:type="column"/>
      </w:r>
      <w:r>
        <w:rPr>
          <w:sz w:val="12"/>
        </w:rPr>
        <w:t>100</w:t>
      </w:r>
    </w:p>
    <w:p>
      <w:pPr>
        <w:pStyle w:val="Heading6"/>
        <w:spacing w:before="6"/>
        <w:ind w:left="717"/>
      </w:pPr>
      <w:r>
        <w:rPr/>
        <w:br w:type="column"/>
      </w:r>
      <w:r>
        <w:rPr/>
        <w:t>in Q4 was less than a third of the average fall in the</w:t>
      </w:r>
    </w:p>
    <w:p>
      <w:pPr>
        <w:spacing w:after="0"/>
        <w:sectPr>
          <w:type w:val="continuous"/>
          <w:pgSz w:w="11900" w:h="16840"/>
          <w:pgMar w:top="1220" w:bottom="280" w:left="640" w:right="620"/>
          <w:cols w:num="3" w:equalWidth="0">
            <w:col w:w="2896" w:space="40"/>
            <w:col w:w="769" w:space="548"/>
            <w:col w:w="6387"/>
          </w:cols>
        </w:sectPr>
      </w:pPr>
    </w:p>
    <w:p>
      <w:pPr>
        <w:pStyle w:val="BodyText"/>
        <w:rPr>
          <w:sz w:val="20"/>
        </w:rPr>
      </w:pPr>
    </w:p>
    <w:p>
      <w:pPr>
        <w:spacing w:after="0"/>
        <w:rPr>
          <w:sz w:val="20"/>
        </w:rPr>
        <w:sectPr>
          <w:headerReference w:type="default" r:id="rId126"/>
          <w:headerReference w:type="even" r:id="rId127"/>
          <w:pgSz w:w="11900" w:h="16840"/>
          <w:pgMar w:header="586" w:footer="617" w:top="780" w:bottom="780" w:left="640" w:right="620"/>
        </w:sectPr>
      </w:pPr>
    </w:p>
    <w:p>
      <w:pPr>
        <w:pStyle w:val="BodyText"/>
        <w:spacing w:before="4"/>
        <w:rPr>
          <w:sz w:val="19"/>
        </w:rPr>
      </w:pPr>
    </w:p>
    <w:p>
      <w:pPr>
        <w:spacing w:before="0"/>
        <w:ind w:left="170" w:right="0" w:firstLine="0"/>
        <w:jc w:val="left"/>
        <w:rPr>
          <w:b/>
          <w:sz w:val="20"/>
        </w:rPr>
      </w:pPr>
      <w:r>
        <w:rPr>
          <w:b/>
          <w:color w:val="0092C7"/>
          <w:sz w:val="20"/>
        </w:rPr>
        <w:t>Chart 3.3</w:t>
      </w:r>
    </w:p>
    <w:p>
      <w:pPr>
        <w:spacing w:before="10"/>
        <w:ind w:left="170" w:right="0" w:firstLine="0"/>
        <w:jc w:val="left"/>
        <w:rPr>
          <w:sz w:val="12"/>
        </w:rPr>
      </w:pPr>
      <w:r>
        <w:rPr>
          <w:b/>
          <w:color w:val="0092C7"/>
          <w:sz w:val="20"/>
        </w:rPr>
        <w:t>CIPS survey employment</w:t>
      </w:r>
      <w:r>
        <w:rPr>
          <w:b/>
          <w:color w:val="0092C7"/>
          <w:spacing w:val="-22"/>
          <w:sz w:val="20"/>
        </w:rPr>
        <w:t> </w:t>
      </w:r>
      <w:r>
        <w:rPr>
          <w:b/>
          <w:color w:val="0092C7"/>
          <w:sz w:val="20"/>
        </w:rPr>
        <w:t>index</w:t>
      </w:r>
      <w:r>
        <w:rPr>
          <w:position w:val="4"/>
          <w:sz w:val="12"/>
        </w:rPr>
        <w:t>(a)</w:t>
      </w:r>
    </w:p>
    <w:p>
      <w:pPr>
        <w:pStyle w:val="BodyText"/>
        <w:spacing w:before="8" w:after="39"/>
        <w:rPr>
          <w:sz w:val="20"/>
        </w:rPr>
      </w:pPr>
    </w:p>
    <w:p>
      <w:pPr>
        <w:pStyle w:val="BodyText"/>
        <w:spacing w:line="20" w:lineRule="exact"/>
        <w:ind w:left="204"/>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2"/>
        </w:rPr>
      </w:pPr>
      <w:r>
        <w:rPr/>
        <w:br w:type="column"/>
      </w:r>
      <w:r>
        <w:rPr>
          <w:sz w:val="22"/>
        </w:rPr>
      </w:r>
    </w:p>
    <w:p>
      <w:pPr>
        <w:pStyle w:val="BodyText"/>
        <w:rPr>
          <w:sz w:val="22"/>
        </w:rPr>
      </w:pPr>
    </w:p>
    <w:p>
      <w:pPr>
        <w:pStyle w:val="BodyText"/>
        <w:spacing w:before="5"/>
        <w:rPr>
          <w:sz w:val="26"/>
        </w:rPr>
      </w:pPr>
    </w:p>
    <w:p>
      <w:pPr>
        <w:spacing w:before="1"/>
        <w:ind w:left="135" w:right="0" w:firstLine="0"/>
        <w:jc w:val="left"/>
        <w:rPr>
          <w:sz w:val="12"/>
        </w:rPr>
      </w:pPr>
      <w:r>
        <w:rPr>
          <w:sz w:val="12"/>
        </w:rPr>
        <w:t>Index </w:t>
      </w:r>
      <w:r>
        <w:rPr>
          <w:position w:val="-8"/>
          <w:sz w:val="12"/>
        </w:rPr>
        <w:t>56</w:t>
      </w:r>
    </w:p>
    <w:p>
      <w:pPr>
        <w:pStyle w:val="Heading6"/>
        <w:spacing w:line="242" w:lineRule="auto" w:before="217"/>
        <w:ind w:right="365"/>
      </w:pPr>
      <w:r>
        <w:rPr/>
        <w:br w:type="column"/>
      </w:r>
      <w:r>
        <w:rPr/>
        <w:t>previous three quarters. The number of construction jobs was little changed in Q4 compared with the previous quarter.</w:t>
      </w:r>
    </w:p>
    <w:p>
      <w:pPr>
        <w:spacing w:after="0" w:line="242" w:lineRule="auto"/>
        <w:sectPr>
          <w:type w:val="continuous"/>
          <w:pgSz w:w="11900" w:h="16840"/>
          <w:pgMar w:top="1220" w:bottom="280" w:left="640" w:right="620"/>
          <w:cols w:num="3" w:equalWidth="0">
            <w:col w:w="2997" w:space="40"/>
            <w:col w:w="607" w:space="1156"/>
            <w:col w:w="5840"/>
          </w:cols>
        </w:sectPr>
      </w:pPr>
    </w:p>
    <w:p>
      <w:pPr>
        <w:pStyle w:val="BodyText"/>
        <w:spacing w:before="7"/>
        <w:rPr>
          <w:sz w:val="11"/>
        </w:rPr>
      </w:pPr>
    </w:p>
    <w:p>
      <w:pPr>
        <w:spacing w:before="1"/>
        <w:ind w:left="0" w:right="544" w:firstLine="0"/>
        <w:jc w:val="right"/>
        <w:rPr>
          <w:sz w:val="12"/>
        </w:rPr>
      </w:pPr>
      <w:r>
        <w:rPr/>
        <w:pict>
          <v:group style="position:absolute;margin-left:50.958pt;margin-top:-4.228618pt;width:152.75pt;height:116.4pt;mso-position-horizontal-relative:page;mso-position-vertical-relative:paragraph;z-index:16114176" coordorigin="1019,-85" coordsize="3055,2328">
            <v:shape style="position:absolute;left:1029;top:-75;width:600;height:470" coordorigin="1029,-75" coordsize="600,470" path="m1029,100l1109,48m1109,48l1177,100m1177,100l1257,-40m1257,-40l1324,-75m1324,-75l1402,100m1402,100l1472,168m1472,168l1549,255m1549,255l1629,395e" filled="false" stroked="true" strokeweight="1pt" strokecolor="#972140">
              <v:path arrowok="t"/>
              <v:stroke dashstyle="solid"/>
            </v:shape>
            <v:line style="position:absolute" from="1619,397" to="1707,397" stroked="true" strokeweight="1.125pt" strokecolor="#972140">
              <v:stroke dashstyle="solid"/>
            </v:line>
            <v:shape style="position:absolute;left:1696;top:167;width:1938;height:2065" coordorigin="1697,168" coordsize="1938,2065" path="m1697,395l1777,273m1777,273l1844,220m1844,220l1924,185m1924,185l1992,168m1992,168l2072,255m2072,255l2139,343m2139,343l2219,308m2219,308l2297,498m2297,498l2364,828m2364,828l2444,1088m2444,1088l2512,1435m2512,1435l2592,1748m2592,1748l2659,1885m2659,1885l2739,2060m2739,2060l2819,2233m2819,2233l2887,2110m2887,2110l2967,1713m2967,1713l3034,1193m3034,1193l3112,1573m3112,1573l3182,1193m3182,1193l3259,1088m3259,1088l3329,1348m3329,1348l3407,1018m3407,1018l3487,1313m3487,1313l3554,1140m3554,1140l3634,1228e" filled="false" stroked="true" strokeweight="1pt" strokecolor="#972140">
              <v:path arrowok="t"/>
              <v:stroke dashstyle="solid"/>
            </v:shape>
            <v:line style="position:absolute" from="3624,1229" to="3712,1229" stroked="true" strokeweight="1.125pt" strokecolor="#972140">
              <v:stroke dashstyle="solid"/>
            </v:line>
            <v:shape style="position:absolute;left:3701;top:585;width:228;height:643" coordorigin="3702,585" coordsize="228,643" path="m3702,1228l3782,1175m3782,1175l3849,828m3849,828l3929,585e" filled="false" stroked="true" strokeweight="1pt" strokecolor="#972140">
              <v:path arrowok="t"/>
              <v:stroke dashstyle="solid"/>
            </v:shape>
            <v:shape style="position:absolute;left:3986;top:87;width:87;height:2010" coordorigin="3987,87" coordsize="87,2010" path="m3987,87l4073,87m3987,365l4073,365m3987,937l4073,937m3987,2097l4073,2097m3987,660l4073,660m3987,1232l4073,1232m3987,1805l4073,1805e" filled="false" stroked="true" strokeweight=".5pt" strokecolor="#000000">
              <v:path arrowok="t"/>
              <v:stroke dashstyle="solid"/>
            </v:shape>
            <v:shape style="position:absolute;left:1019;top:-85;width:3055;height:2328"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0"/>
                      <w:rPr>
                        <w:sz w:val="12"/>
                      </w:rPr>
                    </w:pPr>
                  </w:p>
                  <w:p>
                    <w:pPr>
                      <w:tabs>
                        <w:tab w:pos="2903" w:val="left" w:leader="none"/>
                      </w:tabs>
                      <w:spacing w:before="0"/>
                      <w:ind w:left="16" w:right="0" w:firstLine="0"/>
                      <w:jc w:val="left"/>
                      <w:rPr>
                        <w:sz w:val="12"/>
                      </w:rPr>
                    </w:pPr>
                    <w:r>
                      <w:rPr>
                        <w:sz w:val="12"/>
                        <w:u w:val="dotted"/>
                      </w:rPr>
                      <w:t> </w:t>
                      <w:tab/>
                    </w:r>
                    <w:r>
                      <w:rPr>
                        <w:sz w:val="12"/>
                      </w:rPr>
                      <w:t> </w:t>
                    </w:r>
                    <w:r>
                      <w:rPr>
                        <w:spacing w:val="4"/>
                        <w:sz w:val="12"/>
                      </w:rPr>
                      <w:t> </w:t>
                    </w:r>
                    <w:r>
                      <w:rPr>
                        <w:sz w:val="12"/>
                        <w:u w:val="dotted"/>
                      </w:rPr>
                      <w:t> </w:t>
                    </w:r>
                    <w:r>
                      <w:rPr>
                        <w:spacing w:val="-4"/>
                        <w:sz w:val="12"/>
                        <w:u w:val="dotted"/>
                      </w:rPr>
                      <w:t> </w:t>
                    </w:r>
                  </w:p>
                </w:txbxContent>
              </v:textbox>
              <w10:wrap type="none"/>
            </v:shape>
            <w10:wrap type="none"/>
          </v:group>
        </w:pict>
      </w:r>
      <w:r>
        <w:rPr/>
        <w:pict>
          <v:line style="position:absolute;mso-position-horizontal-relative:page;mso-position-vertical-relative:paragraph;z-index:16114688" from="42.458pt,4.146382pt" to="46.792pt,4.146382pt" stroked="true" strokeweight=".5pt" strokecolor="#000000">
            <v:stroke dashstyle="solid"/>
            <w10:wrap type="none"/>
          </v:line>
        </w:pict>
      </w:r>
      <w:r>
        <w:rPr/>
        <w:pict>
          <v:line style="position:absolute;mso-position-horizontal-relative:page;mso-position-vertical-relative:paragraph;z-index:-22490624" from="199.332993pt,-10.395617pt" to="203.666993pt,-10.395617pt" stroked="true" strokeweight=".5pt" strokecolor="#000000">
            <v:stroke dashstyle="solid"/>
            <w10:wrap type="none"/>
          </v:line>
        </w:pict>
      </w:r>
      <w:r>
        <w:rPr>
          <w:sz w:val="12"/>
        </w:rPr>
        <w:t>55</w:t>
      </w:r>
    </w:p>
    <w:p>
      <w:pPr>
        <w:pStyle w:val="BodyText"/>
        <w:rPr>
          <w:sz w:val="13"/>
        </w:rPr>
      </w:pPr>
    </w:p>
    <w:p>
      <w:pPr>
        <w:spacing w:before="1"/>
        <w:ind w:left="0" w:right="544" w:firstLine="0"/>
        <w:jc w:val="right"/>
        <w:rPr>
          <w:sz w:val="12"/>
        </w:rPr>
      </w:pPr>
      <w:r>
        <w:rPr/>
        <w:pict>
          <v:line style="position:absolute;mso-position-horizontal-relative:page;mso-position-vertical-relative:paragraph;z-index:16115200" from="42.458pt,3.59615pt" to="46.792pt,3.59615pt" stroked="true" strokeweight=".5pt" strokecolor="#000000">
            <v:stroke dashstyle="solid"/>
            <w10:wrap type="none"/>
          </v:line>
        </w:pict>
      </w:r>
      <w:r>
        <w:rPr>
          <w:sz w:val="12"/>
        </w:rPr>
        <w:t>54</w:t>
      </w:r>
    </w:p>
    <w:p>
      <w:pPr>
        <w:pStyle w:val="BodyText"/>
        <w:rPr>
          <w:sz w:val="13"/>
        </w:rPr>
      </w:pPr>
    </w:p>
    <w:p>
      <w:pPr>
        <w:spacing w:before="1"/>
        <w:ind w:left="0" w:right="544" w:firstLine="0"/>
        <w:jc w:val="right"/>
        <w:rPr>
          <w:sz w:val="12"/>
        </w:rPr>
      </w:pPr>
      <w:r>
        <w:rPr/>
        <w:pict>
          <v:line style="position:absolute;mso-position-horizontal-relative:page;mso-position-vertical-relative:paragraph;z-index:16118272" from="42.458pt,3.920979pt" to="46.792pt,3.920979pt" stroked="true" strokeweight=".5pt" strokecolor="#000000">
            <v:stroke dashstyle="solid"/>
            <w10:wrap type="none"/>
          </v:line>
        </w:pict>
      </w:r>
      <w:r>
        <w:rPr>
          <w:sz w:val="12"/>
        </w:rPr>
        <w:t>53</w:t>
      </w:r>
    </w:p>
    <w:p>
      <w:pPr>
        <w:pStyle w:val="BodyText"/>
        <w:rPr>
          <w:sz w:val="13"/>
        </w:rPr>
      </w:pPr>
    </w:p>
    <w:p>
      <w:pPr>
        <w:spacing w:before="1"/>
        <w:ind w:left="0" w:right="544" w:firstLine="0"/>
        <w:jc w:val="right"/>
        <w:rPr>
          <w:sz w:val="12"/>
        </w:rPr>
      </w:pPr>
      <w:r>
        <w:rPr/>
        <w:pict>
          <v:line style="position:absolute;mso-position-horizontal-relative:page;mso-position-vertical-relative:paragraph;z-index:16115712" from="42.458pt,3.370748pt" to="46.792pt,3.370748pt" stroked="true" strokeweight=".5pt" strokecolor="#000000">
            <v:stroke dashstyle="solid"/>
            <w10:wrap type="none"/>
          </v:line>
        </w:pict>
      </w:r>
      <w:r>
        <w:rPr>
          <w:sz w:val="12"/>
        </w:rPr>
        <w:t>52</w:t>
      </w:r>
    </w:p>
    <w:p>
      <w:pPr>
        <w:pStyle w:val="BodyText"/>
        <w:rPr>
          <w:sz w:val="13"/>
        </w:rPr>
      </w:pPr>
    </w:p>
    <w:p>
      <w:pPr>
        <w:spacing w:before="1"/>
        <w:ind w:left="0" w:right="544" w:firstLine="0"/>
        <w:jc w:val="right"/>
        <w:rPr>
          <w:sz w:val="12"/>
        </w:rPr>
      </w:pPr>
      <w:r>
        <w:rPr/>
        <w:pict>
          <v:line style="position:absolute;mso-position-horizontal-relative:page;mso-position-vertical-relative:paragraph;z-index:16118784" from="42.458pt,3.695577pt" to="46.792pt,3.695577pt" stroked="true" strokeweight=".5pt" strokecolor="#000000">
            <v:stroke dashstyle="solid"/>
            <w10:wrap type="none"/>
          </v:line>
        </w:pict>
      </w:r>
      <w:r>
        <w:rPr>
          <w:sz w:val="12"/>
        </w:rPr>
        <w:t>51</w:t>
      </w:r>
    </w:p>
    <w:p>
      <w:pPr>
        <w:pStyle w:val="BodyText"/>
        <w:rPr>
          <w:sz w:val="13"/>
        </w:rPr>
      </w:pPr>
    </w:p>
    <w:p>
      <w:pPr>
        <w:spacing w:before="1"/>
        <w:ind w:left="0" w:right="544" w:firstLine="0"/>
        <w:jc w:val="right"/>
        <w:rPr>
          <w:sz w:val="12"/>
        </w:rPr>
      </w:pPr>
      <w:r>
        <w:rPr/>
        <w:pict>
          <v:line style="position:absolute;mso-position-horizontal-relative:page;mso-position-vertical-relative:paragraph;z-index:16116224" from="42.458pt,4.020345pt" to="46.792pt,4.020345pt" stroked="true" strokeweight=".5pt" strokecolor="#000000">
            <v:stroke dashstyle="solid"/>
            <w10:wrap type="none"/>
          </v:line>
        </w:pict>
      </w:r>
      <w:r>
        <w:rPr>
          <w:sz w:val="12"/>
        </w:rPr>
        <w:t>50</w:t>
      </w:r>
    </w:p>
    <w:p>
      <w:pPr>
        <w:pStyle w:val="BodyText"/>
        <w:spacing w:before="1"/>
        <w:rPr>
          <w:sz w:val="13"/>
        </w:rPr>
      </w:pPr>
    </w:p>
    <w:p>
      <w:pPr>
        <w:spacing w:before="0"/>
        <w:ind w:left="0" w:right="544" w:firstLine="0"/>
        <w:jc w:val="right"/>
        <w:rPr>
          <w:sz w:val="12"/>
        </w:rPr>
      </w:pPr>
      <w:r>
        <w:rPr/>
        <w:pict>
          <v:line style="position:absolute;mso-position-horizontal-relative:page;mso-position-vertical-relative:paragraph;z-index:16119296" from="42.458pt,3.420174pt" to="46.792pt,3.420174pt" stroked="true" strokeweight=".5pt" strokecolor="#000000">
            <v:stroke dashstyle="solid"/>
            <w10:wrap type="none"/>
          </v:line>
        </w:pict>
      </w:r>
      <w:r>
        <w:rPr>
          <w:sz w:val="12"/>
        </w:rPr>
        <w:t>49</w:t>
      </w:r>
    </w:p>
    <w:p>
      <w:pPr>
        <w:pStyle w:val="BodyText"/>
        <w:spacing w:before="1"/>
        <w:rPr>
          <w:sz w:val="13"/>
        </w:rPr>
      </w:pPr>
    </w:p>
    <w:p>
      <w:pPr>
        <w:spacing w:before="0"/>
        <w:ind w:left="0" w:right="544" w:firstLine="0"/>
        <w:jc w:val="right"/>
        <w:rPr>
          <w:sz w:val="12"/>
        </w:rPr>
      </w:pPr>
      <w:r>
        <w:rPr/>
        <w:pict>
          <v:line style="position:absolute;mso-position-horizontal-relative:page;mso-position-vertical-relative:paragraph;z-index:16117248" from="42.458pt,3.619942pt" to="46.792pt,3.619942pt" stroked="true" strokeweight=".5pt" strokecolor="#000000">
            <v:stroke dashstyle="solid"/>
            <w10:wrap type="none"/>
          </v:line>
        </w:pict>
      </w:r>
      <w:r>
        <w:rPr>
          <w:sz w:val="12"/>
        </w:rPr>
        <w:t>48</w:t>
      </w:r>
    </w:p>
    <w:p>
      <w:pPr>
        <w:pStyle w:val="BodyText"/>
        <w:spacing w:before="1"/>
        <w:rPr>
          <w:sz w:val="13"/>
        </w:rPr>
      </w:pPr>
    </w:p>
    <w:p>
      <w:pPr>
        <w:spacing w:before="0"/>
        <w:ind w:left="0" w:right="544" w:firstLine="0"/>
        <w:jc w:val="right"/>
        <w:rPr>
          <w:sz w:val="12"/>
        </w:rPr>
      </w:pPr>
      <w:r>
        <w:rPr/>
        <w:pict>
          <v:line style="position:absolute;mso-position-horizontal-relative:page;mso-position-vertical-relative:paragraph;z-index:16116736" from="42.458pt,3.277771pt" to="46.792pt,3.277771pt" stroked="true" strokeweight=".5pt" strokecolor="#000000">
            <v:stroke dashstyle="solid"/>
            <w10:wrap type="none"/>
          </v:line>
        </w:pict>
      </w:r>
      <w:r>
        <w:rPr/>
        <w:pict>
          <v:line style="position:absolute;mso-position-horizontal-relative:page;mso-position-vertical-relative:paragraph;z-index:16119808" from="199.332993pt,3.277771pt" to="203.666993pt,3.277771pt" stroked="true" strokeweight=".5pt" strokecolor="#000000">
            <v:stroke dashstyle="solid"/>
            <w10:wrap type="none"/>
          </v:line>
        </w:pict>
      </w:r>
      <w:r>
        <w:rPr>
          <w:sz w:val="12"/>
        </w:rPr>
        <w:t>47</w:t>
      </w:r>
    </w:p>
    <w:p>
      <w:pPr>
        <w:pStyle w:val="BodyText"/>
        <w:spacing w:before="1"/>
        <w:rPr>
          <w:sz w:val="13"/>
        </w:rPr>
      </w:pPr>
    </w:p>
    <w:p>
      <w:pPr>
        <w:spacing w:line="121" w:lineRule="exact" w:before="0"/>
        <w:ind w:left="3483" w:right="0" w:firstLine="0"/>
        <w:jc w:val="left"/>
        <w:rPr>
          <w:sz w:val="12"/>
        </w:rPr>
      </w:pPr>
      <w:r>
        <w:rPr/>
        <w:pict>
          <v:line style="position:absolute;mso-position-horizontal-relative:page;mso-position-vertical-relative:paragraph;z-index:16117760" from="42.458pt,3.394539pt" to="46.792pt,3.394539pt" stroked="true" strokeweight=".5pt" strokecolor="#000000">
            <v:stroke dashstyle="solid"/>
            <w10:wrap type="none"/>
          </v:line>
        </w:pict>
      </w:r>
      <w:r>
        <w:rPr/>
        <w:pict>
          <v:shape style="position:absolute;margin-left:51.5pt;margin-top:.290539pt;width:152.2pt;height:3.4pt;mso-position-horizontal-relative:page;mso-position-vertical-relative:paragraph;z-index:16120320" coordorigin="1030,6" coordsize="3044,68" path="m3987,68l4073,68m1030,68l3937,68m1030,6l1030,73m1924,6l1924,73m3702,6l3702,73m2819,6l2819,73e" filled="false" stroked="true" strokeweight=".5pt" strokecolor="#000000">
            <v:path arrowok="t"/>
            <v:stroke dashstyle="solid"/>
            <w10:wrap type="none"/>
          </v:shape>
        </w:pict>
      </w:r>
      <w:r>
        <w:rPr>
          <w:sz w:val="12"/>
        </w:rPr>
        <w:t>46</w:t>
      </w:r>
    </w:p>
    <w:p>
      <w:pPr>
        <w:tabs>
          <w:tab w:pos="1671" w:val="left" w:leader="none"/>
          <w:tab w:pos="2597" w:val="left" w:leader="none"/>
          <w:tab w:pos="3097" w:val="left" w:leader="none"/>
        </w:tabs>
        <w:spacing w:line="121" w:lineRule="exact" w:before="0"/>
        <w:ind w:left="688" w:right="0" w:firstLine="0"/>
        <w:jc w:val="left"/>
        <w:rPr>
          <w:sz w:val="12"/>
        </w:rPr>
      </w:pPr>
      <w:r>
        <w:rPr>
          <w:sz w:val="12"/>
        </w:rPr>
        <w:t>1997</w:t>
        <w:tab/>
        <w:t>98</w:t>
        <w:tab/>
        <w:t>99</w:t>
        <w:tab/>
        <w:t>2000</w:t>
      </w:r>
    </w:p>
    <w:p>
      <w:pPr>
        <w:pStyle w:val="BodyText"/>
        <w:spacing w:before="10"/>
        <w:rPr>
          <w:sz w:val="14"/>
        </w:rPr>
      </w:pPr>
    </w:p>
    <w:p>
      <w:pPr>
        <w:spacing w:before="0"/>
        <w:ind w:left="170" w:right="0" w:firstLine="0"/>
        <w:jc w:val="left"/>
        <w:rPr>
          <w:sz w:val="12"/>
        </w:rPr>
      </w:pPr>
      <w:r>
        <w:rPr>
          <w:sz w:val="12"/>
        </w:rPr>
        <w:t>Source: Chartered Institute of Purchasing and Supply.</w:t>
      </w:r>
    </w:p>
    <w:p>
      <w:pPr>
        <w:pStyle w:val="BodyText"/>
        <w:spacing w:before="2"/>
        <w:rPr>
          <w:sz w:val="10"/>
        </w:rPr>
      </w:pPr>
    </w:p>
    <w:p>
      <w:pPr>
        <w:spacing w:line="208" w:lineRule="auto" w:before="0"/>
        <w:ind w:left="410" w:right="433" w:hanging="240"/>
        <w:jc w:val="left"/>
        <w:rPr>
          <w:sz w:val="12"/>
        </w:rPr>
      </w:pPr>
      <w:r>
        <w:rPr>
          <w:sz w:val="12"/>
        </w:rPr>
        <w:t>(a) Weighted index of data on manufacturing, services and construction. A reading of 50 indicates no change on the previous month.</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0"/>
        <w:ind w:left="180" w:right="0" w:firstLine="0"/>
        <w:jc w:val="left"/>
        <w:rPr>
          <w:b/>
          <w:sz w:val="20"/>
        </w:rPr>
      </w:pPr>
      <w:r>
        <w:rPr>
          <w:b/>
          <w:color w:val="0092C7"/>
          <w:sz w:val="20"/>
        </w:rPr>
        <w:t>Table 3.A</w:t>
      </w:r>
    </w:p>
    <w:p>
      <w:pPr>
        <w:spacing w:before="10"/>
        <w:ind w:left="180" w:right="0" w:firstLine="0"/>
        <w:jc w:val="left"/>
        <w:rPr>
          <w:sz w:val="12"/>
        </w:rPr>
      </w:pPr>
      <w:r>
        <w:rPr>
          <w:b/>
          <w:color w:val="0092C7"/>
          <w:sz w:val="20"/>
        </w:rPr>
        <w:t>Surveys of employment intentions</w:t>
      </w:r>
      <w:r>
        <w:rPr>
          <w:position w:val="4"/>
          <w:sz w:val="12"/>
        </w:rPr>
        <w:t>(a)</w:t>
      </w:r>
    </w:p>
    <w:p>
      <w:pPr>
        <w:spacing w:before="126"/>
        <w:ind w:left="1210" w:right="0" w:hanging="1030"/>
        <w:jc w:val="left"/>
        <w:rPr>
          <w:sz w:val="12"/>
        </w:rPr>
      </w:pPr>
      <w:r>
        <w:rPr>
          <w:sz w:val="14"/>
        </w:rPr>
        <w:t>Percentage balance of employers planning to recruit in next period </w:t>
      </w:r>
      <w:r>
        <w:rPr>
          <w:sz w:val="12"/>
        </w:rPr>
        <w:t>(b)</w:t>
      </w:r>
    </w:p>
    <w:p>
      <w:pPr>
        <w:tabs>
          <w:tab w:pos="1959" w:val="left" w:leader="none"/>
          <w:tab w:pos="2439" w:val="left" w:leader="none"/>
          <w:tab w:pos="2869" w:val="left" w:leader="none"/>
          <w:tab w:pos="3329" w:val="left" w:leader="none"/>
          <w:tab w:pos="3519" w:val="left" w:leader="none"/>
          <w:tab w:pos="3789" w:val="left" w:leader="none"/>
        </w:tabs>
        <w:spacing w:line="208" w:lineRule="auto" w:before="136"/>
        <w:ind w:left="1210" w:right="38" w:firstLine="0"/>
        <w:jc w:val="left"/>
        <w:rPr>
          <w:sz w:val="14"/>
        </w:rPr>
      </w:pPr>
      <w:r>
        <w:rPr>
          <w:sz w:val="14"/>
        </w:rPr>
        <w:t>Series</w:t>
        <w:tab/>
      </w:r>
      <w:r>
        <w:rPr>
          <w:sz w:val="14"/>
          <w:u w:val="single"/>
        </w:rPr>
        <w:t>1999</w:t>
        <w:tab/>
        <w:tab/>
        <w:tab/>
        <w:tab/>
      </w:r>
      <w:r>
        <w:rPr>
          <w:sz w:val="14"/>
        </w:rPr>
        <w:tab/>
      </w:r>
      <w:r>
        <w:rPr>
          <w:sz w:val="14"/>
          <w:u w:val="single"/>
        </w:rPr>
        <w:t>2000</w:t>
      </w:r>
      <w:r>
        <w:rPr>
          <w:sz w:val="14"/>
        </w:rPr>
        <w:t> average</w:t>
      </w:r>
      <w:r>
        <w:rPr>
          <w:spacing w:val="-1"/>
          <w:sz w:val="14"/>
        </w:rPr>
        <w:t> </w:t>
      </w:r>
      <w:r>
        <w:rPr>
          <w:sz w:val="12"/>
        </w:rPr>
        <w:t>(c)   </w:t>
      </w:r>
      <w:r>
        <w:rPr>
          <w:spacing w:val="22"/>
          <w:sz w:val="12"/>
        </w:rPr>
        <w:t> </w:t>
      </w:r>
      <w:r>
        <w:rPr>
          <w:sz w:val="14"/>
        </w:rPr>
        <w:t>Q1</w:t>
        <w:tab/>
        <w:t>Q2</w:t>
        <w:tab/>
        <w:t>Q3</w:t>
        <w:tab/>
        <w:t>Q4</w:t>
        <w:tab/>
        <w:tab/>
        <w:t>Q1</w:t>
      </w:r>
    </w:p>
    <w:p>
      <w:pPr>
        <w:pStyle w:val="BodyText"/>
        <w:spacing w:before="11"/>
        <w:rPr>
          <w:sz w:val="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0"/>
        <w:gridCol w:w="610"/>
        <w:gridCol w:w="150"/>
        <w:gridCol w:w="200"/>
        <w:gridCol w:w="290"/>
        <w:gridCol w:w="190"/>
        <w:gridCol w:w="230"/>
        <w:gridCol w:w="190"/>
        <w:gridCol w:w="270"/>
        <w:gridCol w:w="200"/>
        <w:gridCol w:w="250"/>
        <w:gridCol w:w="230"/>
      </w:tblGrid>
      <w:tr>
        <w:trPr>
          <w:trHeight w:val="240" w:hRule="atLeast"/>
        </w:trPr>
        <w:tc>
          <w:tcPr>
            <w:tcW w:w="1070" w:type="dxa"/>
          </w:tcPr>
          <w:p>
            <w:pPr>
              <w:pStyle w:val="TableParagraph"/>
              <w:spacing w:line="133" w:lineRule="exact" w:before="86"/>
              <w:ind w:left="50"/>
              <w:rPr>
                <w:b/>
                <w:sz w:val="14"/>
              </w:rPr>
            </w:pPr>
            <w:r>
              <w:rPr>
                <w:b/>
                <w:sz w:val="14"/>
              </w:rPr>
              <w:t>Services</w:t>
            </w:r>
          </w:p>
        </w:tc>
        <w:tc>
          <w:tcPr>
            <w:tcW w:w="2810" w:type="dxa"/>
            <w:gridSpan w:val="11"/>
          </w:tcPr>
          <w:p>
            <w:pPr>
              <w:pStyle w:val="TableParagraph"/>
              <w:spacing w:line="240" w:lineRule="auto"/>
              <w:rPr>
                <w:sz w:val="16"/>
              </w:rPr>
            </w:pPr>
          </w:p>
        </w:tc>
      </w:tr>
      <w:tr>
        <w:trPr>
          <w:trHeight w:val="140" w:hRule="atLeast"/>
        </w:trPr>
        <w:tc>
          <w:tcPr>
            <w:tcW w:w="1070" w:type="dxa"/>
          </w:tcPr>
          <w:p>
            <w:pPr>
              <w:pStyle w:val="TableParagraph"/>
              <w:ind w:left="50"/>
              <w:rPr>
                <w:sz w:val="14"/>
              </w:rPr>
            </w:pPr>
            <w:r>
              <w:rPr>
                <w:sz w:val="14"/>
              </w:rPr>
              <w:t>BCC</w:t>
            </w:r>
          </w:p>
        </w:tc>
        <w:tc>
          <w:tcPr>
            <w:tcW w:w="610" w:type="dxa"/>
          </w:tcPr>
          <w:p>
            <w:pPr>
              <w:pStyle w:val="TableParagraph"/>
              <w:ind w:right="288"/>
              <w:jc w:val="right"/>
              <w:rPr>
                <w:sz w:val="14"/>
              </w:rPr>
            </w:pPr>
            <w:r>
              <w:rPr>
                <w:sz w:val="14"/>
              </w:rPr>
              <w:t>12</w:t>
            </w:r>
          </w:p>
        </w:tc>
        <w:tc>
          <w:tcPr>
            <w:tcW w:w="150" w:type="dxa"/>
          </w:tcPr>
          <w:p>
            <w:pPr>
              <w:pStyle w:val="TableParagraph"/>
              <w:spacing w:line="240" w:lineRule="auto"/>
              <w:rPr>
                <w:sz w:val="8"/>
              </w:rPr>
            </w:pPr>
          </w:p>
        </w:tc>
        <w:tc>
          <w:tcPr>
            <w:tcW w:w="200" w:type="dxa"/>
          </w:tcPr>
          <w:p>
            <w:pPr>
              <w:pStyle w:val="TableParagraph"/>
              <w:ind w:left="59"/>
              <w:jc w:val="center"/>
              <w:rPr>
                <w:sz w:val="14"/>
              </w:rPr>
            </w:pPr>
            <w:r>
              <w:rPr>
                <w:sz w:val="14"/>
              </w:rPr>
              <w:t>12</w:t>
            </w:r>
          </w:p>
        </w:tc>
        <w:tc>
          <w:tcPr>
            <w:tcW w:w="290" w:type="dxa"/>
          </w:tcPr>
          <w:p>
            <w:pPr>
              <w:pStyle w:val="TableParagraph"/>
              <w:spacing w:line="240" w:lineRule="auto"/>
              <w:rPr>
                <w:sz w:val="8"/>
              </w:rPr>
            </w:pPr>
          </w:p>
        </w:tc>
        <w:tc>
          <w:tcPr>
            <w:tcW w:w="190" w:type="dxa"/>
          </w:tcPr>
          <w:p>
            <w:pPr>
              <w:pStyle w:val="TableParagraph"/>
              <w:ind w:left="49"/>
              <w:jc w:val="center"/>
              <w:rPr>
                <w:sz w:val="14"/>
              </w:rPr>
            </w:pPr>
            <w:r>
              <w:rPr>
                <w:sz w:val="14"/>
              </w:rPr>
              <w:t>16</w:t>
            </w:r>
          </w:p>
        </w:tc>
        <w:tc>
          <w:tcPr>
            <w:tcW w:w="230" w:type="dxa"/>
          </w:tcPr>
          <w:p>
            <w:pPr>
              <w:pStyle w:val="TableParagraph"/>
              <w:spacing w:line="240" w:lineRule="auto"/>
              <w:rPr>
                <w:sz w:val="8"/>
              </w:rPr>
            </w:pPr>
          </w:p>
        </w:tc>
        <w:tc>
          <w:tcPr>
            <w:tcW w:w="190" w:type="dxa"/>
          </w:tcPr>
          <w:p>
            <w:pPr>
              <w:pStyle w:val="TableParagraph"/>
              <w:ind w:left="49"/>
              <w:jc w:val="center"/>
              <w:rPr>
                <w:sz w:val="14"/>
              </w:rPr>
            </w:pPr>
            <w:r>
              <w:rPr>
                <w:sz w:val="14"/>
              </w:rPr>
              <w:t>21</w:t>
            </w:r>
          </w:p>
        </w:tc>
        <w:tc>
          <w:tcPr>
            <w:tcW w:w="270" w:type="dxa"/>
          </w:tcPr>
          <w:p>
            <w:pPr>
              <w:pStyle w:val="TableParagraph"/>
              <w:spacing w:line="240" w:lineRule="auto"/>
              <w:rPr>
                <w:sz w:val="8"/>
              </w:rPr>
            </w:pPr>
          </w:p>
        </w:tc>
        <w:tc>
          <w:tcPr>
            <w:tcW w:w="200" w:type="dxa"/>
          </w:tcPr>
          <w:p>
            <w:pPr>
              <w:pStyle w:val="TableParagraph"/>
              <w:ind w:left="59"/>
              <w:jc w:val="center"/>
              <w:rPr>
                <w:sz w:val="14"/>
              </w:rPr>
            </w:pPr>
            <w:r>
              <w:rPr>
                <w:sz w:val="14"/>
              </w:rPr>
              <w:t>21</w:t>
            </w:r>
          </w:p>
        </w:tc>
        <w:tc>
          <w:tcPr>
            <w:tcW w:w="250" w:type="dxa"/>
          </w:tcPr>
          <w:p>
            <w:pPr>
              <w:pStyle w:val="TableParagraph"/>
              <w:spacing w:line="240" w:lineRule="auto"/>
              <w:rPr>
                <w:sz w:val="8"/>
              </w:rPr>
            </w:pPr>
          </w:p>
        </w:tc>
        <w:tc>
          <w:tcPr>
            <w:tcW w:w="230" w:type="dxa"/>
          </w:tcPr>
          <w:p>
            <w:pPr>
              <w:pStyle w:val="TableParagraph"/>
              <w:ind w:left="39" w:right="10"/>
              <w:jc w:val="center"/>
              <w:rPr>
                <w:sz w:val="14"/>
              </w:rPr>
            </w:pPr>
            <w:r>
              <w:rPr>
                <w:sz w:val="14"/>
              </w:rPr>
              <w:t>25</w:t>
            </w:r>
          </w:p>
        </w:tc>
      </w:tr>
      <w:tr>
        <w:trPr>
          <w:trHeight w:val="140" w:hRule="atLeast"/>
        </w:trPr>
        <w:tc>
          <w:tcPr>
            <w:tcW w:w="1070" w:type="dxa"/>
          </w:tcPr>
          <w:p>
            <w:pPr>
              <w:pStyle w:val="TableParagraph"/>
              <w:ind w:left="50"/>
              <w:rPr>
                <w:b/>
                <w:sz w:val="14"/>
              </w:rPr>
            </w:pPr>
            <w:r>
              <w:rPr>
                <w:b/>
                <w:sz w:val="14"/>
              </w:rPr>
              <w:t>Manufacturing</w:t>
            </w:r>
          </w:p>
        </w:tc>
        <w:tc>
          <w:tcPr>
            <w:tcW w:w="610" w:type="dxa"/>
          </w:tcPr>
          <w:p>
            <w:pPr>
              <w:pStyle w:val="TableParagraph"/>
              <w:spacing w:line="240" w:lineRule="auto"/>
              <w:rPr>
                <w:sz w:val="8"/>
              </w:rPr>
            </w:pPr>
          </w:p>
        </w:tc>
        <w:tc>
          <w:tcPr>
            <w:tcW w:w="150" w:type="dxa"/>
          </w:tcPr>
          <w:p>
            <w:pPr>
              <w:pStyle w:val="TableParagraph"/>
              <w:spacing w:line="240" w:lineRule="auto"/>
              <w:rPr>
                <w:sz w:val="8"/>
              </w:rPr>
            </w:pPr>
          </w:p>
        </w:tc>
        <w:tc>
          <w:tcPr>
            <w:tcW w:w="200" w:type="dxa"/>
          </w:tcPr>
          <w:p>
            <w:pPr>
              <w:pStyle w:val="TableParagraph"/>
              <w:spacing w:line="240" w:lineRule="auto"/>
              <w:rPr>
                <w:sz w:val="8"/>
              </w:rPr>
            </w:pPr>
          </w:p>
        </w:tc>
        <w:tc>
          <w:tcPr>
            <w:tcW w:w="290" w:type="dxa"/>
          </w:tcPr>
          <w:p>
            <w:pPr>
              <w:pStyle w:val="TableParagraph"/>
              <w:spacing w:line="240" w:lineRule="auto"/>
              <w:rPr>
                <w:sz w:val="8"/>
              </w:rPr>
            </w:pPr>
          </w:p>
        </w:tc>
        <w:tc>
          <w:tcPr>
            <w:tcW w:w="190" w:type="dxa"/>
          </w:tcPr>
          <w:p>
            <w:pPr>
              <w:pStyle w:val="TableParagraph"/>
              <w:spacing w:line="240" w:lineRule="auto"/>
              <w:rPr>
                <w:sz w:val="8"/>
              </w:rPr>
            </w:pPr>
          </w:p>
        </w:tc>
        <w:tc>
          <w:tcPr>
            <w:tcW w:w="230" w:type="dxa"/>
          </w:tcPr>
          <w:p>
            <w:pPr>
              <w:pStyle w:val="TableParagraph"/>
              <w:spacing w:line="240" w:lineRule="auto"/>
              <w:rPr>
                <w:sz w:val="8"/>
              </w:rPr>
            </w:pPr>
          </w:p>
        </w:tc>
        <w:tc>
          <w:tcPr>
            <w:tcW w:w="190" w:type="dxa"/>
          </w:tcPr>
          <w:p>
            <w:pPr>
              <w:pStyle w:val="TableParagraph"/>
              <w:spacing w:line="240" w:lineRule="auto"/>
              <w:rPr>
                <w:sz w:val="8"/>
              </w:rPr>
            </w:pPr>
          </w:p>
        </w:tc>
        <w:tc>
          <w:tcPr>
            <w:tcW w:w="270" w:type="dxa"/>
          </w:tcPr>
          <w:p>
            <w:pPr>
              <w:pStyle w:val="TableParagraph"/>
              <w:spacing w:line="240" w:lineRule="auto"/>
              <w:rPr>
                <w:sz w:val="8"/>
              </w:rPr>
            </w:pPr>
          </w:p>
        </w:tc>
        <w:tc>
          <w:tcPr>
            <w:tcW w:w="200" w:type="dxa"/>
          </w:tcPr>
          <w:p>
            <w:pPr>
              <w:pStyle w:val="TableParagraph"/>
              <w:spacing w:line="240" w:lineRule="auto"/>
              <w:rPr>
                <w:sz w:val="8"/>
              </w:rPr>
            </w:pPr>
          </w:p>
        </w:tc>
        <w:tc>
          <w:tcPr>
            <w:tcW w:w="250" w:type="dxa"/>
          </w:tcPr>
          <w:p>
            <w:pPr>
              <w:pStyle w:val="TableParagraph"/>
              <w:spacing w:line="240" w:lineRule="auto"/>
              <w:rPr>
                <w:sz w:val="8"/>
              </w:rPr>
            </w:pPr>
          </w:p>
        </w:tc>
        <w:tc>
          <w:tcPr>
            <w:tcW w:w="230" w:type="dxa"/>
          </w:tcPr>
          <w:p>
            <w:pPr>
              <w:pStyle w:val="TableParagraph"/>
              <w:spacing w:line="240" w:lineRule="auto"/>
              <w:rPr>
                <w:sz w:val="8"/>
              </w:rPr>
            </w:pPr>
          </w:p>
        </w:tc>
      </w:tr>
      <w:tr>
        <w:trPr>
          <w:trHeight w:val="140" w:hRule="atLeast"/>
        </w:trPr>
        <w:tc>
          <w:tcPr>
            <w:tcW w:w="1070" w:type="dxa"/>
          </w:tcPr>
          <w:p>
            <w:pPr>
              <w:pStyle w:val="TableParagraph"/>
              <w:ind w:left="50"/>
              <w:rPr>
                <w:sz w:val="14"/>
              </w:rPr>
            </w:pPr>
            <w:r>
              <w:rPr>
                <w:sz w:val="14"/>
              </w:rPr>
              <w:t>BCC</w:t>
            </w:r>
          </w:p>
        </w:tc>
        <w:tc>
          <w:tcPr>
            <w:tcW w:w="610" w:type="dxa"/>
          </w:tcPr>
          <w:p>
            <w:pPr>
              <w:pStyle w:val="TableParagraph"/>
              <w:ind w:right="288"/>
              <w:jc w:val="right"/>
              <w:rPr>
                <w:sz w:val="14"/>
              </w:rPr>
            </w:pPr>
            <w:r>
              <w:rPr>
                <w:sz w:val="14"/>
              </w:rPr>
              <w:t>3</w:t>
            </w:r>
          </w:p>
        </w:tc>
        <w:tc>
          <w:tcPr>
            <w:tcW w:w="150" w:type="dxa"/>
          </w:tcPr>
          <w:p>
            <w:pPr>
              <w:pStyle w:val="TableParagraph"/>
              <w:spacing w:line="240" w:lineRule="auto"/>
              <w:rPr>
                <w:sz w:val="8"/>
              </w:rPr>
            </w:pPr>
          </w:p>
        </w:tc>
        <w:tc>
          <w:tcPr>
            <w:tcW w:w="200" w:type="dxa"/>
          </w:tcPr>
          <w:p>
            <w:pPr>
              <w:pStyle w:val="TableParagraph"/>
              <w:ind w:left="83"/>
              <w:jc w:val="center"/>
              <w:rPr>
                <w:sz w:val="14"/>
              </w:rPr>
            </w:pPr>
            <w:r>
              <w:rPr>
                <w:sz w:val="14"/>
              </w:rPr>
              <w:t>-6</w:t>
            </w:r>
          </w:p>
        </w:tc>
        <w:tc>
          <w:tcPr>
            <w:tcW w:w="290" w:type="dxa"/>
          </w:tcPr>
          <w:p>
            <w:pPr>
              <w:pStyle w:val="TableParagraph"/>
              <w:spacing w:line="240" w:lineRule="auto"/>
              <w:rPr>
                <w:sz w:val="8"/>
              </w:rPr>
            </w:pPr>
          </w:p>
        </w:tc>
        <w:tc>
          <w:tcPr>
            <w:tcW w:w="190" w:type="dxa"/>
          </w:tcPr>
          <w:p>
            <w:pPr>
              <w:pStyle w:val="TableParagraph"/>
              <w:ind w:left="119"/>
              <w:jc w:val="center"/>
              <w:rPr>
                <w:sz w:val="14"/>
              </w:rPr>
            </w:pPr>
            <w:r>
              <w:rPr>
                <w:sz w:val="14"/>
              </w:rPr>
              <w:t>2</w:t>
            </w:r>
          </w:p>
        </w:tc>
        <w:tc>
          <w:tcPr>
            <w:tcW w:w="230" w:type="dxa"/>
          </w:tcPr>
          <w:p>
            <w:pPr>
              <w:pStyle w:val="TableParagraph"/>
              <w:spacing w:line="240" w:lineRule="auto"/>
              <w:rPr>
                <w:sz w:val="8"/>
              </w:rPr>
            </w:pPr>
          </w:p>
        </w:tc>
        <w:tc>
          <w:tcPr>
            <w:tcW w:w="190" w:type="dxa"/>
          </w:tcPr>
          <w:p>
            <w:pPr>
              <w:pStyle w:val="TableParagraph"/>
              <w:ind w:left="119"/>
              <w:jc w:val="center"/>
              <w:rPr>
                <w:sz w:val="14"/>
              </w:rPr>
            </w:pPr>
            <w:r>
              <w:rPr>
                <w:sz w:val="14"/>
              </w:rPr>
              <w:t>6</w:t>
            </w:r>
          </w:p>
        </w:tc>
        <w:tc>
          <w:tcPr>
            <w:tcW w:w="270" w:type="dxa"/>
          </w:tcPr>
          <w:p>
            <w:pPr>
              <w:pStyle w:val="TableParagraph"/>
              <w:spacing w:line="240" w:lineRule="auto"/>
              <w:rPr>
                <w:sz w:val="8"/>
              </w:rPr>
            </w:pPr>
          </w:p>
        </w:tc>
        <w:tc>
          <w:tcPr>
            <w:tcW w:w="200" w:type="dxa"/>
          </w:tcPr>
          <w:p>
            <w:pPr>
              <w:pStyle w:val="TableParagraph"/>
              <w:ind w:left="59"/>
              <w:jc w:val="center"/>
              <w:rPr>
                <w:sz w:val="14"/>
              </w:rPr>
            </w:pPr>
            <w:r>
              <w:rPr>
                <w:sz w:val="14"/>
              </w:rPr>
              <w:t>12</w:t>
            </w:r>
          </w:p>
        </w:tc>
        <w:tc>
          <w:tcPr>
            <w:tcW w:w="250" w:type="dxa"/>
          </w:tcPr>
          <w:p>
            <w:pPr>
              <w:pStyle w:val="TableParagraph"/>
              <w:spacing w:line="240" w:lineRule="auto"/>
              <w:rPr>
                <w:sz w:val="8"/>
              </w:rPr>
            </w:pPr>
          </w:p>
        </w:tc>
        <w:tc>
          <w:tcPr>
            <w:tcW w:w="230" w:type="dxa"/>
          </w:tcPr>
          <w:p>
            <w:pPr>
              <w:pStyle w:val="TableParagraph"/>
              <w:ind w:left="99"/>
              <w:jc w:val="center"/>
              <w:rPr>
                <w:sz w:val="14"/>
              </w:rPr>
            </w:pPr>
            <w:r>
              <w:rPr>
                <w:sz w:val="14"/>
              </w:rPr>
              <w:t>3</w:t>
            </w:r>
          </w:p>
        </w:tc>
      </w:tr>
      <w:tr>
        <w:trPr>
          <w:trHeight w:val="147" w:hRule="atLeast"/>
        </w:trPr>
        <w:tc>
          <w:tcPr>
            <w:tcW w:w="1070" w:type="dxa"/>
          </w:tcPr>
          <w:p>
            <w:pPr>
              <w:pStyle w:val="TableParagraph"/>
              <w:spacing w:line="128" w:lineRule="exact"/>
              <w:ind w:left="50"/>
              <w:rPr>
                <w:sz w:val="14"/>
              </w:rPr>
            </w:pPr>
            <w:r>
              <w:rPr>
                <w:sz w:val="14"/>
              </w:rPr>
              <w:t>CBI</w:t>
            </w:r>
          </w:p>
        </w:tc>
        <w:tc>
          <w:tcPr>
            <w:tcW w:w="610" w:type="dxa"/>
          </w:tcPr>
          <w:p>
            <w:pPr>
              <w:pStyle w:val="TableParagraph"/>
              <w:spacing w:line="128" w:lineRule="exact"/>
              <w:ind w:right="288"/>
              <w:jc w:val="right"/>
              <w:rPr>
                <w:sz w:val="14"/>
              </w:rPr>
            </w:pPr>
            <w:r>
              <w:rPr>
                <w:sz w:val="14"/>
              </w:rPr>
              <w:t>-17</w:t>
            </w:r>
          </w:p>
        </w:tc>
        <w:tc>
          <w:tcPr>
            <w:tcW w:w="150" w:type="dxa"/>
          </w:tcPr>
          <w:p>
            <w:pPr>
              <w:pStyle w:val="TableParagraph"/>
              <w:spacing w:line="240" w:lineRule="auto"/>
              <w:rPr>
                <w:sz w:val="8"/>
              </w:rPr>
            </w:pPr>
          </w:p>
        </w:tc>
        <w:tc>
          <w:tcPr>
            <w:tcW w:w="200" w:type="dxa"/>
          </w:tcPr>
          <w:p>
            <w:pPr>
              <w:pStyle w:val="TableParagraph"/>
              <w:spacing w:line="128" w:lineRule="exact"/>
              <w:ind w:left="13"/>
              <w:jc w:val="center"/>
              <w:rPr>
                <w:sz w:val="14"/>
              </w:rPr>
            </w:pPr>
            <w:r>
              <w:rPr>
                <w:sz w:val="14"/>
              </w:rPr>
              <w:t>-26</w:t>
            </w:r>
          </w:p>
        </w:tc>
        <w:tc>
          <w:tcPr>
            <w:tcW w:w="290" w:type="dxa"/>
          </w:tcPr>
          <w:p>
            <w:pPr>
              <w:pStyle w:val="TableParagraph"/>
              <w:spacing w:line="240" w:lineRule="auto"/>
              <w:rPr>
                <w:sz w:val="8"/>
              </w:rPr>
            </w:pPr>
          </w:p>
        </w:tc>
        <w:tc>
          <w:tcPr>
            <w:tcW w:w="190" w:type="dxa"/>
          </w:tcPr>
          <w:p>
            <w:pPr>
              <w:pStyle w:val="TableParagraph"/>
              <w:spacing w:line="128" w:lineRule="exact"/>
              <w:ind w:left="3"/>
              <w:jc w:val="center"/>
              <w:rPr>
                <w:sz w:val="14"/>
              </w:rPr>
            </w:pPr>
            <w:r>
              <w:rPr>
                <w:sz w:val="14"/>
              </w:rPr>
              <w:t>-22</w:t>
            </w:r>
          </w:p>
        </w:tc>
        <w:tc>
          <w:tcPr>
            <w:tcW w:w="230" w:type="dxa"/>
          </w:tcPr>
          <w:p>
            <w:pPr>
              <w:pStyle w:val="TableParagraph"/>
              <w:spacing w:line="240" w:lineRule="auto"/>
              <w:rPr>
                <w:sz w:val="8"/>
              </w:rPr>
            </w:pPr>
          </w:p>
        </w:tc>
        <w:tc>
          <w:tcPr>
            <w:tcW w:w="190" w:type="dxa"/>
          </w:tcPr>
          <w:p>
            <w:pPr>
              <w:pStyle w:val="TableParagraph"/>
              <w:spacing w:line="128" w:lineRule="exact"/>
              <w:ind w:left="3"/>
              <w:jc w:val="center"/>
              <w:rPr>
                <w:sz w:val="14"/>
              </w:rPr>
            </w:pPr>
            <w:r>
              <w:rPr>
                <w:sz w:val="14"/>
              </w:rPr>
              <w:t>-15</w:t>
            </w:r>
          </w:p>
        </w:tc>
        <w:tc>
          <w:tcPr>
            <w:tcW w:w="270" w:type="dxa"/>
          </w:tcPr>
          <w:p>
            <w:pPr>
              <w:pStyle w:val="TableParagraph"/>
              <w:spacing w:line="240" w:lineRule="auto"/>
              <w:rPr>
                <w:sz w:val="8"/>
              </w:rPr>
            </w:pPr>
          </w:p>
        </w:tc>
        <w:tc>
          <w:tcPr>
            <w:tcW w:w="200" w:type="dxa"/>
          </w:tcPr>
          <w:p>
            <w:pPr>
              <w:pStyle w:val="TableParagraph"/>
              <w:spacing w:line="128" w:lineRule="exact"/>
              <w:ind w:left="13"/>
              <w:jc w:val="center"/>
              <w:rPr>
                <w:sz w:val="14"/>
              </w:rPr>
            </w:pPr>
            <w:r>
              <w:rPr>
                <w:sz w:val="14"/>
              </w:rPr>
              <w:t>-10</w:t>
            </w:r>
          </w:p>
        </w:tc>
        <w:tc>
          <w:tcPr>
            <w:tcW w:w="250" w:type="dxa"/>
          </w:tcPr>
          <w:p>
            <w:pPr>
              <w:pStyle w:val="TableParagraph"/>
              <w:spacing w:line="240" w:lineRule="auto"/>
              <w:rPr>
                <w:sz w:val="8"/>
              </w:rPr>
            </w:pPr>
          </w:p>
        </w:tc>
        <w:tc>
          <w:tcPr>
            <w:tcW w:w="230" w:type="dxa"/>
          </w:tcPr>
          <w:p>
            <w:pPr>
              <w:pStyle w:val="TableParagraph"/>
              <w:spacing w:line="128" w:lineRule="exact"/>
              <w:ind w:right="14"/>
              <w:jc w:val="center"/>
              <w:rPr>
                <w:sz w:val="14"/>
              </w:rPr>
            </w:pPr>
            <w:r>
              <w:rPr>
                <w:sz w:val="14"/>
              </w:rPr>
              <w:t>-15</w:t>
            </w:r>
          </w:p>
        </w:tc>
      </w:tr>
    </w:tbl>
    <w:p>
      <w:pPr>
        <w:pStyle w:val="ListParagraph"/>
        <w:numPr>
          <w:ilvl w:val="0"/>
          <w:numId w:val="20"/>
        </w:numPr>
        <w:tabs>
          <w:tab w:pos="374" w:val="left" w:leader="none"/>
        </w:tabs>
        <w:spacing w:line="129" w:lineRule="exact" w:before="118" w:after="0"/>
        <w:ind w:left="373" w:right="0" w:hanging="194"/>
        <w:jc w:val="left"/>
        <w:rPr>
          <w:sz w:val="12"/>
        </w:rPr>
      </w:pPr>
      <w:r>
        <w:rPr>
          <w:sz w:val="12"/>
        </w:rPr>
        <w:t>Seasonally adjusted by the</w:t>
      </w:r>
      <w:r>
        <w:rPr>
          <w:spacing w:val="-6"/>
          <w:sz w:val="12"/>
        </w:rPr>
        <w:t> </w:t>
      </w:r>
      <w:r>
        <w:rPr>
          <w:sz w:val="12"/>
        </w:rPr>
        <w:t>Bank.</w:t>
      </w:r>
    </w:p>
    <w:p>
      <w:pPr>
        <w:pStyle w:val="ListParagraph"/>
        <w:numPr>
          <w:ilvl w:val="0"/>
          <w:numId w:val="20"/>
        </w:numPr>
        <w:tabs>
          <w:tab w:pos="380" w:val="left" w:leader="none"/>
        </w:tabs>
        <w:spacing w:line="120" w:lineRule="exact" w:before="0" w:after="0"/>
        <w:ind w:left="379" w:right="0" w:hanging="200"/>
        <w:jc w:val="left"/>
        <w:rPr>
          <w:sz w:val="12"/>
        </w:rPr>
      </w:pPr>
      <w:r>
        <w:rPr>
          <w:sz w:val="12"/>
        </w:rPr>
        <w:t>Next three months for BCC; next four months for</w:t>
      </w:r>
      <w:r>
        <w:rPr>
          <w:spacing w:val="-16"/>
          <w:sz w:val="12"/>
        </w:rPr>
        <w:t> </w:t>
      </w:r>
      <w:r>
        <w:rPr>
          <w:sz w:val="12"/>
        </w:rPr>
        <w:t>CBI.</w:t>
      </w:r>
    </w:p>
    <w:p>
      <w:pPr>
        <w:pStyle w:val="ListParagraph"/>
        <w:numPr>
          <w:ilvl w:val="0"/>
          <w:numId w:val="20"/>
        </w:numPr>
        <w:tabs>
          <w:tab w:pos="374" w:val="left" w:leader="none"/>
        </w:tabs>
        <w:spacing w:line="129" w:lineRule="exact" w:before="0" w:after="0"/>
        <w:ind w:left="373" w:right="0" w:hanging="194"/>
        <w:jc w:val="left"/>
        <w:rPr>
          <w:sz w:val="12"/>
        </w:rPr>
      </w:pPr>
      <w:r>
        <w:rPr>
          <w:sz w:val="12"/>
        </w:rPr>
        <w:t>CBI from 1972; BCC from</w:t>
      </w:r>
      <w:r>
        <w:rPr>
          <w:spacing w:val="-7"/>
          <w:sz w:val="12"/>
        </w:rPr>
        <w:t> </w:t>
      </w:r>
      <w:r>
        <w:rPr>
          <w:sz w:val="12"/>
        </w:rPr>
        <w:t>1989.</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3"/>
        </w:rPr>
      </w:pPr>
    </w:p>
    <w:p>
      <w:pPr>
        <w:spacing w:before="0"/>
        <w:ind w:left="175" w:right="0" w:firstLine="0"/>
        <w:jc w:val="left"/>
        <w:rPr>
          <w:b/>
          <w:sz w:val="20"/>
        </w:rPr>
      </w:pPr>
      <w:r>
        <w:rPr>
          <w:b/>
          <w:color w:val="0092C7"/>
          <w:sz w:val="20"/>
        </w:rPr>
        <w:t>Chart 3.4</w:t>
      </w:r>
    </w:p>
    <w:p>
      <w:pPr>
        <w:spacing w:before="10"/>
        <w:ind w:left="175" w:right="0" w:firstLine="0"/>
        <w:jc w:val="left"/>
        <w:rPr>
          <w:sz w:val="12"/>
        </w:rPr>
      </w:pPr>
      <w:r>
        <w:rPr>
          <w:b/>
          <w:color w:val="0092C7"/>
          <w:sz w:val="20"/>
        </w:rPr>
        <w:t>Measures of labour market</w:t>
      </w:r>
      <w:r>
        <w:rPr>
          <w:b/>
          <w:color w:val="0092C7"/>
          <w:spacing w:val="-31"/>
          <w:sz w:val="20"/>
        </w:rPr>
        <w:t> </w:t>
      </w:r>
      <w:r>
        <w:rPr>
          <w:b/>
          <w:color w:val="0092C7"/>
          <w:sz w:val="20"/>
        </w:rPr>
        <w:t>tightness</w:t>
      </w:r>
      <w:r>
        <w:rPr>
          <w:position w:val="4"/>
          <w:sz w:val="12"/>
        </w:rPr>
        <w:t>(a)</w:t>
      </w:r>
    </w:p>
    <w:p>
      <w:pPr>
        <w:spacing w:line="124" w:lineRule="exact" w:before="85"/>
        <w:ind w:left="2217" w:right="0" w:firstLine="0"/>
        <w:jc w:val="left"/>
        <w:rPr>
          <w:sz w:val="12"/>
        </w:rPr>
      </w:pPr>
      <w:r>
        <w:rPr>
          <w:sz w:val="12"/>
        </w:rPr>
        <w:t>Index, spring 1990 = 100</w:t>
      </w:r>
    </w:p>
    <w:p>
      <w:pPr>
        <w:spacing w:line="124" w:lineRule="exact" w:before="0"/>
        <w:ind w:left="3450" w:right="0" w:firstLine="0"/>
        <w:jc w:val="left"/>
        <w:rPr>
          <w:sz w:val="12"/>
        </w:rPr>
      </w:pPr>
      <w:r>
        <w:rPr/>
        <w:pict>
          <v:line style="position:absolute;mso-position-horizontal-relative:page;mso-position-vertical-relative:paragraph;z-index:16126464" from="42.362999pt,3.1436pt" to="46.696999pt,3.1436pt" stroked="true" strokeweight=".5pt" strokecolor="#000000">
            <v:stroke dashstyle="solid"/>
            <w10:wrap type="none"/>
          </v:line>
        </w:pict>
      </w:r>
      <w:r>
        <w:rPr/>
        <w:pict>
          <v:line style="position:absolute;mso-position-horizontal-relative:page;mso-position-vertical-relative:paragraph;z-index:16129024" from="199.197006pt,3.1696pt" to="203.530006pt,3.1696pt" stroked="true" strokeweight=".5pt" strokecolor="#000000">
            <v:stroke dashstyle="solid"/>
            <w10:wrap type="none"/>
          </v:line>
        </w:pict>
      </w:r>
      <w:r>
        <w:rPr>
          <w:sz w:val="12"/>
        </w:rPr>
        <w:t>170</w:t>
      </w:r>
    </w:p>
    <w:p>
      <w:pPr>
        <w:pStyle w:val="BodyText"/>
        <w:spacing w:before="3"/>
        <w:rPr>
          <w:sz w:val="16"/>
        </w:rPr>
      </w:pPr>
    </w:p>
    <w:p>
      <w:pPr>
        <w:spacing w:before="0"/>
        <w:ind w:left="0" w:right="517" w:firstLine="0"/>
        <w:jc w:val="right"/>
        <w:rPr>
          <w:sz w:val="12"/>
        </w:rPr>
      </w:pPr>
      <w:r>
        <w:rPr/>
        <w:pict>
          <v:group style="position:absolute;margin-left:51.404999pt;margin-top:3.337555pt;width:152.15pt;height:128.4500pt;mso-position-horizontal-relative:page;mso-position-vertical-relative:paragraph;z-index:-22489088" coordorigin="1028,67" coordsize="3043,2569">
            <v:shape style="position:absolute;left:1038;top:142;width:2888;height:2345" coordorigin="1038,142" coordsize="2888,2345" path="m1038,142l1218,305m1218,305l1411,272m1411,272l1591,470m1591,470l1771,1202m1771,1202l1951,1867m1951,1867l2143,2000m2143,2000l2323,1282m2323,1282l2503,712m2503,712l2718,470m2718,470l2763,517m2763,517l2808,550m2808,550l2853,615m2853,615l2898,777m2898,777l2943,860m2943,860l2988,1087m2988,1087l3033,1167m3033,1167l3091,1202m3091,1202l3136,1267m3136,1267l3181,1282m3181,1282l3226,1380m3226,1380l3271,1397m3271,1397l3316,1510m3316,1510l3361,1542m3361,1542l3406,1755m3406,1755l3451,1900m3451,1900l3496,1932m3496,1932l3541,2145m3541,2145l3586,2260m3586,2260l3631,2307m3631,2307l3676,2292m3676,2292l3721,2325m3721,2325l3766,2292m3766,2292l3823,2357m3823,2357l3868,2455m3868,2455l3881,2437m3881,2437l3926,2487e" filled="false" stroked="true" strokeweight="1pt" strokecolor="#f6bd61">
              <v:path arrowok="t"/>
              <v:stroke dashstyle="solid"/>
            </v:shape>
            <v:shape style="position:absolute;left:1038;top:1267;width:913;height:715" coordorigin="1038,1267" coordsize="913,715" path="m1038,1267l1218,1347m1218,1347l1411,1300m1411,1300l1591,1397m1591,1397l1771,1705m1771,1705l1951,1982e" filled="false" stroked="true" strokeweight="1pt" strokecolor="#835335">
              <v:path arrowok="t"/>
              <v:stroke dashstyle="solid"/>
            </v:shape>
            <v:line style="position:absolute" from="1941,1991" to="2153,1991" stroked="true" strokeweight="1.875pt" strokecolor="#835335">
              <v:stroke dashstyle="solid"/>
            </v:line>
            <v:shape style="position:absolute;left:2143;top:1267;width:845;height:733" coordorigin="2143,1267" coordsize="845,733" path="m2143,2000l2323,1462m2323,1462l2503,1300m2503,1300l2718,1267m2718,1267l2763,1300m2763,1300l2808,1347m2808,1347l2853,1365m2853,1365l2898,1445m2898,1445l2943,1477m2943,1477l2988,1560e" filled="false" stroked="true" strokeweight="1pt" strokecolor="#835335">
              <v:path arrowok="t"/>
              <v:stroke dashstyle="solid"/>
            </v:shape>
            <v:line style="position:absolute" from="2978,1561" to="3043,1561" stroked="true" strokeweight="1.125pt" strokecolor="#835335">
              <v:stroke dashstyle="solid"/>
            </v:line>
            <v:shape style="position:absolute;left:3033;top:1559;width:193;height:98" coordorigin="3033,1560" coordsize="193,98" path="m3033,1560l3091,1575m3091,1575l3136,1640m3136,1640l3181,1607m3181,1607l3226,1657e" filled="false" stroked="true" strokeweight="1pt" strokecolor="#835335">
              <v:path arrowok="t"/>
              <v:stroke dashstyle="solid"/>
            </v:shape>
            <v:line style="position:absolute" from="3216,1658" to="3281,1658" stroked="true" strokeweight="1.125pt" strokecolor="#835335">
              <v:stroke dashstyle="solid"/>
            </v:line>
            <v:line style="position:absolute" from="3271,1657" to="3316,1690" stroked="true" strokeweight="1pt" strokecolor="#835335">
              <v:stroke dashstyle="solid"/>
            </v:line>
            <v:line style="position:absolute" from="3306,1691" to="3371,1691" stroked="true" strokeweight="1.125pt" strokecolor="#835335">
              <v:stroke dashstyle="solid"/>
            </v:line>
            <v:shape style="position:absolute;left:3360;top:1689;width:565;height:358" coordorigin="3361,1690" coordsize="565,358" path="m3361,1690l3406,1820m3406,1820l3451,1852m3451,1852l3496,1820m3496,1820l3541,1917m3541,1917l3586,1932m3586,1932l3631,1950m3631,1950l3676,1932m3676,1932l3721,1950m3721,1950l3766,1932m3766,1932l3823,1965m3823,1965l3868,2032m3868,2032l3881,2035m3881,2032l3926,2047e" filled="false" stroked="true" strokeweight="1pt" strokecolor="#835335">
              <v:path arrowok="t"/>
              <v:stroke dashstyle="solid"/>
            </v:shape>
            <v:shape style="position:absolute;left:1032;top:71;width:3039;height:2564" coordorigin="1032,72" coordsize="3039,2564" path="m3984,72l4071,72m3984,392l4071,392m3984,711l4071,711m3984,2310l4071,2310m3984,2630l4071,2630m1032,2630l3926,2630m1034,2537l1034,2635m1413,2533l1413,2635m1774,2533l1774,2635m2144,2533l2144,2635m2503,2533l2503,2635m2876,2533l2876,2635m3418,2567l3418,2635m3788,2567l3788,2635m3056,2567l3056,2635m3608,2533l3608,2635m1219,2567l1219,2635m1589,2567l1589,2635m1951,2567l1951,2635m2323,2567l2323,2635m2686,2567l2686,2635m3238,2533l3238,2635m3926,2534l3926,2635e" filled="false" stroked="true" strokeweight=".5pt" strokecolor="#000000">
              <v:path arrowok="t"/>
              <v:stroke dashstyle="solid"/>
            </v:shape>
            <v:shape style="position:absolute;left:2419;top:294;width:767;height:134" type="#_x0000_t202" filled="false" stroked="false">
              <v:textbox inset="0,0,0,0">
                <w:txbxContent>
                  <w:p>
                    <w:pPr>
                      <w:spacing w:line="133" w:lineRule="exact" w:before="0"/>
                      <w:ind w:left="0" w:right="0" w:firstLine="0"/>
                      <w:jc w:val="left"/>
                      <w:rPr>
                        <w:sz w:val="12"/>
                      </w:rPr>
                    </w:pPr>
                    <w:r>
                      <w:rPr>
                        <w:sz w:val="12"/>
                      </w:rPr>
                      <w:t>Unemployment</w:t>
                    </w:r>
                  </w:p>
                </w:txbxContent>
              </v:textbox>
              <w10:wrap type="none"/>
            </v:shape>
            <v:shape style="position:absolute;left:1319;top:2003;width:1507;height:134" type="#_x0000_t202" filled="false" stroked="false">
              <v:textbox inset="0,0,0,0">
                <w:txbxContent>
                  <w:p>
                    <w:pPr>
                      <w:spacing w:line="133" w:lineRule="exact" w:before="0"/>
                      <w:ind w:left="0" w:right="0" w:firstLine="0"/>
                      <w:jc w:val="left"/>
                      <w:rPr>
                        <w:sz w:val="12"/>
                      </w:rPr>
                    </w:pPr>
                    <w:r>
                      <w:rPr>
                        <w:sz w:val="12"/>
                      </w:rPr>
                      <w:t>Weighted non-employment (b)</w:t>
                    </w:r>
                  </w:p>
                </w:txbxContent>
              </v:textbox>
              <w10:wrap type="none"/>
            </v:shape>
            <w10:wrap type="none"/>
          </v:group>
        </w:pict>
      </w:r>
      <w:r>
        <w:rPr/>
        <w:pict>
          <v:line style="position:absolute;mso-position-horizontal-relative:page;mso-position-vertical-relative:paragraph;z-index:16122880" from="42.362999pt,3.561555pt" to="46.696999pt,3.561555pt" stroked="true" strokeweight=".5pt" strokecolor="#000000">
            <v:stroke dashstyle="solid"/>
            <w10:wrap type="none"/>
          </v:line>
        </w:pict>
      </w:r>
      <w:r>
        <w:rPr>
          <w:sz w:val="12"/>
        </w:rPr>
        <w:t>160</w:t>
      </w:r>
    </w:p>
    <w:p>
      <w:pPr>
        <w:pStyle w:val="BodyText"/>
        <w:spacing w:before="5"/>
        <w:rPr>
          <w:sz w:val="14"/>
        </w:rPr>
      </w:pPr>
    </w:p>
    <w:p>
      <w:pPr>
        <w:spacing w:before="1"/>
        <w:ind w:left="0" w:right="517" w:firstLine="0"/>
        <w:jc w:val="right"/>
        <w:rPr>
          <w:sz w:val="12"/>
        </w:rPr>
      </w:pPr>
      <w:r>
        <w:rPr/>
        <w:pict>
          <v:line style="position:absolute;mso-position-horizontal-relative:page;mso-position-vertical-relative:paragraph;z-index:16123392" from="42.362999pt,4.39457pt" to="46.696999pt,4.39457pt" stroked="true" strokeweight=".5pt" strokecolor="#000000">
            <v:stroke dashstyle="solid"/>
            <w10:wrap type="none"/>
          </v:line>
        </w:pict>
      </w:r>
      <w:r>
        <w:rPr>
          <w:sz w:val="12"/>
        </w:rPr>
        <w:t>150</w:t>
      </w:r>
    </w:p>
    <w:p>
      <w:pPr>
        <w:pStyle w:val="BodyText"/>
        <w:spacing w:before="8"/>
        <w:rPr>
          <w:sz w:val="16"/>
        </w:rPr>
      </w:pPr>
    </w:p>
    <w:p>
      <w:pPr>
        <w:spacing w:before="0"/>
        <w:ind w:left="0" w:right="517" w:firstLine="0"/>
        <w:jc w:val="right"/>
        <w:rPr>
          <w:sz w:val="12"/>
        </w:rPr>
      </w:pPr>
      <w:r>
        <w:rPr/>
        <w:pict>
          <v:line style="position:absolute;mso-position-horizontal-relative:page;mso-position-vertical-relative:paragraph;z-index:16123904" from="42.362999pt,3.790357pt" to="46.696999pt,3.790357pt" stroked="true" strokeweight=".5pt" strokecolor="#000000">
            <v:stroke dashstyle="solid"/>
            <w10:wrap type="none"/>
          </v:line>
        </w:pict>
      </w:r>
      <w:r>
        <w:rPr>
          <w:sz w:val="12"/>
        </w:rPr>
        <w:t>140</w:t>
      </w:r>
    </w:p>
    <w:p>
      <w:pPr>
        <w:pStyle w:val="BodyText"/>
        <w:spacing w:before="2"/>
        <w:rPr>
          <w:sz w:val="28"/>
        </w:rPr>
      </w:pPr>
      <w:r>
        <w:rPr/>
        <w:br w:type="column"/>
      </w:r>
      <w:r>
        <w:rPr>
          <w:sz w:val="28"/>
        </w:rPr>
      </w:r>
    </w:p>
    <w:p>
      <w:pPr>
        <w:pStyle w:val="Heading6"/>
        <w:spacing w:line="242" w:lineRule="auto"/>
        <w:ind w:right="365"/>
      </w:pPr>
      <w:r>
        <w:rPr/>
        <w:t>More timely or forward-looking indicators of employment growth have continued to suggest further growth in employment. The CIPS employment index has risen since the turn of the year, although it remains below its levels in 1997–98 (see Chart 3.3). And the latest CBI/PricewaterhouseCoopers survey found that employment growth in the financial services sector remained strong in Q1. Turning to forward-looking indicators, the outlook for manufacturing employment has weakened since the turn of the year according to the CBI and BCC surveys and reports from the</w:t>
      </w:r>
    </w:p>
    <w:p>
      <w:pPr>
        <w:spacing w:line="242" w:lineRule="auto" w:before="14"/>
        <w:ind w:left="170" w:right="503" w:firstLine="0"/>
        <w:jc w:val="left"/>
        <w:rPr>
          <w:sz w:val="24"/>
        </w:rPr>
      </w:pPr>
      <w:r>
        <w:rPr>
          <w:sz w:val="24"/>
        </w:rPr>
        <w:t>Bank’s regional Agents. But employment intentions in the service sector—which accounts for a much larger share of total employment—have strengthened further (see Table 3.A), to their highest level since 1997 Q3.</w:t>
      </w:r>
    </w:p>
    <w:p>
      <w:pPr>
        <w:pStyle w:val="BodyText"/>
        <w:spacing w:before="1"/>
        <w:rPr>
          <w:sz w:val="30"/>
        </w:rPr>
      </w:pPr>
    </w:p>
    <w:p>
      <w:pPr>
        <w:spacing w:line="242" w:lineRule="auto" w:before="0"/>
        <w:ind w:left="170" w:right="244" w:firstLine="0"/>
        <w:jc w:val="left"/>
        <w:rPr>
          <w:sz w:val="24"/>
        </w:rPr>
      </w:pPr>
      <w:r>
        <w:rPr/>
        <w:pict>
          <v:line style="position:absolute;mso-position-horizontal-relative:page;mso-position-vertical-relative:paragraph;z-index:16124416" from="42.362999pt,273.361725pt" to="46.696999pt,273.361725pt" stroked="true" strokeweight=".5pt" strokecolor="#000000">
            <v:stroke dashstyle="solid"/>
            <w10:wrap type="none"/>
          </v:line>
        </w:pict>
      </w:r>
      <w:r>
        <w:rPr/>
        <w:pict>
          <v:line style="position:absolute;mso-position-horizontal-relative:page;mso-position-vertical-relative:paragraph;z-index:16124928" from="42.362999pt,289.350739pt" to="46.696999pt,289.350739pt" stroked="true" strokeweight=".5pt" strokecolor="#000000">
            <v:stroke dashstyle="solid"/>
            <w10:wrap type="none"/>
          </v:line>
        </w:pict>
      </w:r>
      <w:r>
        <w:rPr/>
        <w:pict>
          <v:line style="position:absolute;mso-position-horizontal-relative:page;mso-position-vertical-relative:paragraph;z-index:16125440" from="42.362999pt,305.340729pt" to="46.696999pt,305.340729pt" stroked="true" strokeweight=".5pt" strokecolor="#000000">
            <v:stroke dashstyle="solid"/>
            <w10:wrap type="none"/>
          </v:line>
        </w:pict>
      </w:r>
      <w:r>
        <w:rPr/>
        <w:pict>
          <v:line style="position:absolute;mso-position-horizontal-relative:page;mso-position-vertical-relative:paragraph;z-index:-22484480" from="199.197006pt,273.387726pt" to="203.530006pt,273.387726pt" stroked="true" strokeweight=".5pt" strokecolor="#000000">
            <v:stroke dashstyle="solid"/>
            <w10:wrap type="none"/>
          </v:line>
        </w:pict>
      </w:r>
      <w:r>
        <w:rPr/>
        <w:pict>
          <v:line style="position:absolute;mso-position-horizontal-relative:page;mso-position-vertical-relative:paragraph;z-index:-22483968" from="199.197006pt,289.37674pt" to="203.530006pt,289.37674pt" stroked="true" strokeweight=".5pt" strokecolor="#000000">
            <v:stroke dashstyle="solid"/>
            <w10:wrap type="none"/>
          </v:line>
        </w:pict>
      </w:r>
      <w:r>
        <w:rPr>
          <w:sz w:val="24"/>
        </w:rPr>
        <w:t>Pay pressures are influenced by both the degree and the rate of change of labour market tightness, reflecting the balance between the demand </w:t>
      </w:r>
      <w:r>
        <w:rPr>
          <w:spacing w:val="-3"/>
          <w:sz w:val="24"/>
        </w:rPr>
        <w:t>for, </w:t>
      </w:r>
      <w:r>
        <w:rPr>
          <w:sz w:val="24"/>
        </w:rPr>
        <w:t>and the supply of, </w:t>
      </w:r>
      <w:r>
        <w:rPr>
          <w:spacing w:val="-3"/>
          <w:sz w:val="24"/>
        </w:rPr>
        <w:t>labour. </w:t>
      </w:r>
      <w:r>
        <w:rPr>
          <w:sz w:val="24"/>
        </w:rPr>
        <w:t>One measure of this balance is the number of people who are searching </w:t>
      </w:r>
      <w:r>
        <w:rPr>
          <w:spacing w:val="-3"/>
          <w:sz w:val="24"/>
        </w:rPr>
        <w:t>for, </w:t>
      </w:r>
      <w:r>
        <w:rPr>
          <w:sz w:val="24"/>
        </w:rPr>
        <w:t>and are available </w:t>
      </w:r>
      <w:r>
        <w:rPr>
          <w:spacing w:val="-3"/>
          <w:sz w:val="24"/>
        </w:rPr>
        <w:t>for, </w:t>
      </w:r>
      <w:r>
        <w:rPr>
          <w:sz w:val="24"/>
        </w:rPr>
        <w:t>work. This is captured by LFS unemployment, which fell by 25,000 in the three months to February</w:t>
      </w:r>
      <w:r>
        <w:rPr>
          <w:spacing w:val="-43"/>
          <w:sz w:val="24"/>
        </w:rPr>
        <w:t> </w:t>
      </w:r>
      <w:r>
        <w:rPr>
          <w:sz w:val="24"/>
        </w:rPr>
        <w:t>compared with the previous three months, having risen slightly in the three months to </w:t>
      </w:r>
      <w:r>
        <w:rPr>
          <w:spacing w:val="-3"/>
          <w:sz w:val="24"/>
        </w:rPr>
        <w:t>November. </w:t>
      </w:r>
      <w:r>
        <w:rPr>
          <w:sz w:val="24"/>
        </w:rPr>
        <w:t>The recent decline was accounted for by a fall in the number of long-term unemployed: there was a small rise in the number unemployed for less than a </w:t>
      </w:r>
      <w:r>
        <w:rPr>
          <w:spacing w:val="-4"/>
          <w:sz w:val="24"/>
        </w:rPr>
        <w:t>year. </w:t>
      </w:r>
      <w:r>
        <w:rPr>
          <w:sz w:val="24"/>
        </w:rPr>
        <w:t>It is possible that recent Government policies, such as the </w:t>
      </w:r>
      <w:r>
        <w:rPr>
          <w:spacing w:val="-3"/>
          <w:sz w:val="24"/>
        </w:rPr>
        <w:t>New </w:t>
      </w:r>
      <w:r>
        <w:rPr>
          <w:sz w:val="24"/>
        </w:rPr>
        <w:t>Deal, </w:t>
      </w:r>
      <w:r>
        <w:rPr>
          <w:spacing w:val="-3"/>
          <w:sz w:val="24"/>
        </w:rPr>
        <w:t>have </w:t>
      </w:r>
      <w:r>
        <w:rPr>
          <w:sz w:val="24"/>
        </w:rPr>
        <w:t>helped some of the long-term unemployed to find work. The claimant count—a narrower measure of unemployment based on the number of people receiving unemployment benefits—fell by 33,400 in the three months to </w:t>
      </w:r>
      <w:r>
        <w:rPr>
          <w:spacing w:val="-3"/>
          <w:sz w:val="24"/>
        </w:rPr>
        <w:t>February, </w:t>
      </w:r>
      <w:r>
        <w:rPr>
          <w:sz w:val="24"/>
        </w:rPr>
        <w:t>and by a further 7,700 in March, to its lowest </w:t>
      </w:r>
      <w:r>
        <w:rPr>
          <w:spacing w:val="-3"/>
          <w:sz w:val="24"/>
        </w:rPr>
        <w:t>level </w:t>
      </w:r>
      <w:r>
        <w:rPr>
          <w:sz w:val="24"/>
        </w:rPr>
        <w:t>since March</w:t>
      </w:r>
      <w:r>
        <w:rPr>
          <w:spacing w:val="-5"/>
          <w:sz w:val="24"/>
        </w:rPr>
        <w:t> </w:t>
      </w:r>
      <w:r>
        <w:rPr>
          <w:sz w:val="24"/>
        </w:rPr>
        <w:t>1980.</w:t>
      </w:r>
    </w:p>
    <w:p>
      <w:pPr>
        <w:spacing w:after="0" w:line="242" w:lineRule="auto"/>
        <w:jc w:val="left"/>
        <w:rPr>
          <w:sz w:val="24"/>
        </w:rPr>
        <w:sectPr>
          <w:type w:val="continuous"/>
          <w:pgSz w:w="11900" w:h="16840"/>
          <w:pgMar w:top="1220" w:bottom="280" w:left="640" w:right="620"/>
          <w:cols w:num="2" w:equalWidth="0">
            <w:col w:w="4151" w:space="649"/>
            <w:col w:w="5840"/>
          </w:cols>
        </w:sectPr>
      </w:pPr>
    </w:p>
    <w:p>
      <w:pPr>
        <w:pStyle w:val="BodyText"/>
        <w:spacing w:before="9"/>
        <w:rPr>
          <w:sz w:val="8"/>
        </w:rPr>
      </w:pPr>
    </w:p>
    <w:tbl>
      <w:tblPr>
        <w:tblW w:w="0" w:type="auto"/>
        <w:jc w:val="left"/>
        <w:tblInd w:w="3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3"/>
        <w:gridCol w:w="6085"/>
      </w:tblGrid>
      <w:tr>
        <w:trPr>
          <w:trHeight w:val="190" w:hRule="atLeast"/>
        </w:trPr>
        <w:tc>
          <w:tcPr>
            <w:tcW w:w="953" w:type="dxa"/>
          </w:tcPr>
          <w:p>
            <w:pPr>
              <w:pStyle w:val="TableParagraph"/>
              <w:spacing w:line="137" w:lineRule="exact"/>
              <w:ind w:left="103"/>
              <w:rPr>
                <w:sz w:val="12"/>
              </w:rPr>
            </w:pPr>
            <w:r>
              <w:rPr>
                <w:sz w:val="12"/>
              </w:rPr>
              <w:t>130</w:t>
            </w:r>
          </w:p>
        </w:tc>
        <w:tc>
          <w:tcPr>
            <w:tcW w:w="6085" w:type="dxa"/>
          </w:tcPr>
          <w:p>
            <w:pPr>
              <w:pStyle w:val="TableParagraph"/>
              <w:spacing w:line="240" w:lineRule="auto"/>
              <w:rPr>
                <w:sz w:val="12"/>
              </w:rPr>
            </w:pPr>
          </w:p>
        </w:tc>
      </w:tr>
      <w:tr>
        <w:trPr>
          <w:trHeight w:val="330" w:hRule="atLeast"/>
        </w:trPr>
        <w:tc>
          <w:tcPr>
            <w:tcW w:w="953" w:type="dxa"/>
          </w:tcPr>
          <w:p>
            <w:pPr>
              <w:pStyle w:val="TableParagraph"/>
              <w:spacing w:line="240" w:lineRule="auto" w:before="3"/>
              <w:rPr>
                <w:sz w:val="10"/>
              </w:rPr>
            </w:pPr>
          </w:p>
          <w:p>
            <w:pPr>
              <w:pStyle w:val="TableParagraph"/>
              <w:spacing w:line="240" w:lineRule="auto"/>
              <w:ind w:left="103"/>
              <w:rPr>
                <w:sz w:val="12"/>
              </w:rPr>
            </w:pPr>
            <w:r>
              <w:rPr>
                <w:sz w:val="12"/>
              </w:rPr>
              <w:t>120</w:t>
            </w:r>
          </w:p>
        </w:tc>
        <w:tc>
          <w:tcPr>
            <w:tcW w:w="6085" w:type="dxa"/>
          </w:tcPr>
          <w:p>
            <w:pPr>
              <w:pStyle w:val="TableParagraph"/>
              <w:spacing w:line="259" w:lineRule="exact" w:before="52"/>
              <w:ind w:left="669"/>
              <w:rPr>
                <w:sz w:val="24"/>
              </w:rPr>
            </w:pPr>
            <w:r>
              <w:rPr>
                <w:sz w:val="24"/>
              </w:rPr>
              <w:t>Chart 3.4 compares an index of LFS unemployment</w:t>
            </w:r>
          </w:p>
        </w:tc>
      </w:tr>
      <w:tr>
        <w:trPr>
          <w:trHeight w:val="279" w:hRule="atLeast"/>
        </w:trPr>
        <w:tc>
          <w:tcPr>
            <w:tcW w:w="953" w:type="dxa"/>
          </w:tcPr>
          <w:p>
            <w:pPr>
              <w:pStyle w:val="TableParagraph"/>
              <w:spacing w:line="240" w:lineRule="auto" w:before="9"/>
              <w:rPr>
                <w:sz w:val="9"/>
              </w:rPr>
            </w:pPr>
          </w:p>
          <w:p>
            <w:pPr>
              <w:pStyle w:val="TableParagraph"/>
              <w:spacing w:line="240" w:lineRule="auto"/>
              <w:ind w:left="103"/>
              <w:rPr>
                <w:sz w:val="12"/>
              </w:rPr>
            </w:pPr>
            <w:r>
              <w:rPr>
                <w:sz w:val="12"/>
              </w:rPr>
              <w:t>110</w:t>
            </w:r>
          </w:p>
        </w:tc>
        <w:tc>
          <w:tcPr>
            <w:tcW w:w="6085" w:type="dxa"/>
          </w:tcPr>
          <w:p>
            <w:pPr>
              <w:pStyle w:val="TableParagraph"/>
              <w:spacing w:line="258" w:lineRule="exact" w:before="1"/>
              <w:ind w:left="669"/>
              <w:rPr>
                <w:sz w:val="24"/>
              </w:rPr>
            </w:pPr>
            <w:r>
              <w:rPr>
                <w:sz w:val="24"/>
              </w:rPr>
              <w:t>with the index of weighted non-employment considered</w:t>
            </w:r>
          </w:p>
        </w:tc>
      </w:tr>
      <w:tr>
        <w:trPr>
          <w:trHeight w:val="291" w:hRule="atLeast"/>
        </w:trPr>
        <w:tc>
          <w:tcPr>
            <w:tcW w:w="953" w:type="dxa"/>
          </w:tcPr>
          <w:p>
            <w:pPr>
              <w:pStyle w:val="TableParagraph"/>
              <w:spacing w:line="240" w:lineRule="auto" w:before="8"/>
              <w:rPr>
                <w:sz w:val="13"/>
              </w:rPr>
            </w:pPr>
          </w:p>
          <w:p>
            <w:pPr>
              <w:pStyle w:val="TableParagraph"/>
              <w:spacing w:line="113" w:lineRule="exact"/>
              <w:ind w:left="103"/>
              <w:rPr>
                <w:sz w:val="12"/>
              </w:rPr>
            </w:pPr>
            <w:r>
              <w:rPr>
                <w:sz w:val="12"/>
              </w:rPr>
              <w:t>100</w:t>
            </w:r>
          </w:p>
        </w:tc>
        <w:tc>
          <w:tcPr>
            <w:tcW w:w="6085" w:type="dxa"/>
          </w:tcPr>
          <w:p>
            <w:pPr>
              <w:pStyle w:val="TableParagraph"/>
              <w:spacing w:line="270" w:lineRule="exact" w:before="1"/>
              <w:ind w:left="669"/>
              <w:rPr>
                <w:sz w:val="24"/>
              </w:rPr>
            </w:pPr>
            <w:r>
              <w:rPr>
                <w:sz w:val="24"/>
              </w:rPr>
              <w:t>in the February </w:t>
            </w:r>
            <w:r>
              <w:rPr>
                <w:i/>
                <w:sz w:val="24"/>
              </w:rPr>
              <w:t>Report</w:t>
            </w:r>
            <w:r>
              <w:rPr>
                <w:sz w:val="24"/>
              </w:rPr>
              <w:t>, based on the number of</w:t>
            </w:r>
          </w:p>
        </w:tc>
      </w:tr>
    </w:tbl>
    <w:p>
      <w:pPr>
        <w:spacing w:after="0" w:line="270" w:lineRule="exact"/>
        <w:rPr>
          <w:sz w:val="24"/>
        </w:rPr>
        <w:sectPr>
          <w:type w:val="continuous"/>
          <w:pgSz w:w="11900" w:h="16840"/>
          <w:pgMar w:top="1220" w:bottom="280" w:left="640" w:right="620"/>
        </w:sectPr>
      </w:pPr>
    </w:p>
    <w:p>
      <w:pPr>
        <w:pStyle w:val="BodyText"/>
        <w:spacing w:before="10"/>
        <w:rPr>
          <w:sz w:val="21"/>
        </w:rPr>
      </w:pPr>
    </w:p>
    <w:p>
      <w:pPr>
        <w:pStyle w:val="BodyText"/>
        <w:spacing w:line="20" w:lineRule="exact"/>
        <w:ind w:left="20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7"/>
        <w:rPr>
          <w:sz w:val="22"/>
        </w:rPr>
      </w:pPr>
      <w:r>
        <w:rPr/>
        <w:pict>
          <v:shape style="position:absolute;margin-left:42.362999pt;margin-top:15.213pt;width:4.350pt;height:.1pt;mso-position-horizontal-relative:page;mso-position-vertical-relative:paragraph;z-index:-15344128;mso-wrap-distance-left:0;mso-wrap-distance-right:0" coordorigin="847,304" coordsize="87,0" path="m847,304l934,304e" filled="false" stroked="true" strokeweight=".5pt" strokecolor="#000000">
            <v:path arrowok="t"/>
            <v:stroke dashstyle="solid"/>
            <w10:wrap type="topAndBottom"/>
          </v:shape>
        </w:pict>
      </w:r>
    </w:p>
    <w:p>
      <w:pPr>
        <w:tabs>
          <w:tab w:pos="716" w:val="left" w:leader="none"/>
          <w:tab w:pos="1076" w:val="left" w:leader="none"/>
          <w:tab w:pos="1448" w:val="left" w:leader="none"/>
          <w:tab w:pos="1808" w:val="left" w:leader="none"/>
          <w:tab w:pos="2181" w:val="left" w:leader="none"/>
          <w:tab w:pos="2541" w:val="left" w:leader="none"/>
          <w:tab w:pos="2903" w:val="left" w:leader="none"/>
        </w:tabs>
        <w:spacing w:before="0"/>
        <w:ind w:left="273" w:right="0" w:firstLine="0"/>
        <w:jc w:val="left"/>
        <w:rPr>
          <w:sz w:val="12"/>
        </w:rPr>
      </w:pPr>
      <w:r>
        <w:rPr>
          <w:sz w:val="12"/>
        </w:rPr>
        <w:t>1984</w:t>
        <w:tab/>
        <w:t>86</w:t>
        <w:tab/>
        <w:t>88</w:t>
        <w:tab/>
        <w:t>90</w:t>
        <w:tab/>
        <w:t>92</w:t>
        <w:tab/>
        <w:t>94</w:t>
        <w:tab/>
        <w:t>96</w:t>
        <w:tab/>
      </w:r>
      <w:r>
        <w:rPr>
          <w:spacing w:val="-10"/>
          <w:sz w:val="12"/>
        </w:rPr>
        <w:t>98</w:t>
      </w:r>
    </w:p>
    <w:p>
      <w:pPr>
        <w:spacing w:before="98"/>
        <w:ind w:left="175" w:right="0" w:firstLine="0"/>
        <w:jc w:val="left"/>
        <w:rPr>
          <w:sz w:val="12"/>
        </w:rPr>
      </w:pPr>
      <w:r>
        <w:rPr>
          <w:sz w:val="12"/>
        </w:rPr>
        <w:t>Sources: ONS and Bank of England.</w:t>
      </w:r>
    </w:p>
    <w:p>
      <w:pPr>
        <w:pStyle w:val="ListParagraph"/>
        <w:numPr>
          <w:ilvl w:val="0"/>
          <w:numId w:val="21"/>
        </w:numPr>
        <w:tabs>
          <w:tab w:pos="416" w:val="left" w:leader="none"/>
        </w:tabs>
        <w:spacing w:line="59" w:lineRule="exact" w:before="102" w:after="0"/>
        <w:ind w:left="415" w:right="0" w:hanging="241"/>
        <w:jc w:val="left"/>
        <w:rPr>
          <w:sz w:val="12"/>
        </w:rPr>
      </w:pPr>
      <w:r>
        <w:rPr>
          <w:sz w:val="12"/>
        </w:rPr>
        <w:t>Pre-1993 figures based on yearly</w:t>
      </w:r>
      <w:r>
        <w:rPr>
          <w:spacing w:val="-15"/>
          <w:sz w:val="12"/>
        </w:rPr>
        <w:t> </w:t>
      </w:r>
      <w:r>
        <w:rPr>
          <w:sz w:val="12"/>
        </w:rPr>
        <w:t>observations.</w:t>
      </w:r>
    </w:p>
    <w:p>
      <w:pPr>
        <w:pStyle w:val="BodyText"/>
        <w:spacing w:before="4"/>
        <w:rPr>
          <w:sz w:val="15"/>
        </w:rPr>
      </w:pPr>
      <w:r>
        <w:rPr/>
        <w:br w:type="column"/>
      </w:r>
      <w:r>
        <w:rPr>
          <w:sz w:val="15"/>
        </w:rPr>
      </w:r>
    </w:p>
    <w:p>
      <w:pPr>
        <w:spacing w:before="0"/>
        <w:ind w:left="0" w:right="38" w:firstLine="0"/>
        <w:jc w:val="right"/>
        <w:rPr>
          <w:sz w:val="12"/>
        </w:rPr>
      </w:pPr>
      <w:r>
        <w:rPr/>
        <w:pict>
          <v:line style="position:absolute;mso-position-horizontal-relative:page;mso-position-vertical-relative:paragraph;z-index:-22483456" from="199.197006pt,-27.963636pt" to="203.530006pt,-27.963636pt" stroked="true" strokeweight=".5pt" strokecolor="#000000">
            <v:stroke dashstyle="solid"/>
            <w10:wrap type="none"/>
          </v:line>
        </w:pict>
      </w:r>
      <w:r>
        <w:rPr/>
        <w:pict>
          <v:line style="position:absolute;mso-position-horizontal-relative:page;mso-position-vertical-relative:paragraph;z-index:-22482944" from="199.197006pt,-11.398636pt" to="203.530006pt,-11.398636pt" stroked="true" strokeweight=".5pt" strokecolor="#000000">
            <v:stroke dashstyle="solid"/>
            <w10:wrap type="none"/>
          </v:line>
        </w:pict>
      </w:r>
      <w:r>
        <w:rPr>
          <w:sz w:val="12"/>
        </w:rPr>
        <w:t>90</w:t>
      </w:r>
    </w:p>
    <w:p>
      <w:pPr>
        <w:pStyle w:val="BodyText"/>
        <w:spacing w:before="6"/>
        <w:rPr>
          <w:sz w:val="16"/>
        </w:rPr>
      </w:pPr>
    </w:p>
    <w:p>
      <w:pPr>
        <w:spacing w:before="0"/>
        <w:ind w:left="97" w:right="0" w:firstLine="0"/>
        <w:jc w:val="left"/>
        <w:rPr>
          <w:sz w:val="12"/>
        </w:rPr>
      </w:pPr>
      <w:r>
        <w:rPr>
          <w:sz w:val="12"/>
        </w:rPr>
        <w:t>2000  </w:t>
      </w:r>
      <w:r>
        <w:rPr>
          <w:spacing w:val="19"/>
          <w:sz w:val="12"/>
        </w:rPr>
        <w:t> </w:t>
      </w:r>
      <w:r>
        <w:rPr>
          <w:position w:val="8"/>
          <w:sz w:val="12"/>
        </w:rPr>
        <w:t>80</w:t>
      </w:r>
    </w:p>
    <w:p>
      <w:pPr>
        <w:pStyle w:val="Heading6"/>
        <w:spacing w:line="242" w:lineRule="auto"/>
        <w:ind w:left="175" w:right="583"/>
      </w:pPr>
      <w:r>
        <w:rPr/>
        <w:br w:type="column"/>
      </w:r>
      <w:r>
        <w:rPr/>
        <w:t>individuals in each of seven different categories of non-employment, weighted according to the average</w:t>
      </w:r>
    </w:p>
    <w:p>
      <w:pPr>
        <w:spacing w:line="242" w:lineRule="auto" w:before="0"/>
        <w:ind w:left="175" w:right="248" w:firstLine="0"/>
        <w:jc w:val="left"/>
        <w:rPr>
          <w:sz w:val="24"/>
        </w:rPr>
      </w:pPr>
      <w:r>
        <w:rPr/>
        <w:pict>
          <v:line style="position:absolute;mso-position-horizontal-relative:page;mso-position-vertical-relative:paragraph;z-index:16125952" from="42.362999pt,-30.063072pt" to="46.696999pt,-30.063072pt" stroked="true" strokeweight=".5pt" strokecolor="#000000">
            <v:stroke dashstyle="solid"/>
            <w10:wrap type="none"/>
          </v:line>
        </w:pict>
      </w:r>
      <w:r>
        <w:rPr>
          <w:sz w:val="24"/>
        </w:rPr>
        <w:t>rate at which they become employed. The measure has not fallen as far as unemployment relative to the</w:t>
      </w:r>
    </w:p>
    <w:p>
      <w:pPr>
        <w:spacing w:after="0" w:line="242" w:lineRule="auto"/>
        <w:jc w:val="left"/>
        <w:rPr>
          <w:sz w:val="24"/>
        </w:rPr>
        <w:sectPr>
          <w:type w:val="continuous"/>
          <w:pgSz w:w="11900" w:h="16840"/>
          <w:pgMar w:top="1220" w:bottom="280" w:left="640" w:right="620"/>
          <w:cols w:num="3" w:equalWidth="0">
            <w:col w:w="3024" w:space="40"/>
            <w:col w:w="607" w:space="1123"/>
            <w:col w:w="5846"/>
          </w:cols>
        </w:sectPr>
      </w:pPr>
    </w:p>
    <w:p>
      <w:pPr>
        <w:pStyle w:val="ListParagraph"/>
        <w:numPr>
          <w:ilvl w:val="0"/>
          <w:numId w:val="21"/>
        </w:numPr>
        <w:tabs>
          <w:tab w:pos="416" w:val="left" w:leader="none"/>
        </w:tabs>
        <w:spacing w:line="129" w:lineRule="exact" w:before="62" w:after="0"/>
        <w:ind w:left="415" w:right="0" w:hanging="241"/>
        <w:jc w:val="left"/>
        <w:rPr>
          <w:sz w:val="12"/>
        </w:rPr>
      </w:pPr>
      <w:r>
        <w:rPr>
          <w:sz w:val="12"/>
        </w:rPr>
        <w:t>The weighted non-employment series is a weighted</w:t>
      </w:r>
      <w:r>
        <w:rPr>
          <w:spacing w:val="-20"/>
          <w:sz w:val="12"/>
        </w:rPr>
        <w:t> </w:t>
      </w:r>
      <w:r>
        <w:rPr>
          <w:sz w:val="12"/>
        </w:rPr>
        <w:t>average</w:t>
      </w:r>
    </w:p>
    <w:p>
      <w:pPr>
        <w:spacing w:line="208" w:lineRule="auto" w:before="5"/>
        <w:ind w:left="415" w:right="38" w:firstLine="0"/>
        <w:jc w:val="left"/>
        <w:rPr>
          <w:sz w:val="12"/>
        </w:rPr>
      </w:pPr>
      <w:r>
        <w:rPr>
          <w:sz w:val="12"/>
        </w:rPr>
        <w:t>of the number of people in each of seven different categories of non-employment. The weights are based on the average proportion in each category who found employment in the next three months, relative to the proportion of the short-term unemployed who found employment in the next three months.</w:t>
      </w:r>
    </w:p>
    <w:p>
      <w:pPr>
        <w:pStyle w:val="Heading6"/>
        <w:spacing w:line="242" w:lineRule="auto"/>
        <w:ind w:left="175" w:right="288"/>
        <w:jc w:val="both"/>
      </w:pPr>
      <w:r>
        <w:rPr/>
        <w:br w:type="column"/>
      </w:r>
      <w:r>
        <w:rPr/>
        <w:t>previous</w:t>
      </w:r>
      <w:r>
        <w:rPr>
          <w:spacing w:val="-6"/>
        </w:rPr>
        <w:t> </w:t>
      </w:r>
      <w:r>
        <w:rPr/>
        <w:t>trough</w:t>
      </w:r>
      <w:r>
        <w:rPr>
          <w:spacing w:val="-6"/>
        </w:rPr>
        <w:t> </w:t>
      </w:r>
      <w:r>
        <w:rPr/>
        <w:t>in</w:t>
      </w:r>
      <w:r>
        <w:rPr>
          <w:spacing w:val="-6"/>
        </w:rPr>
        <w:t> </w:t>
      </w:r>
      <w:r>
        <w:rPr/>
        <w:t>1990,</w:t>
      </w:r>
      <w:r>
        <w:rPr>
          <w:spacing w:val="-6"/>
        </w:rPr>
        <w:t> </w:t>
      </w:r>
      <w:r>
        <w:rPr/>
        <w:t>but</w:t>
      </w:r>
      <w:r>
        <w:rPr>
          <w:spacing w:val="-6"/>
        </w:rPr>
        <w:t> </w:t>
      </w:r>
      <w:r>
        <w:rPr/>
        <w:t>on</w:t>
      </w:r>
      <w:r>
        <w:rPr>
          <w:spacing w:val="-5"/>
        </w:rPr>
        <w:t> </w:t>
      </w:r>
      <w:r>
        <w:rPr/>
        <w:t>this</w:t>
      </w:r>
      <w:r>
        <w:rPr>
          <w:spacing w:val="-6"/>
        </w:rPr>
        <w:t> </w:t>
      </w:r>
      <w:r>
        <w:rPr/>
        <w:t>measure</w:t>
      </w:r>
      <w:r>
        <w:rPr>
          <w:spacing w:val="-6"/>
        </w:rPr>
        <w:t> </w:t>
      </w:r>
      <w:r>
        <w:rPr/>
        <w:t>too,</w:t>
      </w:r>
      <w:r>
        <w:rPr>
          <w:spacing w:val="-6"/>
        </w:rPr>
        <w:t> </w:t>
      </w:r>
      <w:r>
        <w:rPr/>
        <w:t>labour market conditions appear to be tight by recent historical standards.</w:t>
      </w:r>
    </w:p>
    <w:p>
      <w:pPr>
        <w:spacing w:after="0" w:line="242" w:lineRule="auto"/>
        <w:jc w:val="both"/>
        <w:sectPr>
          <w:type w:val="continuous"/>
          <w:pgSz w:w="11900" w:h="16840"/>
          <w:pgMar w:top="1220" w:bottom="280" w:left="640" w:right="620"/>
          <w:cols w:num="2" w:equalWidth="0">
            <w:col w:w="3701" w:space="1093"/>
            <w:col w:w="5846"/>
          </w:cols>
        </w:sectPr>
      </w:pPr>
    </w:p>
    <w:p>
      <w:pPr>
        <w:pStyle w:val="BodyText"/>
        <w:rPr>
          <w:sz w:val="20"/>
        </w:rPr>
      </w:pPr>
    </w:p>
    <w:p>
      <w:pPr>
        <w:spacing w:after="0"/>
        <w:rPr>
          <w:sz w:val="20"/>
        </w:rPr>
        <w:sectPr>
          <w:footerReference w:type="default" r:id="rId128"/>
          <w:footerReference w:type="even" r:id="rId129"/>
          <w:pgSz w:w="11900" w:h="16840"/>
          <w:pgMar w:footer="617" w:header="586" w:top="780" w:bottom="800" w:left="640" w:right="620"/>
          <w:pgNumType w:start="27"/>
        </w:sectPr>
      </w:pPr>
    </w:p>
    <w:p>
      <w:pPr>
        <w:pStyle w:val="BodyText"/>
        <w:spacing w:before="5"/>
        <w:rPr>
          <w:sz w:val="19"/>
        </w:rPr>
      </w:pPr>
    </w:p>
    <w:p>
      <w:pPr>
        <w:spacing w:before="0"/>
        <w:ind w:left="155" w:right="0" w:firstLine="0"/>
        <w:jc w:val="left"/>
        <w:rPr>
          <w:b/>
          <w:sz w:val="20"/>
        </w:rPr>
      </w:pPr>
      <w:r>
        <w:rPr>
          <w:b/>
          <w:color w:val="0092C7"/>
          <w:sz w:val="20"/>
        </w:rPr>
        <w:t>Chart 3.5</w:t>
      </w:r>
    </w:p>
    <w:p>
      <w:pPr>
        <w:spacing w:line="249" w:lineRule="auto" w:before="10"/>
        <w:ind w:left="155" w:right="20" w:firstLine="0"/>
        <w:jc w:val="left"/>
        <w:rPr>
          <w:sz w:val="12"/>
        </w:rPr>
      </w:pPr>
      <w:r>
        <w:rPr>
          <w:b/>
          <w:color w:val="0092C7"/>
          <w:sz w:val="20"/>
        </w:rPr>
        <w:t>Non-employment and the change in real unit labour costs</w:t>
      </w:r>
      <w:r>
        <w:rPr>
          <w:position w:val="4"/>
          <w:sz w:val="12"/>
        </w:rPr>
        <w:t>(a)</w:t>
      </w:r>
    </w:p>
    <w:p>
      <w:pPr>
        <w:spacing w:line="208" w:lineRule="auto" w:before="45"/>
        <w:ind w:left="2012" w:right="197" w:hanging="111"/>
        <w:jc w:val="left"/>
        <w:rPr>
          <w:sz w:val="12"/>
        </w:rPr>
      </w:pPr>
      <w:r>
        <w:rPr>
          <w:sz w:val="12"/>
        </w:rPr>
        <w:t>Percentage changes in real unit labour costs on a year earlier</w:t>
      </w:r>
    </w:p>
    <w:p>
      <w:pPr>
        <w:spacing w:line="107" w:lineRule="exact" w:before="0"/>
        <w:ind w:left="3452" w:right="0" w:firstLine="0"/>
        <w:jc w:val="left"/>
        <w:rPr>
          <w:sz w:val="12"/>
        </w:rPr>
      </w:pPr>
      <w:r>
        <w:rPr/>
        <w:drawing>
          <wp:anchor distT="0" distB="0" distL="0" distR="0" allowOverlap="1" layoutInCell="1" locked="0" behindDoc="0" simplePos="0" relativeHeight="16133632">
            <wp:simplePos x="0" y="0"/>
            <wp:positionH relativeFrom="page">
              <wp:posOffset>523201</wp:posOffset>
            </wp:positionH>
            <wp:positionV relativeFrom="paragraph">
              <wp:posOffset>33191</wp:posOffset>
            </wp:positionV>
            <wp:extent cx="55029" cy="6350"/>
            <wp:effectExtent l="0" t="0" r="0" b="0"/>
            <wp:wrapNone/>
            <wp:docPr id="249" name="image15.png"/>
            <wp:cNvGraphicFramePr>
              <a:graphicFrameLocks noChangeAspect="1"/>
            </wp:cNvGraphicFramePr>
            <a:graphic>
              <a:graphicData uri="http://schemas.openxmlformats.org/drawingml/2006/picture">
                <pic:pic>
                  <pic:nvPicPr>
                    <pic:cNvPr id="250" name="image15.png"/>
                    <pic:cNvPicPr/>
                  </pic:nvPicPr>
                  <pic:blipFill>
                    <a:blip r:embed="rId4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134144">
            <wp:simplePos x="0" y="0"/>
            <wp:positionH relativeFrom="page">
              <wp:posOffset>2507576</wp:posOffset>
            </wp:positionH>
            <wp:positionV relativeFrom="paragraph">
              <wp:posOffset>33191</wp:posOffset>
            </wp:positionV>
            <wp:extent cx="55029" cy="6350"/>
            <wp:effectExtent l="0" t="0" r="0" b="0"/>
            <wp:wrapNone/>
            <wp:docPr id="251" name="image15.png"/>
            <wp:cNvGraphicFramePr>
              <a:graphicFrameLocks noChangeAspect="1"/>
            </wp:cNvGraphicFramePr>
            <a:graphic>
              <a:graphicData uri="http://schemas.openxmlformats.org/drawingml/2006/picture">
                <pic:pic>
                  <pic:nvPicPr>
                    <pic:cNvPr id="252"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3</w:t>
      </w:r>
    </w:p>
    <w:p>
      <w:pPr>
        <w:pStyle w:val="Heading6"/>
        <w:spacing w:line="242" w:lineRule="auto" w:before="217"/>
        <w:ind w:left="155" w:right="335"/>
      </w:pPr>
      <w:r>
        <w:rPr/>
        <w:br w:type="column"/>
      </w:r>
      <w:r>
        <w:rPr/>
        <w:t>Similar to the pattern for LFS unemployment discussed in the February </w:t>
      </w:r>
      <w:r>
        <w:rPr>
          <w:i/>
        </w:rPr>
        <w:t>Report</w:t>
      </w:r>
      <w:r>
        <w:rPr/>
        <w:t>, real unit labour costs growth has been weaker in relation to this measure of</w:t>
      </w:r>
    </w:p>
    <w:p>
      <w:pPr>
        <w:spacing w:line="242" w:lineRule="auto" w:before="4"/>
        <w:ind w:left="155" w:right="220" w:firstLine="0"/>
        <w:jc w:val="left"/>
        <w:rPr>
          <w:sz w:val="24"/>
        </w:rPr>
      </w:pPr>
      <w:r>
        <w:rPr>
          <w:sz w:val="24"/>
        </w:rPr>
        <w:t>non-employment in the 1990s’ expansion than it was at similar points in the previous cycle (see Chart 3.5). It is</w:t>
      </w:r>
    </w:p>
    <w:p>
      <w:pPr>
        <w:spacing w:after="0" w:line="242" w:lineRule="auto"/>
        <w:jc w:val="left"/>
        <w:rPr>
          <w:sz w:val="24"/>
        </w:rPr>
        <w:sectPr>
          <w:type w:val="continuous"/>
          <w:pgSz w:w="11900" w:h="16840"/>
          <w:pgMar w:top="1220" w:bottom="280" w:left="640" w:right="620"/>
          <w:cols w:num="2" w:equalWidth="0">
            <w:col w:w="3612" w:space="1192"/>
            <w:col w:w="5836"/>
          </w:cols>
        </w:sectPr>
      </w:pPr>
    </w:p>
    <w:p>
      <w:pPr>
        <w:pStyle w:val="BodyText"/>
        <w:rPr>
          <w:sz w:val="12"/>
        </w:rPr>
      </w:pPr>
    </w:p>
    <w:p>
      <w:pPr>
        <w:pStyle w:val="BodyText"/>
        <w:spacing w:before="1"/>
        <w:rPr>
          <w:sz w:val="15"/>
        </w:rPr>
      </w:pPr>
    </w:p>
    <w:p>
      <w:pPr>
        <w:spacing w:before="0"/>
        <w:ind w:left="436" w:right="0" w:firstLine="0"/>
        <w:jc w:val="left"/>
        <w:rPr>
          <w:sz w:val="12"/>
        </w:rPr>
      </w:pPr>
      <w:r>
        <w:rPr>
          <w:sz w:val="12"/>
        </w:rPr>
        <w:t>1999</w:t>
      </w:r>
    </w:p>
    <w:p>
      <w:pPr>
        <w:spacing w:before="7"/>
        <w:ind w:left="97" w:right="0" w:firstLine="0"/>
        <w:jc w:val="left"/>
        <w:rPr>
          <w:sz w:val="12"/>
        </w:rPr>
      </w:pPr>
      <w:r>
        <w:rPr/>
        <w:br w:type="column"/>
      </w:r>
      <w:r>
        <w:rPr>
          <w:sz w:val="12"/>
        </w:rPr>
        <w:t>1990</w:t>
      </w:r>
    </w:p>
    <w:p>
      <w:pPr>
        <w:pStyle w:val="BodyText"/>
        <w:rPr>
          <w:sz w:val="12"/>
        </w:rPr>
      </w:pPr>
    </w:p>
    <w:p>
      <w:pPr>
        <w:pStyle w:val="BodyText"/>
        <w:rPr>
          <w:sz w:val="12"/>
        </w:rPr>
      </w:pPr>
    </w:p>
    <w:p>
      <w:pPr>
        <w:pStyle w:val="BodyText"/>
        <w:rPr>
          <w:sz w:val="12"/>
        </w:rPr>
      </w:pPr>
    </w:p>
    <w:p>
      <w:pPr>
        <w:spacing w:before="70"/>
        <w:ind w:left="-38" w:right="0" w:firstLine="0"/>
        <w:jc w:val="left"/>
        <w:rPr>
          <w:sz w:val="12"/>
        </w:rPr>
      </w:pPr>
      <w:r>
        <w:rPr/>
        <w:drawing>
          <wp:anchor distT="0" distB="0" distL="0" distR="0" allowOverlap="1" layoutInCell="1" locked="0" behindDoc="1" simplePos="0" relativeHeight="480838144">
            <wp:simplePos x="0" y="0"/>
            <wp:positionH relativeFrom="page">
              <wp:posOffset>523201</wp:posOffset>
            </wp:positionH>
            <wp:positionV relativeFrom="paragraph">
              <wp:posOffset>-277580</wp:posOffset>
            </wp:positionV>
            <wp:extent cx="2039404" cy="1536560"/>
            <wp:effectExtent l="0" t="0" r="0" b="0"/>
            <wp:wrapNone/>
            <wp:docPr id="253" name="image67.png"/>
            <wp:cNvGraphicFramePr>
              <a:graphicFrameLocks noChangeAspect="1"/>
            </wp:cNvGraphicFramePr>
            <a:graphic>
              <a:graphicData uri="http://schemas.openxmlformats.org/drawingml/2006/picture">
                <pic:pic>
                  <pic:nvPicPr>
                    <pic:cNvPr id="254" name="image67.png"/>
                    <pic:cNvPicPr/>
                  </pic:nvPicPr>
                  <pic:blipFill>
                    <a:blip r:embed="rId130" cstate="print"/>
                    <a:stretch>
                      <a:fillRect/>
                    </a:stretch>
                  </pic:blipFill>
                  <pic:spPr>
                    <a:xfrm>
                      <a:off x="0" y="0"/>
                      <a:ext cx="2039404" cy="1536560"/>
                    </a:xfrm>
                    <a:prstGeom prst="rect">
                      <a:avLst/>
                    </a:prstGeom>
                  </pic:spPr>
                </pic:pic>
              </a:graphicData>
            </a:graphic>
          </wp:anchor>
        </w:drawing>
      </w:r>
      <w:r>
        <w:rPr>
          <w:sz w:val="12"/>
        </w:rPr>
        <w:t>1998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spacing w:before="90"/>
        <w:ind w:left="400" w:right="0" w:firstLine="0"/>
        <w:jc w:val="left"/>
        <w:rPr>
          <w:sz w:val="12"/>
        </w:rPr>
      </w:pPr>
      <w:r>
        <w:rPr>
          <w:sz w:val="12"/>
        </w:rPr>
        <w:t>1988</w:t>
      </w:r>
    </w:p>
    <w:p>
      <w:pPr>
        <w:tabs>
          <w:tab w:pos="1028" w:val="left" w:leader="none"/>
        </w:tabs>
        <w:spacing w:line="196" w:lineRule="auto" w:before="0"/>
        <w:ind w:left="436" w:right="0" w:firstLine="0"/>
        <w:jc w:val="left"/>
        <w:rPr>
          <w:sz w:val="12"/>
        </w:rPr>
      </w:pPr>
      <w:r>
        <w:rPr/>
        <w:br w:type="column"/>
      </w:r>
      <w:r>
        <w:rPr>
          <w:sz w:val="12"/>
        </w:rPr>
        <w:t>1986</w:t>
        <w:tab/>
      </w:r>
      <w:r>
        <w:rPr>
          <w:position w:val="-7"/>
          <w:sz w:val="12"/>
        </w:rPr>
        <w:t>2</w:t>
      </w:r>
    </w:p>
    <w:p>
      <w:pPr>
        <w:pStyle w:val="BodyText"/>
        <w:rPr>
          <w:sz w:val="20"/>
        </w:rPr>
      </w:pPr>
    </w:p>
    <w:p>
      <w:pPr>
        <w:spacing w:before="118"/>
        <w:ind w:left="0" w:right="38" w:firstLine="0"/>
        <w:jc w:val="right"/>
        <w:rPr>
          <w:sz w:val="12"/>
        </w:rPr>
      </w:pPr>
      <w:r>
        <w:rPr>
          <w:sz w:val="12"/>
        </w:rPr>
        <w:t>1</w:t>
      </w:r>
    </w:p>
    <w:p>
      <w:pPr>
        <w:pStyle w:val="Heading6"/>
        <w:spacing w:line="242" w:lineRule="auto" w:before="2"/>
        <w:ind w:left="436" w:right="242"/>
      </w:pPr>
      <w:r>
        <w:rPr/>
        <w:br w:type="column"/>
      </w:r>
      <w:r>
        <w:rPr/>
        <w:t>possible that this reflects a decline in the equilibrium level of non-employment. This may reflect labour market reforms and structural changes in the economy</w:t>
      </w:r>
    </w:p>
    <w:p>
      <w:pPr>
        <w:spacing w:after="0" w:line="242" w:lineRule="auto"/>
        <w:sectPr>
          <w:type w:val="continuous"/>
          <w:pgSz w:w="11900" w:h="16840"/>
          <w:pgMar w:top="1220" w:bottom="280" w:left="640" w:right="620"/>
          <w:cols w:num="5" w:equalWidth="0">
            <w:col w:w="677" w:space="40"/>
            <w:col w:w="338" w:space="39"/>
            <w:col w:w="681" w:space="648"/>
            <w:col w:w="1129" w:space="971"/>
            <w:col w:w="6117"/>
          </w:cols>
        </w:sectPr>
      </w:pPr>
    </w:p>
    <w:p>
      <w:pPr>
        <w:tabs>
          <w:tab w:pos="3245" w:val="left" w:leader="none"/>
        </w:tabs>
        <w:spacing w:line="162" w:lineRule="exact" w:before="0"/>
        <w:ind w:left="343" w:right="0" w:firstLine="0"/>
        <w:jc w:val="left"/>
        <w:rPr>
          <w:sz w:val="16"/>
        </w:rPr>
      </w:pPr>
      <w:r>
        <w:rPr>
          <w:sz w:val="16"/>
          <w:u w:val="single"/>
        </w:rPr>
        <w:t> </w:t>
        <w:tab/>
      </w:r>
      <w:r>
        <w:rPr>
          <w:sz w:val="16"/>
        </w:rPr>
        <w:t> </w:t>
      </w:r>
      <w:r>
        <w:rPr>
          <w:spacing w:val="-17"/>
          <w:sz w:val="16"/>
        </w:rPr>
        <w:t> </w:t>
      </w:r>
      <w:r>
        <w:rPr>
          <w:sz w:val="16"/>
          <w:u w:val="single"/>
        </w:rPr>
        <w:t> </w:t>
      </w:r>
      <w:r>
        <w:rPr>
          <w:spacing w:val="-17"/>
          <w:sz w:val="16"/>
          <w:u w:val="single"/>
        </w:rPr>
        <w:t> </w:t>
      </w:r>
      <w:r>
        <w:rPr>
          <w:sz w:val="16"/>
        </w:rPr>
        <w:t>+</w:t>
      </w:r>
    </w:p>
    <w:p>
      <w:pPr>
        <w:spacing w:before="21"/>
        <w:ind w:left="3452" w:right="0" w:firstLine="0"/>
        <w:jc w:val="left"/>
        <w:rPr>
          <w:sz w:val="12"/>
        </w:rPr>
      </w:pPr>
      <w:r>
        <w:rPr>
          <w:sz w:val="12"/>
        </w:rPr>
        <w:t>0</w:t>
      </w:r>
    </w:p>
    <w:p>
      <w:pPr>
        <w:spacing w:before="1"/>
        <w:ind w:left="3372" w:right="0" w:firstLine="0"/>
        <w:jc w:val="left"/>
        <w:rPr>
          <w:sz w:val="16"/>
        </w:rPr>
      </w:pPr>
      <w:r>
        <w:rPr>
          <w:sz w:val="16"/>
        </w:rPr>
        <w:t>–</w:t>
      </w:r>
    </w:p>
    <w:p>
      <w:pPr>
        <w:pStyle w:val="Heading6"/>
        <w:spacing w:before="4"/>
        <w:ind w:left="343"/>
      </w:pPr>
      <w:r>
        <w:rPr/>
        <w:br w:type="column"/>
      </w:r>
      <w:r>
        <w:rPr/>
        <w:t>over the past two decades.</w:t>
      </w:r>
    </w:p>
    <w:p>
      <w:pPr>
        <w:spacing w:after="0"/>
        <w:sectPr>
          <w:type w:val="continuous"/>
          <w:pgSz w:w="11900" w:h="16840"/>
          <w:pgMar w:top="1220" w:bottom="280" w:left="640" w:right="620"/>
          <w:cols w:num="2" w:equalWidth="0">
            <w:col w:w="3553" w:space="1063"/>
            <w:col w:w="6024"/>
          </w:cols>
        </w:sectPr>
      </w:pPr>
    </w:p>
    <w:p>
      <w:pPr>
        <w:pStyle w:val="BodyText"/>
        <w:rPr>
          <w:sz w:val="12"/>
        </w:rPr>
      </w:pPr>
    </w:p>
    <w:p>
      <w:pPr>
        <w:pStyle w:val="BodyText"/>
        <w:spacing w:before="5"/>
        <w:rPr>
          <w:sz w:val="16"/>
        </w:rPr>
      </w:pPr>
    </w:p>
    <w:p>
      <w:pPr>
        <w:spacing w:before="0"/>
        <w:ind w:left="0" w:right="0" w:firstLine="0"/>
        <w:jc w:val="right"/>
        <w:rPr>
          <w:sz w:val="12"/>
        </w:rPr>
      </w:pPr>
      <w:r>
        <w:rPr>
          <w:sz w:val="12"/>
        </w:rPr>
        <w:t>1996</w:t>
      </w:r>
    </w:p>
    <w:p>
      <w:pPr>
        <w:pStyle w:val="BodyText"/>
        <w:spacing w:before="5"/>
        <w:rPr>
          <w:sz w:val="15"/>
        </w:rPr>
      </w:pPr>
      <w:r>
        <w:rPr/>
        <w:br w:type="column"/>
      </w:r>
      <w:r>
        <w:rPr>
          <w:sz w:val="15"/>
        </w:rPr>
      </w:r>
    </w:p>
    <w:p>
      <w:pPr>
        <w:spacing w:before="0"/>
        <w:ind w:left="0" w:right="0" w:firstLine="0"/>
        <w:jc w:val="right"/>
        <w:rPr>
          <w:sz w:val="12"/>
        </w:rPr>
      </w:pPr>
      <w:r>
        <w:rPr>
          <w:sz w:val="12"/>
        </w:rPr>
        <w:t>1985</w:t>
      </w:r>
    </w:p>
    <w:p>
      <w:pPr>
        <w:pStyle w:val="BodyText"/>
        <w:spacing w:before="8"/>
        <w:rPr>
          <w:sz w:val="13"/>
        </w:rPr>
      </w:pPr>
      <w:r>
        <w:rPr/>
        <w:br w:type="column"/>
      </w:r>
      <w:r>
        <w:rPr>
          <w:sz w:val="13"/>
        </w:rPr>
      </w:r>
    </w:p>
    <w:p>
      <w:pPr>
        <w:spacing w:before="0"/>
        <w:ind w:left="609" w:right="0" w:firstLine="0"/>
        <w:jc w:val="left"/>
        <w:rPr>
          <w:sz w:val="12"/>
        </w:rPr>
      </w:pPr>
      <w:r>
        <w:rPr>
          <w:sz w:val="12"/>
        </w:rPr>
        <w:t>1</w:t>
      </w:r>
    </w:p>
    <w:p>
      <w:pPr>
        <w:pStyle w:val="BodyText"/>
        <w:rPr>
          <w:sz w:val="12"/>
        </w:rPr>
      </w:pPr>
    </w:p>
    <w:p>
      <w:pPr>
        <w:pStyle w:val="BodyText"/>
        <w:spacing w:before="8"/>
        <w:rPr>
          <w:sz w:val="17"/>
        </w:rPr>
      </w:pPr>
    </w:p>
    <w:p>
      <w:pPr>
        <w:spacing w:before="0"/>
        <w:ind w:left="609" w:right="0" w:firstLine="0"/>
        <w:jc w:val="left"/>
        <w:rPr>
          <w:sz w:val="12"/>
        </w:rPr>
      </w:pPr>
      <w:r>
        <w:rPr>
          <w:sz w:val="12"/>
        </w:rPr>
        <w:t>2</w:t>
      </w:r>
    </w:p>
    <w:p>
      <w:pPr>
        <w:pStyle w:val="BodyText"/>
        <w:spacing w:before="6"/>
        <w:rPr>
          <w:sz w:val="12"/>
        </w:rPr>
      </w:pPr>
    </w:p>
    <w:p>
      <w:pPr>
        <w:spacing w:before="0"/>
        <w:ind w:left="43" w:right="0" w:firstLine="0"/>
        <w:jc w:val="left"/>
        <w:rPr>
          <w:sz w:val="12"/>
        </w:rPr>
      </w:pPr>
      <w:r>
        <w:rPr>
          <w:sz w:val="12"/>
        </w:rPr>
        <w:t>1993</w:t>
      </w:r>
    </w:p>
    <w:p>
      <w:pPr>
        <w:spacing w:line="105" w:lineRule="exact" w:before="61"/>
        <w:ind w:left="609" w:right="0" w:firstLine="0"/>
        <w:jc w:val="left"/>
        <w:rPr>
          <w:sz w:val="12"/>
        </w:rPr>
      </w:pPr>
      <w:r>
        <w:rPr>
          <w:sz w:val="12"/>
        </w:rPr>
        <w:t>3</w:t>
      </w:r>
    </w:p>
    <w:p>
      <w:pPr>
        <w:pStyle w:val="Heading6"/>
        <w:spacing w:line="242" w:lineRule="auto" w:before="98"/>
        <w:ind w:left="1407" w:right="175"/>
      </w:pPr>
      <w:r>
        <w:rPr/>
        <w:br w:type="column"/>
      </w:r>
      <w:r>
        <w:rPr/>
        <w:t>Turning to survey indicators of labour market tightness, the BCC measures of recruitment difficulties are higher than on average during the ten-year lifetime of the survey, although they are lower than their levels in</w:t>
      </w:r>
    </w:p>
    <w:p>
      <w:pPr>
        <w:spacing w:after="0" w:line="242" w:lineRule="auto"/>
        <w:sectPr>
          <w:type w:val="continuous"/>
          <w:pgSz w:w="11900" w:h="16840"/>
          <w:pgMar w:top="1220" w:bottom="280" w:left="640" w:right="620"/>
          <w:cols w:num="4" w:equalWidth="0">
            <w:col w:w="1649" w:space="40"/>
            <w:col w:w="1116" w:space="39"/>
            <w:col w:w="670" w:space="39"/>
            <w:col w:w="7087"/>
          </w:cols>
        </w:sectPr>
      </w:pPr>
    </w:p>
    <w:p>
      <w:pPr>
        <w:tabs>
          <w:tab w:pos="748" w:val="left" w:leader="none"/>
          <w:tab w:pos="1231" w:val="left" w:leader="none"/>
          <w:tab w:pos="1716" w:val="left" w:leader="none"/>
          <w:tab w:pos="2188" w:val="left" w:leader="none"/>
          <w:tab w:pos="2673" w:val="left" w:leader="none"/>
          <w:tab w:pos="3156" w:val="left" w:leader="none"/>
        </w:tabs>
        <w:spacing w:line="133" w:lineRule="exact" w:before="0"/>
        <w:ind w:left="293" w:right="0" w:firstLine="0"/>
        <w:jc w:val="left"/>
        <w:rPr>
          <w:sz w:val="12"/>
        </w:rPr>
      </w:pPr>
      <w:r>
        <w:rPr>
          <w:sz w:val="12"/>
        </w:rPr>
        <w:t>95</w:t>
        <w:tab/>
        <w:t>100</w:t>
        <w:tab/>
        <w:t>105</w:t>
        <w:tab/>
        <w:t>110</w:t>
        <w:tab/>
        <w:t>115</w:t>
        <w:tab/>
        <w:t>120</w:t>
        <w:tab/>
        <w:t>125</w:t>
      </w:r>
    </w:p>
    <w:p>
      <w:pPr>
        <w:spacing w:line="352" w:lineRule="auto" w:before="58"/>
        <w:ind w:left="155" w:right="930" w:firstLine="595"/>
        <w:jc w:val="left"/>
        <w:rPr>
          <w:sz w:val="12"/>
        </w:rPr>
      </w:pPr>
      <w:r>
        <w:rPr>
          <w:sz w:val="12"/>
        </w:rPr>
        <w:t>Non-employment (index, spring 1990 = 100) Sources: ONS and Bank of England.</w:t>
      </w:r>
    </w:p>
    <w:p>
      <w:pPr>
        <w:spacing w:line="208" w:lineRule="auto" w:before="31"/>
        <w:ind w:left="395" w:right="229" w:hanging="240"/>
        <w:jc w:val="left"/>
        <w:rPr>
          <w:sz w:val="12"/>
        </w:rPr>
      </w:pPr>
      <w:r>
        <w:rPr>
          <w:sz w:val="12"/>
        </w:rPr>
        <w:t>(a) The non-employment series is that used in Chart 3.4. Real unit labour</w:t>
      </w:r>
      <w:r>
        <w:rPr>
          <w:spacing w:val="-5"/>
          <w:sz w:val="12"/>
        </w:rPr>
        <w:t> </w:t>
      </w:r>
      <w:r>
        <w:rPr>
          <w:sz w:val="12"/>
        </w:rPr>
        <w:t>costs</w:t>
      </w:r>
      <w:r>
        <w:rPr>
          <w:spacing w:val="-5"/>
          <w:sz w:val="12"/>
        </w:rPr>
        <w:t> </w:t>
      </w:r>
      <w:r>
        <w:rPr>
          <w:sz w:val="12"/>
        </w:rPr>
        <w:t>are</w:t>
      </w:r>
      <w:r>
        <w:rPr>
          <w:spacing w:val="-5"/>
          <w:sz w:val="12"/>
        </w:rPr>
        <w:t> </w:t>
      </w:r>
      <w:r>
        <w:rPr>
          <w:sz w:val="12"/>
        </w:rPr>
        <w:t>defined</w:t>
      </w:r>
      <w:r>
        <w:rPr>
          <w:spacing w:val="-5"/>
          <w:sz w:val="12"/>
        </w:rPr>
        <w:t> </w:t>
      </w:r>
      <w:r>
        <w:rPr>
          <w:sz w:val="12"/>
        </w:rPr>
        <w:t>as</w:t>
      </w:r>
      <w:r>
        <w:rPr>
          <w:spacing w:val="-5"/>
          <w:sz w:val="12"/>
        </w:rPr>
        <w:t> </w:t>
      </w:r>
      <w:r>
        <w:rPr>
          <w:sz w:val="12"/>
        </w:rPr>
        <w:t>the</w:t>
      </w:r>
      <w:r>
        <w:rPr>
          <w:spacing w:val="-5"/>
          <w:sz w:val="12"/>
        </w:rPr>
        <w:t> </w:t>
      </w:r>
      <w:r>
        <w:rPr>
          <w:sz w:val="12"/>
        </w:rPr>
        <w:t>Average</w:t>
      </w:r>
      <w:r>
        <w:rPr>
          <w:spacing w:val="-5"/>
          <w:sz w:val="12"/>
        </w:rPr>
        <w:t> </w:t>
      </w:r>
      <w:r>
        <w:rPr>
          <w:sz w:val="12"/>
        </w:rPr>
        <w:t>Earnings</w:t>
      </w:r>
      <w:r>
        <w:rPr>
          <w:spacing w:val="-5"/>
          <w:sz w:val="12"/>
        </w:rPr>
        <w:t> </w:t>
      </w:r>
      <w:r>
        <w:rPr>
          <w:sz w:val="12"/>
        </w:rPr>
        <w:t>Index</w:t>
      </w:r>
      <w:r>
        <w:rPr>
          <w:spacing w:val="-5"/>
          <w:sz w:val="12"/>
        </w:rPr>
        <w:t> </w:t>
      </w:r>
      <w:r>
        <w:rPr>
          <w:sz w:val="12"/>
        </w:rPr>
        <w:t>adjusted</w:t>
      </w:r>
      <w:r>
        <w:rPr>
          <w:spacing w:val="-4"/>
          <w:sz w:val="12"/>
        </w:rPr>
        <w:t> </w:t>
      </w:r>
      <w:r>
        <w:rPr>
          <w:sz w:val="12"/>
        </w:rPr>
        <w:t>for</w:t>
      </w:r>
    </w:p>
    <w:p>
      <w:pPr>
        <w:spacing w:line="208" w:lineRule="auto" w:before="0"/>
        <w:ind w:left="395" w:right="20" w:firstLine="0"/>
        <w:jc w:val="left"/>
        <w:rPr>
          <w:sz w:val="12"/>
        </w:rPr>
      </w:pPr>
      <w:r>
        <w:rPr>
          <w:sz w:val="12"/>
        </w:rPr>
        <w:t>the employers’ tax rate and deflated by the product of the GDP deflator and a productivity measure based on LFS employment data.</w:t>
      </w:r>
    </w:p>
    <w:p>
      <w:pPr>
        <w:pStyle w:val="BodyText"/>
        <w:spacing w:before="4"/>
        <w:rPr>
          <w:sz w:val="15"/>
        </w:rPr>
      </w:pPr>
    </w:p>
    <w:p>
      <w:pPr>
        <w:spacing w:before="0"/>
        <w:ind w:left="155" w:right="0" w:firstLine="0"/>
        <w:jc w:val="left"/>
        <w:rPr>
          <w:b/>
          <w:sz w:val="20"/>
        </w:rPr>
      </w:pPr>
      <w:r>
        <w:rPr>
          <w:b/>
          <w:color w:val="0092C7"/>
          <w:sz w:val="20"/>
        </w:rPr>
        <w:t>Chart 3.6</w:t>
      </w:r>
    </w:p>
    <w:p>
      <w:pPr>
        <w:spacing w:before="10"/>
        <w:ind w:left="155" w:right="0" w:firstLine="0"/>
        <w:jc w:val="left"/>
        <w:rPr>
          <w:b/>
          <w:sz w:val="20"/>
        </w:rPr>
      </w:pPr>
      <w:r>
        <w:rPr>
          <w:b/>
          <w:color w:val="0092C7"/>
          <w:sz w:val="20"/>
        </w:rPr>
        <w:t>Skill shortages and recruitment difficulties</w:t>
      </w:r>
    </w:p>
    <w:p>
      <w:pPr>
        <w:tabs>
          <w:tab w:pos="2954" w:val="left" w:leader="none"/>
        </w:tabs>
        <w:spacing w:line="119" w:lineRule="exact" w:before="78"/>
        <w:ind w:left="168" w:right="0" w:firstLine="0"/>
        <w:jc w:val="left"/>
        <w:rPr>
          <w:sz w:val="12"/>
        </w:rPr>
      </w:pPr>
      <w:r>
        <w:rPr>
          <w:b/>
          <w:sz w:val="12"/>
        </w:rPr>
        <w:t>CBI survey</w:t>
        <w:tab/>
      </w:r>
      <w:r>
        <w:rPr>
          <w:sz w:val="12"/>
        </w:rPr>
        <w:t>Per cent</w:t>
      </w:r>
    </w:p>
    <w:p>
      <w:pPr>
        <w:spacing w:line="119" w:lineRule="exact" w:before="0"/>
        <w:ind w:left="0" w:right="339" w:firstLine="0"/>
        <w:jc w:val="right"/>
        <w:rPr>
          <w:sz w:val="12"/>
        </w:rPr>
      </w:pPr>
      <w:r>
        <w:rPr/>
        <w:drawing>
          <wp:anchor distT="0" distB="0" distL="0" distR="0" allowOverlap="1" layoutInCell="1" locked="0" behindDoc="0" simplePos="0" relativeHeight="16136192">
            <wp:simplePos x="0" y="0"/>
            <wp:positionH relativeFrom="page">
              <wp:posOffset>513143</wp:posOffset>
            </wp:positionH>
            <wp:positionV relativeFrom="paragraph">
              <wp:posOffset>25593</wp:posOffset>
            </wp:positionV>
            <wp:extent cx="55029" cy="6350"/>
            <wp:effectExtent l="0" t="0" r="0" b="0"/>
            <wp:wrapNone/>
            <wp:docPr id="255" name="image19.png"/>
            <wp:cNvGraphicFramePr>
              <a:graphicFrameLocks noChangeAspect="1"/>
            </wp:cNvGraphicFramePr>
            <a:graphic>
              <a:graphicData uri="http://schemas.openxmlformats.org/drawingml/2006/picture">
                <pic:pic>
                  <pic:nvPicPr>
                    <pic:cNvPr id="256" name="image19.png"/>
                    <pic:cNvPicPr/>
                  </pic:nvPicPr>
                  <pic:blipFill>
                    <a:blip r:embed="rId50"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139776">
            <wp:simplePos x="0" y="0"/>
            <wp:positionH relativeFrom="page">
              <wp:posOffset>2483230</wp:posOffset>
            </wp:positionH>
            <wp:positionV relativeFrom="paragraph">
              <wp:posOffset>26329</wp:posOffset>
            </wp:positionV>
            <wp:extent cx="55029" cy="6350"/>
            <wp:effectExtent l="0" t="0" r="0" b="0"/>
            <wp:wrapNone/>
            <wp:docPr id="257" name="image20.png"/>
            <wp:cNvGraphicFramePr>
              <a:graphicFrameLocks noChangeAspect="1"/>
            </wp:cNvGraphicFramePr>
            <a:graphic>
              <a:graphicData uri="http://schemas.openxmlformats.org/drawingml/2006/picture">
                <pic:pic>
                  <pic:nvPicPr>
                    <pic:cNvPr id="258" name="image20.png"/>
                    <pic:cNvPicPr/>
                  </pic:nvPicPr>
                  <pic:blipFill>
                    <a:blip r:embed="rId51" cstate="print"/>
                    <a:stretch>
                      <a:fillRect/>
                    </a:stretch>
                  </pic:blipFill>
                  <pic:spPr>
                    <a:xfrm>
                      <a:off x="0" y="0"/>
                      <a:ext cx="55029" cy="6350"/>
                    </a:xfrm>
                    <a:prstGeom prst="rect">
                      <a:avLst/>
                    </a:prstGeom>
                  </pic:spPr>
                </pic:pic>
              </a:graphicData>
            </a:graphic>
          </wp:anchor>
        </w:drawing>
      </w:r>
      <w:r>
        <w:rPr>
          <w:sz w:val="12"/>
        </w:rPr>
        <w:t>60</w:t>
      </w:r>
    </w:p>
    <w:p>
      <w:pPr>
        <w:spacing w:before="67"/>
        <w:ind w:left="0" w:right="339" w:firstLine="0"/>
        <w:jc w:val="right"/>
        <w:rPr>
          <w:sz w:val="12"/>
        </w:rPr>
      </w:pPr>
      <w:r>
        <w:rPr/>
        <w:pict>
          <v:group style="position:absolute;margin-left:48.369999pt;margin-top:2.427448pt;width:151.5pt;height:55.15pt;mso-position-horizontal-relative:page;mso-position-vertical-relative:paragraph;z-index:16135168" coordorigin="967,49" coordsize="3030,1103">
            <v:shape style="position:absolute;left:967;top:101;width:3030;height:1050" type="#_x0000_t75" stroked="false">
              <v:imagedata r:id="rId131" o:title=""/>
            </v:shape>
            <v:shape style="position:absolute;left:967;top:48;width:3030;height:1103" type="#_x0000_t202" filled="false" stroked="false">
              <v:textbox inset="0,0,0,0">
                <w:txbxContent>
                  <w:p>
                    <w:pPr>
                      <w:spacing w:line="123" w:lineRule="exact" w:before="0"/>
                      <w:ind w:left="230" w:right="0" w:firstLine="0"/>
                      <w:jc w:val="left"/>
                      <w:rPr>
                        <w:sz w:val="12"/>
                      </w:rPr>
                    </w:pPr>
                    <w:r>
                      <w:rPr>
                        <w:sz w:val="12"/>
                      </w:rPr>
                      <w:t>Manufacturing skilled</w:t>
                    </w:r>
                  </w:p>
                  <w:p>
                    <w:pPr>
                      <w:tabs>
                        <w:tab w:pos="1606" w:val="left" w:leader="none"/>
                      </w:tabs>
                      <w:spacing w:line="149" w:lineRule="exact" w:before="0"/>
                      <w:ind w:left="290" w:right="0" w:firstLine="0"/>
                      <w:jc w:val="left"/>
                      <w:rPr>
                        <w:sz w:val="12"/>
                      </w:rPr>
                    </w:pPr>
                    <w:r>
                      <w:rPr>
                        <w:position w:val="3"/>
                        <w:sz w:val="12"/>
                      </w:rPr>
                      <w:t>labour shortages (a)</w:t>
                      <w:tab/>
                    </w:r>
                    <w:r>
                      <w:rPr>
                        <w:sz w:val="12"/>
                      </w:rPr>
                      <w:t>Manufacturing unskilled</w:t>
                    </w:r>
                  </w:p>
                  <w:p>
                    <w:pPr>
                      <w:spacing w:line="129" w:lineRule="exact" w:before="0"/>
                      <w:ind w:left="1666" w:right="0" w:firstLine="0"/>
                      <w:jc w:val="left"/>
                      <w:rPr>
                        <w:sz w:val="12"/>
                      </w:rPr>
                    </w:pPr>
                    <w:r>
                      <w:rPr>
                        <w:sz w:val="12"/>
                      </w:rPr>
                      <w:t>labour shortages (a)</w:t>
                    </w:r>
                  </w:p>
                </w:txbxContent>
              </v:textbox>
              <w10:wrap type="none"/>
            </v:shape>
            <w10:wrap type="none"/>
          </v:group>
        </w:pict>
      </w:r>
      <w:r>
        <w:rPr/>
        <w:drawing>
          <wp:anchor distT="0" distB="0" distL="0" distR="0" allowOverlap="1" layoutInCell="1" locked="0" behindDoc="0" simplePos="0" relativeHeight="16136704">
            <wp:simplePos x="0" y="0"/>
            <wp:positionH relativeFrom="page">
              <wp:posOffset>513143</wp:posOffset>
            </wp:positionH>
            <wp:positionV relativeFrom="paragraph">
              <wp:posOffset>78157</wp:posOffset>
            </wp:positionV>
            <wp:extent cx="55029" cy="6350"/>
            <wp:effectExtent l="0" t="0" r="0" b="0"/>
            <wp:wrapNone/>
            <wp:docPr id="259" name="image19.png"/>
            <wp:cNvGraphicFramePr>
              <a:graphicFrameLocks noChangeAspect="1"/>
            </wp:cNvGraphicFramePr>
            <a:graphic>
              <a:graphicData uri="http://schemas.openxmlformats.org/drawingml/2006/picture">
                <pic:pic>
                  <pic:nvPicPr>
                    <pic:cNvPr id="260"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50</w:t>
      </w:r>
    </w:p>
    <w:p>
      <w:pPr>
        <w:spacing w:before="64"/>
        <w:ind w:left="0" w:right="339" w:firstLine="0"/>
        <w:jc w:val="right"/>
        <w:rPr>
          <w:sz w:val="12"/>
        </w:rPr>
      </w:pPr>
      <w:r>
        <w:rPr/>
        <w:drawing>
          <wp:anchor distT="0" distB="0" distL="0" distR="0" allowOverlap="1" layoutInCell="1" locked="0" behindDoc="0" simplePos="0" relativeHeight="16138752">
            <wp:simplePos x="0" y="0"/>
            <wp:positionH relativeFrom="page">
              <wp:posOffset>513143</wp:posOffset>
            </wp:positionH>
            <wp:positionV relativeFrom="paragraph">
              <wp:posOffset>76049</wp:posOffset>
            </wp:positionV>
            <wp:extent cx="55029" cy="6350"/>
            <wp:effectExtent l="0" t="0" r="0" b="0"/>
            <wp:wrapNone/>
            <wp:docPr id="261" name="image19.png"/>
            <wp:cNvGraphicFramePr>
              <a:graphicFrameLocks noChangeAspect="1"/>
            </wp:cNvGraphicFramePr>
            <a:graphic>
              <a:graphicData uri="http://schemas.openxmlformats.org/drawingml/2006/picture">
                <pic:pic>
                  <pic:nvPicPr>
                    <pic:cNvPr id="262"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40</w:t>
      </w:r>
    </w:p>
    <w:p>
      <w:pPr>
        <w:spacing w:before="65"/>
        <w:ind w:left="0" w:right="339" w:firstLine="0"/>
        <w:jc w:val="right"/>
        <w:rPr>
          <w:sz w:val="12"/>
        </w:rPr>
      </w:pPr>
      <w:r>
        <w:rPr/>
        <w:drawing>
          <wp:anchor distT="0" distB="0" distL="0" distR="0" allowOverlap="1" layoutInCell="1" locked="0" behindDoc="0" simplePos="0" relativeHeight="16137728">
            <wp:simplePos x="0" y="0"/>
            <wp:positionH relativeFrom="page">
              <wp:posOffset>513143</wp:posOffset>
            </wp:positionH>
            <wp:positionV relativeFrom="paragraph">
              <wp:posOffset>76494</wp:posOffset>
            </wp:positionV>
            <wp:extent cx="55029" cy="6350"/>
            <wp:effectExtent l="0" t="0" r="0" b="0"/>
            <wp:wrapNone/>
            <wp:docPr id="263" name="image19.png"/>
            <wp:cNvGraphicFramePr>
              <a:graphicFrameLocks noChangeAspect="1"/>
            </wp:cNvGraphicFramePr>
            <a:graphic>
              <a:graphicData uri="http://schemas.openxmlformats.org/drawingml/2006/picture">
                <pic:pic>
                  <pic:nvPicPr>
                    <pic:cNvPr id="264"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30</w:t>
      </w:r>
    </w:p>
    <w:p>
      <w:pPr>
        <w:spacing w:before="57"/>
        <w:ind w:left="0" w:right="339" w:firstLine="0"/>
        <w:jc w:val="right"/>
        <w:rPr>
          <w:sz w:val="12"/>
        </w:rPr>
      </w:pPr>
      <w:r>
        <w:rPr/>
        <w:drawing>
          <wp:anchor distT="0" distB="0" distL="0" distR="0" allowOverlap="1" layoutInCell="1" locked="0" behindDoc="0" simplePos="0" relativeHeight="16139264">
            <wp:simplePos x="0" y="0"/>
            <wp:positionH relativeFrom="page">
              <wp:posOffset>513143</wp:posOffset>
            </wp:positionH>
            <wp:positionV relativeFrom="paragraph">
              <wp:posOffset>75973</wp:posOffset>
            </wp:positionV>
            <wp:extent cx="55029" cy="6350"/>
            <wp:effectExtent l="0" t="0" r="0" b="0"/>
            <wp:wrapNone/>
            <wp:docPr id="265" name="image19.png"/>
            <wp:cNvGraphicFramePr>
              <a:graphicFrameLocks noChangeAspect="1"/>
            </wp:cNvGraphicFramePr>
            <a:graphic>
              <a:graphicData uri="http://schemas.openxmlformats.org/drawingml/2006/picture">
                <pic:pic>
                  <pic:nvPicPr>
                    <pic:cNvPr id="266"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20</w:t>
      </w:r>
    </w:p>
    <w:p>
      <w:pPr>
        <w:spacing w:before="64"/>
        <w:ind w:left="0" w:right="339" w:firstLine="0"/>
        <w:jc w:val="right"/>
        <w:rPr>
          <w:sz w:val="12"/>
        </w:rPr>
      </w:pPr>
      <w:r>
        <w:rPr/>
        <w:drawing>
          <wp:anchor distT="0" distB="0" distL="0" distR="0" allowOverlap="1" layoutInCell="1" locked="0" behindDoc="0" simplePos="0" relativeHeight="16137216">
            <wp:simplePos x="0" y="0"/>
            <wp:positionH relativeFrom="page">
              <wp:posOffset>513143</wp:posOffset>
            </wp:positionH>
            <wp:positionV relativeFrom="paragraph">
              <wp:posOffset>80220</wp:posOffset>
            </wp:positionV>
            <wp:extent cx="55029" cy="6350"/>
            <wp:effectExtent l="0" t="0" r="0" b="0"/>
            <wp:wrapNone/>
            <wp:docPr id="267" name="image15.png"/>
            <wp:cNvGraphicFramePr>
              <a:graphicFrameLocks noChangeAspect="1"/>
            </wp:cNvGraphicFramePr>
            <a:graphic>
              <a:graphicData uri="http://schemas.openxmlformats.org/drawingml/2006/picture">
                <pic:pic>
                  <pic:nvPicPr>
                    <pic:cNvPr id="268"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10</w:t>
      </w:r>
    </w:p>
    <w:p>
      <w:pPr>
        <w:spacing w:before="65"/>
        <w:ind w:left="0" w:right="339" w:firstLine="0"/>
        <w:jc w:val="right"/>
        <w:rPr>
          <w:sz w:val="12"/>
        </w:rPr>
      </w:pPr>
      <w:r>
        <w:rPr/>
        <w:drawing>
          <wp:anchor distT="0" distB="0" distL="0" distR="0" allowOverlap="1" layoutInCell="1" locked="0" behindDoc="0" simplePos="0" relativeHeight="16138240">
            <wp:simplePos x="0" y="0"/>
            <wp:positionH relativeFrom="page">
              <wp:posOffset>513143</wp:posOffset>
            </wp:positionH>
            <wp:positionV relativeFrom="paragraph">
              <wp:posOffset>80664</wp:posOffset>
            </wp:positionV>
            <wp:extent cx="55029" cy="6350"/>
            <wp:effectExtent l="0" t="0" r="0" b="0"/>
            <wp:wrapNone/>
            <wp:docPr id="269" name="image15.png"/>
            <wp:cNvGraphicFramePr>
              <a:graphicFrameLocks noChangeAspect="1"/>
            </wp:cNvGraphicFramePr>
            <a:graphic>
              <a:graphicData uri="http://schemas.openxmlformats.org/drawingml/2006/picture">
                <pic:pic>
                  <pic:nvPicPr>
                    <pic:cNvPr id="270"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0</w:t>
      </w:r>
    </w:p>
    <w:p>
      <w:pPr>
        <w:pStyle w:val="Heading6"/>
        <w:spacing w:line="242" w:lineRule="auto"/>
        <w:ind w:left="155" w:right="215"/>
      </w:pPr>
      <w:r>
        <w:rPr/>
        <w:br w:type="column"/>
      </w:r>
      <w:r>
        <w:rPr/>
        <w:t>1997–98. And the CBI measure of skill shortages in manufacturing—for which a longer run of data is available—has continued to rise, though it remains well below the historic peaks of the early 1970s and the mid to late 1980s (see Chart 3.6). The </w:t>
      </w:r>
      <w:r>
        <w:rPr>
          <w:spacing w:val="-3"/>
        </w:rPr>
        <w:t>Bank’s </w:t>
      </w:r>
      <w:r>
        <w:rPr/>
        <w:t>regional Agents report that skill shortages remain a concern, although they </w:t>
      </w:r>
      <w:r>
        <w:rPr>
          <w:spacing w:val="-3"/>
        </w:rPr>
        <w:t>have </w:t>
      </w:r>
      <w:r>
        <w:rPr/>
        <w:t>been little changed in most regions</w:t>
      </w:r>
      <w:r>
        <w:rPr>
          <w:spacing w:val="-43"/>
        </w:rPr>
        <w:t> </w:t>
      </w:r>
      <w:r>
        <w:rPr/>
        <w:t>in recent months. The Recruitment and Employment Confederation (REC) survey has been reporting reduced availability of permanent and temporary</w:t>
      </w:r>
      <w:r>
        <w:rPr>
          <w:spacing w:val="-16"/>
        </w:rPr>
        <w:t> </w:t>
      </w:r>
      <w:r>
        <w:rPr/>
        <w:t>staff.</w:t>
      </w:r>
    </w:p>
    <w:p>
      <w:pPr>
        <w:pStyle w:val="BodyText"/>
        <w:spacing w:before="6"/>
        <w:rPr>
          <w:sz w:val="28"/>
        </w:rPr>
      </w:pPr>
    </w:p>
    <w:p>
      <w:pPr>
        <w:spacing w:line="238" w:lineRule="exact" w:before="0"/>
        <w:ind w:left="155" w:right="0" w:firstLine="0"/>
        <w:jc w:val="left"/>
        <w:rPr>
          <w:sz w:val="24"/>
        </w:rPr>
      </w:pPr>
      <w:r>
        <w:rPr>
          <w:sz w:val="24"/>
        </w:rPr>
        <w:t>Indicators of job vacancies provide another way of</w:t>
      </w:r>
    </w:p>
    <w:p>
      <w:pPr>
        <w:spacing w:after="0" w:line="238" w:lineRule="exact"/>
        <w:jc w:val="left"/>
        <w:rPr>
          <w:sz w:val="24"/>
        </w:rPr>
        <w:sectPr>
          <w:type w:val="continuous"/>
          <w:pgSz w:w="11900" w:h="16840"/>
          <w:pgMar w:top="1220" w:bottom="280" w:left="640" w:right="620"/>
          <w:cols w:num="2" w:equalWidth="0">
            <w:col w:w="3861" w:space="944"/>
            <w:col w:w="5835"/>
          </w:cols>
        </w:sectPr>
      </w:pPr>
    </w:p>
    <w:p>
      <w:pPr>
        <w:spacing w:line="133" w:lineRule="exact" w:before="0"/>
        <w:ind w:left="168" w:right="0" w:firstLine="0"/>
        <w:jc w:val="left"/>
        <w:rPr>
          <w:b/>
          <w:sz w:val="12"/>
        </w:rPr>
      </w:pPr>
      <w:r>
        <w:rPr>
          <w:b/>
          <w:sz w:val="12"/>
        </w:rPr>
        <w:t>BCC survey</w:t>
      </w:r>
    </w:p>
    <w:p>
      <w:pPr>
        <w:pStyle w:val="BodyText"/>
        <w:spacing w:before="1"/>
        <w:rPr>
          <w:b/>
          <w:sz w:val="3"/>
        </w:rPr>
      </w:pPr>
    </w:p>
    <w:p>
      <w:pPr>
        <w:pStyle w:val="BodyText"/>
        <w:spacing w:line="20" w:lineRule="exact"/>
        <w:ind w:left="168"/>
        <w:rPr>
          <w:sz w:val="2"/>
        </w:rPr>
      </w:pPr>
      <w:r>
        <w:rPr>
          <w:sz w:val="2"/>
        </w:rPr>
        <w:drawing>
          <wp:inline distT="0" distB="0" distL="0" distR="0">
            <wp:extent cx="54478" cy="6286"/>
            <wp:effectExtent l="0" t="0" r="0" b="0"/>
            <wp:docPr id="271" name="image19.png"/>
            <wp:cNvGraphicFramePr>
              <a:graphicFrameLocks noChangeAspect="1"/>
            </wp:cNvGraphicFramePr>
            <a:graphic>
              <a:graphicData uri="http://schemas.openxmlformats.org/drawingml/2006/picture">
                <pic:pic>
                  <pic:nvPicPr>
                    <pic:cNvPr id="272" name="image19.png"/>
                    <pic:cNvPicPr/>
                  </pic:nvPicPr>
                  <pic:blipFill>
                    <a:blip r:embed="rId50" cstate="print"/>
                    <a:stretch>
                      <a:fillRect/>
                    </a:stretch>
                  </pic:blipFill>
                  <pic:spPr>
                    <a:xfrm>
                      <a:off x="0" y="0"/>
                      <a:ext cx="54478" cy="6286"/>
                    </a:xfrm>
                    <a:prstGeom prst="rect">
                      <a:avLst/>
                    </a:prstGeom>
                  </pic:spPr>
                </pic:pic>
              </a:graphicData>
            </a:graphic>
          </wp:inline>
        </w:drawing>
      </w:r>
      <w:r>
        <w:rPr>
          <w:sz w:val="2"/>
        </w:rPr>
      </w:r>
    </w:p>
    <w:p>
      <w:pPr>
        <w:pStyle w:val="BodyText"/>
        <w:spacing w:before="6"/>
        <w:rPr>
          <w:b/>
          <w:sz w:val="9"/>
        </w:rPr>
      </w:pPr>
      <w:r>
        <w:rPr/>
        <w:drawing>
          <wp:anchor distT="0" distB="0" distL="0" distR="0" allowOverlap="1" layoutInCell="1" locked="0" behindDoc="0" simplePos="0" relativeHeight="783">
            <wp:simplePos x="0" y="0"/>
            <wp:positionH relativeFrom="page">
              <wp:posOffset>513143</wp:posOffset>
            </wp:positionH>
            <wp:positionV relativeFrom="paragraph">
              <wp:posOffset>94566</wp:posOffset>
            </wp:positionV>
            <wp:extent cx="55304" cy="6381"/>
            <wp:effectExtent l="0" t="0" r="0" b="0"/>
            <wp:wrapTopAndBottom/>
            <wp:docPr id="273" name="image15.png"/>
            <wp:cNvGraphicFramePr>
              <a:graphicFrameLocks noChangeAspect="1"/>
            </wp:cNvGraphicFramePr>
            <a:graphic>
              <a:graphicData uri="http://schemas.openxmlformats.org/drawingml/2006/picture">
                <pic:pic>
                  <pic:nvPicPr>
                    <pic:cNvPr id="274"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784">
            <wp:simplePos x="0" y="0"/>
            <wp:positionH relativeFrom="page">
              <wp:posOffset>513143</wp:posOffset>
            </wp:positionH>
            <wp:positionV relativeFrom="paragraph">
              <wp:posOffset>201348</wp:posOffset>
            </wp:positionV>
            <wp:extent cx="54478" cy="6286"/>
            <wp:effectExtent l="0" t="0" r="0" b="0"/>
            <wp:wrapTopAndBottom/>
            <wp:docPr id="275" name="image19.png"/>
            <wp:cNvGraphicFramePr>
              <a:graphicFrameLocks noChangeAspect="1"/>
            </wp:cNvGraphicFramePr>
            <a:graphic>
              <a:graphicData uri="http://schemas.openxmlformats.org/drawingml/2006/picture">
                <pic:pic>
                  <pic:nvPicPr>
                    <pic:cNvPr id="276"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785">
            <wp:simplePos x="0" y="0"/>
            <wp:positionH relativeFrom="page">
              <wp:posOffset>513143</wp:posOffset>
            </wp:positionH>
            <wp:positionV relativeFrom="paragraph">
              <wp:posOffset>308129</wp:posOffset>
            </wp:positionV>
            <wp:extent cx="55304" cy="6381"/>
            <wp:effectExtent l="0" t="0" r="0" b="0"/>
            <wp:wrapTopAndBottom/>
            <wp:docPr id="277" name="image15.png"/>
            <wp:cNvGraphicFramePr>
              <a:graphicFrameLocks noChangeAspect="1"/>
            </wp:cNvGraphicFramePr>
            <a:graphic>
              <a:graphicData uri="http://schemas.openxmlformats.org/drawingml/2006/picture">
                <pic:pic>
                  <pic:nvPicPr>
                    <pic:cNvPr id="278"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786">
            <wp:simplePos x="0" y="0"/>
            <wp:positionH relativeFrom="page">
              <wp:posOffset>513143</wp:posOffset>
            </wp:positionH>
            <wp:positionV relativeFrom="paragraph">
              <wp:posOffset>414911</wp:posOffset>
            </wp:positionV>
            <wp:extent cx="55304" cy="6381"/>
            <wp:effectExtent l="0" t="0" r="0" b="0"/>
            <wp:wrapTopAndBottom/>
            <wp:docPr id="279" name="image15.png"/>
            <wp:cNvGraphicFramePr>
              <a:graphicFrameLocks noChangeAspect="1"/>
            </wp:cNvGraphicFramePr>
            <a:graphic>
              <a:graphicData uri="http://schemas.openxmlformats.org/drawingml/2006/picture">
                <pic:pic>
                  <pic:nvPicPr>
                    <pic:cNvPr id="280"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787">
            <wp:simplePos x="0" y="0"/>
            <wp:positionH relativeFrom="page">
              <wp:posOffset>513143</wp:posOffset>
            </wp:positionH>
            <wp:positionV relativeFrom="paragraph">
              <wp:posOffset>521693</wp:posOffset>
            </wp:positionV>
            <wp:extent cx="55304" cy="6381"/>
            <wp:effectExtent l="0" t="0" r="0" b="0"/>
            <wp:wrapTopAndBottom/>
            <wp:docPr id="281" name="image15.png"/>
            <wp:cNvGraphicFramePr>
              <a:graphicFrameLocks noChangeAspect="1"/>
            </wp:cNvGraphicFramePr>
            <a:graphic>
              <a:graphicData uri="http://schemas.openxmlformats.org/drawingml/2006/picture">
                <pic:pic>
                  <pic:nvPicPr>
                    <pic:cNvPr id="282"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788">
            <wp:simplePos x="0" y="0"/>
            <wp:positionH relativeFrom="page">
              <wp:posOffset>513143</wp:posOffset>
            </wp:positionH>
            <wp:positionV relativeFrom="paragraph">
              <wp:posOffset>628474</wp:posOffset>
            </wp:positionV>
            <wp:extent cx="55304" cy="6381"/>
            <wp:effectExtent l="0" t="0" r="0" b="0"/>
            <wp:wrapTopAndBottom/>
            <wp:docPr id="283" name="image15.png"/>
            <wp:cNvGraphicFramePr>
              <a:graphicFrameLocks noChangeAspect="1"/>
            </wp:cNvGraphicFramePr>
            <a:graphic>
              <a:graphicData uri="http://schemas.openxmlformats.org/drawingml/2006/picture">
                <pic:pic>
                  <pic:nvPicPr>
                    <pic:cNvPr id="284"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789">
            <wp:simplePos x="0" y="0"/>
            <wp:positionH relativeFrom="page">
              <wp:posOffset>513143</wp:posOffset>
            </wp:positionH>
            <wp:positionV relativeFrom="paragraph">
              <wp:posOffset>735256</wp:posOffset>
            </wp:positionV>
            <wp:extent cx="54478" cy="6286"/>
            <wp:effectExtent l="0" t="0" r="0" b="0"/>
            <wp:wrapTopAndBottom/>
            <wp:docPr id="285" name="image19.png"/>
            <wp:cNvGraphicFramePr>
              <a:graphicFrameLocks noChangeAspect="1"/>
            </wp:cNvGraphicFramePr>
            <a:graphic>
              <a:graphicData uri="http://schemas.openxmlformats.org/drawingml/2006/picture">
                <pic:pic>
                  <pic:nvPicPr>
                    <pic:cNvPr id="286" name="image19.png"/>
                    <pic:cNvPicPr/>
                  </pic:nvPicPr>
                  <pic:blipFill>
                    <a:blip r:embed="rId50" cstate="print"/>
                    <a:stretch>
                      <a:fillRect/>
                    </a:stretch>
                  </pic:blipFill>
                  <pic:spPr>
                    <a:xfrm>
                      <a:off x="0" y="0"/>
                      <a:ext cx="54478" cy="6286"/>
                    </a:xfrm>
                    <a:prstGeom prst="rect">
                      <a:avLst/>
                    </a:prstGeom>
                  </pic:spPr>
                </pic:pic>
              </a:graphicData>
            </a:graphic>
          </wp:anchor>
        </w:drawing>
      </w:r>
    </w:p>
    <w:p>
      <w:pPr>
        <w:pStyle w:val="BodyText"/>
        <w:spacing w:before="9"/>
        <w:rPr>
          <w:b/>
          <w:sz w:val="7"/>
        </w:rPr>
      </w:pPr>
    </w:p>
    <w:p>
      <w:pPr>
        <w:pStyle w:val="BodyText"/>
        <w:spacing w:before="9"/>
        <w:rPr>
          <w:b/>
          <w:sz w:val="7"/>
        </w:rPr>
      </w:pPr>
    </w:p>
    <w:p>
      <w:pPr>
        <w:pStyle w:val="BodyText"/>
        <w:spacing w:before="9"/>
        <w:rPr>
          <w:b/>
          <w:sz w:val="7"/>
        </w:rPr>
      </w:pPr>
    </w:p>
    <w:p>
      <w:pPr>
        <w:pStyle w:val="BodyText"/>
        <w:spacing w:before="9"/>
        <w:rPr>
          <w:b/>
          <w:sz w:val="7"/>
        </w:rPr>
      </w:pPr>
    </w:p>
    <w:p>
      <w:pPr>
        <w:pStyle w:val="BodyText"/>
        <w:spacing w:before="9"/>
        <w:rPr>
          <w:b/>
          <w:sz w:val="7"/>
        </w:rPr>
      </w:pPr>
    </w:p>
    <w:p>
      <w:pPr>
        <w:pStyle w:val="BodyText"/>
        <w:spacing w:before="9"/>
        <w:rPr>
          <w:b/>
          <w:sz w:val="7"/>
        </w:rPr>
      </w:pPr>
    </w:p>
    <w:p>
      <w:pPr>
        <w:pStyle w:val="BodyText"/>
        <w:rPr>
          <w:b/>
          <w:sz w:val="12"/>
        </w:rPr>
      </w:pPr>
      <w:r>
        <w:rPr/>
        <w:br w:type="column"/>
      </w:r>
      <w:r>
        <w:rPr>
          <w:b/>
          <w:sz w:val="12"/>
        </w:rPr>
      </w:r>
    </w:p>
    <w:p>
      <w:pPr>
        <w:spacing w:line="208" w:lineRule="auto" w:before="79"/>
        <w:ind w:left="123" w:right="20" w:hanging="60"/>
        <w:jc w:val="left"/>
        <w:rPr>
          <w:sz w:val="12"/>
        </w:rPr>
      </w:pPr>
      <w:r>
        <w:rPr>
          <w:sz w:val="12"/>
        </w:rPr>
        <w:t>Manufacturing recruitment difficulties (b)</w:t>
      </w:r>
    </w:p>
    <w:p>
      <w:pPr>
        <w:pStyle w:val="BodyText"/>
        <w:spacing w:before="7"/>
        <w:rPr>
          <w:sz w:val="13"/>
        </w:rPr>
      </w:pPr>
    </w:p>
    <w:p>
      <w:pPr>
        <w:spacing w:line="208" w:lineRule="auto" w:before="0"/>
        <w:ind w:left="413" w:right="37" w:hanging="60"/>
        <w:jc w:val="left"/>
        <w:rPr>
          <w:sz w:val="12"/>
        </w:rPr>
      </w:pPr>
      <w:r>
        <w:rPr>
          <w:sz w:val="12"/>
        </w:rPr>
        <w:t>Services recruitment difficulties (b)</w:t>
      </w:r>
    </w:p>
    <w:p>
      <w:pPr>
        <w:spacing w:line="116" w:lineRule="exact" w:before="10"/>
        <w:ind w:left="168" w:right="0" w:firstLine="0"/>
        <w:jc w:val="left"/>
        <w:rPr>
          <w:sz w:val="12"/>
        </w:rPr>
      </w:pPr>
      <w:r>
        <w:rPr/>
        <w:br w:type="column"/>
      </w:r>
      <w:r>
        <w:rPr>
          <w:sz w:val="12"/>
        </w:rPr>
        <w:t>Per cent</w:t>
      </w:r>
    </w:p>
    <w:p>
      <w:pPr>
        <w:spacing w:line="116" w:lineRule="exact" w:before="0"/>
        <w:ind w:left="0" w:right="38" w:firstLine="0"/>
        <w:jc w:val="right"/>
        <w:rPr>
          <w:sz w:val="12"/>
        </w:rPr>
      </w:pPr>
      <w:r>
        <w:rPr/>
        <w:drawing>
          <wp:anchor distT="0" distB="0" distL="0" distR="0" allowOverlap="1" layoutInCell="1" locked="0" behindDoc="1" simplePos="0" relativeHeight="480840704">
            <wp:simplePos x="0" y="0"/>
            <wp:positionH relativeFrom="page">
              <wp:posOffset>1741335</wp:posOffset>
            </wp:positionH>
            <wp:positionV relativeFrom="paragraph">
              <wp:posOffset>27197</wp:posOffset>
            </wp:positionV>
            <wp:extent cx="796925" cy="649008"/>
            <wp:effectExtent l="0" t="0" r="0" b="0"/>
            <wp:wrapNone/>
            <wp:docPr id="287" name="image69.png"/>
            <wp:cNvGraphicFramePr>
              <a:graphicFrameLocks noChangeAspect="1"/>
            </wp:cNvGraphicFramePr>
            <a:graphic>
              <a:graphicData uri="http://schemas.openxmlformats.org/drawingml/2006/picture">
                <pic:pic>
                  <pic:nvPicPr>
                    <pic:cNvPr id="288" name="image69.png"/>
                    <pic:cNvPicPr/>
                  </pic:nvPicPr>
                  <pic:blipFill>
                    <a:blip r:embed="rId132" cstate="print"/>
                    <a:stretch>
                      <a:fillRect/>
                    </a:stretch>
                  </pic:blipFill>
                  <pic:spPr>
                    <a:xfrm>
                      <a:off x="0" y="0"/>
                      <a:ext cx="796925" cy="649008"/>
                    </a:xfrm>
                    <a:prstGeom prst="rect">
                      <a:avLst/>
                    </a:prstGeom>
                  </pic:spPr>
                </pic:pic>
              </a:graphicData>
            </a:graphic>
          </wp:anchor>
        </w:drawing>
      </w:r>
      <w:r>
        <w:rPr>
          <w:sz w:val="12"/>
        </w:rPr>
        <w:t>80</w:t>
      </w:r>
    </w:p>
    <w:p>
      <w:pPr>
        <w:spacing w:before="27"/>
        <w:ind w:left="0" w:right="38" w:firstLine="0"/>
        <w:jc w:val="right"/>
        <w:rPr>
          <w:sz w:val="12"/>
        </w:rPr>
      </w:pPr>
      <w:r>
        <w:rPr>
          <w:sz w:val="12"/>
        </w:rPr>
        <w:t>70</w:t>
      </w:r>
    </w:p>
    <w:p>
      <w:pPr>
        <w:spacing w:before="35"/>
        <w:ind w:left="0" w:right="38" w:firstLine="0"/>
        <w:jc w:val="right"/>
        <w:rPr>
          <w:sz w:val="12"/>
        </w:rPr>
      </w:pPr>
      <w:r>
        <w:rPr>
          <w:sz w:val="12"/>
        </w:rPr>
        <w:t>60</w:t>
      </w:r>
    </w:p>
    <w:p>
      <w:pPr>
        <w:spacing w:before="28"/>
        <w:ind w:left="0" w:right="38" w:firstLine="0"/>
        <w:jc w:val="right"/>
        <w:rPr>
          <w:sz w:val="12"/>
        </w:rPr>
      </w:pPr>
      <w:r>
        <w:rPr>
          <w:sz w:val="12"/>
        </w:rPr>
        <w:t>50</w:t>
      </w:r>
    </w:p>
    <w:p>
      <w:pPr>
        <w:spacing w:before="27"/>
        <w:ind w:left="0" w:right="38" w:firstLine="0"/>
        <w:jc w:val="right"/>
        <w:rPr>
          <w:sz w:val="12"/>
        </w:rPr>
      </w:pPr>
      <w:r>
        <w:rPr>
          <w:sz w:val="12"/>
        </w:rPr>
        <w:t>40</w:t>
      </w:r>
    </w:p>
    <w:p>
      <w:pPr>
        <w:spacing w:before="26"/>
        <w:ind w:left="0" w:right="38" w:firstLine="0"/>
        <w:jc w:val="right"/>
        <w:rPr>
          <w:sz w:val="12"/>
        </w:rPr>
      </w:pPr>
      <w:r>
        <w:rPr>
          <w:sz w:val="12"/>
        </w:rPr>
        <w:t>30</w:t>
      </w:r>
    </w:p>
    <w:p>
      <w:pPr>
        <w:spacing w:before="35"/>
        <w:ind w:left="0" w:right="38" w:firstLine="0"/>
        <w:jc w:val="right"/>
        <w:rPr>
          <w:sz w:val="12"/>
        </w:rPr>
      </w:pPr>
      <w:r>
        <w:rPr>
          <w:sz w:val="12"/>
        </w:rPr>
        <w:t>20</w:t>
      </w:r>
    </w:p>
    <w:p>
      <w:pPr>
        <w:spacing w:before="26"/>
        <w:ind w:left="0" w:right="38" w:firstLine="0"/>
        <w:jc w:val="right"/>
        <w:rPr>
          <w:sz w:val="12"/>
        </w:rPr>
      </w:pPr>
      <w:r>
        <w:rPr/>
        <w:drawing>
          <wp:anchor distT="0" distB="0" distL="0" distR="0" allowOverlap="1" layoutInCell="1" locked="0" behindDoc="0" simplePos="0" relativeHeight="16140288">
            <wp:simplePos x="0" y="0"/>
            <wp:positionH relativeFrom="page">
              <wp:posOffset>2483230</wp:posOffset>
            </wp:positionH>
            <wp:positionV relativeFrom="paragraph">
              <wp:posOffset>62452</wp:posOffset>
            </wp:positionV>
            <wp:extent cx="55029" cy="6350"/>
            <wp:effectExtent l="0" t="0" r="0" b="0"/>
            <wp:wrapNone/>
            <wp:docPr id="289" name="image21.png"/>
            <wp:cNvGraphicFramePr>
              <a:graphicFrameLocks noChangeAspect="1"/>
            </wp:cNvGraphicFramePr>
            <a:graphic>
              <a:graphicData uri="http://schemas.openxmlformats.org/drawingml/2006/picture">
                <pic:pic>
                  <pic:nvPicPr>
                    <pic:cNvPr id="290" name="image21.png"/>
                    <pic:cNvPicPr/>
                  </pic:nvPicPr>
                  <pic:blipFill>
                    <a:blip r:embed="rId52" cstate="print"/>
                    <a:stretch>
                      <a:fillRect/>
                    </a:stretch>
                  </pic:blipFill>
                  <pic:spPr>
                    <a:xfrm>
                      <a:off x="0" y="0"/>
                      <a:ext cx="55029" cy="6350"/>
                    </a:xfrm>
                    <a:prstGeom prst="rect">
                      <a:avLst/>
                    </a:prstGeom>
                  </pic:spPr>
                </pic:pic>
              </a:graphicData>
            </a:graphic>
          </wp:anchor>
        </w:drawing>
      </w:r>
      <w:r>
        <w:rPr>
          <w:sz w:val="12"/>
        </w:rPr>
        <w:t>10</w:t>
      </w:r>
    </w:p>
    <w:p>
      <w:pPr>
        <w:pStyle w:val="Heading6"/>
        <w:spacing w:line="242" w:lineRule="auto" w:before="42"/>
        <w:ind w:left="168" w:right="355"/>
      </w:pPr>
      <w:r>
        <w:rPr/>
        <w:br w:type="column"/>
      </w:r>
      <w:r>
        <w:rPr/>
        <w:t>assessing the relationship between the supply of, and unsatisfied demand for, labour. New vacancies notified to Jobcentres fell slightly in March, but remain higher than a year ago, and the REC Press Recruitment Advertising Index—a measure of the number of</w:t>
      </w:r>
    </w:p>
    <w:p>
      <w:pPr>
        <w:spacing w:after="0" w:line="242" w:lineRule="auto"/>
        <w:sectPr>
          <w:type w:val="continuous"/>
          <w:pgSz w:w="11900" w:h="16840"/>
          <w:pgMar w:top="1220" w:bottom="280" w:left="640" w:right="620"/>
          <w:cols w:num="4" w:equalWidth="0">
            <w:col w:w="792" w:space="40"/>
            <w:col w:w="1400" w:space="554"/>
            <w:col w:w="773" w:space="1233"/>
            <w:col w:w="5848"/>
          </w:cols>
        </w:sectPr>
      </w:pPr>
    </w:p>
    <w:p>
      <w:pPr>
        <w:spacing w:line="122" w:lineRule="exact" w:before="19"/>
        <w:ind w:left="3458" w:right="0" w:firstLine="0"/>
        <w:jc w:val="left"/>
        <w:rPr>
          <w:sz w:val="12"/>
        </w:rPr>
      </w:pPr>
      <w:r>
        <w:rPr/>
        <w:drawing>
          <wp:anchor distT="0" distB="0" distL="0" distR="0" allowOverlap="1" layoutInCell="1" locked="0" behindDoc="0" simplePos="0" relativeHeight="16140800">
            <wp:simplePos x="0" y="0"/>
            <wp:positionH relativeFrom="page">
              <wp:posOffset>614210</wp:posOffset>
            </wp:positionH>
            <wp:positionV relativeFrom="paragraph">
              <wp:posOffset>17939</wp:posOffset>
            </wp:positionV>
            <wp:extent cx="1823516" cy="45770"/>
            <wp:effectExtent l="0" t="0" r="0" b="0"/>
            <wp:wrapNone/>
            <wp:docPr id="291" name="image70.png"/>
            <wp:cNvGraphicFramePr>
              <a:graphicFrameLocks noChangeAspect="1"/>
            </wp:cNvGraphicFramePr>
            <a:graphic>
              <a:graphicData uri="http://schemas.openxmlformats.org/drawingml/2006/picture">
                <pic:pic>
                  <pic:nvPicPr>
                    <pic:cNvPr id="292" name="image70.png"/>
                    <pic:cNvPicPr/>
                  </pic:nvPicPr>
                  <pic:blipFill>
                    <a:blip r:embed="rId133" cstate="print"/>
                    <a:stretch>
                      <a:fillRect/>
                    </a:stretch>
                  </pic:blipFill>
                  <pic:spPr>
                    <a:xfrm>
                      <a:off x="0" y="0"/>
                      <a:ext cx="1823516" cy="45770"/>
                    </a:xfrm>
                    <a:prstGeom prst="rect">
                      <a:avLst/>
                    </a:prstGeom>
                  </pic:spPr>
                </pic:pic>
              </a:graphicData>
            </a:graphic>
          </wp:anchor>
        </w:drawing>
      </w:r>
      <w:r>
        <w:rPr/>
        <w:drawing>
          <wp:anchor distT="0" distB="0" distL="0" distR="0" allowOverlap="1" layoutInCell="1" locked="0" behindDoc="0" simplePos="0" relativeHeight="16141312">
            <wp:simplePos x="0" y="0"/>
            <wp:positionH relativeFrom="page">
              <wp:posOffset>514210</wp:posOffset>
            </wp:positionH>
            <wp:positionV relativeFrom="paragraph">
              <wp:posOffset>57360</wp:posOffset>
            </wp:positionV>
            <wp:extent cx="55029" cy="6350"/>
            <wp:effectExtent l="0" t="0" r="0" b="0"/>
            <wp:wrapNone/>
            <wp:docPr id="293" name="image21.png"/>
            <wp:cNvGraphicFramePr>
              <a:graphicFrameLocks noChangeAspect="1"/>
            </wp:cNvGraphicFramePr>
            <a:graphic>
              <a:graphicData uri="http://schemas.openxmlformats.org/drawingml/2006/picture">
                <pic:pic>
                  <pic:nvPicPr>
                    <pic:cNvPr id="294" name="image21.png"/>
                    <pic:cNvPicPr/>
                  </pic:nvPicPr>
                  <pic:blipFill>
                    <a:blip r:embed="rId52"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141824">
            <wp:simplePos x="0" y="0"/>
            <wp:positionH relativeFrom="page">
              <wp:posOffset>2484285</wp:posOffset>
            </wp:positionH>
            <wp:positionV relativeFrom="paragraph">
              <wp:posOffset>57360</wp:posOffset>
            </wp:positionV>
            <wp:extent cx="55041" cy="6350"/>
            <wp:effectExtent l="0" t="0" r="0" b="0"/>
            <wp:wrapNone/>
            <wp:docPr id="295" name="image19.png"/>
            <wp:cNvGraphicFramePr>
              <a:graphicFrameLocks noChangeAspect="1"/>
            </wp:cNvGraphicFramePr>
            <a:graphic>
              <a:graphicData uri="http://schemas.openxmlformats.org/drawingml/2006/picture">
                <pic:pic>
                  <pic:nvPicPr>
                    <pic:cNvPr id="296" name="image19.png"/>
                    <pic:cNvPicPr/>
                  </pic:nvPicPr>
                  <pic:blipFill>
                    <a:blip r:embed="rId50" cstate="print"/>
                    <a:stretch>
                      <a:fillRect/>
                    </a:stretch>
                  </pic:blipFill>
                  <pic:spPr>
                    <a:xfrm>
                      <a:off x="0" y="0"/>
                      <a:ext cx="55041" cy="6350"/>
                    </a:xfrm>
                    <a:prstGeom prst="rect">
                      <a:avLst/>
                    </a:prstGeom>
                  </pic:spPr>
                </pic:pic>
              </a:graphicData>
            </a:graphic>
          </wp:anchor>
        </w:drawing>
      </w:r>
      <w:r>
        <w:rPr>
          <w:sz w:val="12"/>
        </w:rPr>
        <w:t>0</w:t>
      </w:r>
    </w:p>
    <w:p>
      <w:pPr>
        <w:spacing w:line="122" w:lineRule="exact" w:before="0"/>
        <w:ind w:left="193" w:right="0" w:firstLine="0"/>
        <w:jc w:val="left"/>
        <w:rPr>
          <w:sz w:val="12"/>
        </w:rPr>
      </w:pPr>
      <w:r>
        <w:rPr>
          <w:sz w:val="12"/>
        </w:rPr>
        <w:t>1971 73 75 77 79 81 83 85 87 89 91 93 95 97 99</w:t>
      </w:r>
    </w:p>
    <w:p>
      <w:pPr>
        <w:spacing w:line="208" w:lineRule="auto" w:before="82"/>
        <w:ind w:left="635" w:right="335" w:hanging="480"/>
        <w:jc w:val="left"/>
        <w:rPr>
          <w:sz w:val="12"/>
        </w:rPr>
      </w:pPr>
      <w:r>
        <w:rPr>
          <w:sz w:val="12"/>
        </w:rPr>
        <w:t>Sources: British Chambers of Commerce and Confederation of British Industry.</w:t>
      </w:r>
    </w:p>
    <w:p>
      <w:pPr>
        <w:pStyle w:val="ListParagraph"/>
        <w:numPr>
          <w:ilvl w:val="0"/>
          <w:numId w:val="22"/>
        </w:numPr>
        <w:tabs>
          <w:tab w:pos="396" w:val="left" w:leader="none"/>
        </w:tabs>
        <w:spacing w:line="208" w:lineRule="auto" w:before="100" w:after="0"/>
        <w:ind w:left="395" w:right="476" w:hanging="240"/>
        <w:jc w:val="left"/>
        <w:rPr>
          <w:sz w:val="12"/>
        </w:rPr>
      </w:pPr>
      <w:r>
        <w:rPr>
          <w:sz w:val="12"/>
        </w:rPr>
        <w:t>Question: ‘Are shortages of skilled/unskilled labour likely to limit output during the next four</w:t>
      </w:r>
      <w:r>
        <w:rPr>
          <w:spacing w:val="-11"/>
          <w:sz w:val="12"/>
        </w:rPr>
        <w:t> </w:t>
      </w:r>
      <w:r>
        <w:rPr>
          <w:sz w:val="12"/>
        </w:rPr>
        <w:t>months?’.</w:t>
      </w:r>
    </w:p>
    <w:p>
      <w:pPr>
        <w:pStyle w:val="ListParagraph"/>
        <w:numPr>
          <w:ilvl w:val="0"/>
          <w:numId w:val="22"/>
        </w:numPr>
        <w:tabs>
          <w:tab w:pos="396" w:val="left" w:leader="none"/>
        </w:tabs>
        <w:spacing w:line="208" w:lineRule="auto" w:before="0" w:after="0"/>
        <w:ind w:left="395" w:right="186" w:hanging="240"/>
        <w:jc w:val="left"/>
        <w:rPr>
          <w:sz w:val="12"/>
        </w:rPr>
      </w:pPr>
      <w:r>
        <w:rPr>
          <w:sz w:val="12"/>
        </w:rPr>
        <w:t>Question: ‘Did you experience any difficulties over the past three months in finding staff in the following categories: skilled manual, technical/professional, managerial/clerical and</w:t>
      </w:r>
      <w:r>
        <w:rPr>
          <w:spacing w:val="-23"/>
          <w:sz w:val="12"/>
        </w:rPr>
        <w:t> </w:t>
      </w:r>
      <w:r>
        <w:rPr>
          <w:sz w:val="12"/>
        </w:rPr>
        <w:t>un/semi-skilled?’.</w:t>
      </w:r>
    </w:p>
    <w:p>
      <w:pPr>
        <w:pStyle w:val="BodyText"/>
        <w:rPr>
          <w:sz w:val="12"/>
        </w:rPr>
      </w:pPr>
    </w:p>
    <w:p>
      <w:pPr>
        <w:spacing w:before="74"/>
        <w:ind w:left="170" w:right="0" w:firstLine="0"/>
        <w:jc w:val="left"/>
        <w:rPr>
          <w:b/>
          <w:sz w:val="20"/>
        </w:rPr>
      </w:pPr>
      <w:r>
        <w:rPr>
          <w:b/>
          <w:color w:val="0092C7"/>
          <w:sz w:val="20"/>
        </w:rPr>
        <w:t>Chart 3.7</w:t>
      </w:r>
    </w:p>
    <w:p>
      <w:pPr>
        <w:spacing w:before="10"/>
        <w:ind w:left="170" w:right="0" w:firstLine="0"/>
        <w:jc w:val="left"/>
        <w:rPr>
          <w:sz w:val="12"/>
        </w:rPr>
      </w:pPr>
      <w:r>
        <w:rPr>
          <w:b/>
          <w:color w:val="0092C7"/>
          <w:sz w:val="20"/>
        </w:rPr>
        <w:t>Average duration of Jobcentre vacancies</w:t>
      </w:r>
      <w:r>
        <w:rPr>
          <w:position w:val="4"/>
          <w:sz w:val="12"/>
        </w:rPr>
        <w:t>(a)</w:t>
      </w:r>
    </w:p>
    <w:p>
      <w:pPr>
        <w:spacing w:line="115" w:lineRule="exact" w:before="31"/>
        <w:ind w:left="2483" w:right="0" w:firstLine="0"/>
        <w:jc w:val="left"/>
        <w:rPr>
          <w:sz w:val="12"/>
        </w:rPr>
      </w:pPr>
      <w:r>
        <w:rPr>
          <w:sz w:val="12"/>
        </w:rPr>
        <w:t>Number of mont</w:t>
      </w:r>
      <w:r>
        <w:rPr>
          <w:sz w:val="12"/>
          <w:u w:val="single"/>
        </w:rPr>
        <w:t>hs</w:t>
      </w:r>
    </w:p>
    <w:p>
      <w:pPr>
        <w:spacing w:line="115" w:lineRule="exact" w:before="0"/>
        <w:ind w:left="3430" w:right="0" w:firstLine="0"/>
        <w:jc w:val="left"/>
        <w:rPr>
          <w:sz w:val="12"/>
        </w:rPr>
      </w:pPr>
      <w:r>
        <w:rPr/>
        <w:drawing>
          <wp:anchor distT="0" distB="0" distL="0" distR="0" allowOverlap="1" layoutInCell="1" locked="0" behindDoc="0" simplePos="0" relativeHeight="16142336">
            <wp:simplePos x="0" y="0"/>
            <wp:positionH relativeFrom="page">
              <wp:posOffset>531279</wp:posOffset>
            </wp:positionH>
            <wp:positionV relativeFrom="paragraph">
              <wp:posOffset>93222</wp:posOffset>
            </wp:positionV>
            <wp:extent cx="2027770" cy="1577974"/>
            <wp:effectExtent l="0" t="0" r="0" b="0"/>
            <wp:wrapNone/>
            <wp:docPr id="297" name="image71.png"/>
            <wp:cNvGraphicFramePr>
              <a:graphicFrameLocks noChangeAspect="1"/>
            </wp:cNvGraphicFramePr>
            <a:graphic>
              <a:graphicData uri="http://schemas.openxmlformats.org/drawingml/2006/picture">
                <pic:pic>
                  <pic:nvPicPr>
                    <pic:cNvPr id="298" name="image71.png"/>
                    <pic:cNvPicPr/>
                  </pic:nvPicPr>
                  <pic:blipFill>
                    <a:blip r:embed="rId134" cstate="print"/>
                    <a:stretch>
                      <a:fillRect/>
                    </a:stretch>
                  </pic:blipFill>
                  <pic:spPr>
                    <a:xfrm>
                      <a:off x="0" y="0"/>
                      <a:ext cx="2027770" cy="1577974"/>
                    </a:xfrm>
                    <a:prstGeom prst="rect">
                      <a:avLst/>
                    </a:prstGeom>
                  </pic:spPr>
                </pic:pic>
              </a:graphicData>
            </a:graphic>
          </wp:anchor>
        </w:drawing>
      </w:r>
      <w:r>
        <w:rPr/>
        <w:drawing>
          <wp:anchor distT="0" distB="0" distL="0" distR="0" allowOverlap="1" layoutInCell="1" locked="0" behindDoc="0" simplePos="0" relativeHeight="16142848">
            <wp:simplePos x="0" y="0"/>
            <wp:positionH relativeFrom="page">
              <wp:posOffset>531279</wp:posOffset>
            </wp:positionH>
            <wp:positionV relativeFrom="paragraph">
              <wp:posOffset>25086</wp:posOffset>
            </wp:positionV>
            <wp:extent cx="55041" cy="6350"/>
            <wp:effectExtent l="0" t="0" r="0" b="0"/>
            <wp:wrapNone/>
            <wp:docPr id="299" name="image19.png"/>
            <wp:cNvGraphicFramePr>
              <a:graphicFrameLocks noChangeAspect="1"/>
            </wp:cNvGraphicFramePr>
            <a:graphic>
              <a:graphicData uri="http://schemas.openxmlformats.org/drawingml/2006/picture">
                <pic:pic>
                  <pic:nvPicPr>
                    <pic:cNvPr id="300" name="image19.png"/>
                    <pic:cNvPicPr/>
                  </pic:nvPicPr>
                  <pic:blipFill>
                    <a:blip r:embed="rId50" cstate="print"/>
                    <a:stretch>
                      <a:fillRect/>
                    </a:stretch>
                  </pic:blipFill>
                  <pic:spPr>
                    <a:xfrm>
                      <a:off x="0" y="0"/>
                      <a:ext cx="55041" cy="6350"/>
                    </a:xfrm>
                    <a:prstGeom prst="rect">
                      <a:avLst/>
                    </a:prstGeom>
                  </pic:spPr>
                </pic:pic>
              </a:graphicData>
            </a:graphic>
          </wp:anchor>
        </w:drawing>
      </w:r>
      <w:r>
        <w:rPr>
          <w:sz w:val="12"/>
        </w:rPr>
        <w:t>1.6</w:t>
      </w:r>
    </w:p>
    <w:p>
      <w:pPr>
        <w:pStyle w:val="BodyText"/>
        <w:rPr>
          <w:sz w:val="12"/>
        </w:rPr>
      </w:pPr>
    </w:p>
    <w:p>
      <w:pPr>
        <w:pStyle w:val="BodyText"/>
        <w:spacing w:before="9"/>
        <w:rPr>
          <w:sz w:val="17"/>
        </w:rPr>
      </w:pPr>
    </w:p>
    <w:p>
      <w:pPr>
        <w:spacing w:before="0"/>
        <w:ind w:left="0" w:right="236" w:firstLine="0"/>
        <w:jc w:val="right"/>
        <w:rPr>
          <w:sz w:val="12"/>
        </w:rPr>
      </w:pPr>
      <w:r>
        <w:rPr>
          <w:sz w:val="12"/>
        </w:rPr>
        <w:t>1.4</w:t>
      </w:r>
    </w:p>
    <w:p>
      <w:pPr>
        <w:pStyle w:val="BodyText"/>
        <w:rPr>
          <w:sz w:val="12"/>
        </w:rPr>
      </w:pPr>
    </w:p>
    <w:p>
      <w:pPr>
        <w:pStyle w:val="BodyText"/>
        <w:spacing w:before="9"/>
        <w:rPr>
          <w:sz w:val="17"/>
        </w:rPr>
      </w:pPr>
    </w:p>
    <w:p>
      <w:pPr>
        <w:spacing w:before="0"/>
        <w:ind w:left="0" w:right="236" w:firstLine="0"/>
        <w:jc w:val="right"/>
        <w:rPr>
          <w:sz w:val="12"/>
        </w:rPr>
      </w:pPr>
      <w:r>
        <w:rPr>
          <w:sz w:val="12"/>
        </w:rPr>
        <w:t>1.2</w:t>
      </w:r>
    </w:p>
    <w:p>
      <w:pPr>
        <w:pStyle w:val="BodyText"/>
        <w:rPr>
          <w:sz w:val="12"/>
        </w:rPr>
      </w:pPr>
    </w:p>
    <w:p>
      <w:pPr>
        <w:pStyle w:val="BodyText"/>
        <w:spacing w:before="9"/>
        <w:rPr>
          <w:sz w:val="17"/>
        </w:rPr>
      </w:pPr>
    </w:p>
    <w:p>
      <w:pPr>
        <w:spacing w:before="0"/>
        <w:ind w:left="0" w:right="236" w:firstLine="0"/>
        <w:jc w:val="right"/>
        <w:rPr>
          <w:sz w:val="12"/>
        </w:rPr>
      </w:pPr>
      <w:r>
        <w:rPr>
          <w:sz w:val="12"/>
        </w:rPr>
        <w:t>1.0</w:t>
      </w:r>
    </w:p>
    <w:p>
      <w:pPr>
        <w:pStyle w:val="BodyText"/>
        <w:rPr>
          <w:sz w:val="12"/>
        </w:rPr>
      </w:pPr>
    </w:p>
    <w:p>
      <w:pPr>
        <w:pStyle w:val="BodyText"/>
        <w:spacing w:before="9"/>
        <w:rPr>
          <w:sz w:val="17"/>
        </w:rPr>
      </w:pPr>
    </w:p>
    <w:p>
      <w:pPr>
        <w:spacing w:before="0"/>
        <w:ind w:left="0" w:right="236" w:firstLine="0"/>
        <w:jc w:val="right"/>
        <w:rPr>
          <w:sz w:val="12"/>
        </w:rPr>
      </w:pPr>
      <w:r>
        <w:rPr>
          <w:sz w:val="12"/>
        </w:rPr>
        <w:t>0.8</w:t>
      </w:r>
    </w:p>
    <w:p>
      <w:pPr>
        <w:pStyle w:val="BodyText"/>
        <w:rPr>
          <w:sz w:val="12"/>
        </w:rPr>
      </w:pPr>
    </w:p>
    <w:p>
      <w:pPr>
        <w:pStyle w:val="BodyText"/>
        <w:spacing w:before="9"/>
        <w:rPr>
          <w:sz w:val="17"/>
        </w:rPr>
      </w:pPr>
    </w:p>
    <w:p>
      <w:pPr>
        <w:spacing w:before="0"/>
        <w:ind w:left="0" w:right="236" w:firstLine="0"/>
        <w:jc w:val="right"/>
        <w:rPr>
          <w:sz w:val="12"/>
        </w:rPr>
      </w:pPr>
      <w:r>
        <w:rPr>
          <w:sz w:val="12"/>
        </w:rPr>
        <w:t>0.6</w:t>
      </w:r>
    </w:p>
    <w:p>
      <w:pPr>
        <w:pStyle w:val="BodyText"/>
        <w:rPr>
          <w:sz w:val="12"/>
        </w:rPr>
      </w:pPr>
    </w:p>
    <w:p>
      <w:pPr>
        <w:pStyle w:val="BodyText"/>
        <w:spacing w:before="8"/>
        <w:rPr>
          <w:sz w:val="17"/>
        </w:rPr>
      </w:pPr>
    </w:p>
    <w:p>
      <w:pPr>
        <w:spacing w:line="124" w:lineRule="exact" w:before="1"/>
        <w:ind w:left="3430" w:right="0" w:firstLine="0"/>
        <w:jc w:val="left"/>
        <w:rPr>
          <w:sz w:val="12"/>
        </w:rPr>
      </w:pPr>
      <w:r>
        <w:rPr/>
        <w:drawing>
          <wp:anchor distT="0" distB="0" distL="0" distR="0" allowOverlap="1" layoutInCell="1" locked="0" behindDoc="0" simplePos="0" relativeHeight="16143360">
            <wp:simplePos x="0" y="0"/>
            <wp:positionH relativeFrom="page">
              <wp:posOffset>531279</wp:posOffset>
            </wp:positionH>
            <wp:positionV relativeFrom="paragraph">
              <wp:posOffset>37374</wp:posOffset>
            </wp:positionV>
            <wp:extent cx="2043112" cy="96177"/>
            <wp:effectExtent l="0" t="0" r="0" b="0"/>
            <wp:wrapNone/>
            <wp:docPr id="301" name="image72.png"/>
            <wp:cNvGraphicFramePr>
              <a:graphicFrameLocks noChangeAspect="1"/>
            </wp:cNvGraphicFramePr>
            <a:graphic>
              <a:graphicData uri="http://schemas.openxmlformats.org/drawingml/2006/picture">
                <pic:pic>
                  <pic:nvPicPr>
                    <pic:cNvPr id="302" name="image72.png"/>
                    <pic:cNvPicPr/>
                  </pic:nvPicPr>
                  <pic:blipFill>
                    <a:blip r:embed="rId135" cstate="print"/>
                    <a:stretch>
                      <a:fillRect/>
                    </a:stretch>
                  </pic:blipFill>
                  <pic:spPr>
                    <a:xfrm>
                      <a:off x="0" y="0"/>
                      <a:ext cx="2043112" cy="96177"/>
                    </a:xfrm>
                    <a:prstGeom prst="rect">
                      <a:avLst/>
                    </a:prstGeom>
                  </pic:spPr>
                </pic:pic>
              </a:graphicData>
            </a:graphic>
          </wp:anchor>
        </w:drawing>
      </w:r>
      <w:r>
        <w:rPr>
          <w:sz w:val="12"/>
        </w:rPr>
        <w:t>0.4</w:t>
      </w:r>
    </w:p>
    <w:p>
      <w:pPr>
        <w:pStyle w:val="Heading6"/>
        <w:spacing w:line="242" w:lineRule="auto" w:before="7"/>
        <w:ind w:left="155" w:right="222"/>
      </w:pPr>
      <w:r>
        <w:rPr/>
        <w:br w:type="column"/>
      </w:r>
      <w:r>
        <w:rPr/>
        <w:t>recruitment advertisements in the national press—rose by around 15% in the year to March. The average time taken to fill Jobcentre vacancies remains high by recent historical standards (see Chart 3.7), which may in part reflect the relative tightness of labour market conditions.</w:t>
      </w:r>
    </w:p>
    <w:p>
      <w:pPr>
        <w:pStyle w:val="BodyText"/>
        <w:spacing w:before="4"/>
        <w:rPr>
          <w:sz w:val="28"/>
        </w:rPr>
      </w:pPr>
    </w:p>
    <w:p>
      <w:pPr>
        <w:spacing w:line="242" w:lineRule="auto" w:before="0"/>
        <w:ind w:left="155" w:right="203" w:firstLine="0"/>
        <w:jc w:val="left"/>
        <w:rPr>
          <w:sz w:val="24"/>
        </w:rPr>
      </w:pPr>
      <w:r>
        <w:rPr>
          <w:sz w:val="24"/>
        </w:rPr>
        <w:t>Labour productivity growth has picked up in recent quarters as output growth has outstripped the increase in employment. Annual growth in the official measure of productivity per </w:t>
      </w:r>
      <w:r>
        <w:rPr>
          <w:spacing w:val="-3"/>
          <w:sz w:val="24"/>
        </w:rPr>
        <w:t>worker, </w:t>
      </w:r>
      <w:r>
        <w:rPr>
          <w:sz w:val="24"/>
        </w:rPr>
        <w:t>which is based on the </w:t>
      </w:r>
      <w:r>
        <w:rPr>
          <w:spacing w:val="-3"/>
          <w:sz w:val="24"/>
        </w:rPr>
        <w:t>Workforce </w:t>
      </w:r>
      <w:r>
        <w:rPr>
          <w:sz w:val="24"/>
        </w:rPr>
        <w:t>Jobs measure, rose from 1.0% in 1999 Q3 to 1.8% in Q4 (see Chart 3.8). Whole-economy labour productivity growth in Q4 was close to its long-run average of roughly 2%, having been below this </w:t>
      </w:r>
      <w:r>
        <w:rPr>
          <w:spacing w:val="-3"/>
          <w:sz w:val="24"/>
        </w:rPr>
        <w:t>level </w:t>
      </w:r>
      <w:r>
        <w:rPr>
          <w:sz w:val="24"/>
        </w:rPr>
        <w:t>for several years. Although manufacturing productivity growth has been stable </w:t>
      </w:r>
      <w:r>
        <w:rPr>
          <w:spacing w:val="-3"/>
          <w:sz w:val="24"/>
        </w:rPr>
        <w:t>over </w:t>
      </w:r>
      <w:r>
        <w:rPr>
          <w:sz w:val="24"/>
        </w:rPr>
        <w:t>the past three months, it has risen sharply </w:t>
      </w:r>
      <w:r>
        <w:rPr>
          <w:spacing w:val="-3"/>
          <w:sz w:val="24"/>
        </w:rPr>
        <w:t>over </w:t>
      </w:r>
      <w:r>
        <w:rPr>
          <w:sz w:val="24"/>
        </w:rPr>
        <w:t>the past 18 months as employment has continued to fall when output growth has turned</w:t>
      </w:r>
      <w:r>
        <w:rPr>
          <w:spacing w:val="-28"/>
          <w:sz w:val="24"/>
        </w:rPr>
        <w:t> </w:t>
      </w:r>
      <w:r>
        <w:rPr>
          <w:sz w:val="24"/>
        </w:rPr>
        <w:t>up.</w:t>
      </w:r>
    </w:p>
    <w:p>
      <w:pPr>
        <w:spacing w:after="0" w:line="242" w:lineRule="auto"/>
        <w:jc w:val="left"/>
        <w:rPr>
          <w:sz w:val="24"/>
        </w:rPr>
        <w:sectPr>
          <w:type w:val="continuous"/>
          <w:pgSz w:w="11900" w:h="16840"/>
          <w:pgMar w:top="1220" w:bottom="280" w:left="640" w:right="620"/>
          <w:cols w:num="2" w:equalWidth="0">
            <w:col w:w="3820" w:space="984"/>
            <w:col w:w="5836"/>
          </w:cols>
        </w:sectPr>
      </w:pPr>
    </w:p>
    <w:p>
      <w:pPr>
        <w:pStyle w:val="BodyText"/>
        <w:rPr>
          <w:sz w:val="10"/>
        </w:rPr>
      </w:pPr>
    </w:p>
    <w:p>
      <w:pPr>
        <w:spacing w:before="0"/>
        <w:ind w:left="255" w:right="0" w:firstLine="0"/>
        <w:jc w:val="left"/>
        <w:rPr>
          <w:sz w:val="12"/>
        </w:rPr>
      </w:pPr>
      <w:r>
        <w:rPr>
          <w:sz w:val="12"/>
        </w:rPr>
        <w:t>1980 82 84 86 88 90 92 94 96</w:t>
      </w:r>
    </w:p>
    <w:p>
      <w:pPr>
        <w:spacing w:line="124" w:lineRule="exact" w:before="5"/>
        <w:ind w:left="603" w:right="0" w:firstLine="0"/>
        <w:jc w:val="left"/>
        <w:rPr>
          <w:sz w:val="12"/>
        </w:rPr>
      </w:pPr>
      <w:r>
        <w:rPr/>
        <w:br w:type="column"/>
      </w:r>
      <w:r>
        <w:rPr>
          <w:sz w:val="12"/>
        </w:rPr>
        <w:t>0.0</w:t>
      </w:r>
    </w:p>
    <w:p>
      <w:pPr>
        <w:spacing w:line="124" w:lineRule="exact" w:before="0"/>
        <w:ind w:left="126" w:right="0" w:firstLine="0"/>
        <w:jc w:val="left"/>
        <w:rPr>
          <w:sz w:val="12"/>
        </w:rPr>
      </w:pPr>
      <w:r>
        <w:rPr>
          <w:sz w:val="12"/>
        </w:rPr>
        <w:t>98 2000</w:t>
      </w:r>
    </w:p>
    <w:p>
      <w:pPr>
        <w:pStyle w:val="Heading6"/>
        <w:spacing w:line="266" w:lineRule="exact"/>
        <w:ind w:left="255"/>
      </w:pPr>
      <w:r>
        <w:rPr/>
        <w:br w:type="column"/>
      </w:r>
      <w:r>
        <w:rPr/>
        <w:t>Moreover, productivity growth in the rest of the</w:t>
      </w:r>
    </w:p>
    <w:p>
      <w:pPr>
        <w:spacing w:after="0" w:line="266" w:lineRule="exact"/>
        <w:sectPr>
          <w:type w:val="continuous"/>
          <w:pgSz w:w="11900" w:h="16840"/>
          <w:pgMar w:top="1220" w:bottom="280" w:left="640" w:right="620"/>
          <w:cols w:num="3" w:equalWidth="0">
            <w:col w:w="2788" w:space="40"/>
            <w:col w:w="794" w:space="1082"/>
            <w:col w:w="5936"/>
          </w:cols>
        </w:sectPr>
      </w:pPr>
    </w:p>
    <w:p>
      <w:pPr>
        <w:spacing w:line="208" w:lineRule="auto" w:before="46"/>
        <w:ind w:left="400" w:right="0" w:hanging="240"/>
        <w:jc w:val="left"/>
        <w:rPr>
          <w:sz w:val="12"/>
        </w:rPr>
      </w:pPr>
      <w:r>
        <w:rPr>
          <w:sz w:val="12"/>
        </w:rPr>
        <w:t>(a) Defined as the stock of Jobcentre vacancies divided by monthly outflows.</w:t>
      </w:r>
    </w:p>
    <w:p>
      <w:pPr>
        <w:pStyle w:val="Heading6"/>
        <w:spacing w:before="4"/>
        <w:ind w:left="160"/>
      </w:pPr>
      <w:r>
        <w:rPr/>
        <w:br w:type="column"/>
      </w:r>
      <w:r>
        <w:rPr/>
        <w:t>economy picked up in the second half of 1999 (see</w:t>
      </w:r>
    </w:p>
    <w:p>
      <w:pPr>
        <w:spacing w:after="0"/>
        <w:sectPr>
          <w:type w:val="continuous"/>
          <w:pgSz w:w="11900" w:h="16840"/>
          <w:pgMar w:top="1220" w:bottom="280" w:left="640" w:right="620"/>
          <w:cols w:num="2" w:equalWidth="0">
            <w:col w:w="3502" w:space="1298"/>
            <w:col w:w="5840"/>
          </w:cols>
        </w:sectPr>
      </w:pPr>
    </w:p>
    <w:p>
      <w:pPr>
        <w:pStyle w:val="BodyText"/>
        <w:rPr>
          <w:sz w:val="20"/>
        </w:rPr>
      </w:pPr>
    </w:p>
    <w:p>
      <w:pPr>
        <w:spacing w:after="0"/>
        <w:rPr>
          <w:sz w:val="20"/>
        </w:rPr>
        <w:sectPr>
          <w:pgSz w:w="11900" w:h="16840"/>
          <w:pgMar w:header="586" w:footer="597" w:top="780" w:bottom="780" w:left="640" w:right="620"/>
        </w:sectPr>
      </w:pPr>
    </w:p>
    <w:p>
      <w:pPr>
        <w:pStyle w:val="BodyText"/>
        <w:spacing w:before="2"/>
        <w:rPr>
          <w:sz w:val="21"/>
        </w:rPr>
      </w:pPr>
    </w:p>
    <w:p>
      <w:pPr>
        <w:spacing w:before="0"/>
        <w:ind w:left="180" w:right="0" w:firstLine="0"/>
        <w:jc w:val="left"/>
        <w:rPr>
          <w:b/>
          <w:sz w:val="20"/>
        </w:rPr>
      </w:pPr>
      <w:bookmarkStart w:name="Earnings and settlements" w:id="56"/>
      <w:bookmarkEnd w:id="56"/>
      <w:r>
        <w:rPr/>
      </w:r>
      <w:bookmarkStart w:name="_bookmark27" w:id="57"/>
      <w:bookmarkEnd w:id="57"/>
      <w:r>
        <w:rPr/>
      </w:r>
      <w:r>
        <w:rPr>
          <w:b/>
          <w:color w:val="0092C7"/>
          <w:sz w:val="20"/>
        </w:rPr>
        <w:t>Chart 3.8</w:t>
      </w:r>
    </w:p>
    <w:p>
      <w:pPr>
        <w:spacing w:line="249" w:lineRule="auto" w:before="10"/>
        <w:ind w:left="180" w:right="462" w:firstLine="0"/>
        <w:jc w:val="left"/>
        <w:rPr>
          <w:b/>
          <w:sz w:val="20"/>
        </w:rPr>
      </w:pPr>
      <w:r>
        <w:rPr>
          <w:b/>
          <w:color w:val="0092C7"/>
          <w:sz w:val="20"/>
        </w:rPr>
        <w:t>Growth in labour productivity and unit wage costs</w:t>
      </w:r>
    </w:p>
    <w:p>
      <w:pPr>
        <w:spacing w:line="118" w:lineRule="exact" w:before="81"/>
        <w:ind w:left="1700" w:right="0" w:firstLine="0"/>
        <w:jc w:val="left"/>
        <w:rPr>
          <w:sz w:val="12"/>
        </w:rPr>
      </w:pPr>
      <w:r>
        <w:rPr>
          <w:sz w:val="12"/>
        </w:rPr>
        <w:t>Percentage changes on a year earlier</w:t>
      </w:r>
    </w:p>
    <w:p>
      <w:pPr>
        <w:spacing w:line="118" w:lineRule="exact" w:before="0"/>
        <w:ind w:left="3480" w:right="0" w:firstLine="0"/>
        <w:jc w:val="left"/>
        <w:rPr>
          <w:sz w:val="12"/>
        </w:rPr>
      </w:pPr>
      <w:r>
        <w:rPr/>
        <w:pict>
          <v:group style="position:absolute;margin-left:42.917pt;margin-top:9.422416pt;width:153.15pt;height:119.35pt;mso-position-horizontal-relative:page;mso-position-vertical-relative:paragraph;z-index:-22462464" coordorigin="858,188" coordsize="3063,2387">
            <v:line style="position:absolute" from="1020,2220" to="3907,2220" stroked="true" strokeweight=".5pt" strokecolor="#000000">
              <v:stroke dashstyle="solid"/>
            </v:line>
            <v:shape style="position:absolute;left:1023;top:202;width:1305;height:1578" coordorigin="1023,202" coordsize="1305,1578" path="m1023,1172l1066,1325m1066,1325l1101,1340m1101,1340l1146,1522m1146,1522l1191,1780m1191,1780l1223,1477m1223,1477l1268,1447m1268,1447l1313,1385m1313,1385l1346,1295m1346,1295l1391,1022m1391,1022l1423,840m1423,840l1468,657m1468,657l1513,612m1513,612l1546,1430m1546,1430l1591,1355m1591,1355l1636,1370m1636,1370l1668,1400m1668,1400l1713,1082m1713,1082l1758,1310m1758,1310l1791,1567m1791,1567l1836,1462m1836,1462l1881,1340m1881,1340l1913,1325m1913,1325l1958,1037m1958,1037l2003,1052m2003,1052l2038,960m2038,960l2081,825m2081,825l2116,702m2116,702l2161,445m2161,445l2203,385m2203,385l2238,202m2238,202l2283,217m2283,217l2328,415e" filled="false" stroked="true" strokeweight="1pt" strokecolor="#de8508">
              <v:path arrowok="t"/>
              <v:stroke dashstyle="solid"/>
            </v:shape>
            <v:line style="position:absolute" from="2318,416" to="2371,416" stroked="true" strokeweight="1.125pt" strokecolor="#de8508">
              <v:stroke dashstyle="solid"/>
            </v:line>
            <v:shape style="position:absolute;left:2360;top:414;width:490;height:1835" coordorigin="2361,415" coordsize="490,1835" path="m2361,415l2406,445m2406,445l2451,765m2451,765l2483,687m2483,687l2528,945m2528,945l2573,1187m2573,1187l2606,1355m2606,1355l2651,1430m2651,1430l2696,1552m2696,1552l2728,1855m2728,1855l2773,1932m2773,1932l2818,2250m2818,2250l2851,2220e" filled="false" stroked="true" strokeweight="1pt" strokecolor="#de8508">
              <v:path arrowok="t"/>
              <v:stroke dashstyle="solid"/>
            </v:shape>
            <v:line style="position:absolute" from="2841,2221" to="2906,2221" stroked="true" strokeweight="1.125pt" strokecolor="#de8508">
              <v:stroke dashstyle="solid"/>
            </v:line>
            <v:shape style="position:absolute;left:2895;top:1354;width:1015;height:1063" coordorigin="2896,1355" coordsize="1015,1063" path="m2896,2220l2928,2142m2928,2142l2973,2190m2973,2190l3018,2417m3018,2417l3051,2340m3051,2340l3096,2265m3096,2265l3141,2082m3141,2082l3176,1900m3176,1900l3218,1885m3218,1885l3263,1917m3263,1917l3298,1992m3298,1992l3341,1917m3341,1917l3386,1900m3386,1900l3421,1825m3421,1825l3466,1690m3466,1690l3508,1720m3508,1720l3543,1657m3543,1657l3588,1690m3588,1690l3621,1597m3621,1597l3666,1642m3666,1642l3711,1537m3711,1537l3743,1415m3743,1415l3788,1430m3788,1430l3833,1355m3833,1355l3866,1537m3866,1537l3911,1642e" filled="false" stroked="true" strokeweight="1pt" strokecolor="#de8508">
              <v:path arrowok="t"/>
              <v:stroke dashstyle="solid"/>
            </v:shape>
            <v:shape style="position:absolute;left:1023;top:1097;width:168;height:470" coordorigin="1023,1097" coordsize="168,470" path="m1023,1400l1066,1325m1066,1325l1101,1567m1101,1567l1146,1522m1146,1522l1191,1097e" filled="false" stroked="true" strokeweight="1pt" strokecolor="#0099d9">
              <v:path arrowok="t"/>
              <v:stroke dashstyle="solid"/>
            </v:shape>
            <v:line style="position:absolute" from="1207,1087" to="1207,1517" stroked="true" strokeweight="2.625pt" strokecolor="#0099d9">
              <v:stroke dashstyle="solid"/>
            </v:line>
            <v:shape style="position:absolute;left:1223;top:1507;width:90;height:183" coordorigin="1223,1507" coordsize="90,183" path="m1223,1507l1268,1582m1268,1582l1313,1690e" filled="false" stroked="true" strokeweight="1pt" strokecolor="#0099d9">
              <v:path arrowok="t"/>
              <v:stroke dashstyle="solid"/>
            </v:shape>
            <v:line style="position:absolute" from="1330,1680" to="1330,2107" stroked="true" strokeweight="2.625pt" strokecolor="#0099d9">
              <v:stroke dashstyle="solid"/>
            </v:line>
            <v:shape style="position:absolute;left:1345;top:1537;width:200;height:985" coordorigin="1346,1537" coordsize="200,985" path="m1346,2097l1391,2340m1391,2340l1423,2522m1423,2522l1468,2417m1468,2417l1513,2235m1513,2235l1546,1537e" filled="false" stroked="true" strokeweight="1pt" strokecolor="#0099d9">
              <v:path arrowok="t"/>
              <v:stroke dashstyle="solid"/>
            </v:shape>
            <v:line style="position:absolute" from="1536,1538" to="1601,1538" stroked="true" strokeweight="1.125pt" strokecolor="#0099d9">
              <v:stroke dashstyle="solid"/>
            </v:line>
            <v:shape style="position:absolute;left:1590;top:1447;width:570;height:848" coordorigin="1591,1447" coordsize="570,848" path="m1591,1537l1636,1627m1636,1627l1668,1657m1668,1657l1713,1750m1713,1750l1758,1537m1758,1537l1791,1447m1791,1447l1836,1672m1836,1672l1881,1825m1881,1825l1913,1810m1913,1810l1958,2007m1958,2007l2003,1870m2003,1870l2038,2022m2038,2022l2081,2052m2081,2052l2116,2022m2116,2022l2161,2295e" filled="false" stroked="true" strokeweight="1pt" strokecolor="#0099d9">
              <v:path arrowok="t"/>
              <v:stroke dashstyle="solid"/>
            </v:shape>
            <v:line style="position:absolute" from="2151,2296" to="2213,2296" stroked="true" strokeweight="1.125pt" strokecolor="#0099d9">
              <v:stroke dashstyle="solid"/>
            </v:line>
            <v:shape style="position:absolute;left:2203;top:2082;width:248;height:350" coordorigin="2203,2082" coordsize="248,350" path="m2203,2295l2238,2432m2238,2432l2283,2417m2283,2417l2328,2175m2328,2175l2361,2082m2361,2082l2406,2190m2406,2190l2451,2175e" filled="false" stroked="true" strokeweight="1pt" strokecolor="#0099d9">
              <v:path arrowok="t"/>
              <v:stroke dashstyle="solid"/>
            </v:shape>
            <v:line style="position:absolute" from="2441,2176" to="2493,2176" stroked="true" strokeweight="1.125pt" strokecolor="#0099d9">
              <v:stroke dashstyle="solid"/>
            </v:line>
            <v:shape style="position:absolute;left:2483;top:1492;width:535;height:683" coordorigin="2483,1492" coordsize="535,683" path="m2483,2175l2528,2022m2528,2022l2573,1735m2573,1735l2606,1612m2606,1612l2651,1672m2651,1672l2696,1765m2696,1765l2728,1612m2728,1612l2818,1492m2818,1492l2851,1522m2851,1522l2896,1657m2896,1657l2928,1795m2928,1795l2973,1690m2973,1690l3018,1507e" filled="false" stroked="true" strokeweight="1pt" strokecolor="#0099d9">
              <v:path arrowok="t"/>
              <v:stroke dashstyle="solid"/>
            </v:shape>
            <v:line style="position:absolute" from="3008,1508" to="3061,1508" stroked="true" strokeweight="1.125pt" strokecolor="#0099d9">
              <v:stroke dashstyle="solid"/>
            </v:line>
            <v:shape style="position:absolute;left:3050;top:1507;width:248;height:500" coordorigin="3051,1507" coordsize="248,500" path="m3051,1507l3096,1522m3096,1522l3141,1657m3141,1657l3176,1885m3176,1885l3218,1962m3218,1962l3263,2007m3263,2007l3298,1917e" filled="false" stroked="true" strokeweight="1pt" strokecolor="#0099d9">
              <v:path arrowok="t"/>
              <v:stroke dashstyle="solid"/>
            </v:shape>
            <v:line style="position:absolute" from="3288,1918" to="3351,1918" stroked="true" strokeweight="1.125pt" strokecolor="#0099d9">
              <v:stroke dashstyle="solid"/>
            </v:line>
            <v:shape style="position:absolute;left:3340;top:1869;width:570;height:243" coordorigin="3341,1870" coordsize="570,243" path="m3341,1917l3386,1977m3386,1977l3421,1947m3421,1947l3466,1977m3466,1977l3508,1962m3508,1962l3543,1870m3543,1870l3588,1932m3588,1932l3621,2052m3621,2052l3666,1977m3666,1977l3711,2037m3711,2037l3743,2082m3743,2082l3788,2052m3788,2052l3833,2112m3833,2112l3866,2022m3866,2022l3911,1885e" filled="false" stroked="true" strokeweight="1pt" strokecolor="#0099d9">
              <v:path arrowok="t"/>
              <v:stroke dashstyle="solid"/>
            </v:shape>
            <v:shape style="position:absolute;left:858;top:419;width:87;height:2151" coordorigin="858,420" coordsize="87,2151" path="m858,420l945,420m858,778l945,778m858,1136l945,1136m858,1495l945,1495m858,1853l945,1853m858,2570l945,2570m858,2212l945,2212e" filled="false" stroked="true" strokeweight=".5pt" strokecolor="#000000">
              <v:path arrowok="t"/>
              <v:stroke dashstyle="solid"/>
            </v:shape>
            <v:line style="position:absolute" from="1020,1840" to="3907,1840" stroked="true" strokeweight="1pt" strokecolor="#0099d9">
              <v:stroke dashstyle="dash"/>
            </v:line>
            <v:line style="position:absolute" from="2750,1123" to="2256,1757" stroked="true" strokeweight=".5pt" strokecolor="#000000">
              <v:stroke dashstyle="solid"/>
            </v:line>
            <v:shape style="position:absolute;left:2214;top:1727;width:72;height:83" coordorigin="2215,1728" coordsize="72,83" path="m2247,1728l2224,1793,2215,1810,2221,1804,2286,1759,2247,1728xe" filled="true" fillcolor="#000000" stroked="false">
              <v:path arrowok="t"/>
              <v:fill type="solid"/>
            </v:shape>
            <v:shape style="position:absolute;left:2329;top:188;width:787;height:134" type="#_x0000_t202" filled="false" stroked="false">
              <v:textbox inset="0,0,0,0">
                <w:txbxContent>
                  <w:p>
                    <w:pPr>
                      <w:spacing w:line="133" w:lineRule="exact" w:before="0"/>
                      <w:ind w:left="0" w:right="0" w:firstLine="0"/>
                      <w:jc w:val="left"/>
                      <w:rPr>
                        <w:sz w:val="12"/>
                      </w:rPr>
                    </w:pPr>
                    <w:r>
                      <w:rPr>
                        <w:sz w:val="12"/>
                      </w:rPr>
                      <w:t>Unit wage costs</w:t>
                    </w:r>
                  </w:p>
                </w:txbxContent>
              </v:textbox>
              <w10:wrap type="none"/>
            </v:shape>
            <v:shape style="position:absolute;left:2711;top:951;width:1043;height:254" type="#_x0000_t202" filled="false" stroked="false">
              <v:textbox inset="0,0,0,0">
                <w:txbxContent>
                  <w:p>
                    <w:pPr>
                      <w:spacing w:line="208" w:lineRule="auto" w:before="9"/>
                      <w:ind w:left="60" w:right="0" w:hanging="60"/>
                      <w:jc w:val="left"/>
                      <w:rPr>
                        <w:sz w:val="12"/>
                      </w:rPr>
                    </w:pPr>
                    <w:r>
                      <w:rPr>
                        <w:sz w:val="12"/>
                      </w:rPr>
                      <w:t>Average productivity 1960–99</w:t>
                    </w:r>
                  </w:p>
                </w:txbxContent>
              </v:textbox>
              <w10:wrap type="none"/>
            </v:shape>
            <w10:wrap type="none"/>
          </v:group>
        </w:pict>
      </w:r>
      <w:r>
        <w:rPr/>
        <w:pict>
          <v:line style="position:absolute;mso-position-horizontal-relative:page;mso-position-vertical-relative:paragraph;z-index:16150016" from="42.917pt,3.059044pt" to="47.25pt,3.059044pt" stroked="true" strokeweight=".5pt" strokecolor="#000000">
            <v:stroke dashstyle="solid"/>
            <w10:wrap type="none"/>
          </v:line>
        </w:pict>
      </w:r>
      <w:r>
        <w:rPr/>
        <w:pict>
          <v:line style="position:absolute;mso-position-horizontal-relative:page;mso-position-vertical-relative:paragraph;z-index:16154624" from="200.167007pt,3.038044pt" to="204.500007pt,3.038044pt" stroked="true" strokeweight=".5pt" strokecolor="#000000">
            <v:stroke dashstyle="solid"/>
            <w10:wrap type="none"/>
          </v:line>
        </w:pict>
      </w:r>
      <w:r>
        <w:rPr>
          <w:sz w:val="12"/>
        </w:rPr>
        <w:t>12</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50528" from="200.167007pt,8.147552pt" to="204.500007pt,8.147552pt" stroked="true" strokeweight=".5pt" strokecolor="#000000">
            <v:stroke dashstyle="solid"/>
            <w10:wrap type="none"/>
          </v:line>
        </w:pict>
      </w:r>
      <w:r>
        <w:rPr>
          <w:sz w:val="12"/>
        </w:rPr>
        <w:t>10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51040" from="200.167007pt,8.067553pt" to="204.500007pt,8.067553pt" stroked="true" strokeweight=".5pt" strokecolor="#000000">
            <v:stroke dashstyle="solid"/>
            <w10:wrap type="none"/>
          </v:line>
        </w:pict>
      </w:r>
      <w:r>
        <w:rPr>
          <w:sz w:val="12"/>
        </w:rPr>
        <w:t>8</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51552" from="200.167007pt,7.986553pt" to="204.500007pt,7.986553pt" stroked="true" strokeweight=".5pt" strokecolor="#000000">
            <v:stroke dashstyle="solid"/>
            <w10:wrap type="none"/>
          </v:line>
        </w:pict>
      </w:r>
      <w:r>
        <w:rPr>
          <w:sz w:val="12"/>
        </w:rPr>
        <w:t>6</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52064" from="200.167007pt,7.905553pt" to="204.500007pt,7.905553pt" stroked="true" strokeweight=".5pt" strokecolor="#000000">
            <v:stroke dashstyle="solid"/>
            <w10:wrap type="none"/>
          </v:line>
        </w:pict>
      </w:r>
      <w:r>
        <w:rPr>
          <w:sz w:val="12"/>
        </w:rPr>
        <w:t>4</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52576" from="200.167007pt,7.824553pt" to="204.500007pt,7.824553pt" stroked="true" strokeweight=".5pt" strokecolor="#000000">
            <v:stroke dashstyle="solid"/>
            <w10:wrap type="none"/>
          </v:line>
        </w:pict>
      </w:r>
      <w:r>
        <w:rPr>
          <w:sz w:val="12"/>
        </w:rPr>
        <w:t>2</w:t>
      </w:r>
    </w:p>
    <w:p>
      <w:pPr>
        <w:spacing w:line="178" w:lineRule="exact" w:before="51"/>
        <w:ind w:left="3434" w:right="0" w:firstLine="0"/>
        <w:jc w:val="left"/>
        <w:rPr>
          <w:sz w:val="16"/>
        </w:rPr>
      </w:pPr>
      <w:r>
        <w:rPr>
          <w:sz w:val="16"/>
        </w:rPr>
        <w:t>+</w:t>
      </w:r>
    </w:p>
    <w:p>
      <w:pPr>
        <w:spacing w:line="114" w:lineRule="exact" w:before="0"/>
        <w:ind w:left="3540" w:right="0" w:firstLine="0"/>
        <w:jc w:val="left"/>
        <w:rPr>
          <w:sz w:val="12"/>
        </w:rPr>
      </w:pPr>
      <w:r>
        <w:rPr/>
        <w:pict>
          <v:line style="position:absolute;mso-position-horizontal-relative:page;mso-position-vertical-relative:paragraph;z-index:16153600" from="200.167007pt,3.232541pt" to="204.500007pt,3.232541pt" stroked="true" strokeweight=".5pt" strokecolor="#000000">
            <v:stroke dashstyle="solid"/>
            <w10:wrap type="none"/>
          </v:line>
        </w:pict>
      </w:r>
      <w:r>
        <w:rPr>
          <w:sz w:val="12"/>
        </w:rPr>
        <w:t>0</w:t>
      </w:r>
    </w:p>
    <w:p>
      <w:pPr>
        <w:spacing w:line="166" w:lineRule="exact" w:before="0"/>
        <w:ind w:left="3454" w:right="0" w:firstLine="0"/>
        <w:jc w:val="left"/>
        <w:rPr>
          <w:sz w:val="16"/>
        </w:rPr>
      </w:pPr>
      <w:r>
        <w:rPr>
          <w:sz w:val="16"/>
        </w:rPr>
        <w:t>–</w:t>
      </w:r>
    </w:p>
    <w:p>
      <w:pPr>
        <w:tabs>
          <w:tab w:pos="3600" w:val="right" w:leader="none"/>
        </w:tabs>
        <w:spacing w:before="77"/>
        <w:ind w:left="628" w:right="0" w:firstLine="0"/>
        <w:jc w:val="left"/>
        <w:rPr>
          <w:sz w:val="12"/>
        </w:rPr>
      </w:pPr>
      <w:r>
        <w:rPr/>
        <w:pict>
          <v:line style="position:absolute;mso-position-horizontal-relative:page;mso-position-vertical-relative:paragraph;z-index:-22458368" from="200.167007pt,7.189224pt" to="204.500007pt,7.189224pt" stroked="true" strokeweight=".5pt" strokecolor="#000000">
            <v:stroke dashstyle="solid"/>
            <w10:wrap type="none"/>
          </v:line>
        </w:pict>
      </w:r>
      <w:r>
        <w:rPr>
          <w:sz w:val="12"/>
        </w:rPr>
        <w:t>Labour productivity (a)</w:t>
        <w:tab/>
      </w:r>
      <w:r>
        <w:rPr>
          <w:position w:val="1"/>
          <w:sz w:val="12"/>
        </w:rPr>
        <w:t>2</w:t>
      </w:r>
    </w:p>
    <w:p>
      <w:pPr>
        <w:pStyle w:val="BodyText"/>
        <w:spacing w:before="9"/>
        <w:rPr>
          <w:sz w:val="17"/>
        </w:rPr>
      </w:pPr>
    </w:p>
    <w:p>
      <w:pPr>
        <w:tabs>
          <w:tab w:pos="1140" w:val="left" w:leader="none"/>
          <w:tab w:pos="1462" w:val="left" w:leader="none"/>
          <w:tab w:pos="1784" w:val="left" w:leader="none"/>
          <w:tab w:pos="2106" w:val="left" w:leader="none"/>
          <w:tab w:pos="2428" w:val="left" w:leader="none"/>
          <w:tab w:pos="2750" w:val="left" w:leader="none"/>
          <w:tab w:pos="3093" w:val="left" w:leader="none"/>
          <w:tab w:pos="3540" w:val="left" w:leader="none"/>
        </w:tabs>
        <w:spacing w:before="0"/>
        <w:ind w:left="407" w:right="0" w:firstLine="0"/>
        <w:jc w:val="left"/>
        <w:rPr>
          <w:sz w:val="12"/>
        </w:rPr>
      </w:pPr>
      <w:r>
        <w:rPr/>
        <w:pict>
          <v:shape style="position:absolute;margin-left:42.917pt;margin-top:.258232pt;width:152.450pt;height:3.4pt;mso-position-horizontal-relative:page;mso-position-vertical-relative:paragraph;z-index:-22461952" coordorigin="858,5" coordsize="3049,68" path="m1018,72l3907,72m1016,5l1016,72m1341,5l1341,72m1665,5l1665,72m1990,5l1990,72m2315,5l2315,72m2639,5l2639,72m3289,5l3289,72m3613,5l3613,72m2964,5l2964,72m858,72l945,72e" filled="false" stroked="true" strokeweight=".5pt" strokecolor="#000000">
            <v:path arrowok="t"/>
            <v:stroke dashstyle="solid"/>
            <w10:wrap type="none"/>
          </v:shape>
        </w:pict>
      </w:r>
      <w:r>
        <w:rPr/>
        <w:pict>
          <v:line style="position:absolute;mso-position-horizontal-relative:page;mso-position-vertical-relative:paragraph;z-index:-22457344" from="200.167007pt,3.591232pt" to="204.500007pt,3.591232pt" stroked="true" strokeweight=".5pt" strokecolor="#000000">
            <v:stroke dashstyle="solid"/>
            <w10:wrap type="none"/>
          </v:line>
        </w:pict>
      </w:r>
      <w:r>
        <w:rPr>
          <w:sz w:val="12"/>
        </w:rPr>
        <w:t>1982    </w:t>
      </w:r>
      <w:r>
        <w:rPr>
          <w:spacing w:val="20"/>
          <w:sz w:val="12"/>
        </w:rPr>
        <w:t> </w:t>
      </w:r>
      <w:r>
        <w:rPr>
          <w:sz w:val="12"/>
        </w:rPr>
        <w:t>84</w:t>
        <w:tab/>
        <w:t>86</w:t>
        <w:tab/>
        <w:t>88</w:t>
        <w:tab/>
        <w:t>90</w:t>
        <w:tab/>
        <w:t>92</w:t>
        <w:tab/>
        <w:t>94</w:t>
        <w:tab/>
        <w:t>96</w:t>
        <w:tab/>
        <w:t>98</w:t>
        <w:tab/>
      </w:r>
      <w:r>
        <w:rPr>
          <w:position w:val="9"/>
          <w:sz w:val="12"/>
        </w:rPr>
        <w:t>4</w:t>
      </w:r>
    </w:p>
    <w:p>
      <w:pPr>
        <w:spacing w:line="208" w:lineRule="auto" w:before="115"/>
        <w:ind w:left="420" w:right="462" w:hanging="240"/>
        <w:jc w:val="left"/>
        <w:rPr>
          <w:sz w:val="12"/>
        </w:rPr>
      </w:pPr>
      <w:r>
        <w:rPr>
          <w:sz w:val="12"/>
        </w:rPr>
        <w:t>(a) Official measure, defined as GDP at constant basic prices divided by the number of Workforce Jobs.</w:t>
      </w:r>
    </w:p>
    <w:p>
      <w:pPr>
        <w:pStyle w:val="BodyText"/>
        <w:rPr>
          <w:sz w:val="12"/>
        </w:rPr>
      </w:pPr>
    </w:p>
    <w:p>
      <w:pPr>
        <w:pStyle w:val="BodyText"/>
        <w:rPr>
          <w:sz w:val="12"/>
        </w:rPr>
      </w:pPr>
    </w:p>
    <w:p>
      <w:pPr>
        <w:pStyle w:val="BodyText"/>
        <w:spacing w:before="7"/>
        <w:rPr>
          <w:sz w:val="9"/>
        </w:rPr>
      </w:pPr>
    </w:p>
    <w:p>
      <w:pPr>
        <w:spacing w:before="0"/>
        <w:ind w:left="195" w:right="0" w:firstLine="0"/>
        <w:jc w:val="left"/>
        <w:rPr>
          <w:b/>
          <w:sz w:val="20"/>
        </w:rPr>
      </w:pPr>
      <w:r>
        <w:rPr>
          <w:b/>
          <w:color w:val="0092C7"/>
          <w:sz w:val="20"/>
        </w:rPr>
        <w:t>Chart 3.9</w:t>
      </w:r>
    </w:p>
    <w:p>
      <w:pPr>
        <w:spacing w:before="10"/>
        <w:ind w:left="195" w:right="0" w:firstLine="0"/>
        <w:jc w:val="left"/>
        <w:rPr>
          <w:b/>
          <w:sz w:val="20"/>
        </w:rPr>
      </w:pPr>
      <w:r>
        <w:rPr>
          <w:b/>
          <w:color w:val="0092C7"/>
          <w:sz w:val="20"/>
        </w:rPr>
        <w:t>Labour productivity growth</w:t>
      </w:r>
    </w:p>
    <w:p>
      <w:pPr>
        <w:spacing w:before="88"/>
        <w:ind w:left="1683" w:right="0" w:firstLine="0"/>
        <w:jc w:val="left"/>
        <w:rPr>
          <w:sz w:val="12"/>
        </w:rPr>
      </w:pPr>
      <w:r>
        <w:rPr/>
        <w:pict>
          <v:line style="position:absolute;mso-position-horizontal-relative:page;mso-position-vertical-relative:paragraph;z-index:16146944" from="44.029999pt,12.669615pt" to="48.362999pt,12.669615pt" stroked="true" strokeweight=".5pt" strokecolor="#000000">
            <v:stroke dashstyle="solid"/>
            <w10:wrap type="none"/>
          </v:line>
        </w:pict>
      </w:r>
      <w:r>
        <w:rPr/>
        <w:pict>
          <v:line style="position:absolute;mso-position-horizontal-relative:page;mso-position-vertical-relative:paragraph;z-index:-22464000" from="199.279999pt,12.675615pt" to="203.612999pt,12.675615pt" stroked="true" strokeweight=".5pt" strokecolor="#000000">
            <v:stroke dashstyle="solid"/>
            <w10:wrap type="none"/>
          </v:line>
        </w:pict>
      </w:r>
      <w:r>
        <w:rPr>
          <w:sz w:val="12"/>
        </w:rPr>
        <w:t>Percentage changes on a year earlier </w:t>
      </w:r>
      <w:r>
        <w:rPr>
          <w:position w:val="-8"/>
          <w:sz w:val="12"/>
        </w:rPr>
        <w:t>10</w:t>
      </w:r>
    </w:p>
    <w:p>
      <w:pPr>
        <w:pStyle w:val="BodyText"/>
        <w:spacing w:before="1"/>
        <w:rPr>
          <w:sz w:val="19"/>
        </w:rPr>
      </w:pPr>
    </w:p>
    <w:p>
      <w:pPr>
        <w:spacing w:before="1"/>
        <w:ind w:left="0" w:right="61" w:firstLine="0"/>
        <w:jc w:val="right"/>
        <w:rPr>
          <w:sz w:val="12"/>
        </w:rPr>
      </w:pPr>
      <w:r>
        <w:rPr/>
        <w:pict>
          <v:group style="position:absolute;margin-left:44.029999pt;margin-top:-3.489238pt;width:165.15pt;height:117.15pt;mso-position-horizontal-relative:page;mso-position-vertical-relative:paragraph;z-index:16145920" coordorigin="881,-70" coordsize="3303,2343">
            <v:line style="position:absolute" from="1036,1525" to="3922,1525" stroked="true" strokeweight=".5pt" strokecolor="#000000">
              <v:stroke dashstyle="solid"/>
            </v:line>
            <v:line style="position:absolute" from="1040,128" to="1085,208" stroked="true" strokeweight="1pt" strokecolor="#006caa">
              <v:stroke dashstyle="solid"/>
            </v:line>
            <v:line style="position:absolute" from="1101,198" to="1101,658" stroked="true" strokeweight="2.625pt" strokecolor="#006caa">
              <v:stroke dashstyle="solid"/>
            </v:line>
            <v:line style="position:absolute" from="1117,648" to="1162,768" stroked="true" strokeweight="1pt" strokecolor="#006caa">
              <v:stroke dashstyle="solid"/>
            </v:line>
            <v:line style="position:absolute" from="1184,278" to="1184,778" stroked="true" strokeweight="3.125pt" strokecolor="#006caa">
              <v:stroke dashstyle="solid"/>
            </v:line>
            <v:shape style="position:absolute;left:1194;top:-70;width:265;height:783" type="#_x0000_t75" stroked="false">
              <v:imagedata r:id="rId136" o:title=""/>
            </v:shape>
            <v:line style="position:absolute" from="1466,693" to="1466,1113" stroked="true" strokeweight="2.625pt" strokecolor="#006caa">
              <v:stroke dashstyle="solid"/>
            </v:line>
            <v:shape style="position:absolute;left:1482;top:662;width:88;height:440" coordorigin="1482,663" coordsize="88,440" path="m1482,1103l1527,875m1527,875l1570,663e" filled="false" stroked="true" strokeweight="1pt" strokecolor="#006caa">
              <v:path arrowok="t"/>
              <v:stroke dashstyle="solid"/>
            </v:shape>
            <v:line style="position:absolute" from="1587,653" to="1587,1060" stroked="true" strokeweight="2.75pt" strokecolor="#006caa">
              <v:stroke dashstyle="solid"/>
            </v:line>
            <v:shape style="position:absolute;left:1604;top:1050;width:120;height:305" coordorigin="1605,1050" coordsize="120,305" path="m1605,1050l1647,1210m1647,1210l1692,1330m1692,1330l1725,1355e" filled="false" stroked="true" strokeweight="1pt" strokecolor="#006caa">
              <v:path arrowok="t"/>
              <v:stroke dashstyle="solid"/>
            </v:shape>
            <v:line style="position:absolute" from="1747,905" to="1747,1365" stroked="true" strokeweight="3.25pt" strokecolor="#006caa">
              <v:stroke dashstyle="solid"/>
            </v:line>
            <v:line style="position:absolute" from="1770,915" to="1815,20" stroked="true" strokeweight="1pt" strokecolor="#006caa">
              <v:stroke dashstyle="solid"/>
            </v:line>
            <v:line style="position:absolute" from="1836,10" to="1836,445" stroked="true" strokeweight="3.125pt" strokecolor="#006caa">
              <v:stroke dashstyle="solid"/>
            </v:line>
            <v:shape style="position:absolute;left:1857;top:327;width:78;height:108" coordorigin="1857,328" coordsize="78,108" path="m1857,435l1892,395m1892,395l1935,328e" filled="false" stroked="true" strokeweight="1pt" strokecolor="#006caa">
              <v:path arrowok="t"/>
              <v:stroke dashstyle="solid"/>
            </v:shape>
            <v:line style="position:absolute" from="1957,318" to="1957,778" stroked="true" strokeweight="3.25pt" strokecolor="#006caa">
              <v:stroke dashstyle="solid"/>
            </v:line>
            <v:shape style="position:absolute;left:1969;top:372;width:263;height:405" type="#_x0000_t75" stroked="false">
              <v:imagedata r:id="rId137" o:title=""/>
            </v:shape>
            <v:line style="position:absolute" from="2240,598" to="2240,1125" stroked="true" strokeweight="2.75pt" strokecolor="#006caa">
              <v:stroke dashstyle="solid"/>
            </v:line>
            <v:shape style="position:absolute;left:2257;top:955;width:333;height:320" coordorigin="2257,955" coordsize="333,320" path="m2257,1115l2300,1155m2300,1155l2345,1223m2345,1223l2377,955m2377,955l2422,1023m2422,1023l2467,1063m2467,1063l2500,1155m2500,1155l2545,1275m2545,1275l2590,970e" filled="false" stroked="true" strokeweight="1pt" strokecolor="#006caa">
              <v:path arrowok="t"/>
              <v:stroke dashstyle="solid"/>
            </v:shape>
            <v:line style="position:absolute" from="2606,638" to="2606,980" stroked="true" strokeweight="2.625pt" strokecolor="#006caa">
              <v:stroke dashstyle="solid"/>
            </v:line>
            <v:shape style="position:absolute;left:2622;top:235;width:620;height:1240" coordorigin="2622,235" coordsize="620,1240" path="m2622,648l2667,448m2667,448l2710,383m2710,383l2745,248m2745,248l2787,395m2787,395l2832,235m2832,235l2865,448m2865,448l2910,848m2910,848l2955,1023m2955,1023l2987,915m2987,915l3032,648m3032,648l3075,408m3075,408l3110,343m3110,343l3152,1050m3152,1050l3197,1315m3197,1315l3242,1475e" filled="false" stroked="true" strokeweight="1pt" strokecolor="#006caa">
              <v:path arrowok="t"/>
              <v:stroke dashstyle="solid"/>
            </v:shape>
            <v:line style="position:absolute" from="3259,1465" to="3259,1848" stroked="true" strokeweight="2.625pt" strokecolor="#006caa">
              <v:stroke dashstyle="solid"/>
            </v:line>
            <v:shape style="position:absolute;left:3274;top:1050;width:575;height:788" coordorigin="3275,1050" coordsize="575,788" path="m3275,1838l3320,1583m3320,1583l3362,1690m3362,1690l3397,1783m3397,1783l3440,1530m3440,1530l3485,1410m3485,1410l3517,1475m3517,1475l3562,1315m3562,1315l3607,1490m3607,1490l3640,1783m3640,1783l3685,1570m3685,1570l3730,1650m3730,1650l3762,1515m3762,1515l3807,1263m3807,1263l3850,1050e" filled="false" stroked="true" strokeweight="1pt" strokecolor="#006caa">
              <v:path arrowok="t"/>
              <v:stroke dashstyle="solid"/>
            </v:shape>
            <v:line style="position:absolute" from="3867,653" to="3867,1060" stroked="true" strokeweight="2.75pt" strokecolor="#006caa">
              <v:stroke dashstyle="solid"/>
            </v:line>
            <v:line style="position:absolute" from="3885,663" to="3927,543" stroked="true" strokeweight="1pt" strokecolor="#006caa">
              <v:stroke dashstyle="solid"/>
            </v:line>
            <v:shape style="position:absolute;left:1039;top:447;width:165;height:523" coordorigin="1040,448" coordsize="165,523" path="m1040,930l1085,795m1085,795l1117,970m1117,970l1162,848m1162,848l1205,448e" filled="false" stroked="true" strokeweight="1pt" strokecolor="#44af34">
              <v:path arrowok="t"/>
              <v:stroke dashstyle="solid"/>
            </v:shape>
            <v:line style="position:absolute" from="1221,438" to="1221,940" stroked="true" strokeweight="2.625pt" strokecolor="#44af34">
              <v:stroke dashstyle="solid"/>
            </v:line>
            <v:shape style="position:absolute;left:1237;top:930;width:90;height:373" coordorigin="1237,930" coordsize="90,373" path="m1237,930l1282,1090m1282,1090l1327,1303e" filled="false" stroked="true" strokeweight="1pt" strokecolor="#44af34">
              <v:path arrowok="t"/>
              <v:stroke dashstyle="solid"/>
            </v:shape>
            <v:line style="position:absolute" from="1344,1293" to="1344,1740" stroked="true" strokeweight="2.625pt" strokecolor="#44af34">
              <v:stroke dashstyle="solid"/>
            </v:line>
            <v:shape style="position:absolute;left:1359;top:807;width:985;height:1363" coordorigin="1360,808" coordsize="985,1363" path="m1360,1730l1405,1970m1405,1970l1450,2170m1450,2170l1482,1918m1482,1918l1527,1743m1527,1743l1570,890m1570,890l1605,808m1605,808l1647,890m1647,890l1692,848m1692,848l1725,1010m1725,1010l1770,823m1770,823l1815,943m1815,943l1857,1155m1857,1155l1892,1343m1892,1343l1935,1315m1935,1315l1980,1450m1980,1450l2012,1355m2012,1355l2057,1543m2057,1543l2102,1623m2102,1623l2135,1555m2135,1555l2180,1878m2180,1878l2222,1838m2222,1838l2257,1890m2257,1890l2300,1863m2300,1863l2345,1530e" filled="false" stroked="true" strokeweight="1pt" strokecolor="#44af34">
              <v:path arrowok="t"/>
              <v:stroke dashstyle="solid"/>
            </v:shape>
            <v:line style="position:absolute" from="2335,1531" to="2387,1531" stroked="true" strokeweight="1.125pt" strokecolor="#44af34">
              <v:stroke dashstyle="solid"/>
            </v:line>
            <v:shape style="position:absolute;left:2377;top:835;width:865;height:788" coordorigin="2377,835" coordsize="865,788" path="m2377,1530l2422,1623m2422,1623l2467,1595m2467,1595l2500,1543m2500,1543l2545,1370m2545,1370l2590,1063m2590,1063l2622,995m2622,995l2667,1103m2667,1103l2710,1195m2710,1195l2745,1075m2745,1075l2787,983m2787,983l2832,943m2832,943l2865,930m2865,930l2955,1115m2955,1115l2987,1023m2987,1023l3032,835m3032,835l3075,903m3075,903l3110,930m3110,930l3152,955m3152,955l3197,1183m3197,1183l3242,1235e" filled="false" stroked="true" strokeweight="1pt" strokecolor="#44af34">
              <v:path arrowok="t"/>
              <v:stroke dashstyle="solid"/>
            </v:shape>
            <v:line style="position:absolute" from="3232,1236" to="3285,1236" stroked="true" strokeweight="1.125pt" strokecolor="#44af34">
              <v:stroke dashstyle="solid"/>
            </v:line>
            <v:shape style="position:absolute;left:3274;top:1130;width:653;height:385" coordorigin="3275,1130" coordsize="653,385" path="m3275,1235l3320,1170m3320,1170l3362,1130m3362,1130l3397,1195m3397,1195l3440,1210m3440,1210l3485,1275m3485,1275l3517,1263m3517,1263l3562,1183m3562,1183l3607,1195m3607,1195l3640,1290m3640,1290l3685,1235m3685,1235l3730,1290m3730,1290l3762,1410m3762,1410l3807,1383m3807,1383l3850,1515m3850,1515l3885,1475m3885,1475l3927,1330e" filled="false" stroked="true" strokeweight="1pt" strokecolor="#44af34">
              <v:path arrowok="t"/>
              <v:stroke dashstyle="solid"/>
            </v:shape>
            <v:shape style="position:absolute;left:1039;top:662;width:123;height:240" coordorigin="1040,663" coordsize="123,240" path="m1040,743l1085,663m1085,663l1117,903m1117,903l1162,823e" filled="false" stroked="true" strokeweight="1pt" strokecolor="#de0035">
              <v:path arrowok="t"/>
              <v:stroke dashstyle="solid"/>
            </v:shape>
            <v:shape style="position:absolute;left:1152;top:397;width:95;height:435" coordorigin="1152,398" coordsize="95,435" path="m1247,398l1215,398,1195,398,1152,398,1152,833,1215,833,1215,818,1247,818,1247,398xe" filled="true" fillcolor="#de0035" stroked="false">
              <v:path arrowok="t"/>
              <v:fill type="solid"/>
            </v:shape>
            <v:shape style="position:absolute;left:1237;top:807;width:90;height:203" coordorigin="1237,808" coordsize="90,203" path="m1237,808l1282,875m1282,875l1327,1010e" filled="false" stroked="true" strokeweight="1pt" strokecolor="#de0035">
              <v:path arrowok="t"/>
              <v:stroke dashstyle="solid"/>
            </v:shape>
            <v:line style="position:absolute" from="1344,1000" to="1344,1420" stroked="true" strokeweight="2.625pt" strokecolor="#de0035">
              <v:stroke dashstyle="solid"/>
            </v:line>
            <v:shape style="position:absolute;left:1359;top:847;width:288;height:1003" coordorigin="1360,848" coordsize="288,1003" path="m1360,1410l1405,1675m1405,1675l1450,1850m1450,1850l1482,1743m1482,1743l1527,1570m1527,1570l1570,848m1570,848l1605,863m1605,863l1647,955e" filled="false" stroked="true" strokeweight="1pt" strokecolor="#de0035">
              <v:path arrowok="t"/>
              <v:stroke dashstyle="solid"/>
            </v:shape>
            <v:line style="position:absolute" from="1637,956" to="1702,956" stroked="true" strokeweight="1.125pt" strokecolor="#de0035">
              <v:stroke dashstyle="solid"/>
            </v:line>
            <v:shape style="position:absolute;left:1692;top:755;width:1383;height:988" coordorigin="1692,755" coordsize="1383,988" path="m1692,955l1725,1075m1725,1075l1770,848m1770,848l1815,755m1815,755l1857,1010m1857,1010l1892,1155m1892,1155l1935,1115m1935,1115l1980,1315m1980,1315l2012,1183m2012,1183l2057,1355m2057,1355l2102,1383m2102,1383l2135,1355m2135,1355l2180,1623m2180,1623l2222,1595m2222,1595l2257,1743m2257,1743l2300,1730m2300,1730l2345,1475m2345,1475l2377,1423m2377,1423l2422,1515m2422,1515l2467,1490m2467,1490l2500,1475m2500,1475l2545,1355m2545,1355l2590,1050m2590,1050l2622,930m2622,930l2667,995m2667,995l2710,1063m2710,1063l2745,930m2745,930l2787,875m2787,875l2832,823m2832,823l2865,848m2865,848l2910,995m2910,995l2955,1103m2955,1103l2987,1010m2987,1010l3032,808m3032,808l3075,823e" filled="false" stroked="true" strokeweight="1pt" strokecolor="#de0035">
              <v:path arrowok="t"/>
              <v:stroke dashstyle="solid"/>
            </v:shape>
            <v:line style="position:absolute" from="3065,824" to="3120,824" stroked="true" strokeweight="1.125pt" strokecolor="#de0035">
              <v:stroke dashstyle="solid"/>
            </v:line>
            <v:shape style="position:absolute;left:3109;top:822;width:375;height:508" coordorigin="3110,823" coordsize="375,508" path="m3110,823l3152,970m3152,970l3197,1210m3197,1210l3242,1275m3242,1275l3275,1330m3275,1330l3320,1235m3320,1235l3362,1223m3362,1223l3397,1290m3397,1290l3440,1263m3440,1263l3485,1290e" filled="false" stroked="true" strokeweight="1pt" strokecolor="#de0035">
              <v:path arrowok="t"/>
              <v:stroke dashstyle="solid"/>
            </v:shape>
            <v:line style="position:absolute" from="3475,1291" to="3527,1291" stroked="true" strokeweight="1.125pt" strokecolor="#de0035">
              <v:stroke dashstyle="solid"/>
            </v:line>
            <v:shape style="position:absolute;left:3517;top:1210;width:410;height:225" coordorigin="3517,1210" coordsize="410,225" path="m3517,1290l3562,1210m3562,1210l3607,1235m3607,1235l3640,1370m3640,1370l3685,1290m3685,1290l3730,1355m3730,1355l3762,1423m3762,1423l3807,1370m3807,1370l3850,1435m3850,1435l3885,1355m3885,1355l3927,1210e" filled="false" stroked="true" strokeweight="1pt" strokecolor="#de0035">
              <v:path arrowok="t"/>
              <v:stroke dashstyle="solid"/>
            </v:shape>
            <v:shape style="position:absolute;left:880;top:80;width:3192;height:2171" coordorigin="881,80" coordsize="3192,2171" path="m881,80l967,80m881,442l967,442m881,804l967,804m881,1166l967,1166m881,1527l967,1527m881,2251l967,2251m881,1889l967,1889m3986,80l4072,80m3986,442l4072,442m3986,804l4072,804m3986,1166l4072,1166m3986,1527l4072,1527m3986,2251l4072,2251m3986,1889l4072,1889m3369,1379l3269,2092e" filled="false" stroked="true" strokeweight=".5pt" strokecolor="#000000">
              <v:path arrowok="t"/>
              <v:stroke dashstyle="solid"/>
            </v:shape>
            <v:shape style="position:absolute;left:3341;top:1311;width:50;height:88" coordorigin="3342,1311" coordsize="50,88" path="m3378,1311l3342,1392,3392,1399,3379,1331,3379,1320,3378,1311xe" filled="true" fillcolor="#000000" stroked="false">
              <v:path arrowok="t"/>
              <v:fill type="solid"/>
            </v:shape>
            <v:shape style="position:absolute;left:1847;top:-41;width:734;height:134" type="#_x0000_t202" filled="false" stroked="false">
              <v:textbox inset="0,0,0,0">
                <w:txbxContent>
                  <w:p>
                    <w:pPr>
                      <w:spacing w:line="133" w:lineRule="exact" w:before="0"/>
                      <w:ind w:left="0" w:right="0" w:firstLine="0"/>
                      <w:jc w:val="left"/>
                      <w:rPr>
                        <w:sz w:val="12"/>
                      </w:rPr>
                    </w:pPr>
                    <w:r>
                      <w:rPr>
                        <w:sz w:val="12"/>
                      </w:rPr>
                      <w:t>Manufacturing</w:t>
                    </w:r>
                  </w:p>
                </w:txbxContent>
              </v:textbox>
              <w10:wrap type="none"/>
            </v:shape>
            <v:shape style="position:absolute;left:4053;top:1263;width:131;height:461" type="#_x0000_t202" filled="false" stroked="false">
              <v:textbox inset="0,0,0,0">
                <w:txbxContent>
                  <w:p>
                    <w:pPr>
                      <w:spacing w:line="177" w:lineRule="exact" w:before="0"/>
                      <w:ind w:left="0" w:right="0" w:firstLine="0"/>
                      <w:jc w:val="left"/>
                      <w:rPr>
                        <w:sz w:val="16"/>
                      </w:rPr>
                    </w:pPr>
                    <w:r>
                      <w:rPr>
                        <w:sz w:val="16"/>
                      </w:rPr>
                      <w:t>+</w:t>
                    </w:r>
                  </w:p>
                  <w:p>
                    <w:pPr>
                      <w:spacing w:before="99"/>
                      <w:ind w:left="30" w:right="0" w:firstLine="0"/>
                      <w:jc w:val="left"/>
                      <w:rPr>
                        <w:sz w:val="16"/>
                      </w:rPr>
                    </w:pPr>
                    <w:r>
                      <w:rPr>
                        <w:sz w:val="16"/>
                      </w:rPr>
                      <w:t>–</w:t>
                    </w:r>
                  </w:p>
                </w:txbxContent>
              </v:textbox>
              <w10:wrap type="none"/>
            </v:shape>
            <v:shape style="position:absolute;left:1303;top:2139;width:1130;height:134" type="#_x0000_t202" filled="false" stroked="false">
              <v:textbox inset="0,0,0,0">
                <w:txbxContent>
                  <w:p>
                    <w:pPr>
                      <w:spacing w:line="133" w:lineRule="exact" w:before="0"/>
                      <w:ind w:left="0" w:right="0" w:firstLine="0"/>
                      <w:jc w:val="left"/>
                      <w:rPr>
                        <w:sz w:val="12"/>
                      </w:rPr>
                    </w:pPr>
                    <w:r>
                      <w:rPr>
                        <w:sz w:val="12"/>
                      </w:rPr>
                      <w:t>Non-manufacturing (a)</w:t>
                    </w:r>
                  </w:p>
                </w:txbxContent>
              </v:textbox>
              <w10:wrap type="none"/>
            </v:shape>
            <v:shape style="position:absolute;left:2868;top:2070;width:810;height:134" type="#_x0000_t202" filled="false" stroked="false">
              <v:textbox inset="0,0,0,0">
                <w:txbxContent>
                  <w:p>
                    <w:pPr>
                      <w:spacing w:line="133" w:lineRule="exact" w:before="0"/>
                      <w:ind w:left="0" w:right="0" w:firstLine="0"/>
                      <w:jc w:val="left"/>
                      <w:rPr>
                        <w:sz w:val="12"/>
                      </w:rPr>
                    </w:pPr>
                    <w:r>
                      <w:rPr>
                        <w:sz w:val="12"/>
                      </w:rPr>
                      <w:t>Whole economy</w:t>
                    </w:r>
                  </w:p>
                </w:txbxContent>
              </v:textbox>
              <w10:wrap type="none"/>
            </v:shape>
            <w10:wrap type="none"/>
          </v:group>
        </w:pict>
      </w:r>
      <w:r>
        <w:rPr>
          <w:sz w:val="12"/>
        </w:rPr>
        <w:t>8</w:t>
      </w:r>
    </w:p>
    <w:p>
      <w:pPr>
        <w:pStyle w:val="BodyText"/>
        <w:rPr>
          <w:sz w:val="12"/>
        </w:rPr>
      </w:pPr>
    </w:p>
    <w:p>
      <w:pPr>
        <w:spacing w:before="84"/>
        <w:ind w:left="0" w:right="61" w:firstLine="0"/>
        <w:jc w:val="right"/>
        <w:rPr>
          <w:sz w:val="12"/>
        </w:rPr>
      </w:pPr>
      <w:r>
        <w:rPr>
          <w:sz w:val="12"/>
        </w:rPr>
        <w:t>6</w:t>
      </w:r>
    </w:p>
    <w:p>
      <w:pPr>
        <w:pStyle w:val="BodyText"/>
        <w:rPr>
          <w:sz w:val="12"/>
        </w:rPr>
      </w:pPr>
    </w:p>
    <w:p>
      <w:pPr>
        <w:spacing w:before="84"/>
        <w:ind w:left="0" w:right="61" w:firstLine="0"/>
        <w:jc w:val="right"/>
        <w:rPr>
          <w:sz w:val="12"/>
        </w:rPr>
      </w:pPr>
      <w:r>
        <w:rPr>
          <w:sz w:val="12"/>
        </w:rPr>
        <w:t>4</w:t>
      </w:r>
    </w:p>
    <w:p>
      <w:pPr>
        <w:pStyle w:val="BodyText"/>
        <w:rPr>
          <w:sz w:val="12"/>
        </w:rPr>
      </w:pPr>
    </w:p>
    <w:p>
      <w:pPr>
        <w:spacing w:before="85"/>
        <w:ind w:left="0" w:right="61" w:firstLine="0"/>
        <w:jc w:val="right"/>
        <w:rPr>
          <w:sz w:val="12"/>
        </w:rPr>
      </w:pPr>
      <w:r>
        <w:rPr>
          <w:sz w:val="12"/>
        </w:rPr>
        <w:t>2</w:t>
      </w:r>
    </w:p>
    <w:p>
      <w:pPr>
        <w:pStyle w:val="BodyText"/>
        <w:rPr>
          <w:sz w:val="12"/>
        </w:rPr>
      </w:pPr>
    </w:p>
    <w:p>
      <w:pPr>
        <w:spacing w:before="84"/>
        <w:ind w:left="0" w:right="61" w:firstLine="0"/>
        <w:jc w:val="right"/>
        <w:rPr>
          <w:sz w:val="12"/>
        </w:rPr>
      </w:pPr>
      <w:r>
        <w:rPr>
          <w:sz w:val="12"/>
        </w:rPr>
        <w:t>0</w:t>
      </w:r>
    </w:p>
    <w:p>
      <w:pPr>
        <w:pStyle w:val="BodyText"/>
        <w:rPr>
          <w:sz w:val="12"/>
        </w:rPr>
      </w:pPr>
    </w:p>
    <w:p>
      <w:pPr>
        <w:spacing w:before="84"/>
        <w:ind w:left="0" w:right="61" w:firstLine="0"/>
        <w:jc w:val="right"/>
        <w:rPr>
          <w:sz w:val="12"/>
        </w:rPr>
      </w:pPr>
      <w:r>
        <w:rPr>
          <w:sz w:val="12"/>
        </w:rPr>
        <w:t>2</w:t>
      </w:r>
    </w:p>
    <w:p>
      <w:pPr>
        <w:pStyle w:val="BodyText"/>
        <w:rPr>
          <w:sz w:val="12"/>
        </w:rPr>
      </w:pPr>
    </w:p>
    <w:p>
      <w:pPr>
        <w:spacing w:before="85"/>
        <w:ind w:left="0" w:right="61" w:firstLine="0"/>
        <w:jc w:val="right"/>
        <w:rPr>
          <w:sz w:val="12"/>
        </w:rPr>
      </w:pPr>
      <w:r>
        <w:rPr>
          <w:sz w:val="12"/>
        </w:rPr>
        <w:t>4</w:t>
      </w:r>
    </w:p>
    <w:p>
      <w:pPr>
        <w:pStyle w:val="BodyText"/>
        <w:rPr>
          <w:sz w:val="12"/>
        </w:rPr>
      </w:pPr>
    </w:p>
    <w:p>
      <w:pPr>
        <w:spacing w:line="125" w:lineRule="exact" w:before="84"/>
        <w:ind w:left="3517" w:right="0" w:firstLine="0"/>
        <w:jc w:val="left"/>
        <w:rPr>
          <w:sz w:val="12"/>
        </w:rPr>
      </w:pPr>
      <w:r>
        <w:rPr/>
        <w:pict>
          <v:shape style="position:absolute;margin-left:44.029999pt;margin-top:5.33257pt;width:159.6pt;height:3.4pt;mso-position-horizontal-relative:page;mso-position-vertical-relative:paragraph;z-index:16146432" coordorigin="881,107" coordsize="3192,68" path="m1041,174l3922,174m1038,107l1038,174m1365,107l1365,174m1691,107l1691,174m2017,107l2017,174m2670,107l2670,174m3160,107l3160,174m3486,107l3486,174m3813,107l3813,174m2507,107l2507,174m2997,107l2997,174m881,173l967,173m3986,173l4072,173m1201,107l1201,174m1528,107l1528,174m1854,107l1854,174m2344,107l2344,174m2833,107l2833,174m3323,107l3323,174m3650,107l3650,174m2181,107l2181,174e" filled="false" stroked="true" strokeweight=".5pt" strokecolor="#000000">
            <v:path arrowok="t"/>
            <v:stroke dashstyle="solid"/>
            <w10:wrap type="none"/>
          </v:shape>
        </w:pict>
      </w:r>
      <w:r>
        <w:rPr>
          <w:sz w:val="12"/>
        </w:rPr>
        <w:t>6</w:t>
      </w:r>
    </w:p>
    <w:p>
      <w:pPr>
        <w:tabs>
          <w:tab w:pos="1071" w:val="left" w:leader="none"/>
          <w:tab w:pos="1398" w:val="left" w:leader="none"/>
          <w:tab w:pos="1726" w:val="left" w:leader="none"/>
          <w:tab w:pos="2053" w:val="left" w:leader="none"/>
          <w:tab w:pos="2380" w:val="left" w:leader="none"/>
          <w:tab w:pos="2707" w:val="left" w:leader="none"/>
          <w:tab w:pos="3034" w:val="left" w:leader="none"/>
        </w:tabs>
        <w:spacing w:line="125" w:lineRule="exact" w:before="0"/>
        <w:ind w:left="325" w:right="0" w:firstLine="0"/>
        <w:jc w:val="left"/>
        <w:rPr>
          <w:sz w:val="12"/>
        </w:rPr>
      </w:pPr>
      <w:r>
        <w:rPr>
          <w:sz w:val="12"/>
        </w:rPr>
        <w:t>1982    </w:t>
      </w:r>
      <w:r>
        <w:rPr>
          <w:spacing w:val="29"/>
          <w:sz w:val="12"/>
        </w:rPr>
        <w:t> </w:t>
      </w:r>
      <w:r>
        <w:rPr>
          <w:sz w:val="12"/>
        </w:rPr>
        <w:t>84</w:t>
        <w:tab/>
        <w:t>86</w:t>
        <w:tab/>
        <w:t>88</w:t>
        <w:tab/>
        <w:t>90</w:t>
        <w:tab/>
        <w:t>92</w:t>
        <w:tab/>
        <w:t>94</w:t>
        <w:tab/>
        <w:t>96</w:t>
        <w:tab/>
        <w:t>98</w:t>
      </w:r>
    </w:p>
    <w:p>
      <w:pPr>
        <w:pStyle w:val="BodyText"/>
        <w:spacing w:before="6"/>
        <w:rPr>
          <w:sz w:val="9"/>
        </w:rPr>
      </w:pPr>
    </w:p>
    <w:p>
      <w:pPr>
        <w:spacing w:before="0"/>
        <w:ind w:left="195" w:right="0" w:firstLine="0"/>
        <w:jc w:val="left"/>
        <w:rPr>
          <w:sz w:val="12"/>
        </w:rPr>
      </w:pPr>
      <w:r>
        <w:rPr>
          <w:sz w:val="12"/>
        </w:rPr>
        <w:t>Sources: ONS and Bank of England.</w:t>
      </w:r>
    </w:p>
    <w:p>
      <w:pPr>
        <w:pStyle w:val="BodyText"/>
        <w:spacing w:before="2"/>
        <w:rPr>
          <w:sz w:val="10"/>
        </w:rPr>
      </w:pPr>
    </w:p>
    <w:p>
      <w:pPr>
        <w:spacing w:line="208" w:lineRule="auto" w:before="0"/>
        <w:ind w:left="435" w:right="0" w:hanging="240"/>
        <w:jc w:val="left"/>
        <w:rPr>
          <w:sz w:val="12"/>
        </w:rPr>
      </w:pPr>
      <w:r>
        <w:rPr>
          <w:sz w:val="12"/>
        </w:rPr>
        <w:t>(a) Based on official measures of whole-economy and manufacturing labour productivity growth.</w:t>
      </w:r>
    </w:p>
    <w:p>
      <w:pPr>
        <w:pStyle w:val="BodyText"/>
        <w:rPr>
          <w:sz w:val="12"/>
        </w:rPr>
      </w:pPr>
    </w:p>
    <w:p>
      <w:pPr>
        <w:pStyle w:val="BodyText"/>
        <w:rPr>
          <w:sz w:val="12"/>
        </w:rPr>
      </w:pPr>
    </w:p>
    <w:p>
      <w:pPr>
        <w:pStyle w:val="BodyText"/>
        <w:rPr>
          <w:sz w:val="12"/>
        </w:rPr>
      </w:pPr>
    </w:p>
    <w:p>
      <w:pPr>
        <w:spacing w:before="93"/>
        <w:ind w:left="170" w:right="0" w:firstLine="0"/>
        <w:jc w:val="left"/>
        <w:rPr>
          <w:b/>
          <w:sz w:val="20"/>
        </w:rPr>
      </w:pPr>
      <w:r>
        <w:rPr>
          <w:b/>
          <w:color w:val="0092C7"/>
          <w:sz w:val="20"/>
        </w:rPr>
        <w:t>Chart 3.10</w:t>
      </w:r>
    </w:p>
    <w:p>
      <w:pPr>
        <w:spacing w:before="10"/>
        <w:ind w:left="170" w:right="0" w:firstLine="0"/>
        <w:jc w:val="left"/>
        <w:rPr>
          <w:sz w:val="12"/>
        </w:rPr>
      </w:pPr>
      <w:r>
        <w:rPr>
          <w:b/>
          <w:color w:val="0092C7"/>
          <w:sz w:val="20"/>
        </w:rPr>
        <w:t>Headline growth in nominal</w:t>
      </w:r>
      <w:r>
        <w:rPr>
          <w:b/>
          <w:color w:val="0092C7"/>
          <w:spacing w:val="-30"/>
          <w:sz w:val="20"/>
        </w:rPr>
        <w:t> </w:t>
      </w:r>
      <w:r>
        <w:rPr>
          <w:b/>
          <w:color w:val="0092C7"/>
          <w:sz w:val="20"/>
        </w:rPr>
        <w:t>earnings</w:t>
      </w:r>
      <w:r>
        <w:rPr>
          <w:position w:val="4"/>
          <w:sz w:val="12"/>
        </w:rPr>
        <w:t>(a)</w:t>
      </w:r>
    </w:p>
    <w:p>
      <w:pPr>
        <w:spacing w:line="115" w:lineRule="exact" w:before="64"/>
        <w:ind w:left="1664" w:right="0" w:firstLine="0"/>
        <w:jc w:val="left"/>
        <w:rPr>
          <w:sz w:val="12"/>
        </w:rPr>
      </w:pPr>
      <w:r>
        <w:rPr>
          <w:sz w:val="12"/>
        </w:rPr>
        <w:t>Percentage changes on a year earlier</w:t>
      </w:r>
    </w:p>
    <w:p>
      <w:pPr>
        <w:spacing w:line="115" w:lineRule="exact" w:before="0"/>
        <w:ind w:left="3474" w:right="0" w:firstLine="0"/>
        <w:jc w:val="left"/>
        <w:rPr>
          <w:sz w:val="12"/>
        </w:rPr>
      </w:pPr>
      <w:r>
        <w:rPr/>
        <w:pict>
          <v:line style="position:absolute;mso-position-horizontal-relative:page;mso-position-vertical-relative:paragraph;z-index:16161792" from="41.542pt,3.270278pt" to="45.875pt,3.270278pt" stroked="true" strokeweight=".5pt" strokecolor="#000000">
            <v:stroke dashstyle="solid"/>
            <w10:wrap type="none"/>
          </v:line>
        </w:pict>
      </w:r>
      <w:r>
        <w:rPr/>
        <w:pict>
          <v:line style="position:absolute;mso-position-horizontal-relative:page;mso-position-vertical-relative:paragraph;z-index:16162816" from="198.332993pt,3.270278pt" to="202.666993pt,3.270278pt" stroked="true" strokeweight=".5pt" strokecolor="#000000">
            <v:stroke dashstyle="solid"/>
            <w10:wrap type="none"/>
          </v:line>
        </w:pict>
      </w:r>
      <w:r>
        <w:rPr>
          <w:sz w:val="12"/>
        </w:rPr>
        <w:t>7</w:t>
      </w:r>
    </w:p>
    <w:p>
      <w:pPr>
        <w:pStyle w:val="BodyText"/>
        <w:rPr>
          <w:sz w:val="12"/>
        </w:rPr>
      </w:pPr>
    </w:p>
    <w:p>
      <w:pPr>
        <w:pStyle w:val="BodyText"/>
        <w:spacing w:before="10"/>
        <w:rPr>
          <w:sz w:val="11"/>
        </w:rPr>
      </w:pPr>
    </w:p>
    <w:p>
      <w:pPr>
        <w:spacing w:before="0"/>
        <w:ind w:left="0" w:right="104" w:firstLine="0"/>
        <w:jc w:val="right"/>
        <w:rPr>
          <w:sz w:val="12"/>
        </w:rPr>
      </w:pPr>
      <w:r>
        <w:rPr/>
        <w:pict>
          <v:group style="position:absolute;margin-left:49.958pt;margin-top:-6.165438pt;width:152.75pt;height:104.15pt;mso-position-horizontal-relative:page;mso-position-vertical-relative:paragraph;z-index:16157184" coordorigin="999,-123" coordsize="3055,2083">
            <v:shape style="position:absolute;left:1009;top:1494;width:658;height:455" coordorigin="1009,1494" coordsize="658,455" path="m1009,1649l1059,1564m1059,1564l1099,1692m1099,1692l1149,1607m1149,1607l1199,1692m1199,1692l1242,1777m1242,1777l1292,1864m1292,1864l1342,1907m1342,1907l1384,1949m1384,1949l1434,1864m1434,1864l1484,1734m1484,1734l1524,1777m1524,1777l1574,1692m1574,1692l1624,1649m1624,1649l1667,1494e" filled="false" stroked="true" strokeweight="1pt" strokecolor="#a64991">
              <v:path arrowok="t"/>
              <v:stroke dashstyle="solid"/>
            </v:shape>
            <v:line style="position:absolute" from="1657,1495" to="1727,1495" stroked="true" strokeweight="1.125pt" strokecolor="#a64991">
              <v:stroke dashstyle="solid"/>
            </v:line>
            <v:shape style="position:absolute;left:1716;top:1236;width:90;height:258" coordorigin="1717,1237" coordsize="90,258" path="m1717,1494l1767,1364m1767,1364l1807,1237e" filled="false" stroked="true" strokeweight="1pt" strokecolor="#a64991">
              <v:path arrowok="t"/>
              <v:stroke dashstyle="solid"/>
            </v:shape>
            <v:line style="position:absolute" from="1797,1238" to="1867,1238" stroked="true" strokeweight="1.125pt" strokecolor="#a64991">
              <v:stroke dashstyle="solid"/>
            </v:line>
            <v:shape style="position:absolute;left:1856;top:1194;width:235;height:170" coordorigin="1857,1194" coordsize="235,170" path="m1857,1237l1907,1279m1907,1279l1949,1194m1949,1194l1999,1237m1999,1237l2049,1194m2049,1194l2092,1364e" filled="false" stroked="true" strokeweight="1pt" strokecolor="#a64991">
              <v:path arrowok="t"/>
              <v:stroke dashstyle="solid"/>
            </v:shape>
            <v:line style="position:absolute" from="2082,1365" to="2152,1365" stroked="true" strokeweight="1.125pt" strokecolor="#a64991">
              <v:stroke dashstyle="solid"/>
            </v:line>
            <v:shape style="position:absolute;left:2141;top:951;width:948;height:825" coordorigin="2142,952" coordsize="948,825" path="m2142,1364l2192,1494m2192,1494l2232,1564m2232,1564l2332,1649m2332,1649l2374,1734m2374,1734l2424,1777m2424,1777l2524,1692m2524,1692l2564,1649m2564,1649l2614,1607m2614,1607l2664,1494m2664,1494l2707,1452m2707,1452l2757,1494m2757,1494l2807,1452m2807,1452l2849,1537m2849,1537l2899,1452m2899,1452l2949,1322m2949,1322l2989,1124m2989,1124l3039,952m3039,952l3089,994e" filled="false" stroked="true" strokeweight="1pt" strokecolor="#a64991">
              <v:path arrowok="t"/>
              <v:stroke dashstyle="solid"/>
            </v:shape>
            <v:line style="position:absolute" from="3079,995" to="3142,995" stroked="true" strokeweight="1.125pt" strokecolor="#a64991">
              <v:stroke dashstyle="solid"/>
            </v:line>
            <v:shape style="position:absolute;left:3131;top:994;width:100;height:88" coordorigin="3132,994" coordsize="100,88" path="m3132,994l3182,1037m3182,1037l3232,1082e" filled="false" stroked="true" strokeweight="1pt" strokecolor="#a64991">
              <v:path arrowok="t"/>
              <v:stroke dashstyle="solid"/>
            </v:shape>
            <v:line style="position:absolute" from="3222,1083" to="3282,1083" stroked="true" strokeweight="1.125pt" strokecolor="#a64991">
              <v:stroke dashstyle="solid"/>
            </v:line>
            <v:shape style="position:absolute;left:3271;top:581;width:385;height:500" coordorigin="3272,582" coordsize="385,500" path="m3272,1082l3322,994m3322,994l3372,867m3372,867l3414,782m3414,782l3464,712m3464,712l3514,582m3514,582l3557,669m3557,669l3607,782m3607,782l3657,952e" filled="false" stroked="true" strokeweight="1pt" strokecolor="#a64991">
              <v:path arrowok="t"/>
              <v:stroke dashstyle="solid"/>
            </v:shape>
            <v:line style="position:absolute" from="1009,1082" to="1059,1124" stroked="true" strokeweight="1pt" strokecolor="#de0035">
              <v:stroke dashstyle="solid"/>
            </v:line>
            <v:line style="position:absolute" from="1049,1125" to="1109,1125" stroked="true" strokeweight="1.125pt" strokecolor="#de0035">
              <v:stroke dashstyle="solid"/>
            </v:line>
            <v:shape style="position:absolute;left:1099;top:1036;width:243;height:415" coordorigin="1099,1037" coordsize="243,415" path="m1099,1124l1149,1037m1149,1037l1199,1082m1199,1082l1242,1194m1242,1194l1292,1364m1292,1364l1342,1452e" filled="false" stroked="true" strokeweight="1pt" strokecolor="#de0035">
              <v:path arrowok="t"/>
              <v:stroke dashstyle="solid"/>
            </v:shape>
            <v:line style="position:absolute" from="1332,1453" to="1394,1453" stroked="true" strokeweight="1.125pt" strokecolor="#de0035">
              <v:stroke dashstyle="solid"/>
            </v:line>
            <v:shape style="position:absolute;left:1384;top:1321;width:100;height:130" coordorigin="1384,1322" coordsize="100,130" path="m1384,1452l1434,1407m1434,1407l1484,1322e" filled="false" stroked="true" strokeweight="1pt" strokecolor="#de0035">
              <v:path arrowok="t"/>
              <v:stroke dashstyle="solid"/>
            </v:shape>
            <v:shape style="position:absolute;left:1474;top:1322;width:203;height:2" coordorigin="1474,1323" coordsize="203,0" path="m1474,1323l1534,1323m1514,1323l1584,1323m1564,1323l1634,1323m1614,1323l1677,1323e" filled="false" stroked="true" strokeweight="1.125pt" strokecolor="#de0035">
              <v:path arrowok="t"/>
              <v:stroke dashstyle="solid"/>
            </v:shape>
            <v:shape style="position:absolute;left:1666;top:824;width:808;height:498" coordorigin="1667,824" coordsize="808,498" path="m1667,1322l1717,1237m1717,1237l1767,1279m1767,1279l1807,1152m1807,1152l1857,1124m1857,1124l1907,1037m1907,1037l1949,952m2092,952l2142,824m2142,824l2192,867m2192,867l2232,824m2232,824l2282,909m2282,909l2332,867m2332,867l2374,952m2374,952l2424,909m2424,909l2474,824e" filled="false" stroked="true" strokeweight="1pt" strokecolor="#de0035">
              <v:path arrowok="t"/>
              <v:stroke dashstyle="solid"/>
            </v:shape>
            <v:line style="position:absolute" from="2464,825" to="2534,825" stroked="true" strokeweight="1.125pt" strokecolor="#de0035">
              <v:stroke dashstyle="solid"/>
            </v:line>
            <v:shape style="position:absolute;left:2524;top:496;width:233;height:328" coordorigin="2524,497" coordsize="233,328" path="m2524,824l2564,739m2564,739l2614,712m2614,712l2664,582m2664,582l2707,539m2707,539l2757,497e" filled="false" stroked="true" strokeweight="1pt" strokecolor="#de0035">
              <v:path arrowok="t"/>
              <v:stroke dashstyle="solid"/>
            </v:shape>
            <v:line style="position:absolute" from="2747,498" to="2817,498" stroked="true" strokeweight="1.125pt" strokecolor="#de0035">
              <v:stroke dashstyle="solid"/>
            </v:line>
            <v:shape style="position:absolute;left:2806;top:211;width:233;height:285" coordorigin="2807,212" coordsize="233,285" path="m2807,497l2849,369m2849,369l2899,257m2899,257l2949,212m2949,212l2989,257m2989,257l3039,412e" filled="false" stroked="true" strokeweight="1pt" strokecolor="#de0035">
              <v:path arrowok="t"/>
              <v:stroke dashstyle="solid"/>
            </v:shape>
            <v:line style="position:absolute" from="3029,413" to="3099,413" stroked="true" strokeweight="1.125pt" strokecolor="#de0035">
              <v:stroke dashstyle="solid"/>
            </v:line>
            <v:shape style="position:absolute;left:3089;top:411;width:608;height:370" coordorigin="3089,412" coordsize="608,370" path="m3089,412l3132,539m3132,539l3182,582m3182,582l3232,712m3232,712l3272,739m3272,739l3322,712m3322,712l3372,582m3372,582l3414,669m3414,669l3464,782m3464,782l3514,739m3514,739l3557,669m3557,669l3607,539m3607,539l3657,624m3657,624l3697,539e" filled="false" stroked="true" strokeweight="1pt" strokecolor="#de0035">
              <v:path arrowok="t"/>
              <v:stroke dashstyle="solid"/>
            </v:shape>
            <v:line style="position:absolute" from="3687,540" to="3757,540" stroked="true" strokeweight="1.125pt" strokecolor="#de0035">
              <v:stroke dashstyle="solid"/>
            </v:line>
            <v:shape style="position:absolute;left:3746;top:84;width:143;height:455" coordorigin="3747,84" coordsize="143,455" path="m3747,539l3797,299m3797,299l3839,127m3839,127l3889,84e" filled="false" stroked="true" strokeweight="1pt" strokecolor="#de0035">
              <v:path arrowok="t"/>
              <v:stroke dashstyle="solid"/>
            </v:shape>
            <v:shape style="position:absolute;left:1009;top:909;width:140;height:128" coordorigin="1009,909" coordsize="140,128" path="m1009,952l1059,1037m1059,1037l1099,952m1099,952l1149,909e" filled="false" stroked="true" strokeweight="1pt" strokecolor="#0099d9">
              <v:path arrowok="t"/>
              <v:stroke dashstyle="solid"/>
            </v:shape>
            <v:line style="position:absolute" from="1139,910" to="1209,910" stroked="true" strokeweight="1.125pt" strokecolor="#0099d9">
              <v:stroke dashstyle="solid"/>
            </v:line>
            <v:shape style="position:absolute;left:1199;top:909;width:285;height:413" coordorigin="1199,909" coordsize="285,413" path="m1199,909l1242,1037m1242,1037l1292,1237m1292,1237l1342,1322m1342,1322l1384,1279m1384,1279l1434,1322m1434,1322l1484,1237e" filled="false" stroked="true" strokeweight="1pt" strokecolor="#0099d9">
              <v:path arrowok="t"/>
              <v:stroke dashstyle="solid"/>
            </v:shape>
            <v:shape style="position:absolute;left:1474;top:1237;width:160;height:2" coordorigin="1474,1238" coordsize="160,0" path="m1474,1238l1534,1238m1514,1238l1584,1238m1564,1238l1634,1238e" filled="false" stroked="true" strokeweight="1.125pt" strokecolor="#0099d9">
              <v:path arrowok="t"/>
              <v:stroke dashstyle="solid"/>
            </v:shape>
            <v:shape style="position:absolute;left:1624;top:866;width:325;height:413" coordorigin="1624,867" coordsize="325,413" path="m1624,1237l1667,1279m1667,1279l1717,1194m1717,1194l1767,1237m1767,1237l1807,1152m1807,1152l1857,1124m1857,1124l1907,952m1907,952l1949,867e" filled="false" stroked="true" strokeweight="1pt" strokecolor="#0099d9">
              <v:path arrowok="t"/>
              <v:stroke dashstyle="solid"/>
            </v:shape>
            <v:shape style="position:absolute;left:1939;top:867;width:120;height:2" coordorigin="1939,868" coordsize="120,0" path="m1939,868l2009,868m1989,868l2059,868e" filled="false" stroked="true" strokeweight="1.125pt" strokecolor="#0099d9">
              <v:path arrowok="t"/>
              <v:stroke dashstyle="solid"/>
            </v:shape>
            <v:shape style="position:absolute;left:2049;top:624;width:425;height:243" coordorigin="2049,624" coordsize="425,243" path="m2049,867l2092,824m2092,824l2142,712m2142,712l2192,739m2192,739l2232,669m2232,669l2282,739m2282,739l2332,669m2332,669l2374,739m2374,739l2424,669m2424,669l2474,624e" filled="false" stroked="true" strokeweight="1pt" strokecolor="#0099d9">
              <v:path arrowok="t"/>
              <v:stroke dashstyle="solid"/>
            </v:shape>
            <v:line style="position:absolute" from="2464,625" to="2534,625" stroked="true" strokeweight="1.125pt" strokecolor="#0099d9">
              <v:stroke dashstyle="solid"/>
            </v:line>
            <v:shape style="position:absolute;left:2524;top:256;width:233;height:368" coordorigin="2524,257" coordsize="233,368" path="m2524,624l2564,539m2564,539l2614,497m2614,497l2664,369m2664,369l2707,327m2707,327l2757,257e" filled="false" stroked="true" strokeweight="1pt" strokecolor="#0099d9">
              <v:path arrowok="t"/>
              <v:stroke dashstyle="solid"/>
            </v:shape>
            <v:line style="position:absolute" from="2747,258" to="2817,258" stroked="true" strokeweight="1.125pt" strokecolor="#0099d9">
              <v:stroke dashstyle="solid"/>
            </v:line>
            <v:shape style="position:absolute;left:2806;top:-44;width:93;height:300" coordorigin="2807,-43" coordsize="93,300" path="m2807,257l2849,84m2849,84l2899,-43e" filled="false" stroked="true" strokeweight="1pt" strokecolor="#0099d9">
              <v:path arrowok="t"/>
              <v:stroke dashstyle="solid"/>
            </v:shape>
            <v:line style="position:absolute" from="2889,-42" to="2959,-42" stroked="true" strokeweight="1.125pt" strokecolor="#0099d9">
              <v:stroke dashstyle="solid"/>
            </v:line>
            <v:shape style="position:absolute;left:2949;top:-114;width:940;height:938" coordorigin="2949,-113" coordsize="940,938" path="m2949,-43l2989,42m2989,42l3039,257m3039,257l3089,299m3089,299l3132,412m3132,412l3182,454m3182,454l3232,624m3232,624l3272,669m3272,669l3322,624m3322,624l3372,539m3372,539l3414,624m3414,624l3464,824m3464,824l3514,782m3514,782l3557,669m3557,669l3607,497m3607,497l3657,582m3657,582l3697,454m3697,454l3747,412m3747,412l3797,169m3797,169l3839,-43m3839,-43l3889,-113e" filled="false" stroked="true" strokeweight="1pt" strokecolor="#0099d9">
              <v:path arrowok="t"/>
              <v:stroke dashstyle="solid"/>
            </v:shape>
            <v:shape style="position:absolute;left:3966;top:85;width:87;height:410" coordorigin="3967,85" coordsize="87,410" path="m3967,85l4053,85m3967,495l4053,495e" filled="false" stroked="true" strokeweight=".5pt" strokecolor="#000000">
              <v:path arrowok="t"/>
              <v:stroke dashstyle="solid"/>
            </v:shape>
            <v:shape style="position:absolute;left:3796;top:824;width:93;height:128" coordorigin="3797,824" coordsize="93,128" path="m3797,952l3839,909m3839,909l3889,824e" filled="false" stroked="true" strokeweight="1pt" strokecolor="#a64991">
              <v:path arrowok="t"/>
              <v:stroke dashstyle="solid"/>
            </v:shape>
            <v:shape style="position:absolute;left:3966;top:904;width:87;height:820" coordorigin="3967,904" coordsize="87,820" path="m3967,904l4053,904m3967,1314l4053,1314m3967,1724l4053,1724e" filled="false" stroked="true" strokeweight=".5pt" strokecolor="#000000">
              <v:path arrowok="t"/>
              <v:stroke dashstyle="solid"/>
            </v:shape>
            <v:shape style="position:absolute;left:2195;top:-95;width:677;height:134" type="#_x0000_t202" filled="false" stroked="false">
              <v:textbox inset="0,0,0,0">
                <w:txbxContent>
                  <w:p>
                    <w:pPr>
                      <w:spacing w:line="133" w:lineRule="exact" w:before="0"/>
                      <w:ind w:left="0" w:right="0" w:firstLine="0"/>
                      <w:jc w:val="left"/>
                      <w:rPr>
                        <w:sz w:val="12"/>
                      </w:rPr>
                    </w:pPr>
                    <w:r>
                      <w:rPr>
                        <w:sz w:val="12"/>
                      </w:rPr>
                      <w:t>Private sector</w:t>
                    </w:r>
                  </w:p>
                </w:txbxContent>
              </v:textbox>
              <w10:wrap type="none"/>
            </v:shape>
            <v:shape style="position:absolute;left:1939;top:830;width:966;height:253" type="#_x0000_t202" filled="false" stroked="false">
              <v:textbox inset="0,0,0,0">
                <w:txbxContent>
                  <w:p>
                    <w:pPr>
                      <w:spacing w:line="124" w:lineRule="exact" w:before="0"/>
                      <w:ind w:left="0" w:right="0" w:firstLine="0"/>
                      <w:jc w:val="left"/>
                      <w:rPr>
                        <w:sz w:val="12"/>
                      </w:rPr>
                    </w:pPr>
                    <w:r>
                      <w:rPr>
                        <w:sz w:val="12"/>
                        <w:u w:val="thick" w:color="DE0035"/>
                      </w:rPr>
                      <w:t> </w:t>
                    </w:r>
                    <w:r>
                      <w:rPr>
                        <w:spacing w:val="12"/>
                        <w:sz w:val="12"/>
                        <w:u w:val="thick" w:color="DE0035"/>
                      </w:rPr>
                      <w:t> </w:t>
                    </w:r>
                  </w:p>
                  <w:p>
                    <w:pPr>
                      <w:spacing w:line="129" w:lineRule="exact" w:before="0"/>
                      <w:ind w:left="155" w:right="0" w:firstLine="0"/>
                      <w:jc w:val="left"/>
                      <w:rPr>
                        <w:sz w:val="12"/>
                      </w:rPr>
                    </w:pPr>
                    <w:r>
                      <w:rPr>
                        <w:sz w:val="12"/>
                      </w:rPr>
                      <w:t>Whole economy</w:t>
                    </w:r>
                  </w:p>
                </w:txbxContent>
              </v:textbox>
              <w10:wrap type="none"/>
            </v:shape>
            <v:shape style="position:absolute;left:3646;top:830;width:180;height:133" type="#_x0000_t202" filled="false" stroked="false">
              <v:textbox inset="0,0,0,0">
                <w:txbxContent>
                  <w:p>
                    <w:pPr>
                      <w:spacing w:line="133" w:lineRule="exact" w:before="0"/>
                      <w:ind w:left="0" w:right="0" w:firstLine="0"/>
                      <w:jc w:val="left"/>
                      <w:rPr>
                        <w:sz w:val="12"/>
                      </w:rPr>
                    </w:pPr>
                    <w:r>
                      <w:rPr>
                        <w:sz w:val="12"/>
                        <w:u w:val="thick" w:color="A64991"/>
                      </w:rPr>
                      <w:t> </w:t>
                    </w:r>
                    <w:r>
                      <w:rPr>
                        <w:spacing w:val="10"/>
                        <w:sz w:val="12"/>
                        <w:u w:val="thick" w:color="A64991"/>
                      </w:rPr>
                      <w:t> </w:t>
                    </w:r>
                  </w:p>
                </w:txbxContent>
              </v:textbox>
              <w10:wrap type="none"/>
            </v:shape>
            <v:shape style="position:absolute;left:2521;top:1722;width:644;height:134" type="#_x0000_t202" filled="false" stroked="false">
              <v:textbox inset="0,0,0,0">
                <w:txbxContent>
                  <w:p>
                    <w:pPr>
                      <w:spacing w:line="133" w:lineRule="exact" w:before="0"/>
                      <w:ind w:left="0" w:right="0" w:firstLine="0"/>
                      <w:jc w:val="left"/>
                      <w:rPr>
                        <w:sz w:val="12"/>
                      </w:rPr>
                    </w:pPr>
                    <w:r>
                      <w:rPr>
                        <w:sz w:val="12"/>
                      </w:rPr>
                      <w:t>Public sector</w:t>
                    </w:r>
                  </w:p>
                </w:txbxContent>
              </v:textbox>
              <w10:wrap type="none"/>
            </v:shape>
            <w10:wrap type="none"/>
          </v:group>
        </w:pict>
      </w:r>
      <w:r>
        <w:rPr/>
        <w:pict>
          <v:line style="position:absolute;mso-position-horizontal-relative:page;mso-position-vertical-relative:paragraph;z-index:16158208" from="41.542pt,4.261562pt" to="45.875pt,4.261562pt" stroked="true" strokeweight=".5pt" strokecolor="#000000">
            <v:stroke dashstyle="solid"/>
            <w10:wrap type="none"/>
          </v:line>
        </w:pict>
      </w:r>
      <w:r>
        <w:rPr>
          <w:sz w:val="12"/>
        </w:rPr>
        <w:t>6</w:t>
      </w:r>
    </w:p>
    <w:p>
      <w:pPr>
        <w:pStyle w:val="BodyText"/>
        <w:rPr>
          <w:sz w:val="12"/>
        </w:rPr>
      </w:pPr>
    </w:p>
    <w:p>
      <w:pPr>
        <w:pStyle w:val="BodyText"/>
        <w:spacing w:before="10"/>
        <w:rPr>
          <w:sz w:val="11"/>
        </w:rPr>
      </w:pPr>
    </w:p>
    <w:p>
      <w:pPr>
        <w:spacing w:before="0"/>
        <w:ind w:left="0" w:right="104" w:firstLine="0"/>
        <w:jc w:val="right"/>
        <w:rPr>
          <w:sz w:val="12"/>
        </w:rPr>
      </w:pPr>
      <w:r>
        <w:rPr/>
        <w:pict>
          <v:line style="position:absolute;mso-position-horizontal-relative:page;mso-position-vertical-relative:paragraph;z-index:16158720" from="41.542pt,4.097556pt" to="45.875pt,4.097556pt" stroked="true" strokeweight=".5pt" strokecolor="#000000">
            <v:stroke dashstyle="solid"/>
            <w10:wrap type="none"/>
          </v:line>
        </w:pict>
      </w:r>
      <w:r>
        <w:rPr>
          <w:sz w:val="12"/>
        </w:rPr>
        <w:t>5</w:t>
      </w:r>
    </w:p>
    <w:p>
      <w:pPr>
        <w:pStyle w:val="BodyText"/>
        <w:rPr>
          <w:sz w:val="12"/>
        </w:rPr>
      </w:pPr>
    </w:p>
    <w:p>
      <w:pPr>
        <w:pStyle w:val="BodyText"/>
        <w:spacing w:before="11"/>
        <w:rPr>
          <w:sz w:val="11"/>
        </w:rPr>
      </w:pPr>
    </w:p>
    <w:p>
      <w:pPr>
        <w:spacing w:before="0"/>
        <w:ind w:left="0" w:right="104" w:firstLine="0"/>
        <w:jc w:val="right"/>
        <w:rPr>
          <w:sz w:val="12"/>
        </w:rPr>
      </w:pPr>
      <w:r>
        <w:rPr/>
        <w:pict>
          <v:line style="position:absolute;mso-position-horizontal-relative:page;mso-position-vertical-relative:paragraph;z-index:16159232" from="41.542pt,3.933566pt" to="45.875pt,3.933566pt" stroked="true" strokeweight=".5pt" strokecolor="#000000">
            <v:stroke dashstyle="solid"/>
            <w10:wrap type="none"/>
          </v:line>
        </w:pict>
      </w:r>
      <w:r>
        <w:rPr>
          <w:sz w:val="12"/>
        </w:rPr>
        <w:t>4</w:t>
      </w:r>
    </w:p>
    <w:p>
      <w:pPr>
        <w:pStyle w:val="BodyText"/>
        <w:rPr>
          <w:sz w:val="12"/>
        </w:rPr>
      </w:pPr>
    </w:p>
    <w:p>
      <w:pPr>
        <w:pStyle w:val="BodyText"/>
        <w:spacing w:before="10"/>
        <w:rPr>
          <w:sz w:val="11"/>
        </w:rPr>
      </w:pPr>
    </w:p>
    <w:p>
      <w:pPr>
        <w:spacing w:before="0"/>
        <w:ind w:left="0" w:right="104" w:firstLine="0"/>
        <w:jc w:val="right"/>
        <w:rPr>
          <w:sz w:val="12"/>
        </w:rPr>
      </w:pPr>
      <w:r>
        <w:rPr/>
        <w:pict>
          <v:line style="position:absolute;mso-position-horizontal-relative:page;mso-position-vertical-relative:paragraph;z-index:16159744" from="41.542pt,3.769561pt" to="45.875pt,3.769561pt" stroked="true" strokeweight=".5pt" strokecolor="#000000">
            <v:stroke dashstyle="solid"/>
            <w10:wrap type="none"/>
          </v:line>
        </w:pict>
      </w:r>
      <w:r>
        <w:rPr>
          <w:sz w:val="12"/>
        </w:rPr>
        <w:t>3</w:t>
      </w:r>
    </w:p>
    <w:p>
      <w:pPr>
        <w:pStyle w:val="BodyText"/>
        <w:rPr>
          <w:sz w:val="12"/>
        </w:rPr>
      </w:pPr>
    </w:p>
    <w:p>
      <w:pPr>
        <w:pStyle w:val="BodyText"/>
        <w:spacing w:before="10"/>
        <w:rPr>
          <w:sz w:val="11"/>
        </w:rPr>
      </w:pPr>
    </w:p>
    <w:p>
      <w:pPr>
        <w:spacing w:before="1"/>
        <w:ind w:left="0" w:right="104" w:firstLine="0"/>
        <w:jc w:val="right"/>
        <w:rPr>
          <w:sz w:val="12"/>
        </w:rPr>
      </w:pPr>
      <w:r>
        <w:rPr/>
        <w:pict>
          <v:line style="position:absolute;mso-position-horizontal-relative:page;mso-position-vertical-relative:paragraph;z-index:16160768" from="41.542pt,3.655555pt" to="45.875pt,3.655555pt" stroked="true" strokeweight=".5pt" strokecolor="#000000">
            <v:stroke dashstyle="solid"/>
            <w10:wrap type="none"/>
          </v:line>
        </w:pict>
      </w:r>
      <w:r>
        <w:rPr>
          <w:sz w:val="12"/>
        </w:rPr>
        <w:t>2</w:t>
      </w:r>
    </w:p>
    <w:p>
      <w:pPr>
        <w:pStyle w:val="BodyText"/>
        <w:rPr>
          <w:sz w:val="12"/>
        </w:rPr>
      </w:pPr>
    </w:p>
    <w:p>
      <w:pPr>
        <w:pStyle w:val="BodyText"/>
        <w:spacing w:before="10"/>
        <w:rPr>
          <w:sz w:val="11"/>
        </w:rPr>
      </w:pPr>
    </w:p>
    <w:p>
      <w:pPr>
        <w:spacing w:before="0"/>
        <w:ind w:left="0" w:right="104" w:firstLine="0"/>
        <w:jc w:val="right"/>
        <w:rPr>
          <w:sz w:val="12"/>
        </w:rPr>
      </w:pPr>
      <w:r>
        <w:rPr/>
        <w:pict>
          <v:line style="position:absolute;mso-position-horizontal-relative:page;mso-position-vertical-relative:paragraph;z-index:16160256" from="41.542pt,3.441565pt" to="45.875pt,3.441565pt" stroked="true" strokeweight=".5pt" strokecolor="#000000">
            <v:stroke dashstyle="solid"/>
            <w10:wrap type="none"/>
          </v:line>
        </w:pict>
      </w:r>
      <w:r>
        <w:rPr/>
        <w:pict>
          <v:line style="position:absolute;mso-position-horizontal-relative:page;mso-position-vertical-relative:paragraph;z-index:16162304" from="198.332993pt,3.441565pt" to="202.666993pt,3.441565pt" stroked="true" strokeweight=".5pt" strokecolor="#000000">
            <v:stroke dashstyle="solid"/>
            <w10:wrap type="none"/>
          </v:line>
        </w:pict>
      </w:r>
      <w:r>
        <w:rPr>
          <w:sz w:val="12"/>
        </w:rPr>
        <w:t>1</w:t>
      </w:r>
    </w:p>
    <w:p>
      <w:pPr>
        <w:pStyle w:val="BodyText"/>
        <w:rPr>
          <w:sz w:val="12"/>
        </w:rPr>
      </w:pPr>
    </w:p>
    <w:p>
      <w:pPr>
        <w:pStyle w:val="BodyText"/>
        <w:spacing w:before="10"/>
        <w:rPr>
          <w:sz w:val="11"/>
        </w:rPr>
      </w:pPr>
    </w:p>
    <w:p>
      <w:pPr>
        <w:spacing w:line="118" w:lineRule="exact" w:before="0"/>
        <w:ind w:left="3474" w:right="0" w:firstLine="0"/>
        <w:jc w:val="left"/>
        <w:rPr>
          <w:sz w:val="12"/>
        </w:rPr>
      </w:pPr>
      <w:r>
        <w:rPr/>
        <w:pict>
          <v:shape style="position:absolute;margin-left:50.292pt;margin-top:-.03444pt;width:152.4pt;height:3.4pt;mso-position-horizontal-relative:page;mso-position-vertical-relative:paragraph;z-index:16157696" coordorigin="1006,-1" coordsize="3048,68" path="m1008,66l3897,66m1006,-1l1006,66m1572,-1l1572,66m2138,-1l2138,66m2704,-1l2704,66m3270,-1l3270,66m3837,-1l3837,66m3967,66l4053,66e" filled="false" stroked="true" strokeweight=".5pt" strokecolor="#000000">
            <v:path arrowok="t"/>
            <v:stroke dashstyle="solid"/>
            <w10:wrap type="none"/>
          </v:shape>
        </w:pict>
      </w:r>
      <w:r>
        <w:rPr/>
        <w:pict>
          <v:line style="position:absolute;mso-position-horizontal-relative:page;mso-position-vertical-relative:paragraph;z-index:16161280" from="41.542pt,3.27856pt" to="45.875pt,3.27856pt" stroked="true" strokeweight=".5pt" strokecolor="#000000">
            <v:stroke dashstyle="solid"/>
            <w10:wrap type="none"/>
          </v:line>
        </w:pict>
      </w:r>
      <w:r>
        <w:rPr>
          <w:sz w:val="12"/>
        </w:rPr>
        <w:t>0</w:t>
      </w:r>
    </w:p>
    <w:p>
      <w:pPr>
        <w:tabs>
          <w:tab w:pos="1154" w:val="left" w:leader="none"/>
          <w:tab w:pos="1721" w:val="left" w:leader="none"/>
          <w:tab w:pos="2286" w:val="left" w:leader="none"/>
          <w:tab w:pos="2861" w:val="left" w:leader="none"/>
        </w:tabs>
        <w:spacing w:line="118" w:lineRule="exact" w:before="0"/>
        <w:ind w:left="519" w:right="0" w:firstLine="0"/>
        <w:jc w:val="left"/>
        <w:rPr>
          <w:sz w:val="12"/>
        </w:rPr>
      </w:pPr>
      <w:r>
        <w:rPr>
          <w:sz w:val="12"/>
        </w:rPr>
        <w:t>1995</w:t>
        <w:tab/>
        <w:t>96</w:t>
        <w:tab/>
        <w:t>97</w:t>
        <w:tab/>
        <w:t>98</w:t>
        <w:tab/>
        <w:t>99    </w:t>
      </w:r>
      <w:r>
        <w:rPr>
          <w:spacing w:val="15"/>
          <w:sz w:val="12"/>
        </w:rPr>
        <w:t> </w:t>
      </w:r>
      <w:r>
        <w:rPr>
          <w:sz w:val="12"/>
        </w:rPr>
        <w:t>2000</w:t>
      </w:r>
    </w:p>
    <w:p>
      <w:pPr>
        <w:spacing w:line="208" w:lineRule="auto" w:before="71"/>
        <w:ind w:left="420" w:right="462" w:hanging="240"/>
        <w:jc w:val="left"/>
        <w:rPr>
          <w:sz w:val="12"/>
        </w:rPr>
      </w:pPr>
      <w:r>
        <w:rPr>
          <w:sz w:val="12"/>
        </w:rPr>
        <w:t>(a) Annual growth in backward-looking three-month average of the AEI.</w:t>
      </w:r>
    </w:p>
    <w:p>
      <w:pPr>
        <w:pStyle w:val="Heading6"/>
        <w:spacing w:line="242" w:lineRule="auto" w:before="217"/>
        <w:ind w:right="248"/>
      </w:pPr>
      <w:r>
        <w:rPr/>
        <w:br w:type="column"/>
      </w:r>
      <w:r>
        <w:rPr/>
        <w:t>Chart 3.9). Outside the manufacturing sector, productivity growth appears to have picked up recently in most industries, especially in transport and communications and financial services.</w:t>
      </w:r>
    </w:p>
    <w:p>
      <w:pPr>
        <w:pStyle w:val="BodyText"/>
        <w:spacing w:before="3"/>
        <w:rPr>
          <w:sz w:val="28"/>
        </w:rPr>
      </w:pPr>
    </w:p>
    <w:p>
      <w:pPr>
        <w:spacing w:line="242" w:lineRule="auto" w:before="0"/>
        <w:ind w:left="170" w:right="172" w:firstLine="0"/>
        <w:jc w:val="left"/>
        <w:rPr>
          <w:sz w:val="24"/>
        </w:rPr>
      </w:pPr>
      <w:r>
        <w:rPr>
          <w:sz w:val="24"/>
        </w:rPr>
        <w:t>Developments in labour productivity growth have an important influence on the growth in whole-economy supply capacity and on the degree of inflationary pressure in the labour market. Stronger productivity acts to dampen the upward pressure on firms’ unit wage costs of a rise in earnings. Given the pick-up in productivity growth, annual growth in unit wage costs fell further in Q4, to 3.2% (see Chart 3.8). In the longer term, real earnings are likely to rise in line with trend productivity growth.</w:t>
      </w:r>
    </w:p>
    <w:p>
      <w:pPr>
        <w:pStyle w:val="BodyText"/>
        <w:spacing w:before="11"/>
        <w:rPr>
          <w:sz w:val="28"/>
        </w:rPr>
      </w:pPr>
    </w:p>
    <w:p>
      <w:pPr>
        <w:spacing w:line="242" w:lineRule="auto" w:before="0"/>
        <w:ind w:left="170" w:right="206" w:firstLine="0"/>
        <w:jc w:val="left"/>
        <w:rPr>
          <w:sz w:val="24"/>
        </w:rPr>
      </w:pPr>
      <w:r>
        <w:rPr>
          <w:sz w:val="24"/>
        </w:rPr>
        <w:t>Previous </w:t>
      </w:r>
      <w:r>
        <w:rPr>
          <w:i/>
          <w:sz w:val="24"/>
        </w:rPr>
        <w:t>Reports </w:t>
      </w:r>
      <w:r>
        <w:rPr>
          <w:spacing w:val="-3"/>
          <w:sz w:val="24"/>
        </w:rPr>
        <w:t>have </w:t>
      </w:r>
      <w:r>
        <w:rPr>
          <w:sz w:val="24"/>
        </w:rPr>
        <w:t>discussed some possible implications of recent Government policies designed to affect the supply of and demand for </w:t>
      </w:r>
      <w:r>
        <w:rPr>
          <w:spacing w:val="-3"/>
          <w:sz w:val="24"/>
        </w:rPr>
        <w:t>labour, </w:t>
      </w:r>
      <w:r>
        <w:rPr>
          <w:sz w:val="24"/>
        </w:rPr>
        <w:t>including the </w:t>
      </w:r>
      <w:r>
        <w:rPr>
          <w:spacing w:val="-3"/>
          <w:sz w:val="24"/>
        </w:rPr>
        <w:t>New </w:t>
      </w:r>
      <w:r>
        <w:rPr>
          <w:sz w:val="24"/>
        </w:rPr>
        <w:t>Deal and the </w:t>
      </w:r>
      <w:r>
        <w:rPr>
          <w:spacing w:val="-4"/>
          <w:sz w:val="24"/>
        </w:rPr>
        <w:t>Working </w:t>
      </w:r>
      <w:r>
        <w:rPr>
          <w:sz w:val="24"/>
        </w:rPr>
        <w:t>Families </w:t>
      </w:r>
      <w:r>
        <w:rPr>
          <w:spacing w:val="-7"/>
          <w:sz w:val="24"/>
        </w:rPr>
        <w:t>Tax </w:t>
      </w:r>
      <w:r>
        <w:rPr>
          <w:sz w:val="24"/>
        </w:rPr>
        <w:t>Credit (WFTC). The March Budget contained a number of further measures, including extensions to the </w:t>
      </w:r>
      <w:r>
        <w:rPr>
          <w:spacing w:val="-3"/>
          <w:sz w:val="24"/>
        </w:rPr>
        <w:t>New </w:t>
      </w:r>
      <w:r>
        <w:rPr>
          <w:sz w:val="24"/>
        </w:rPr>
        <w:t>Deal, designed to help the long-term unemployed and other disadvantaged groups into employment. In forming its latest inflation projection the MPC has decided not to adjust its assumptions, but these will be kept under </w:t>
      </w:r>
      <w:r>
        <w:rPr>
          <w:spacing w:val="-3"/>
          <w:sz w:val="24"/>
        </w:rPr>
        <w:t>review </w:t>
      </w:r>
      <w:r>
        <w:rPr>
          <w:sz w:val="24"/>
        </w:rPr>
        <w:t>as further data and analysis become</w:t>
      </w:r>
      <w:r>
        <w:rPr>
          <w:spacing w:val="-25"/>
          <w:sz w:val="24"/>
        </w:rPr>
        <w:t> </w:t>
      </w:r>
      <w:r>
        <w:rPr>
          <w:sz w:val="24"/>
        </w:rPr>
        <w:t>available.</w:t>
      </w:r>
    </w:p>
    <w:p>
      <w:pPr>
        <w:pStyle w:val="BodyText"/>
        <w:spacing w:before="9"/>
        <w:rPr>
          <w:sz w:val="25"/>
        </w:rPr>
      </w:pPr>
    </w:p>
    <w:p>
      <w:pPr>
        <w:pStyle w:val="Heading3"/>
        <w:numPr>
          <w:ilvl w:val="1"/>
          <w:numId w:val="19"/>
        </w:numPr>
        <w:tabs>
          <w:tab w:pos="2436" w:val="left" w:leader="none"/>
          <w:tab w:pos="2437" w:val="left" w:leader="none"/>
          <w:tab w:pos="5669" w:val="left" w:leader="none"/>
        </w:tabs>
        <w:spacing w:line="240" w:lineRule="auto" w:before="0" w:after="0"/>
        <w:ind w:left="2436" w:right="0" w:hanging="2267"/>
        <w:jc w:val="left"/>
        <w:rPr>
          <w:color w:val="009391"/>
        </w:rPr>
      </w:pPr>
      <w:r>
        <w:rPr>
          <w:color w:val="009391"/>
          <w:u w:val="thick" w:color="0092C7"/>
        </w:rPr>
        <w:t>Earnings and</w:t>
      </w:r>
      <w:r>
        <w:rPr>
          <w:color w:val="009391"/>
          <w:spacing w:val="-24"/>
          <w:u w:val="thick" w:color="0092C7"/>
        </w:rPr>
        <w:t> </w:t>
      </w:r>
      <w:r>
        <w:rPr>
          <w:color w:val="009391"/>
          <w:u w:val="thick" w:color="0092C7"/>
        </w:rPr>
        <w:t>settlements</w:t>
        <w:tab/>
      </w:r>
    </w:p>
    <w:p>
      <w:pPr>
        <w:spacing w:line="242" w:lineRule="auto" w:before="264"/>
        <w:ind w:left="170" w:right="119" w:firstLine="0"/>
        <w:jc w:val="left"/>
        <w:rPr>
          <w:sz w:val="24"/>
        </w:rPr>
      </w:pPr>
      <w:r>
        <w:rPr>
          <w:sz w:val="24"/>
        </w:rPr>
        <w:t>Earnings growth, as measured by the Average Earnings Index (AEI), has been significantly stronger in recent months than expected at the time of the February </w:t>
      </w:r>
      <w:r>
        <w:rPr>
          <w:i/>
          <w:sz w:val="24"/>
        </w:rPr>
        <w:t>Report</w:t>
      </w:r>
      <w:r>
        <w:rPr>
          <w:sz w:val="24"/>
        </w:rPr>
        <w:t>. The AEI headline rate of annual earnings growth rose to 6.0% in the three months to February, 1.1 percentage points higher than its value in November. Most of the recent increase in headline earnings growth was accounted for by the private sector (see Chart 3.10).</w:t>
      </w:r>
    </w:p>
    <w:p>
      <w:pPr>
        <w:spacing w:line="242" w:lineRule="auto" w:before="10"/>
        <w:ind w:left="170" w:right="245" w:firstLine="0"/>
        <w:jc w:val="left"/>
        <w:rPr>
          <w:sz w:val="24"/>
        </w:rPr>
      </w:pPr>
      <w:r>
        <w:rPr>
          <w:sz w:val="24"/>
        </w:rPr>
        <w:t>Since last summer, earnings growth has risen in both manufacturing and service sector firms (see Chart 3.11). Inferred growth in earnings per hour has exceeded growth in earnings per head recently, reflecting the fall in average hours worked in the year to February.</w:t>
      </w:r>
    </w:p>
    <w:p>
      <w:pPr>
        <w:pStyle w:val="BodyText"/>
        <w:spacing w:before="4"/>
        <w:rPr>
          <w:sz w:val="28"/>
        </w:rPr>
      </w:pPr>
    </w:p>
    <w:p>
      <w:pPr>
        <w:spacing w:line="242" w:lineRule="auto" w:before="0"/>
        <w:ind w:left="170" w:right="174" w:firstLine="0"/>
        <w:jc w:val="left"/>
        <w:rPr>
          <w:sz w:val="24"/>
        </w:rPr>
      </w:pPr>
      <w:r>
        <w:rPr>
          <w:sz w:val="24"/>
        </w:rPr>
        <w:t>Turning to other indicators of pay, information on wages and salaries paid to the household sector is published quarterly as part of the National Accounts (early estimates of which are based partly on the AEI). At the beginning of last year, earnings growth as measured by wages and salaries per head was a little higher than as measured by the AEI. But in 1999 Q4, annual growth in</w:t>
      </w:r>
    </w:p>
    <w:p>
      <w:pPr>
        <w:spacing w:after="0" w:line="242" w:lineRule="auto"/>
        <w:jc w:val="left"/>
        <w:rPr>
          <w:sz w:val="24"/>
        </w:rPr>
        <w:sectPr>
          <w:type w:val="continuous"/>
          <w:pgSz w:w="11900" w:h="16840"/>
          <w:pgMar w:top="1220" w:bottom="280" w:left="640" w:right="620"/>
          <w:cols w:num="2" w:equalWidth="0">
            <w:col w:w="3641" w:space="1159"/>
            <w:col w:w="5840"/>
          </w:cols>
        </w:sectPr>
      </w:pPr>
    </w:p>
    <w:p>
      <w:pPr>
        <w:pStyle w:val="BodyText"/>
        <w:rPr>
          <w:sz w:val="20"/>
        </w:rPr>
      </w:pPr>
    </w:p>
    <w:p>
      <w:pPr>
        <w:spacing w:after="0"/>
        <w:rPr>
          <w:sz w:val="20"/>
        </w:rPr>
        <w:sectPr>
          <w:headerReference w:type="default" r:id="rId138"/>
          <w:headerReference w:type="even" r:id="rId139"/>
          <w:footerReference w:type="default" r:id="rId140"/>
          <w:footerReference w:type="even" r:id="rId141"/>
          <w:pgSz w:w="11900" w:h="16840"/>
          <w:pgMar w:header="586" w:footer="617" w:top="780" w:bottom="800" w:left="640" w:right="620"/>
          <w:pgNumType w:start="29"/>
        </w:sectPr>
      </w:pPr>
    </w:p>
    <w:p>
      <w:pPr>
        <w:pStyle w:val="BodyText"/>
        <w:spacing w:before="6"/>
        <w:rPr>
          <w:sz w:val="20"/>
        </w:rPr>
      </w:pPr>
    </w:p>
    <w:p>
      <w:pPr>
        <w:spacing w:before="0"/>
        <w:ind w:left="150" w:right="0" w:firstLine="0"/>
        <w:jc w:val="left"/>
        <w:rPr>
          <w:b/>
          <w:sz w:val="20"/>
        </w:rPr>
      </w:pPr>
      <w:r>
        <w:rPr>
          <w:b/>
          <w:color w:val="0092C7"/>
          <w:sz w:val="20"/>
        </w:rPr>
        <w:t>Chart 3.11</w:t>
      </w:r>
    </w:p>
    <w:p>
      <w:pPr>
        <w:spacing w:before="10"/>
        <w:ind w:left="150" w:right="0" w:firstLine="0"/>
        <w:jc w:val="left"/>
        <w:rPr>
          <w:sz w:val="12"/>
        </w:rPr>
      </w:pPr>
      <w:r>
        <w:rPr>
          <w:b/>
          <w:color w:val="0092C7"/>
          <w:sz w:val="20"/>
        </w:rPr>
        <w:t>Headline growth in nominal earnings</w:t>
      </w:r>
      <w:r>
        <w:rPr>
          <w:position w:val="4"/>
          <w:sz w:val="12"/>
        </w:rPr>
        <w:t>(a)</w:t>
      </w:r>
    </w:p>
    <w:p>
      <w:pPr>
        <w:spacing w:before="85"/>
        <w:ind w:left="1664" w:right="0" w:firstLine="0"/>
        <w:jc w:val="left"/>
        <w:rPr>
          <w:sz w:val="12"/>
        </w:rPr>
      </w:pPr>
      <w:r>
        <w:rPr>
          <w:sz w:val="12"/>
        </w:rPr>
        <w:t>Percentage changes on a year earlier </w:t>
      </w:r>
      <w:r>
        <w:rPr>
          <w:position w:val="-8"/>
          <w:sz w:val="12"/>
        </w:rPr>
        <w:t>7</w:t>
      </w:r>
    </w:p>
    <w:p>
      <w:pPr>
        <w:pStyle w:val="BodyText"/>
        <w:spacing w:before="3"/>
        <w:rPr>
          <w:sz w:val="23"/>
        </w:rPr>
      </w:pPr>
    </w:p>
    <w:p>
      <w:pPr>
        <w:spacing w:before="0"/>
        <w:ind w:left="3470" w:right="0" w:firstLine="0"/>
        <w:jc w:val="left"/>
        <w:rPr>
          <w:sz w:val="12"/>
        </w:rPr>
      </w:pPr>
      <w:r>
        <w:rPr/>
        <w:pict>
          <v:group style="position:absolute;margin-left:49.75pt;margin-top:-.542847pt;width:152.950pt;height:86.9pt;mso-position-horizontal-relative:page;mso-position-vertical-relative:paragraph;z-index:-22447616" coordorigin="995,-11" coordsize="3059,1738">
            <v:line style="position:absolute" from="1005,1067" to="1050,1102" stroked="true" strokeweight="1pt" strokecolor="#de0035">
              <v:stroke dashstyle="solid"/>
            </v:line>
            <v:line style="position:absolute" from="1040,1103" to="1115,1103" stroked="true" strokeweight="1.125pt" strokecolor="#de0035">
              <v:stroke dashstyle="solid"/>
            </v:line>
            <v:shape style="position:absolute;left:1105;top:1014;width:228;height:423" coordorigin="1105,1014" coordsize="228,423" path="m1105,1102l1148,1014m1148,1014l1190,1067m1190,1067l1245,1189m1245,1189l1290,1349m1290,1349l1333,1437e" filled="false" stroked="true" strokeweight="1pt" strokecolor="#de0035">
              <v:path arrowok="t"/>
              <v:stroke dashstyle="solid"/>
            </v:shape>
            <v:line style="position:absolute" from="1323,1438" to="1398,1438" stroked="true" strokeweight="1.125pt" strokecolor="#de0035">
              <v:stroke dashstyle="solid"/>
            </v:line>
            <v:shape style="position:absolute;left:1387;top:1314;width:88;height:123" coordorigin="1388,1314" coordsize="88,123" path="m1388,1437l1430,1384m1430,1384l1475,1314e" filled="false" stroked="true" strokeweight="1pt" strokecolor="#de0035">
              <v:path arrowok="t"/>
              <v:stroke dashstyle="solid"/>
            </v:shape>
            <v:shape style="position:absolute;left:1465;top:1315;width:215;height:2" coordorigin="1465,1315" coordsize="215,0" path="m1465,1315l1538,1315m1518,1315l1583,1315m1563,1315l1625,1315m1605,1315l1680,1315e" filled="false" stroked="true" strokeweight="1.125pt" strokecolor="#de0035">
              <v:path arrowok="t"/>
              <v:stroke dashstyle="solid"/>
            </v:shape>
            <v:shape style="position:absolute;left:1670;top:944;width:283;height:370" coordorigin="1670,944" coordsize="283,370" path="m1670,1314l1715,1227m1715,1227l1768,1262m1768,1262l1813,1137m1813,1137l1855,1102m1855,1102l1910,1014m1910,1014l1953,944e" filled="false" stroked="true" strokeweight="1pt" strokecolor="#de0035">
              <v:path arrowok="t"/>
              <v:stroke dashstyle="solid"/>
            </v:shape>
            <v:shape style="position:absolute;left:1942;top:945;width:163;height:2" coordorigin="1943,945" coordsize="163,0" path="m1943,945l2008,945m1988,945l2063,945m2043,945l2105,945e" filled="false" stroked="true" strokeweight="1.125pt" strokecolor="#de0035">
              <v:path arrowok="t"/>
              <v:stroke dashstyle="solid"/>
            </v:shape>
            <v:shape style="position:absolute;left:2095;top:821;width:383;height:123" coordorigin="2095,822" coordsize="383,123" path="m2095,944l2138,822m2138,822l2193,857m2193,857l2238,822m2238,822l2280,892m2280,892l2335,857m2335,857l2378,944m2378,944l2423,892m2423,892l2478,822e" filled="false" stroked="true" strokeweight="1pt" strokecolor="#de0035">
              <v:path arrowok="t"/>
              <v:stroke dashstyle="solid"/>
            </v:shape>
            <v:rect style="position:absolute;left:2467;top:811;width:63;height:23" filled="true" fillcolor="#de0035" stroked="false">
              <v:fill type="solid"/>
            </v:rect>
            <v:shape style="position:absolute;left:2520;top:489;width:240;height:333" coordorigin="2520,489" coordsize="240,333" path="m2520,822l2563,734m2563,734l2618,699m2618,699l2663,577m2663,577l2705,524m2705,524l2760,489e" filled="false" stroked="true" strokeweight="1pt" strokecolor="#de0035">
              <v:path arrowok="t"/>
              <v:stroke dashstyle="solid"/>
            </v:shape>
            <v:line style="position:absolute" from="2750,490" to="2813,490" stroked="true" strokeweight="1.125pt" strokecolor="#de0035">
              <v:stroke dashstyle="solid"/>
            </v:line>
            <v:shape style="position:absolute;left:2802;top:191;width:240;height:298" coordorigin="2803,192" coordsize="240,298" path="m2803,489l2848,367m2848,367l2900,244m2900,244l2945,192m2945,192l2988,244m2988,244l3043,402e" filled="false" stroked="true" strokeweight="1pt" strokecolor="#de0035">
              <v:path arrowok="t"/>
              <v:stroke dashstyle="solid"/>
            </v:shape>
            <v:line style="position:absolute" from="3033,403" to="3098,403" stroked="true" strokeweight="1.125pt" strokecolor="#de0035">
              <v:stroke dashstyle="solid"/>
            </v:line>
            <v:shape style="position:absolute;left:3087;top:401;width:620;height:368" coordorigin="3088,402" coordsize="620,368" path="m3088,402l3130,524m3130,524l3185,577m3185,577l3228,699m3228,699l3283,734m3283,734l3325,699m3325,699l3370,577m3370,577l3425,647m3425,647l3468,769m3468,769l3510,734m3510,734l3565,647m3565,647l3610,524m3610,524l3653,612m3653,612l3708,524e" filled="false" stroked="true" strokeweight="1pt" strokecolor="#de0035">
              <v:path arrowok="t"/>
              <v:stroke dashstyle="solid"/>
            </v:shape>
            <v:line style="position:absolute" from="3698,525" to="3760,525" stroked="true" strokeweight="1.125pt" strokecolor="#de0035">
              <v:stroke dashstyle="solid"/>
            </v:line>
            <v:shape style="position:absolute;left:3750;top:69;width:143;height:455" coordorigin="3750,69" coordsize="143,455" path="m3750,524l3795,279m3795,279l3850,122m3850,122l3893,69e" filled="false" stroked="true" strokeweight="1pt" strokecolor="#de0035">
              <v:path arrowok="t"/>
              <v:stroke dashstyle="solid"/>
            </v:shape>
            <v:shape style="position:absolute;left:1005;top:1314;width:100;height:70" coordorigin="1005,1314" coordsize="100,70" path="m1005,1349l1050,1384m1050,1384l1105,1314e" filled="false" stroked="true" strokeweight="1pt" strokecolor="#f6bd61">
              <v:path arrowok="t"/>
              <v:stroke dashstyle="solid"/>
            </v:shape>
            <v:line style="position:absolute" from="1095,1315" to="1158,1315" stroked="true" strokeweight="1.125pt" strokecolor="#f6bd61">
              <v:stroke dashstyle="solid"/>
            </v:line>
            <v:shape style="position:absolute;left:1147;top:1261;width:425;height:455" coordorigin="1148,1262" coordsize="425,455" path="m1148,1314l1190,1262m1190,1262l1245,1472m1245,1472l1290,1629m1290,1629l1333,1717m1333,1717l1388,1682m1388,1682l1430,1629m1430,1629l1475,1507m1475,1507l1528,1437m1528,1437l1573,1384e" filled="false" stroked="true" strokeweight="1pt" strokecolor="#f6bd61">
              <v:path arrowok="t"/>
              <v:stroke dashstyle="solid"/>
            </v:shape>
            <v:line style="position:absolute" from="1563,1385" to="1625,1385" stroked="true" strokeweight="1.125pt" strokecolor="#f6bd61">
              <v:stroke dashstyle="solid"/>
            </v:line>
            <v:shape style="position:absolute;left:1615;top:1384;width:100;height:88" coordorigin="1615,1384" coordsize="100,88" path="m1615,1384l1670,1472m1670,1472l1715,1384e" filled="false" stroked="true" strokeweight="1pt" strokecolor="#f6bd61">
              <v:path arrowok="t"/>
              <v:stroke dashstyle="solid"/>
            </v:shape>
            <v:line style="position:absolute" from="1705,1385" to="1778,1385" stroked="true" strokeweight="1.125pt" strokecolor="#f6bd61">
              <v:stroke dashstyle="solid"/>
            </v:line>
            <v:shape style="position:absolute;left:1767;top:979;width:185;height:405" coordorigin="1768,979" coordsize="185,405" path="m1768,1384l1813,1227m1813,1227l1855,1137m1855,1137l1910,1067m1910,1067l1953,979e" filled="false" stroked="true" strokeweight="1pt" strokecolor="#f6bd61">
              <v:path arrowok="t"/>
              <v:stroke dashstyle="solid"/>
            </v:shape>
            <v:shape style="position:absolute;left:1942;top:980;width:120;height:2" coordorigin="1943,980" coordsize="120,0" path="m1943,980l2008,980m1988,980l2063,980e" filled="false" stroked="true" strokeweight="1.125pt" strokecolor="#f6bd61">
              <v:path arrowok="t"/>
              <v:stroke dashstyle="solid"/>
            </v:shape>
            <v:shape style="position:absolute;left:2052;top:891;width:85;height:123" coordorigin="2053,892" coordsize="85,123" path="m2053,979l2095,1014m2095,1014l2138,892e" filled="false" stroked="true" strokeweight="1pt" strokecolor="#f6bd61">
              <v:path arrowok="t"/>
              <v:stroke dashstyle="solid"/>
            </v:shape>
            <v:line style="position:absolute" from="2128,893" to="2203,893" stroked="true" strokeweight="1.125pt" strokecolor="#f6bd61">
              <v:stroke dashstyle="solid"/>
            </v:line>
            <v:shape style="position:absolute;left:2192;top:524;width:470;height:420" coordorigin="2193,524" coordsize="470,420" path="m2193,892l2238,769m2238,769l2280,857m2280,857l2335,822m2335,822l2378,944m2378,944l2423,857m2423,857l2478,822m2478,822l2520,769m2520,769l2563,734m2563,734l2618,699m2618,699l2663,524e" filled="false" stroked="true" strokeweight="1pt" strokecolor="#f6bd61">
              <v:path arrowok="t"/>
              <v:stroke dashstyle="solid"/>
            </v:shape>
            <v:line style="position:absolute" from="2653,525" to="2715,525" stroked="true" strokeweight="1.125pt" strokecolor="#f6bd61">
              <v:stroke dashstyle="solid"/>
            </v:line>
            <v:shape style="position:absolute;left:2705;top:121;width:338;height:403" coordorigin="2705,122" coordsize="338,403" path="m2705,524l2760,454m2760,454l2803,489m2803,489l2848,367m2848,367l2900,192m2900,192l2945,122m2945,122l2988,192m2988,192l3043,367e" filled="false" stroked="true" strokeweight="1pt" strokecolor="#f6bd61">
              <v:path arrowok="t"/>
              <v:stroke dashstyle="solid"/>
            </v:shape>
            <v:line style="position:absolute" from="3033,368" to="3098,368" stroked="true" strokeweight="1.125pt" strokecolor="#f6bd61">
              <v:stroke dashstyle="solid"/>
            </v:line>
            <v:shape style="position:absolute;left:3087;top:314;width:620;height:455" coordorigin="3088,314" coordsize="620,455" path="m3088,367l3130,489m3130,489l3185,524m3185,524l3228,647m3228,647l3283,699m3283,699l3325,612m3325,612l3370,524m3370,524l3425,612m3425,612l3468,769m3468,769l3510,612m3510,612l3565,489m3565,489l3610,314m3610,314l3653,489m3653,489l3708,402e" filled="false" stroked="true" strokeweight="1pt" strokecolor="#f6bd61">
              <v:path arrowok="t"/>
              <v:stroke dashstyle="solid"/>
            </v:shape>
            <v:line style="position:absolute" from="3698,403" to="3760,403" stroked="true" strokeweight="1.125pt" strokecolor="#f6bd61">
              <v:stroke dashstyle="solid"/>
            </v:line>
            <v:shape style="position:absolute;left:3750;top:-1;width:143;height:403" coordorigin="3750,-1" coordsize="143,403" path="m3750,402l3795,244m3795,244l3850,34m3850,34l3893,-1e" filled="false" stroked="true" strokeweight="1pt" strokecolor="#f6bd61">
              <v:path arrowok="t"/>
              <v:stroke dashstyle="solid"/>
            </v:shape>
            <v:shape style="position:absolute;left:1005;top:279;width:665;height:788" coordorigin="1005,279" coordsize="665,788" path="m1005,367l1050,279m1050,279l1105,524m1105,524l1148,454m1148,454l1190,577m1190,577l1245,524m1245,524l1290,647m1290,647l1333,734m1333,734l1388,769m1388,769l1430,822m1430,822l1475,892m1475,892l1528,1014m1528,1014l1573,1067m1573,1067l1615,1014m1615,1014l1670,857e" filled="false" stroked="true" strokeweight="1pt" strokecolor="#0099d9">
              <v:path arrowok="t"/>
              <v:stroke dashstyle="solid"/>
            </v:shape>
            <v:line style="position:absolute" from="1660,858" to="1725,858" stroked="true" strokeweight="1.125pt" strokecolor="#0099d9">
              <v:stroke dashstyle="solid"/>
            </v:line>
            <v:line style="position:absolute" from="1715,857" to="1768,822" stroked="true" strokeweight="1pt" strokecolor="#0099d9">
              <v:stroke dashstyle="solid"/>
            </v:line>
            <v:shape style="position:absolute;left:1757;top:822;width:108;height:2" coordorigin="1758,823" coordsize="108,0" path="m1758,823l1823,823m1803,823l1865,823e" filled="false" stroked="true" strokeweight="1.125pt" strokecolor="#0099d9">
              <v:path arrowok="t"/>
              <v:stroke dashstyle="solid"/>
            </v:shape>
            <v:line style="position:absolute" from="1855,822" to="1910,734" stroked="true" strokeweight="1pt" strokecolor="#0099d9">
              <v:stroke dashstyle="solid"/>
            </v:line>
            <v:line style="position:absolute" from="1900,735" to="1963,735" stroked="true" strokeweight="1.125pt" strokecolor="#0099d9">
              <v:stroke dashstyle="solid"/>
            </v:line>
            <v:shape style="position:absolute;left:1952;top:646;width:143;height:123" coordorigin="1953,647" coordsize="143,123" path="m1953,734l1998,769m1998,769l2053,734m2053,734l2095,647e" filled="false" stroked="true" strokeweight="1pt" strokecolor="#0099d9">
              <v:path arrowok="t"/>
              <v:stroke dashstyle="solid"/>
            </v:shape>
            <v:line style="position:absolute" from="2085,648" to="2148,648" stroked="true" strokeweight="1.125pt" strokecolor="#0099d9">
              <v:stroke dashstyle="solid"/>
            </v:line>
            <v:shape style="position:absolute;left:2137;top:646;width:143;height:245" coordorigin="2138,647" coordsize="143,245" path="m2138,647l2193,699m2193,699l2238,857m2238,857l2280,892e" filled="false" stroked="true" strokeweight="1pt" strokecolor="#0099d9">
              <v:path arrowok="t"/>
              <v:stroke dashstyle="solid"/>
            </v:shape>
            <v:line style="position:absolute" from="2270,893" to="2345,893" stroked="true" strokeweight="1.125pt" strokecolor="#0099d9">
              <v:stroke dashstyle="solid"/>
            </v:line>
            <v:shape style="position:absolute;left:2335;top:821;width:88;height:70" coordorigin="2335,822" coordsize="88,70" path="m2335,892l2378,857m2378,857l2423,822e" filled="false" stroked="true" strokeweight="1pt" strokecolor="#0099d9">
              <v:path arrowok="t"/>
              <v:stroke dashstyle="solid"/>
            </v:shape>
            <v:line style="position:absolute" from="2413,823" to="2488,823" stroked="true" strokeweight="1.125pt" strokecolor="#0099d9">
              <v:stroke dashstyle="solid"/>
            </v:line>
            <v:rect style="position:absolute;left:2467;top:811;width:63;height:23" filled="true" fillcolor="#0099d9" stroked="false">
              <v:fill type="solid"/>
            </v:rect>
            <v:shape style="position:absolute;left:2520;top:576;width:185;height:245" coordorigin="2520,577" coordsize="185,245" path="m2520,822l2563,734m2563,734l2618,699m2618,699l2663,647m2663,647l2705,577e" filled="false" stroked="true" strokeweight="1pt" strokecolor="#0099d9">
              <v:path arrowok="t"/>
              <v:stroke dashstyle="solid"/>
            </v:shape>
            <v:line style="position:absolute" from="2695,578" to="2770,578" stroked="true" strokeweight="1.125pt" strokecolor="#0099d9">
              <v:stroke dashstyle="solid"/>
            </v:line>
            <v:line style="position:absolute" from="2760,577" to="2803,454" stroked="true" strokeweight="1pt" strokecolor="#0099d9">
              <v:stroke dashstyle="solid"/>
            </v:line>
            <v:line style="position:absolute" from="2793,455" to="2858,455" stroked="true" strokeweight="1.125pt" strokecolor="#0099d9">
              <v:stroke dashstyle="solid"/>
            </v:line>
            <v:shape style="position:absolute;left:2847;top:454;width:98;height:123" coordorigin="2848,454" coordsize="98,123" path="m2848,454l2900,489m2900,489l2945,577e" filled="false" stroked="true" strokeweight="1pt" strokecolor="#0099d9">
              <v:path arrowok="t"/>
              <v:stroke dashstyle="solid"/>
            </v:shape>
            <v:line style="position:absolute" from="2935,578" to="2998,578" stroked="true" strokeweight="1.125pt" strokecolor="#0099d9">
              <v:stroke dashstyle="solid"/>
            </v:line>
            <v:shape style="position:absolute;left:2987;top:576;width:438;height:560" coordorigin="2988,577" coordsize="438,560" path="m2988,577l3043,612m3043,612l3088,647m3088,647l3130,699m3130,699l3185,857m3185,857l3228,1014m3228,1014l3283,1067m3283,1067l3325,1102m3325,1102l3370,1067m3370,1067l3425,1137e" filled="false" stroked="true" strokeweight="1pt" strokecolor="#0099d9">
              <v:path arrowok="t"/>
              <v:stroke dashstyle="solid"/>
            </v:shape>
            <v:line style="position:absolute" from="3415,1138" to="3478,1138" stroked="true" strokeweight="1.125pt" strokecolor="#0099d9">
              <v:stroke dashstyle="solid"/>
            </v:line>
            <v:line style="position:absolute" from="3468,1137" to="3510,1102" stroked="true" strokeweight="1pt" strokecolor="#0099d9">
              <v:stroke dashstyle="solid"/>
            </v:line>
            <v:line style="position:absolute" from="3500,1103" to="3575,1103" stroked="true" strokeweight="1.125pt" strokecolor="#0099d9">
              <v:stroke dashstyle="solid"/>
            </v:line>
            <v:shape style="position:absolute;left:3565;top:314;width:328;height:788" coordorigin="3565,314" coordsize="328,788" path="m3565,1102l3610,1014m3610,1014l3653,892m3653,892l3708,769m3708,769l3750,699m3750,699l3795,489m3795,489l3850,314m3850,314l3893,367e" filled="false" stroked="true" strokeweight="1pt" strokecolor="#0099d9">
              <v:path arrowok="t"/>
              <v:stroke dashstyle="solid"/>
            </v:shape>
            <v:line style="position:absolute" from="1765,1333" to="1945,1607" stroked="true" strokeweight=".5pt" strokecolor="#000000">
              <v:stroke dashstyle="solid"/>
            </v:line>
            <v:shape style="position:absolute;left:1727;top:1276;width:68;height:85" coordorigin="1727,1277" coordsize="68,85" path="m1727,1277l1753,1361,1795,1334,1741,1291,1733,1283,1727,1277xe" filled="true" fillcolor="#000000" stroked="false">
              <v:path arrowok="t"/>
              <v:fill type="solid"/>
            </v:shape>
            <v:shape style="position:absolute;left:3966;top:75;width:87;height:1646" coordorigin="3967,76" coordsize="87,1646" path="m3967,76l4053,76m3967,487l4053,487m3967,899l4053,899m3967,1310l4053,1310m3967,1722l4053,1722e" filled="false" stroked="true" strokeweight=".5pt" strokecolor="#000000">
              <v:path arrowok="t"/>
              <v:stroke dashstyle="solid"/>
            </v:shape>
            <w10:wrap type="none"/>
          </v:group>
        </w:pict>
      </w:r>
      <w:r>
        <w:rPr/>
        <w:pict>
          <v:line style="position:absolute;mso-position-horizontal-relative:page;mso-position-vertical-relative:paragraph;z-index:16164352" from="41.375pt,3.737153pt" to="45.708pt,3.737153pt" stroked="true" strokeweight=".5pt" strokecolor="#000000">
            <v:stroke dashstyle="solid"/>
            <w10:wrap type="none"/>
          </v:line>
        </w:pict>
      </w:r>
      <w:r>
        <w:rPr>
          <w:sz w:val="12"/>
        </w:rPr>
        <w:t>6</w:t>
      </w:r>
    </w:p>
    <w:p>
      <w:pPr>
        <w:spacing w:before="93"/>
        <w:ind w:left="462" w:right="0" w:firstLine="0"/>
        <w:jc w:val="left"/>
        <w:rPr>
          <w:sz w:val="12"/>
        </w:rPr>
      </w:pPr>
      <w:r>
        <w:rPr>
          <w:sz w:val="12"/>
        </w:rPr>
        <w:t>Manufacturing</w:t>
      </w:r>
    </w:p>
    <w:p>
      <w:pPr>
        <w:spacing w:before="42"/>
        <w:ind w:left="3470" w:right="0" w:firstLine="0"/>
        <w:jc w:val="left"/>
        <w:rPr>
          <w:sz w:val="12"/>
        </w:rPr>
      </w:pPr>
      <w:r>
        <w:rPr/>
        <w:pict>
          <v:line style="position:absolute;mso-position-horizontal-relative:page;mso-position-vertical-relative:paragraph;z-index:16164864" from="41.375pt,5.890575pt" to="45.708pt,5.890575pt" stroked="true" strokeweight=".5pt" strokecolor="#000000">
            <v:stroke dashstyle="solid"/>
            <w10:wrap type="none"/>
          </v:line>
        </w:pict>
      </w:r>
      <w:r>
        <w:rPr>
          <w:sz w:val="12"/>
        </w:rPr>
        <w:t>5</w:t>
      </w:r>
    </w:p>
    <w:p>
      <w:pPr>
        <w:pStyle w:val="BodyText"/>
        <w:rPr>
          <w:sz w:val="12"/>
        </w:rPr>
      </w:pPr>
    </w:p>
    <w:p>
      <w:pPr>
        <w:pStyle w:val="BodyText"/>
        <w:spacing w:before="7"/>
        <w:rPr>
          <w:sz w:val="11"/>
        </w:rPr>
      </w:pPr>
    </w:p>
    <w:p>
      <w:pPr>
        <w:spacing w:before="1"/>
        <w:ind w:left="3470" w:right="0" w:firstLine="0"/>
        <w:jc w:val="left"/>
        <w:rPr>
          <w:sz w:val="12"/>
        </w:rPr>
      </w:pPr>
      <w:r>
        <w:rPr/>
        <w:pict>
          <v:line style="position:absolute;mso-position-horizontal-relative:page;mso-position-vertical-relative:paragraph;z-index:16165376" from="41.375pt,3.894936pt" to="45.708pt,3.894936pt" stroked="true" strokeweight=".5pt" strokecolor="#000000">
            <v:stroke dashstyle="solid"/>
            <w10:wrap type="none"/>
          </v:line>
        </w:pict>
      </w:r>
      <w:r>
        <w:rPr>
          <w:sz w:val="12"/>
        </w:rPr>
        <w:t>4</w:t>
      </w:r>
    </w:p>
    <w:p>
      <w:pPr>
        <w:pStyle w:val="BodyText"/>
        <w:rPr>
          <w:sz w:val="12"/>
        </w:rPr>
      </w:pPr>
    </w:p>
    <w:p>
      <w:pPr>
        <w:pStyle w:val="BodyText"/>
        <w:spacing w:before="7"/>
        <w:rPr>
          <w:sz w:val="11"/>
        </w:rPr>
      </w:pPr>
    </w:p>
    <w:p>
      <w:pPr>
        <w:spacing w:before="0"/>
        <w:ind w:left="3470" w:right="0" w:firstLine="0"/>
        <w:jc w:val="left"/>
        <w:rPr>
          <w:sz w:val="12"/>
        </w:rPr>
      </w:pPr>
      <w:r>
        <w:rPr/>
        <w:pict>
          <v:line style="position:absolute;mso-position-horizontal-relative:page;mso-position-vertical-relative:paragraph;z-index:16165888" from="41.375pt,3.898358pt" to="45.708pt,3.898358pt" stroked="true" strokeweight=".5pt" strokecolor="#000000">
            <v:stroke dashstyle="solid"/>
            <w10:wrap type="none"/>
          </v:line>
        </w:pict>
      </w:r>
      <w:r>
        <w:rPr>
          <w:sz w:val="12"/>
        </w:rPr>
        <w:t>3</w:t>
      </w:r>
    </w:p>
    <w:p>
      <w:pPr>
        <w:pStyle w:val="BodyText"/>
        <w:rPr>
          <w:sz w:val="12"/>
        </w:rPr>
      </w:pPr>
    </w:p>
    <w:p>
      <w:pPr>
        <w:spacing w:line="127" w:lineRule="exact" w:before="83"/>
        <w:ind w:left="1288" w:right="0" w:firstLine="0"/>
        <w:jc w:val="left"/>
        <w:rPr>
          <w:sz w:val="12"/>
        </w:rPr>
      </w:pPr>
      <w:r>
        <w:rPr/>
        <w:pict>
          <v:shape style="position:absolute;margin-left:205.5pt;margin-top:6.993656pt;width:3pt;height:6.65pt;mso-position-horizontal-relative:page;mso-position-vertical-relative:paragraph;z-index:16178176" type="#_x0000_t202" filled="false" stroked="false">
            <v:textbox inset="0,0,0,0">
              <w:txbxContent>
                <w:p>
                  <w:pPr>
                    <w:spacing w:line="133" w:lineRule="exact" w:before="0"/>
                    <w:ind w:left="0" w:right="0" w:firstLine="0"/>
                    <w:jc w:val="left"/>
                    <w:rPr>
                      <w:sz w:val="12"/>
                    </w:rPr>
                  </w:pPr>
                  <w:r>
                    <w:rPr>
                      <w:sz w:val="12"/>
                    </w:rPr>
                    <w:t>2</w:t>
                  </w:r>
                </w:p>
              </w:txbxContent>
            </v:textbox>
            <w10:wrap type="none"/>
          </v:shape>
        </w:pict>
      </w:r>
      <w:r>
        <w:rPr>
          <w:sz w:val="12"/>
        </w:rPr>
        <w:t>Whole economy</w:t>
      </w:r>
    </w:p>
    <w:p>
      <w:pPr>
        <w:pStyle w:val="BodyText"/>
        <w:spacing w:line="20" w:lineRule="exact"/>
        <w:ind w:left="18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107" w:lineRule="exact" w:before="0"/>
        <w:ind w:left="717" w:right="0" w:firstLine="0"/>
        <w:jc w:val="left"/>
        <w:rPr>
          <w:sz w:val="12"/>
        </w:rPr>
      </w:pPr>
      <w:r>
        <w:rPr>
          <w:sz w:val="12"/>
        </w:rPr>
        <w:t>Services</w:t>
      </w:r>
    </w:p>
    <w:p>
      <w:pPr>
        <w:pStyle w:val="BodyText"/>
        <w:rPr>
          <w:sz w:val="12"/>
        </w:rPr>
      </w:pPr>
    </w:p>
    <w:p>
      <w:pPr>
        <w:spacing w:before="69"/>
        <w:ind w:left="3470" w:right="0" w:firstLine="0"/>
        <w:jc w:val="left"/>
        <w:rPr>
          <w:sz w:val="12"/>
        </w:rPr>
      </w:pPr>
      <w:r>
        <w:rPr/>
        <w:pict>
          <v:line style="position:absolute;mso-position-horizontal-relative:page;mso-position-vertical-relative:paragraph;z-index:16166400" from="41.375pt,7.456141pt" to="45.708pt,7.456141pt" stroked="true" strokeweight=".5pt" strokecolor="#000000">
            <v:stroke dashstyle="solid"/>
            <w10:wrap type="none"/>
          </v:line>
        </w:pict>
      </w:r>
      <w:r>
        <w:rPr/>
        <w:pict>
          <v:line style="position:absolute;mso-position-horizontal-relative:page;mso-position-vertical-relative:paragraph;z-index:16167424" from="198.332993pt,7.518141pt" to="202.666993pt,7.518141pt" stroked="true" strokeweight=".5pt" strokecolor="#000000">
            <v:stroke dashstyle="solid"/>
            <w10:wrap type="none"/>
          </v:line>
        </w:pict>
      </w:r>
      <w:r>
        <w:rPr>
          <w:sz w:val="12"/>
        </w:rPr>
        <w:t>1</w:t>
      </w:r>
    </w:p>
    <w:p>
      <w:pPr>
        <w:pStyle w:val="BodyText"/>
        <w:rPr>
          <w:sz w:val="12"/>
        </w:rPr>
      </w:pPr>
    </w:p>
    <w:p>
      <w:pPr>
        <w:pStyle w:val="BodyText"/>
        <w:spacing w:before="8"/>
        <w:rPr>
          <w:sz w:val="11"/>
        </w:rPr>
      </w:pPr>
    </w:p>
    <w:p>
      <w:pPr>
        <w:spacing w:line="119" w:lineRule="exact" w:before="0"/>
        <w:ind w:left="3470" w:right="0" w:firstLine="0"/>
        <w:jc w:val="left"/>
        <w:rPr>
          <w:sz w:val="12"/>
        </w:rPr>
      </w:pPr>
      <w:r>
        <w:rPr/>
        <w:pict>
          <v:line style="position:absolute;mso-position-horizontal-relative:page;mso-position-vertical-relative:paragraph;z-index:16166912" from="41.375pt,4.059563pt" to="45.708pt,4.059563pt" stroked="true" strokeweight=".5pt" strokecolor="#000000">
            <v:stroke dashstyle="solid"/>
            <w10:wrap type="none"/>
          </v:line>
        </w:pict>
      </w:r>
      <w:r>
        <w:rPr/>
        <w:pict>
          <v:line style="position:absolute;mso-position-horizontal-relative:page;mso-position-vertical-relative:paragraph;z-index:16167936" from="198.332993pt,4.122562pt" to="202.666993pt,4.122562pt" stroked="true" strokeweight=".5pt" strokecolor="#000000">
            <v:stroke dashstyle="solid"/>
            <w10:wrap type="none"/>
          </v:line>
        </w:pict>
      </w:r>
      <w:r>
        <w:rPr/>
        <w:pict>
          <v:shape style="position:absolute;margin-left:50.355999pt;margin-top:.834562pt;width:144.15pt;height:3.5pt;mso-position-horizontal-relative:page;mso-position-vertical-relative:paragraph;z-index:16168448" coordorigin="1007,17" coordsize="2883,70" path="m1007,81l3890,81m1008,17l1008,86m1575,17l1575,86m2142,17l2142,86m3276,17l3276,86m3843,17l3843,86m2709,17l2709,86e" filled="false" stroked="true" strokeweight=".5pt" strokecolor="#000000">
            <v:path arrowok="t"/>
            <v:stroke dashstyle="solid"/>
            <w10:wrap type="none"/>
          </v:shape>
        </w:pict>
      </w:r>
      <w:r>
        <w:rPr>
          <w:sz w:val="12"/>
        </w:rPr>
        <w:t>0</w:t>
      </w:r>
    </w:p>
    <w:p>
      <w:pPr>
        <w:tabs>
          <w:tab w:pos="1157" w:val="left" w:leader="none"/>
          <w:tab w:pos="1722" w:val="left" w:leader="none"/>
          <w:tab w:pos="2289" w:val="left" w:leader="none"/>
          <w:tab w:pos="2887" w:val="left" w:leader="none"/>
        </w:tabs>
        <w:spacing w:line="119" w:lineRule="exact" w:before="0"/>
        <w:ind w:left="530" w:right="0" w:firstLine="0"/>
        <w:jc w:val="left"/>
        <w:rPr>
          <w:sz w:val="12"/>
        </w:rPr>
      </w:pPr>
      <w:r>
        <w:rPr>
          <w:sz w:val="12"/>
        </w:rPr>
        <w:t>1995</w:t>
        <w:tab/>
        <w:t>96</w:t>
        <w:tab/>
        <w:t>97</w:t>
        <w:tab/>
        <w:t>98</w:t>
        <w:tab/>
        <w:t>99</w:t>
      </w:r>
      <w:r>
        <w:rPr>
          <w:spacing w:val="22"/>
          <w:sz w:val="12"/>
        </w:rPr>
        <w:t> </w:t>
      </w:r>
      <w:r>
        <w:rPr>
          <w:sz w:val="12"/>
        </w:rPr>
        <w:t>2000</w:t>
      </w:r>
    </w:p>
    <w:p>
      <w:pPr>
        <w:pStyle w:val="BodyText"/>
        <w:spacing w:before="4"/>
        <w:rPr>
          <w:sz w:val="14"/>
        </w:rPr>
      </w:pPr>
    </w:p>
    <w:p>
      <w:pPr>
        <w:spacing w:line="208" w:lineRule="auto" w:before="0"/>
        <w:ind w:left="400" w:right="483" w:hanging="240"/>
        <w:jc w:val="left"/>
        <w:rPr>
          <w:sz w:val="12"/>
        </w:rPr>
      </w:pPr>
      <w:r>
        <w:rPr>
          <w:sz w:val="12"/>
        </w:rPr>
        <w:t>(a) Annual growth in backward-looking three-month average of the AEI.</w:t>
      </w:r>
    </w:p>
    <w:p>
      <w:pPr>
        <w:pStyle w:val="BodyText"/>
        <w:rPr>
          <w:sz w:val="12"/>
        </w:rPr>
      </w:pPr>
    </w:p>
    <w:p>
      <w:pPr>
        <w:pStyle w:val="BodyText"/>
        <w:spacing w:before="8"/>
        <w:rPr>
          <w:sz w:val="12"/>
        </w:rPr>
      </w:pPr>
    </w:p>
    <w:p>
      <w:pPr>
        <w:spacing w:before="1"/>
        <w:ind w:left="160" w:right="0" w:firstLine="0"/>
        <w:jc w:val="left"/>
        <w:rPr>
          <w:b/>
          <w:sz w:val="20"/>
        </w:rPr>
      </w:pPr>
      <w:r>
        <w:rPr>
          <w:b/>
          <w:color w:val="0092C7"/>
          <w:sz w:val="20"/>
        </w:rPr>
        <w:t>Chart 3.12</w:t>
      </w:r>
    </w:p>
    <w:p>
      <w:pPr>
        <w:spacing w:before="10"/>
        <w:ind w:left="160" w:right="0" w:firstLine="0"/>
        <w:jc w:val="left"/>
        <w:rPr>
          <w:sz w:val="12"/>
        </w:rPr>
      </w:pPr>
      <w:r>
        <w:rPr>
          <w:b/>
          <w:color w:val="0092C7"/>
          <w:sz w:val="20"/>
        </w:rPr>
        <w:t>REC survey on salaries and pay</w:t>
      </w:r>
      <w:r>
        <w:rPr>
          <w:b/>
          <w:color w:val="0092C7"/>
          <w:spacing w:val="-29"/>
          <w:sz w:val="20"/>
        </w:rPr>
        <w:t> </w:t>
      </w:r>
      <w:r>
        <w:rPr>
          <w:b/>
          <w:color w:val="0092C7"/>
          <w:sz w:val="20"/>
        </w:rPr>
        <w:t>rates</w:t>
      </w:r>
      <w:r>
        <w:rPr>
          <w:position w:val="4"/>
          <w:sz w:val="12"/>
        </w:rPr>
        <w:t>(a)</w:t>
      </w:r>
    </w:p>
    <w:p>
      <w:pPr>
        <w:spacing w:line="116" w:lineRule="exact" w:before="46"/>
        <w:ind w:left="2522" w:right="0" w:firstLine="0"/>
        <w:jc w:val="left"/>
        <w:rPr>
          <w:sz w:val="12"/>
        </w:rPr>
      </w:pPr>
      <w:r>
        <w:rPr>
          <w:sz w:val="12"/>
        </w:rPr>
        <w:t>Percentage balance</w:t>
      </w:r>
    </w:p>
    <w:p>
      <w:pPr>
        <w:spacing w:line="116" w:lineRule="exact" w:before="0"/>
        <w:ind w:left="3495" w:right="0" w:firstLine="0"/>
        <w:jc w:val="left"/>
        <w:rPr>
          <w:sz w:val="12"/>
        </w:rPr>
      </w:pPr>
      <w:r>
        <w:rPr/>
        <w:pict>
          <v:line style="position:absolute;mso-position-horizontal-relative:page;mso-position-vertical-relative:paragraph;z-index:16173568" from="41.848999pt,2.504992pt" to="46.182999pt,2.504992pt" stroked="true" strokeweight=".5pt" strokecolor="#000000">
            <v:stroke dashstyle="solid"/>
            <w10:wrap type="none"/>
          </v:line>
        </w:pict>
      </w:r>
      <w:r>
        <w:rPr/>
        <w:pict>
          <v:line style="position:absolute;mso-position-horizontal-relative:page;mso-position-vertical-relative:paragraph;z-index:16175104" from="200.151001pt,2.504992pt" to="204.484001pt,2.504992pt" stroked="true" strokeweight=".5pt" strokecolor="#000000">
            <v:stroke dashstyle="solid"/>
            <w10:wrap type="none"/>
          </v:line>
        </w:pict>
      </w:r>
      <w:r>
        <w:rPr>
          <w:sz w:val="12"/>
        </w:rPr>
        <w:t>75</w:t>
      </w:r>
    </w:p>
    <w:p>
      <w:pPr>
        <w:pStyle w:val="BodyText"/>
        <w:rPr>
          <w:sz w:val="12"/>
        </w:rPr>
      </w:pPr>
    </w:p>
    <w:p>
      <w:pPr>
        <w:pStyle w:val="BodyText"/>
        <w:spacing w:before="4"/>
        <w:rPr>
          <w:sz w:val="17"/>
        </w:rPr>
      </w:pPr>
    </w:p>
    <w:p>
      <w:pPr>
        <w:spacing w:before="0"/>
        <w:ind w:left="3495" w:right="0" w:firstLine="0"/>
        <w:jc w:val="left"/>
        <w:rPr>
          <w:sz w:val="12"/>
        </w:rPr>
      </w:pPr>
      <w:r>
        <w:rPr/>
        <w:pict>
          <v:group style="position:absolute;margin-left:51.25pt;margin-top:8.100573pt;width:153.25pt;height:77.5pt;mso-position-horizontal-relative:page;mso-position-vertical-relative:paragraph;z-index:16169984" coordorigin="1025,162" coordsize="3065,1550">
            <v:shape style="position:absolute;left:1035;top:172;width:383;height:670" coordorigin="1035,172" coordsize="383,670" path="m1035,172l1135,530m1135,530l1225,842m1225,842l1328,767m1328,767l1418,707e" filled="false" stroked="true" strokeweight="1pt" strokecolor="#972140">
              <v:path arrowok="t"/>
              <v:stroke dashstyle="solid"/>
            </v:shape>
            <v:line style="position:absolute" from="1408,708" to="1528,708" stroked="true" strokeweight="1.125pt" strokecolor="#972140">
              <v:stroke dashstyle="solid"/>
            </v:line>
            <v:shape style="position:absolute;left:1517;top:499;width:1825;height:1203" coordorigin="1518,500" coordsize="1825,1203" path="m1518,707l1618,617m1618,617l1708,500m1708,500l1808,632m1808,632l1898,692m1898,692l1998,767m1998,767l2098,990m2098,990l2190,930m2190,930l2290,1092m2290,1092l2380,1302m2380,1302l2480,1552m2480,1552l2580,1687m2580,1687l2670,1702m2670,1702l2770,1540m2770,1540l2860,1465m2860,1465l2963,1525m2963,1525l3063,1450m3063,1450l3153,1510m3153,1510l3253,1435m3253,1435l3343,1287e" filled="false" stroked="true" strokeweight="1pt" strokecolor="#972140">
              <v:path arrowok="t"/>
              <v:stroke dashstyle="solid"/>
            </v:shape>
            <v:line style="position:absolute" from="3333,1288" to="3453,1288" stroked="true" strokeweight="1.125pt" strokecolor="#972140">
              <v:stroke dashstyle="solid"/>
            </v:line>
            <v:shape style="position:absolute;left:3442;top:1182;width:483;height:313" coordorigin="3443,1182" coordsize="483,313" path="m3443,1287l3543,1375m3543,1375l3633,1495m3633,1495l3733,1345m3733,1345l3825,1272m3825,1272l3925,1182e" filled="false" stroked="true" strokeweight="1pt" strokecolor="#972140">
              <v:path arrowok="t"/>
              <v:stroke dashstyle="solid"/>
            </v:shape>
            <v:shape style="position:absolute;left:1035;top:529;width:2890;height:1083" coordorigin="1035,530" coordsize="2890,1083" path="m1035,617l1135,722m1135,722l1225,812m1225,812l1328,782m1328,782l1418,692m1418,692l1518,575m1518,575l1618,545m1618,545l1708,530m1708,530l1808,662m1808,662l1898,677m1898,677l1998,1035m1998,1035l2098,1152m2098,1152l2190,1272m2190,1272l2290,1420m2290,1420l2380,1450m2380,1450l2480,1540m2480,1540l2580,1567m2580,1567l2670,1612m2670,1612l2770,1582m2770,1582l2860,1540m2860,1540l2963,1480m2963,1480l3063,1345m3063,1345l3153,1197m3153,1197l3253,1257m3253,1257l3343,1242m3343,1242l3443,1257m3443,1257l3543,1287m3543,1287l3633,1152m3633,1152l3733,990m3733,990l3825,647m3825,647l3925,605e" filled="false" stroked="true" strokeweight="1pt" strokecolor="#00a2a0">
              <v:path arrowok="t"/>
              <v:stroke dashstyle="solid"/>
            </v:shape>
            <v:shape style="position:absolute;left:4003;top:562;width:87;height:951" coordorigin="4003,562" coordsize="87,951" path="m4003,562l4090,562m4003,1037l4090,1037m4003,1513l4090,1513e" filled="false" stroked="true" strokeweight=".5pt" strokecolor="#000000">
              <v:path arrowok="t"/>
              <v:stroke dashstyle="solid"/>
            </v:shape>
            <v:shape style="position:absolute;left:2180;top:702;width:973;height:247" type="#_x0000_t202" filled="false" stroked="false">
              <v:textbox inset="0,0,0,0">
                <w:txbxContent>
                  <w:p>
                    <w:pPr>
                      <w:spacing w:line="196" w:lineRule="auto" w:before="15"/>
                      <w:ind w:left="73" w:right="1" w:hanging="74"/>
                      <w:jc w:val="left"/>
                      <w:rPr>
                        <w:sz w:val="12"/>
                      </w:rPr>
                    </w:pPr>
                    <w:r>
                      <w:rPr>
                        <w:sz w:val="12"/>
                      </w:rPr>
                      <w:t>Temporary/contract pay rates (b)</w:t>
                    </w:r>
                  </w:p>
                </w:txbxContent>
              </v:textbox>
              <w10:wrap type="none"/>
            </v:shape>
            <v:shape style="position:absolute;left:1238;top:1439;width:1087;height:134" type="#_x0000_t202" filled="false" stroked="false">
              <v:textbox inset="0,0,0,0">
                <w:txbxContent>
                  <w:p>
                    <w:pPr>
                      <w:spacing w:line="133" w:lineRule="exact" w:before="0"/>
                      <w:ind w:left="0" w:right="0" w:firstLine="0"/>
                      <w:jc w:val="left"/>
                      <w:rPr>
                        <w:sz w:val="12"/>
                      </w:rPr>
                    </w:pPr>
                    <w:r>
                      <w:rPr>
                        <w:sz w:val="12"/>
                      </w:rPr>
                      <w:t>Permanent salaries (c)</w:t>
                    </w:r>
                  </w:p>
                </w:txbxContent>
              </v:textbox>
              <w10:wrap type="none"/>
            </v:shape>
            <w10:wrap type="none"/>
          </v:group>
        </w:pict>
      </w:r>
      <w:r>
        <w:rPr/>
        <w:pict>
          <v:line style="position:absolute;mso-position-horizontal-relative:page;mso-position-vertical-relative:paragraph;z-index:16170496" from="41.848999pt,3.600573pt" to="46.182999pt,3.600573pt" stroked="true" strokeweight=".5pt" strokecolor="#000000">
            <v:stroke dashstyle="solid"/>
            <w10:wrap type="none"/>
          </v:line>
        </w:pict>
      </w:r>
      <w:r>
        <w:rPr/>
        <w:pict>
          <v:line style="position:absolute;mso-position-horizontal-relative:page;mso-position-vertical-relative:paragraph;z-index:16174080" from="200.151001pt,3.446573pt" to="204.484001pt,3.446573pt" stroked="true" strokeweight=".5pt" strokecolor="#000000">
            <v:stroke dashstyle="solid"/>
            <w10:wrap type="none"/>
          </v:line>
        </w:pict>
      </w:r>
      <w:r>
        <w:rPr>
          <w:sz w:val="12"/>
        </w:rPr>
        <w:t>70</w:t>
      </w:r>
    </w:p>
    <w:p>
      <w:pPr>
        <w:pStyle w:val="BodyText"/>
        <w:rPr>
          <w:sz w:val="12"/>
        </w:rPr>
      </w:pPr>
    </w:p>
    <w:p>
      <w:pPr>
        <w:pStyle w:val="BodyText"/>
        <w:rPr>
          <w:sz w:val="12"/>
        </w:rPr>
      </w:pPr>
    </w:p>
    <w:p>
      <w:pPr>
        <w:spacing w:before="76"/>
        <w:ind w:left="3495" w:right="0" w:firstLine="0"/>
        <w:jc w:val="left"/>
        <w:rPr>
          <w:sz w:val="12"/>
        </w:rPr>
      </w:pPr>
      <w:r>
        <w:rPr/>
        <w:pict>
          <v:line style="position:absolute;mso-position-horizontal-relative:page;mso-position-vertical-relative:paragraph;z-index:16171008" from="41.848999pt,7.400755pt" to="46.182999pt,7.400755pt" stroked="true" strokeweight=".5pt" strokecolor="#000000">
            <v:stroke dashstyle="solid"/>
            <w10:wrap type="none"/>
          </v:line>
        </w:pict>
      </w:r>
      <w:r>
        <w:rPr>
          <w:sz w:val="12"/>
        </w:rPr>
        <w:t>65</w:t>
      </w:r>
    </w:p>
    <w:p>
      <w:pPr>
        <w:pStyle w:val="BodyText"/>
        <w:rPr>
          <w:sz w:val="12"/>
        </w:rPr>
      </w:pPr>
    </w:p>
    <w:p>
      <w:pPr>
        <w:pStyle w:val="BodyText"/>
        <w:spacing w:before="3"/>
        <w:rPr>
          <w:sz w:val="17"/>
        </w:rPr>
      </w:pPr>
    </w:p>
    <w:p>
      <w:pPr>
        <w:spacing w:before="0"/>
        <w:ind w:left="3495" w:right="0" w:firstLine="0"/>
        <w:jc w:val="left"/>
        <w:rPr>
          <w:sz w:val="12"/>
        </w:rPr>
      </w:pPr>
      <w:r>
        <w:rPr/>
        <w:pict>
          <v:line style="position:absolute;mso-position-horizontal-relative:page;mso-position-vertical-relative:paragraph;z-index:16171520" from="41.848999pt,3.600969pt" to="46.182999pt,3.600969pt" stroked="true" strokeweight=".5pt" strokecolor="#000000">
            <v:stroke dashstyle="solid"/>
            <w10:wrap type="none"/>
          </v:line>
        </w:pict>
      </w:r>
      <w:r>
        <w:rPr>
          <w:sz w:val="12"/>
        </w:rPr>
        <w:t>60</w:t>
      </w:r>
    </w:p>
    <w:p>
      <w:pPr>
        <w:pStyle w:val="BodyText"/>
        <w:rPr>
          <w:sz w:val="12"/>
        </w:rPr>
      </w:pPr>
    </w:p>
    <w:p>
      <w:pPr>
        <w:pStyle w:val="BodyText"/>
        <w:spacing w:before="4"/>
        <w:rPr>
          <w:sz w:val="17"/>
        </w:rPr>
      </w:pPr>
    </w:p>
    <w:p>
      <w:pPr>
        <w:spacing w:before="0"/>
        <w:ind w:left="3495" w:right="0" w:firstLine="0"/>
        <w:jc w:val="left"/>
        <w:rPr>
          <w:sz w:val="12"/>
        </w:rPr>
      </w:pPr>
      <w:r>
        <w:rPr/>
        <w:pict>
          <v:line style="position:absolute;mso-position-horizontal-relative:page;mso-position-vertical-relative:paragraph;z-index:16172544" from="41.848999pt,3.476152pt" to="46.182999pt,3.476152pt" stroked="true" strokeweight=".5pt" strokecolor="#000000">
            <v:stroke dashstyle="solid"/>
            <w10:wrap type="none"/>
          </v:line>
        </w:pict>
      </w:r>
      <w:r>
        <w:rPr>
          <w:sz w:val="12"/>
        </w:rPr>
        <w:t>55</w:t>
      </w:r>
    </w:p>
    <w:p>
      <w:pPr>
        <w:pStyle w:val="BodyText"/>
        <w:rPr>
          <w:sz w:val="12"/>
        </w:rPr>
      </w:pPr>
    </w:p>
    <w:p>
      <w:pPr>
        <w:pStyle w:val="BodyText"/>
        <w:rPr>
          <w:sz w:val="12"/>
        </w:rPr>
      </w:pPr>
    </w:p>
    <w:p>
      <w:pPr>
        <w:tabs>
          <w:tab w:pos="3286" w:val="left" w:leader="none"/>
        </w:tabs>
        <w:spacing w:before="76"/>
        <w:ind w:left="386" w:right="0" w:firstLine="0"/>
        <w:jc w:val="left"/>
        <w:rPr>
          <w:sz w:val="12"/>
        </w:rPr>
      </w:pPr>
      <w:r>
        <w:rPr/>
        <w:pict>
          <v:line style="position:absolute;mso-position-horizontal-relative:page;mso-position-vertical-relative:paragraph;z-index:16172032" from="41.848999pt,7.401366pt" to="46.182999pt,7.401366pt" stroked="true" strokeweight=".5pt" strokecolor="#000000">
            <v:stroke dashstyle="solid"/>
            <w10:wrap type="none"/>
          </v:line>
        </w:pict>
      </w:r>
      <w:r>
        <w:rPr>
          <w:sz w:val="12"/>
          <w:u w:val="dotted"/>
        </w:rPr>
        <w:t> </w:t>
        <w:tab/>
      </w:r>
      <w:r>
        <w:rPr>
          <w:sz w:val="12"/>
        </w:rPr>
        <w:t>  </w:t>
      </w:r>
      <w:r>
        <w:rPr>
          <w:spacing w:val="-14"/>
          <w:sz w:val="12"/>
        </w:rPr>
        <w:t> </w:t>
      </w:r>
      <w:r>
        <w:rPr>
          <w:sz w:val="12"/>
          <w:u w:val="dotted"/>
        </w:rPr>
        <w:t>  </w:t>
      </w:r>
      <w:r>
        <w:rPr>
          <w:spacing w:val="-4"/>
          <w:sz w:val="12"/>
          <w:u w:val="dotted"/>
        </w:rPr>
        <w:t> </w:t>
      </w:r>
      <w:r>
        <w:rPr>
          <w:sz w:val="12"/>
        </w:rPr>
        <w:t> </w:t>
      </w:r>
      <w:r>
        <w:rPr>
          <w:spacing w:val="-15"/>
          <w:sz w:val="12"/>
        </w:rPr>
        <w:t> </w:t>
      </w:r>
      <w:r>
        <w:rPr>
          <w:sz w:val="12"/>
        </w:rPr>
        <w:t>50</w:t>
      </w:r>
    </w:p>
    <w:p>
      <w:pPr>
        <w:pStyle w:val="BodyText"/>
        <w:rPr>
          <w:sz w:val="12"/>
        </w:rPr>
      </w:pPr>
    </w:p>
    <w:p>
      <w:pPr>
        <w:pStyle w:val="BodyText"/>
        <w:spacing w:before="1"/>
        <w:rPr>
          <w:sz w:val="17"/>
        </w:rPr>
      </w:pPr>
    </w:p>
    <w:p>
      <w:pPr>
        <w:spacing w:before="0"/>
        <w:ind w:left="294" w:right="0" w:firstLine="0"/>
        <w:jc w:val="left"/>
        <w:rPr>
          <w:sz w:val="12"/>
        </w:rPr>
      </w:pPr>
      <w:r>
        <w:rPr/>
        <w:pict>
          <v:line style="position:absolute;mso-position-horizontal-relative:page;mso-position-vertical-relative:paragraph;z-index:16173056" from="41.848999pt,3.642572pt" to="46.182999pt,3.642572pt" stroked="true" strokeweight=".5pt" strokecolor="#000000">
            <v:stroke dashstyle="solid"/>
            <w10:wrap type="none"/>
          </v:line>
        </w:pict>
      </w:r>
      <w:r>
        <w:rPr/>
        <w:pict>
          <v:line style="position:absolute;mso-position-horizontal-relative:page;mso-position-vertical-relative:paragraph;z-index:-22436864" from="200.151001pt,3.642572pt" to="204.484001pt,3.642572pt" stroked="true" strokeweight=".5pt" strokecolor="#000000">
            <v:stroke dashstyle="solid"/>
            <w10:wrap type="none"/>
          </v:line>
        </w:pict>
      </w:r>
      <w:r>
        <w:rPr/>
        <w:pict>
          <v:shape style="position:absolute;margin-left:51.333pt;margin-top:-1.899428pt;width:145.050pt;height:5.8pt;mso-position-horizontal-relative:page;mso-position-vertical-relative:paragraph;z-index:-22435840" coordorigin="1027,-38" coordsize="2901,116" path="m1027,73l3927,73m1027,31l1027,78m1320,-38l1320,78m1898,31l1898,78m2190,31l2190,78m1620,31l1620,78m2480,-38l2480,78m3063,31l3063,78m3343,31l3343,78m2770,31l2770,78m3633,-38l3633,78m3928,31l3928,78e" filled="false" stroked="true" strokeweight=".5pt" strokecolor="#000000">
            <v:path arrowok="t"/>
            <v:stroke dashstyle="solid"/>
            <w10:wrap type="none"/>
          </v:shape>
        </w:pict>
      </w:r>
      <w:r>
        <w:rPr>
          <w:sz w:val="12"/>
        </w:rPr>
        <w:t>Oct.   Jan.   Apr.   July  Oct.    Jan.  Apr.   July   Oct.   Jan.   Apr.  </w:t>
      </w:r>
      <w:r>
        <w:rPr>
          <w:spacing w:val="4"/>
          <w:sz w:val="12"/>
        </w:rPr>
        <w:t> </w:t>
      </w:r>
      <w:r>
        <w:rPr>
          <w:position w:val="9"/>
          <w:sz w:val="12"/>
        </w:rPr>
        <w:t>45</w:t>
      </w:r>
    </w:p>
    <w:p>
      <w:pPr>
        <w:pStyle w:val="Heading6"/>
        <w:spacing w:line="242" w:lineRule="auto" w:before="217"/>
        <w:ind w:left="150" w:right="229"/>
      </w:pPr>
      <w:r>
        <w:rPr/>
        <w:br w:type="column"/>
      </w:r>
      <w:r>
        <w:rPr/>
        <w:t>wages</w:t>
      </w:r>
      <w:r>
        <w:rPr>
          <w:spacing w:val="-6"/>
        </w:rPr>
        <w:t> </w:t>
      </w:r>
      <w:r>
        <w:rPr/>
        <w:t>and</w:t>
      </w:r>
      <w:r>
        <w:rPr>
          <w:spacing w:val="-5"/>
        </w:rPr>
        <w:t> </w:t>
      </w:r>
      <w:r>
        <w:rPr/>
        <w:t>salaries</w:t>
      </w:r>
      <w:r>
        <w:rPr>
          <w:spacing w:val="-5"/>
        </w:rPr>
        <w:t> </w:t>
      </w:r>
      <w:r>
        <w:rPr/>
        <w:t>per</w:t>
      </w:r>
      <w:r>
        <w:rPr>
          <w:spacing w:val="-6"/>
        </w:rPr>
        <w:t> </w:t>
      </w:r>
      <w:r>
        <w:rPr/>
        <w:t>head,</w:t>
      </w:r>
      <w:r>
        <w:rPr>
          <w:spacing w:val="-5"/>
        </w:rPr>
        <w:t> </w:t>
      </w:r>
      <w:r>
        <w:rPr/>
        <w:t>at</w:t>
      </w:r>
      <w:r>
        <w:rPr>
          <w:spacing w:val="-5"/>
        </w:rPr>
        <w:t> </w:t>
      </w:r>
      <w:r>
        <w:rPr/>
        <w:t>5.0%,</w:t>
      </w:r>
      <w:r>
        <w:rPr>
          <w:spacing w:val="-5"/>
        </w:rPr>
        <w:t> </w:t>
      </w:r>
      <w:r>
        <w:rPr/>
        <w:t>was</w:t>
      </w:r>
      <w:r>
        <w:rPr>
          <w:spacing w:val="-6"/>
        </w:rPr>
        <w:t> </w:t>
      </w:r>
      <w:r>
        <w:rPr/>
        <w:t>0.5</w:t>
      </w:r>
      <w:r>
        <w:rPr>
          <w:spacing w:val="-5"/>
        </w:rPr>
        <w:t> </w:t>
      </w:r>
      <w:r>
        <w:rPr/>
        <w:t>percentage points lower than the AEI measure of annual earnings growth.  According to the REC </w:t>
      </w:r>
      <w:r>
        <w:rPr>
          <w:spacing w:val="-4"/>
        </w:rPr>
        <w:t>survey, </w:t>
      </w:r>
      <w:r>
        <w:rPr/>
        <w:t>which is based on a much smaller sample, salaries for both permanent and temporary/contract staff </w:t>
      </w:r>
      <w:r>
        <w:rPr>
          <w:spacing w:val="-3"/>
        </w:rPr>
        <w:t>have </w:t>
      </w:r>
      <w:r>
        <w:rPr/>
        <w:t>picked up further in recent months (see Chart</w:t>
      </w:r>
      <w:r>
        <w:rPr>
          <w:spacing w:val="-6"/>
        </w:rPr>
        <w:t> </w:t>
      </w:r>
      <w:r>
        <w:rPr/>
        <w:t>3.12).</w:t>
      </w:r>
    </w:p>
    <w:p>
      <w:pPr>
        <w:pStyle w:val="BodyText"/>
        <w:spacing w:before="6"/>
        <w:rPr>
          <w:sz w:val="21"/>
        </w:rPr>
      </w:pPr>
    </w:p>
    <w:p>
      <w:pPr>
        <w:spacing w:line="242" w:lineRule="auto" w:before="0"/>
        <w:ind w:left="150" w:right="219" w:firstLine="0"/>
        <w:jc w:val="left"/>
        <w:rPr>
          <w:sz w:val="24"/>
        </w:rPr>
      </w:pPr>
      <w:r>
        <w:rPr>
          <w:sz w:val="24"/>
        </w:rPr>
        <w:t>Earnings growth can be expressed as the sum of wage settlements and wage drift. The Bank’s estimate of the twelve-month mean settlement has edged down slightly since the beginning of last year. The pick-up in the annual growth of the AEI since the first half of last year is therefore more than accounted for by changes in wage drift. Wage drift includes factors such as bonuses, overtime payments, profit-related pay, individual merit awards, and compositional changes in the workforce. So the pick-up in growth in the AEI over the past nine months reflects changes in some or all of these components. Although the measure of wage drift has risen above its longer-run average recently, it remains below the levels of the late 1980s (see Chart 3.13).</w:t>
      </w:r>
    </w:p>
    <w:p>
      <w:pPr>
        <w:pStyle w:val="BodyText"/>
        <w:spacing w:before="1"/>
        <w:rPr>
          <w:sz w:val="22"/>
        </w:rPr>
      </w:pPr>
    </w:p>
    <w:p>
      <w:pPr>
        <w:spacing w:line="280" w:lineRule="atLeast" w:before="0"/>
        <w:ind w:left="150" w:right="220" w:firstLine="0"/>
        <w:jc w:val="left"/>
        <w:rPr>
          <w:sz w:val="24"/>
        </w:rPr>
      </w:pPr>
      <w:r>
        <w:rPr>
          <w:sz w:val="24"/>
        </w:rPr>
        <w:t>The recent rise in wage drift may in part reflect millennium</w:t>
      </w:r>
      <w:r>
        <w:rPr>
          <w:spacing w:val="-9"/>
          <w:sz w:val="24"/>
        </w:rPr>
        <w:t> </w:t>
      </w:r>
      <w:r>
        <w:rPr>
          <w:sz w:val="24"/>
        </w:rPr>
        <w:t>effects</w:t>
      </w:r>
      <w:r>
        <w:rPr>
          <w:spacing w:val="-8"/>
          <w:sz w:val="24"/>
        </w:rPr>
        <w:t> </w:t>
      </w:r>
      <w:r>
        <w:rPr>
          <w:sz w:val="24"/>
        </w:rPr>
        <w:t>and</w:t>
      </w:r>
      <w:r>
        <w:rPr>
          <w:spacing w:val="-8"/>
          <w:sz w:val="24"/>
        </w:rPr>
        <w:t> </w:t>
      </w:r>
      <w:r>
        <w:rPr>
          <w:sz w:val="24"/>
        </w:rPr>
        <w:t>considerably</w:t>
      </w:r>
      <w:r>
        <w:rPr>
          <w:spacing w:val="-8"/>
          <w:sz w:val="24"/>
        </w:rPr>
        <w:t> </w:t>
      </w:r>
      <w:r>
        <w:rPr>
          <w:sz w:val="24"/>
        </w:rPr>
        <w:t>higher</w:t>
      </w:r>
      <w:r>
        <w:rPr>
          <w:spacing w:val="-8"/>
          <w:sz w:val="24"/>
        </w:rPr>
        <w:t> </w:t>
      </w:r>
      <w:r>
        <w:rPr>
          <w:sz w:val="24"/>
        </w:rPr>
        <w:t>bonuses</w:t>
      </w:r>
      <w:r>
        <w:rPr>
          <w:spacing w:val="-8"/>
          <w:sz w:val="24"/>
        </w:rPr>
        <w:t> </w:t>
      </w:r>
      <w:r>
        <w:rPr>
          <w:sz w:val="24"/>
        </w:rPr>
        <w:t>than a year ago, which makes it difficult to assess the underlying trend in earnings growth. </w:t>
      </w:r>
      <w:r>
        <w:rPr>
          <w:spacing w:val="-3"/>
          <w:sz w:val="24"/>
        </w:rPr>
        <w:t>Moreover, </w:t>
      </w:r>
      <w:r>
        <w:rPr>
          <w:sz w:val="24"/>
        </w:rPr>
        <w:t>following a change in February last year in the scope of the bonus data collected, the contribution of bonuses to annual earnings growth can be assessed for only the most recent month. The official data on bonuses prior</w:t>
      </w:r>
      <w:r>
        <w:rPr>
          <w:spacing w:val="9"/>
          <w:sz w:val="24"/>
        </w:rPr>
        <w:t> </w:t>
      </w:r>
      <w:r>
        <w:rPr>
          <w:sz w:val="24"/>
        </w:rPr>
        <w:t>to</w:t>
      </w:r>
    </w:p>
    <w:p>
      <w:pPr>
        <w:spacing w:after="0" w:line="280" w:lineRule="atLeast"/>
        <w:jc w:val="left"/>
        <w:rPr>
          <w:sz w:val="24"/>
        </w:rPr>
        <w:sectPr>
          <w:type w:val="continuous"/>
          <w:pgSz w:w="11900" w:h="16840"/>
          <w:pgMar w:top="1220" w:bottom="280" w:left="640" w:right="620"/>
          <w:cols w:num="2" w:equalWidth="0">
            <w:col w:w="3656" w:space="1144"/>
            <w:col w:w="5840"/>
          </w:cols>
        </w:sectPr>
      </w:pPr>
    </w:p>
    <w:p>
      <w:pPr>
        <w:tabs>
          <w:tab w:pos="1054" w:val="left" w:leader="none"/>
          <w:tab w:pos="2209" w:val="left" w:leader="none"/>
          <w:tab w:pos="3022" w:val="left" w:leader="none"/>
        </w:tabs>
        <w:spacing w:line="15" w:lineRule="exact" w:before="0"/>
        <w:ind w:left="264" w:right="0" w:firstLine="0"/>
        <w:jc w:val="left"/>
        <w:rPr>
          <w:sz w:val="12"/>
        </w:rPr>
      </w:pPr>
      <w:r>
        <w:rPr>
          <w:sz w:val="12"/>
        </w:rPr>
        <w:t>1997</w:t>
        <w:tab/>
        <w:t>98</w:t>
        <w:tab/>
        <w:t>99</w:t>
        <w:tab/>
        <w:t>2000</w:t>
      </w:r>
    </w:p>
    <w:p>
      <w:pPr>
        <w:spacing w:after="0" w:line="15" w:lineRule="exact"/>
        <w:jc w:val="left"/>
        <w:rPr>
          <w:sz w:val="12"/>
        </w:rPr>
        <w:sectPr>
          <w:type w:val="continuous"/>
          <w:pgSz w:w="11900" w:h="16840"/>
          <w:pgMar w:top="1220" w:bottom="280" w:left="640" w:right="620"/>
        </w:sectPr>
      </w:pPr>
    </w:p>
    <w:p>
      <w:pPr>
        <w:spacing w:before="79"/>
        <w:ind w:left="160" w:right="0" w:firstLine="0"/>
        <w:jc w:val="left"/>
        <w:rPr>
          <w:sz w:val="12"/>
        </w:rPr>
      </w:pPr>
      <w:r>
        <w:rPr>
          <w:sz w:val="12"/>
        </w:rPr>
        <w:t>Source: Recruitment and Employment Confederation.</w:t>
      </w:r>
    </w:p>
    <w:p>
      <w:pPr>
        <w:pStyle w:val="ListParagraph"/>
        <w:numPr>
          <w:ilvl w:val="0"/>
          <w:numId w:val="23"/>
        </w:numPr>
        <w:tabs>
          <w:tab w:pos="400" w:val="left" w:leader="none"/>
        </w:tabs>
        <w:spacing w:line="129" w:lineRule="exact" w:before="102" w:after="0"/>
        <w:ind w:left="399" w:right="0" w:hanging="240"/>
        <w:jc w:val="left"/>
        <w:rPr>
          <w:sz w:val="12"/>
        </w:rPr>
      </w:pPr>
      <w:r>
        <w:rPr>
          <w:sz w:val="12"/>
        </w:rPr>
        <w:t>A reading of 50 indicates no change on the previous</w:t>
      </w:r>
      <w:r>
        <w:rPr>
          <w:spacing w:val="-10"/>
          <w:sz w:val="12"/>
        </w:rPr>
        <w:t> </w:t>
      </w:r>
      <w:r>
        <w:rPr>
          <w:sz w:val="12"/>
        </w:rPr>
        <w:t>month.</w:t>
      </w:r>
    </w:p>
    <w:p>
      <w:pPr>
        <w:pStyle w:val="ListParagraph"/>
        <w:numPr>
          <w:ilvl w:val="0"/>
          <w:numId w:val="23"/>
        </w:numPr>
        <w:tabs>
          <w:tab w:pos="401" w:val="left" w:leader="none"/>
        </w:tabs>
        <w:spacing w:line="208" w:lineRule="auto" w:before="6" w:after="0"/>
        <w:ind w:left="400" w:right="38" w:hanging="240"/>
        <w:jc w:val="left"/>
        <w:rPr>
          <w:sz w:val="12"/>
        </w:rPr>
      </w:pPr>
      <w:r>
        <w:rPr>
          <w:sz w:val="12"/>
        </w:rPr>
        <w:t>Question: ‘Are average hourly pay rates for temporary/contract staff higher, the same or lower than one month</w:t>
      </w:r>
      <w:r>
        <w:rPr>
          <w:spacing w:val="-14"/>
          <w:sz w:val="12"/>
        </w:rPr>
        <w:t> </w:t>
      </w:r>
      <w:r>
        <w:rPr>
          <w:sz w:val="12"/>
        </w:rPr>
        <w:t>ago?’.</w:t>
      </w:r>
    </w:p>
    <w:p>
      <w:pPr>
        <w:pStyle w:val="ListParagraph"/>
        <w:numPr>
          <w:ilvl w:val="0"/>
          <w:numId w:val="23"/>
        </w:numPr>
        <w:tabs>
          <w:tab w:pos="400" w:val="left" w:leader="none"/>
        </w:tabs>
        <w:spacing w:line="208" w:lineRule="auto" w:before="0" w:after="0"/>
        <w:ind w:left="400" w:right="38" w:hanging="240"/>
        <w:jc w:val="left"/>
        <w:rPr>
          <w:sz w:val="12"/>
        </w:rPr>
      </w:pPr>
      <w:r>
        <w:rPr>
          <w:sz w:val="12"/>
        </w:rPr>
        <w:t>Question: ‘Are average salaries for permanent staff higher, the same or lower than one month</w:t>
      </w:r>
      <w:r>
        <w:rPr>
          <w:spacing w:val="-7"/>
          <w:sz w:val="12"/>
        </w:rPr>
        <w:t> </w:t>
      </w:r>
      <w:r>
        <w:rPr>
          <w:sz w:val="12"/>
        </w:rPr>
        <w:t>ago?’.</w:t>
      </w:r>
    </w:p>
    <w:p>
      <w:pPr>
        <w:pStyle w:val="BodyText"/>
        <w:spacing w:before="9"/>
        <w:rPr>
          <w:sz w:val="17"/>
        </w:rPr>
      </w:pPr>
    </w:p>
    <w:p>
      <w:pPr>
        <w:spacing w:before="0"/>
        <w:ind w:left="160" w:right="0" w:firstLine="0"/>
        <w:jc w:val="left"/>
        <w:rPr>
          <w:b/>
          <w:sz w:val="20"/>
        </w:rPr>
      </w:pPr>
      <w:r>
        <w:rPr>
          <w:b/>
          <w:color w:val="0092C7"/>
          <w:sz w:val="20"/>
        </w:rPr>
        <w:t>Chart 3.13</w:t>
      </w:r>
    </w:p>
    <w:p>
      <w:pPr>
        <w:spacing w:line="249" w:lineRule="auto" w:before="10"/>
        <w:ind w:left="160" w:right="334" w:firstLine="0"/>
        <w:jc w:val="left"/>
        <w:rPr>
          <w:b/>
          <w:sz w:val="20"/>
        </w:rPr>
      </w:pPr>
      <w:r>
        <w:rPr>
          <w:b/>
          <w:color w:val="0092C7"/>
          <w:sz w:val="20"/>
        </w:rPr>
        <w:t>Settlements, nominal earnings growth and wage drift</w:t>
      </w:r>
    </w:p>
    <w:p>
      <w:pPr>
        <w:spacing w:line="123" w:lineRule="exact" w:before="111"/>
        <w:ind w:left="2967" w:right="0" w:firstLine="0"/>
        <w:jc w:val="left"/>
        <w:rPr>
          <w:sz w:val="12"/>
        </w:rPr>
      </w:pPr>
      <w:r>
        <w:rPr>
          <w:sz w:val="12"/>
        </w:rPr>
        <w:t>Per cent</w:t>
      </w:r>
    </w:p>
    <w:p>
      <w:pPr>
        <w:spacing w:line="123" w:lineRule="exact" w:before="0"/>
        <w:ind w:left="3377" w:right="0" w:firstLine="0"/>
        <w:jc w:val="left"/>
        <w:rPr>
          <w:sz w:val="12"/>
        </w:rPr>
      </w:pPr>
      <w:r>
        <w:rPr/>
        <w:pict>
          <v:line style="position:absolute;mso-position-horizontal-relative:page;mso-position-vertical-relative:paragraph;z-index:16177152" from="41.542pt,2.985153pt" to="45.875pt,2.985153pt" stroked="true" strokeweight=".5pt" strokecolor="#000000">
            <v:stroke dashstyle="solid"/>
            <w10:wrap type="none"/>
          </v:line>
        </w:pict>
      </w:r>
      <w:r>
        <w:rPr/>
        <w:pict>
          <v:line style="position:absolute;mso-position-horizontal-relative:page;mso-position-vertical-relative:paragraph;z-index:16177664" from="195.792007pt,2.985153pt" to="200.125007pt,2.985153pt" stroked="true" strokeweight=".5pt" strokecolor="#000000">
            <v:stroke dashstyle="solid"/>
            <w10:wrap type="none"/>
          </v:line>
        </w:pict>
      </w:r>
      <w:r>
        <w:rPr>
          <w:sz w:val="12"/>
        </w:rPr>
        <w:t>12</w:t>
      </w:r>
    </w:p>
    <w:p>
      <w:pPr>
        <w:spacing w:line="196" w:lineRule="auto" w:before="94"/>
        <w:ind w:left="1346" w:right="1190" w:hanging="85"/>
        <w:jc w:val="left"/>
        <w:rPr>
          <w:sz w:val="12"/>
        </w:rPr>
      </w:pPr>
      <w:r>
        <w:rPr/>
        <w:pict>
          <v:group style="position:absolute;margin-left:41.542pt;margin-top:11.66732pt;width:158.6pt;height:118.7pt;mso-position-horizontal-relative:page;mso-position-vertical-relative:paragraph;z-index:-22435328" coordorigin="831,233" coordsize="3172,2374">
            <v:shape style="position:absolute;left:977;top:243;width:2885;height:1594" coordorigin="978,243" coordsize="2885,1594" path="m978,623l998,648,1008,671,1028,672,1048,716,1060,751,1080,773,1100,728,1110,878,1130,856,1150,831,1160,751,1180,798,1200,856,1223,913,1233,993,1253,913,1273,856,1283,728,1303,808,1323,798,1333,773,1353,728,1373,671,1385,648,1405,650,1435,650,1455,693,1475,716,1485,693,1505,623,1525,591,1535,543,1558,545,1578,463,1588,441,1608,406,1628,486,1648,463,1658,486,1678,463,1698,533,1710,566,1730,533,1760,428,1780,591,1800,648,1810,671,1830,533,1850,535,1860,428,1883,326,1903,278,1913,243,1933,301,1953,383,1963,486,1983,428,2003,406,2023,428,2035,533,2055,613,2075,671,2085,751,2105,856,2125,878,2135,880,2155,880,2175,913,2185,981,2208,982,2228,958,2238,831,2258,901,2278,981,2288,1143,2308,1166,2328,1223,2338,1281,2360,1328,2380,1373,2390,1408,2410,1488,2430,1558,2450,1743,2460,1745,2480,1753,2500,1721,2510,1753,2533,1755,2553,1755,2563,1823,2583,1801,2603,1802,2613,1778,2633,1743,2653,1638,2663,1651,2685,1673,2705,1675,2715,1651,2735,1616,2755,1638,2765,1616,2785,1651,2805,1652,2815,1652,2835,1673,2858,1675,2878,1638,2888,1651,2908,1721,2928,1801,2938,1836,2958,1837,2978,1823,2988,1778,3010,1780,3060,1780,3080,1743,3090,1753,3110,1696,3130,1673,3140,1638,3160,1593,3183,1595,3213,1595,3233,1536,3253,1558,3263,1536,3283,1571,3303,1558,3313,1593,3335,1571,3355,1536,3365,1537,3385,1488,3405,1466,3415,1408,3435,1386,3455,1373,3465,1375,3485,1306,3508,1248,3518,1223,3538,1248,3558,1328,3568,1330,3588,1386,3608,1408,3618,1466,3638,1488,3660,1466,3680,1408,3690,1456,3710,1513,3730,1488,3740,1456,3760,1386,3780,1431,3790,1386,3810,1387,3833,1271,3843,1178,3863,1166e" filled="false" stroked="true" strokeweight="1pt" strokecolor="#006caa">
              <v:path arrowok="t"/>
              <v:stroke dashstyle="solid"/>
            </v:shape>
            <v:shape style="position:absolute;left:977;top:485;width:2885;height:1465" coordorigin="978,486" coordsize="2885,1465" path="m978,1178l998,1180,1008,1180,1028,1166,1048,1167,1060,1178,1080,1180,1273,1180,1283,1166,1303,1167,1323,1201,1333,1202,1385,1202,1405,1178,1425,1201,1435,1166,1455,1167,1475,1167,1485,1201,1505,1202,1525,1223,1535,1201,1558,1202,1578,1202,1588,1178,1608,1166,1628,1167,1648,1086,1658,1098,1678,993,1698,981,1710,913,1730,856,1750,857,1760,831,1780,832,1800,751,1810,752,1830,752,1850,648,1860,650,1883,623,1903,543,1913,545,1933,545,1953,533,1963,508,1983,510,2035,510,2055,486,2075,487,2085,543,2105,648,2125,671,2135,831,2155,832,2175,901,2185,993,2208,1063,2228,1065,2238,1098,2258,1143,2278,1166,2288,1167,2308,1271,2328,1272,2338,1513,2360,1515,2380,1536,2390,1558,2410,1571,2430,1572,2450,1572,2460,1778,2480,1780,2500,1780,2510,1801,2533,1813,2553,1815,2563,1836,2583,1837,2603,1837,2613,1938,2633,1940,2653,1951,2663,1928,2685,1916,2705,1893,2715,1881,2735,1871,2755,1846,2765,1847,2785,1847,2805,1836,2815,1823,2835,1825,2858,1813,2878,1788,2888,1778,2908,1780,2928,1766,2938,1767,2958,1753,2978,1755,3010,1755,3030,1743,3040,1745,3060,1745,3080,1731,3090,1732,3110,1732,3130,1721,3140,1722,3263,1722,3283,1696,3303,1708,3313,1696,3335,1697,3415,1697,3435,1673,3455,1663,3465,1665,3485,1665,3508,1651,3518,1652,3538,1638,3558,1640,3618,1640,3638,1651,3660,1663,3680,1665,3690,1665,3710,1673,3730,1663,3740,1673,3760,1686,3780,1687,3790,1687,3810,1696,3833,1697,3843,1708,3863,1721e" filled="false" stroked="true" strokeweight="1pt" strokecolor="#acbc4a">
              <v:path arrowok="t"/>
              <v:stroke dashstyle="solid"/>
            </v:shape>
            <v:shape style="position:absolute;left:977;top:1638;width:2885;height:959" coordorigin="978,1638" coordsize="2885,959" path="m978,1836l998,1858,1008,1881,1028,1903,1048,1938,1060,1961,1080,1986,1100,1938,1110,2088,1150,2043,1160,1961,1180,2008,1200,2066,1223,2123,1233,2203,1253,2123,1273,2066,1283,1961,1303,2043,1323,1986,1333,1961,1353,1928,1373,1858,1385,1836,1405,1858,1425,1836,1435,1881,1455,1928,1475,1938,1485,1881,1505,1823,1525,1753,1535,1743,1558,1745,1578,1651,1588,1652,1608,1638,1628,1721,1648,1778,1658,1780,1678,1858,1698,1938,1710,2043,1730,2066,1750,2008,1760,1986,1780,2146,1800,2296,1810,2308,1830,2171,1850,2273,1860,2171,1883,2088,1903,2123,1913,2088,1933,2146,1953,2251,1963,2378,1983,2308,2003,2296,2023,2308,2035,2411,2055,2516,2075,2573,2085,2596,2105,2597,2125,2597,2135,2436,2155,2437,2175,2411,2185,2378,2208,2308,2228,2296,2238,2123,2258,2146,2278,2203,2288,2378,2308,2296,2328,2353,2338,2171,2360,2203,2410,2308,2430,2378,2450,2561,2460,2353,2480,2378,2500,2331,2510,2353,2533,2331,2553,2332,2563,2378,2583,2353,2603,2355,2613,2228,2633,2193,2653,2078,2663,2123,2685,2146,2705,2171,2715,2172,2735,2136,2755,2181,2765,2171,2785,2203,2805,2216,2815,2228,2835,2251,2858,2252,2878,2238,2888,2261,2908,2331,2928,2423,2938,2468,2958,2470,2978,2458,2988,2423,3010,2425,3060,2425,3080,2388,3090,2423,3110,2366,3130,2343,3140,2308,3160,2273,3183,2275,3213,2275,3233,2203,3253,2228,3263,2203,3283,2273,3303,2238,3313,2296,3335,2273,3355,2228,3365,2230,3385,2193,3405,2171,3415,2111,3435,2112,3455,2101,3465,2102,3485,2043,3508,1996,3518,1973,3538,1996,3558,2088,3568,2090,3588,2146,3608,2158,3618,2228,3638,2230,3660,2203,3680,2136,3690,2181,3710,2228,3730,2216,3740,2171,3760,2101,3780,2136,3790,2088,3810,2090,3833,1961,3843,1871,3863,1846e" filled="false" stroked="true" strokeweight="1pt" strokecolor="#008360">
              <v:path arrowok="t"/>
              <v:stroke dashstyle="solid"/>
            </v:shape>
            <v:shape style="position:absolute;left:1358;top:2175;width:122;height:317" type="#_x0000_t75" stroked="false">
              <v:imagedata r:id="rId142" o:title=""/>
            </v:shape>
            <v:shape style="position:absolute;left:830;top:350;width:3172;height:2039" coordorigin="831,351" coordsize="3172,2039" path="m831,351l917,351m831,753l917,753m831,1168l917,1168m831,1573l917,1573m831,2389l917,2389m831,1988l917,1988m3916,351l4002,351m3916,753l4002,753m3916,1168l4002,1168m3916,1573l4002,1573m3916,2389l4002,2389m3916,1988l4002,1988e" filled="false" stroked="true" strokeweight=".5pt" strokecolor="#000000">
              <v:path arrowok="t"/>
              <v:stroke dashstyle="solid"/>
            </v:shape>
            <v:line style="position:absolute" from="973,2389" to="3867,2389" stroked="true" strokeweight=".5pt" strokecolor="#000000">
              <v:stroke dashstyle="solid"/>
            </v:line>
            <w10:wrap type="none"/>
          </v:group>
        </w:pict>
      </w:r>
      <w:r>
        <w:rPr>
          <w:sz w:val="12"/>
        </w:rPr>
        <w:t>Headline annual growth in nominal earnings</w:t>
      </w:r>
    </w:p>
    <w:p>
      <w:pPr>
        <w:pStyle w:val="Heading6"/>
        <w:spacing w:line="242" w:lineRule="auto"/>
        <w:ind w:left="160" w:right="212"/>
      </w:pPr>
      <w:r>
        <w:rPr/>
        <w:br w:type="column"/>
      </w:r>
      <w:r>
        <w:rPr/>
        <w:t>February are not directly comparable with previous years, so their contribution to annual earnings growth cannot be reliably measured. Prior to February last year, firms were asked to report bonuses only when they represented a significant change in the monthly paybill. Since then, they have been asked to report all bonuses paid. This change affects the split of total pay between regular pay and bonuses, but has no effect on the overall level of the AEI.</w:t>
      </w:r>
    </w:p>
    <w:p>
      <w:pPr>
        <w:spacing w:after="0" w:line="242" w:lineRule="auto"/>
        <w:sectPr>
          <w:type w:val="continuous"/>
          <w:pgSz w:w="11900" w:h="16840"/>
          <w:pgMar w:top="1220" w:bottom="280" w:left="640" w:right="620"/>
          <w:cols w:num="2" w:equalWidth="0">
            <w:col w:w="3748" w:space="1042"/>
            <w:col w:w="585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2"/>
        <w:ind w:left="594" w:right="0" w:firstLine="0"/>
        <w:jc w:val="left"/>
        <w:rPr>
          <w:sz w:val="12"/>
        </w:rPr>
      </w:pPr>
      <w:r>
        <w:rPr>
          <w:sz w:val="12"/>
        </w:rPr>
        <w:t>Settlements (a)</w:t>
      </w:r>
    </w:p>
    <w:p>
      <w:pPr>
        <w:spacing w:line="95" w:lineRule="exact" w:before="0"/>
        <w:ind w:left="594" w:right="0" w:firstLine="0"/>
        <w:jc w:val="left"/>
        <w:rPr>
          <w:sz w:val="12"/>
        </w:rPr>
      </w:pPr>
      <w:r>
        <w:rPr/>
        <w:br w:type="column"/>
      </w:r>
      <w:r>
        <w:rPr>
          <w:sz w:val="12"/>
        </w:rPr>
        <w:t>10</w:t>
      </w:r>
    </w:p>
    <w:p>
      <w:pPr>
        <w:pStyle w:val="BodyText"/>
        <w:spacing w:before="5"/>
        <w:rPr>
          <w:sz w:val="10"/>
        </w:rPr>
      </w:pPr>
    </w:p>
    <w:p>
      <w:pPr>
        <w:pStyle w:val="Heading6"/>
        <w:tabs>
          <w:tab w:pos="2166" w:val="left" w:leader="none"/>
        </w:tabs>
        <w:ind w:left="2166" w:right="246" w:hanging="1513"/>
      </w:pPr>
      <w:r>
        <w:rPr>
          <w:position w:val="-2"/>
          <w:sz w:val="12"/>
        </w:rPr>
        <w:t>8</w:t>
        <w:tab/>
      </w:r>
      <w:r>
        <w:rPr>
          <w:spacing w:val="-3"/>
        </w:rPr>
        <w:t>Moreover, </w:t>
      </w:r>
      <w:r>
        <w:rPr/>
        <w:t>the </w:t>
      </w:r>
      <w:r>
        <w:rPr>
          <w:spacing w:val="-3"/>
        </w:rPr>
        <w:t>new </w:t>
      </w:r>
      <w:r>
        <w:rPr/>
        <w:t>sample for the AEI, used by the ONS from October last </w:t>
      </w:r>
      <w:r>
        <w:rPr>
          <w:spacing w:val="-3"/>
        </w:rPr>
        <w:t>year, </w:t>
      </w:r>
      <w:r>
        <w:rPr/>
        <w:t>has a substantially</w:t>
      </w:r>
      <w:r>
        <w:rPr>
          <w:spacing w:val="-15"/>
        </w:rPr>
        <w:t> </w:t>
      </w:r>
      <w:r>
        <w:rPr/>
        <w:t>higher</w:t>
      </w:r>
    </w:p>
    <w:p>
      <w:pPr>
        <w:tabs>
          <w:tab w:pos="2166" w:val="left" w:leader="none"/>
        </w:tabs>
        <w:spacing w:before="4"/>
        <w:ind w:left="654" w:right="0" w:firstLine="0"/>
        <w:jc w:val="left"/>
        <w:rPr>
          <w:sz w:val="24"/>
        </w:rPr>
      </w:pPr>
      <w:r>
        <w:rPr>
          <w:position w:val="11"/>
          <w:sz w:val="12"/>
        </w:rPr>
        <w:t>6</w:t>
        <w:tab/>
      </w:r>
      <w:r>
        <w:rPr>
          <w:sz w:val="24"/>
        </w:rPr>
        <w:t>representation from the service sector as well as</w:t>
      </w:r>
      <w:r>
        <w:rPr>
          <w:spacing w:val="-21"/>
          <w:sz w:val="24"/>
        </w:rPr>
        <w:t> </w:t>
      </w:r>
      <w:r>
        <w:rPr>
          <w:sz w:val="24"/>
        </w:rPr>
        <w:t>of</w:t>
      </w:r>
    </w:p>
    <w:p>
      <w:pPr>
        <w:tabs>
          <w:tab w:pos="2166" w:val="left" w:leader="none"/>
        </w:tabs>
        <w:spacing w:line="242" w:lineRule="auto" w:before="6"/>
        <w:ind w:left="2166" w:right="744" w:hanging="1513"/>
        <w:jc w:val="left"/>
        <w:rPr>
          <w:sz w:val="24"/>
        </w:rPr>
      </w:pPr>
      <w:r>
        <w:rPr>
          <w:sz w:val="12"/>
        </w:rPr>
        <w:t>4</w:t>
        <w:tab/>
      </w:r>
      <w:r>
        <w:rPr>
          <w:position w:val="1"/>
          <w:sz w:val="24"/>
        </w:rPr>
        <w:t>younger</w:t>
      </w:r>
      <w:r>
        <w:rPr>
          <w:spacing w:val="-8"/>
          <w:position w:val="1"/>
          <w:sz w:val="24"/>
        </w:rPr>
        <w:t> </w:t>
      </w:r>
      <w:r>
        <w:rPr>
          <w:position w:val="1"/>
          <w:sz w:val="24"/>
        </w:rPr>
        <w:t>firms,</w:t>
      </w:r>
      <w:r>
        <w:rPr>
          <w:spacing w:val="-7"/>
          <w:position w:val="1"/>
          <w:sz w:val="24"/>
        </w:rPr>
        <w:t> </w:t>
      </w:r>
      <w:r>
        <w:rPr>
          <w:position w:val="1"/>
          <w:sz w:val="24"/>
        </w:rPr>
        <w:t>making</w:t>
      </w:r>
      <w:r>
        <w:rPr>
          <w:spacing w:val="-7"/>
          <w:position w:val="1"/>
          <w:sz w:val="24"/>
        </w:rPr>
        <w:t> </w:t>
      </w:r>
      <w:r>
        <w:rPr>
          <w:position w:val="1"/>
          <w:sz w:val="24"/>
        </w:rPr>
        <w:t>it</w:t>
      </w:r>
      <w:r>
        <w:rPr>
          <w:spacing w:val="-8"/>
          <w:position w:val="1"/>
          <w:sz w:val="24"/>
        </w:rPr>
        <w:t> </w:t>
      </w:r>
      <w:r>
        <w:rPr>
          <w:position w:val="1"/>
          <w:sz w:val="24"/>
        </w:rPr>
        <w:t>more</w:t>
      </w:r>
      <w:r>
        <w:rPr>
          <w:spacing w:val="-7"/>
          <w:position w:val="1"/>
          <w:sz w:val="24"/>
        </w:rPr>
        <w:t> </w:t>
      </w:r>
      <w:r>
        <w:rPr>
          <w:position w:val="1"/>
          <w:sz w:val="24"/>
        </w:rPr>
        <w:t>representative</w:t>
      </w:r>
      <w:r>
        <w:rPr>
          <w:spacing w:val="-7"/>
          <w:position w:val="1"/>
          <w:sz w:val="24"/>
        </w:rPr>
        <w:t> </w:t>
      </w:r>
      <w:r>
        <w:rPr>
          <w:position w:val="1"/>
          <w:sz w:val="24"/>
        </w:rPr>
        <w:t>of</w:t>
      </w:r>
      <w:r>
        <w:rPr>
          <w:spacing w:val="-8"/>
          <w:position w:val="1"/>
          <w:sz w:val="24"/>
        </w:rPr>
        <w:t> </w:t>
      </w:r>
      <w:r>
        <w:rPr>
          <w:position w:val="1"/>
          <w:sz w:val="24"/>
        </w:rPr>
        <w:t>the </w:t>
      </w:r>
      <w:r>
        <w:rPr>
          <w:spacing w:val="-3"/>
          <w:sz w:val="24"/>
        </w:rPr>
        <w:t>economy. </w:t>
      </w:r>
      <w:r>
        <w:rPr>
          <w:sz w:val="24"/>
        </w:rPr>
        <w:t>If the previous sample was under</w:t>
      </w:r>
      <w:r>
        <w:rPr>
          <w:spacing w:val="-15"/>
          <w:sz w:val="24"/>
        </w:rPr>
        <w:t> </w:t>
      </w:r>
      <w:r>
        <w:rPr>
          <w:sz w:val="24"/>
        </w:rPr>
        <w:t>or</w:t>
      </w:r>
    </w:p>
    <w:p>
      <w:pPr>
        <w:spacing w:after="0" w:line="242" w:lineRule="auto"/>
        <w:jc w:val="left"/>
        <w:rPr>
          <w:sz w:val="24"/>
        </w:rPr>
        <w:sectPr>
          <w:type w:val="continuous"/>
          <w:pgSz w:w="11900" w:h="16840"/>
          <w:pgMar w:top="1220" w:bottom="280" w:left="640" w:right="620"/>
          <w:cols w:num="2" w:equalWidth="0">
            <w:col w:w="1358" w:space="1426"/>
            <w:col w:w="7856"/>
          </w:cols>
        </w:sectPr>
      </w:pPr>
    </w:p>
    <w:p>
      <w:pPr>
        <w:tabs>
          <w:tab w:pos="3219" w:val="left" w:leader="none"/>
          <w:tab w:pos="3437" w:val="left" w:leader="none"/>
          <w:tab w:pos="4949" w:val="left" w:leader="none"/>
        </w:tabs>
        <w:spacing w:line="238" w:lineRule="exact" w:before="0"/>
        <w:ind w:left="333" w:right="0" w:firstLine="0"/>
        <w:jc w:val="left"/>
        <w:rPr>
          <w:sz w:val="24"/>
        </w:rPr>
      </w:pPr>
      <w:r>
        <w:rPr>
          <w:position w:val="13"/>
          <w:sz w:val="12"/>
          <w:u w:val="dotted"/>
        </w:rPr>
        <w:t> </w:t>
        <w:tab/>
      </w:r>
      <w:r>
        <w:rPr>
          <w:position w:val="13"/>
          <w:sz w:val="12"/>
        </w:rPr>
        <w:tab/>
        <w:t>2</w:t>
        <w:tab/>
      </w:r>
      <w:r>
        <w:rPr>
          <w:sz w:val="24"/>
        </w:rPr>
        <w:t>over-representative of the number of firms that</w:t>
      </w:r>
      <w:r>
        <w:rPr>
          <w:spacing w:val="-28"/>
          <w:sz w:val="24"/>
        </w:rPr>
        <w:t> </w:t>
      </w:r>
      <w:r>
        <w:rPr>
          <w:sz w:val="24"/>
        </w:rPr>
        <w:t>paid</w:t>
      </w:r>
    </w:p>
    <w:p>
      <w:pPr>
        <w:spacing w:line="54" w:lineRule="exact" w:before="0"/>
        <w:ind w:left="3339" w:right="0" w:firstLine="0"/>
        <w:jc w:val="left"/>
        <w:rPr>
          <w:sz w:val="16"/>
        </w:rPr>
      </w:pPr>
      <w:r>
        <w:rPr>
          <w:sz w:val="16"/>
        </w:rPr>
        <w:t>+</w:t>
      </w:r>
    </w:p>
    <w:p>
      <w:pPr>
        <w:spacing w:after="0" w:line="54" w:lineRule="exact"/>
        <w:jc w:val="left"/>
        <w:rPr>
          <w:sz w:val="16"/>
        </w:rPr>
        <w:sectPr>
          <w:type w:val="continuous"/>
          <w:pgSz w:w="11900" w:h="16840"/>
          <w:pgMar w:top="1220" w:bottom="280" w:left="640" w:right="620"/>
        </w:sectPr>
      </w:pPr>
    </w:p>
    <w:p>
      <w:pPr>
        <w:pStyle w:val="BodyText"/>
        <w:rPr>
          <w:sz w:val="12"/>
        </w:rPr>
      </w:pPr>
    </w:p>
    <w:p>
      <w:pPr>
        <w:pStyle w:val="BodyText"/>
        <w:spacing w:before="7"/>
        <w:rPr>
          <w:sz w:val="9"/>
        </w:rPr>
      </w:pPr>
    </w:p>
    <w:p>
      <w:pPr>
        <w:spacing w:line="208" w:lineRule="auto" w:before="0"/>
        <w:ind w:left="455" w:right="20" w:hanging="60"/>
        <w:jc w:val="left"/>
        <w:rPr>
          <w:sz w:val="12"/>
        </w:rPr>
      </w:pPr>
      <w:r>
        <w:rPr>
          <w:sz w:val="12"/>
        </w:rPr>
        <w:t>Average wage drift 1986–99</w:t>
      </w:r>
    </w:p>
    <w:p>
      <w:pPr>
        <w:spacing w:line="132" w:lineRule="exact" w:before="91"/>
        <w:ind w:left="0" w:right="38" w:firstLine="0"/>
        <w:jc w:val="right"/>
        <w:rPr>
          <w:sz w:val="12"/>
        </w:rPr>
      </w:pPr>
      <w:r>
        <w:rPr/>
        <w:br w:type="column"/>
      </w:r>
      <w:r>
        <w:rPr>
          <w:sz w:val="12"/>
        </w:rPr>
        <w:t>0</w:t>
      </w:r>
    </w:p>
    <w:p>
      <w:pPr>
        <w:tabs>
          <w:tab w:pos="1701" w:val="left" w:leader="none"/>
        </w:tabs>
        <w:spacing w:line="178" w:lineRule="exact" w:before="0"/>
        <w:ind w:left="395" w:right="0" w:firstLine="0"/>
        <w:jc w:val="left"/>
        <w:rPr>
          <w:sz w:val="16"/>
        </w:rPr>
      </w:pPr>
      <w:r>
        <w:rPr>
          <w:sz w:val="12"/>
        </w:rPr>
        <w:t>Wage drift (b)</w:t>
        <w:tab/>
      </w:r>
      <w:r>
        <w:rPr>
          <w:sz w:val="16"/>
        </w:rPr>
        <w:t>–</w:t>
      </w:r>
    </w:p>
    <w:p>
      <w:pPr>
        <w:pStyle w:val="Heading6"/>
        <w:spacing w:line="242" w:lineRule="auto"/>
        <w:ind w:left="395"/>
      </w:pPr>
      <w:r>
        <w:rPr/>
        <w:br w:type="column"/>
      </w:r>
      <w:r>
        <w:rPr/>
        <w:t>bonuses, the official data on annual bonus growth may remain an uncertain indicator of the true bonus</w:t>
      </w:r>
    </w:p>
    <w:p>
      <w:pPr>
        <w:spacing w:after="0" w:line="242" w:lineRule="auto"/>
        <w:sectPr>
          <w:type w:val="continuous"/>
          <w:pgSz w:w="11900" w:h="16840"/>
          <w:pgMar w:top="1220" w:bottom="280" w:left="640" w:right="620"/>
          <w:cols w:num="3" w:equalWidth="0">
            <w:col w:w="1152" w:space="495"/>
            <w:col w:w="1891" w:space="1017"/>
            <w:col w:w="6085"/>
          </w:cols>
        </w:sectPr>
      </w:pPr>
    </w:p>
    <w:p>
      <w:pPr>
        <w:tabs>
          <w:tab w:pos="687" w:val="left" w:leader="none"/>
          <w:tab w:pos="1104" w:val="left" w:leader="none"/>
          <w:tab w:pos="1509" w:val="left" w:leader="none"/>
          <w:tab w:pos="1917" w:val="left" w:leader="none"/>
          <w:tab w:pos="2332" w:val="left" w:leader="none"/>
          <w:tab w:pos="2739" w:val="left" w:leader="none"/>
          <w:tab w:pos="3074" w:val="left" w:leader="none"/>
        </w:tabs>
        <w:spacing w:line="172" w:lineRule="exact" w:before="0"/>
        <w:ind w:left="220" w:right="0" w:firstLine="0"/>
        <w:jc w:val="left"/>
        <w:rPr>
          <w:sz w:val="12"/>
        </w:rPr>
      </w:pPr>
      <w:r>
        <w:rPr/>
        <w:pict>
          <v:group style="position:absolute;margin-left:41.542pt;margin-top:-1.941473pt;width:158.6pt;height:3.4pt;mso-position-horizontal-relative:page;mso-position-vertical-relative:paragraph;z-index:16176640" coordorigin="831,-39" coordsize="3172,68">
            <v:shape style="position:absolute;left:830;top:23;width:3172;height:2" coordorigin="831,23" coordsize="3172,0" path="m831,23l917,23m3916,23l4002,23e" filled="false" stroked="true" strokeweight=".5pt" strokecolor="#000000">
              <v:path arrowok="t"/>
              <v:stroke dashstyle="solid"/>
            </v:shape>
            <v:line style="position:absolute" from="973,23" to="3867,23" stroked="true" strokeweight=".5pt" strokecolor="#000000">
              <v:stroke dashstyle="solid"/>
            </v:line>
            <v:shape style="position:absolute;left:979;top:-39;width:2863;height:68" coordorigin="980,-39" coordsize="2863,68" path="m980,-39l980,28m3435,-39l3435,28m3843,-39l3843,28m3035,-39l3035,28m1387,-39l1387,28m1799,-39l1799,28m2208,-39l2208,28m2613,-39l2613,28e" filled="false" stroked="true" strokeweight=".5pt" strokecolor="#000000">
              <v:path arrowok="t"/>
              <v:stroke dashstyle="solid"/>
            </v:shape>
            <w10:wrap type="none"/>
          </v:group>
        </w:pict>
      </w:r>
      <w:r>
        <w:rPr>
          <w:sz w:val="12"/>
        </w:rPr>
        <w:t>1986</w:t>
        <w:tab/>
        <w:t>88</w:t>
        <w:tab/>
        <w:t>90</w:t>
        <w:tab/>
        <w:t>92</w:t>
        <w:tab/>
        <w:t>94</w:t>
        <w:tab/>
        <w:t>96</w:t>
        <w:tab/>
        <w:t>98</w:t>
        <w:tab/>
        <w:t>2000</w:t>
      </w:r>
      <w:r>
        <w:rPr>
          <w:spacing w:val="2"/>
          <w:sz w:val="12"/>
        </w:rPr>
        <w:t> </w:t>
      </w:r>
      <w:r>
        <w:rPr>
          <w:position w:val="9"/>
          <w:sz w:val="12"/>
        </w:rPr>
        <w:t>2</w:t>
      </w:r>
    </w:p>
    <w:p>
      <w:pPr>
        <w:spacing w:before="158"/>
        <w:ind w:left="160" w:right="0" w:firstLine="0"/>
        <w:jc w:val="left"/>
        <w:rPr>
          <w:sz w:val="12"/>
        </w:rPr>
      </w:pPr>
      <w:r>
        <w:rPr>
          <w:sz w:val="12"/>
        </w:rPr>
        <w:t>Sources: ONS, Bank of England and Industrial Relations Services (IRS).</w:t>
      </w:r>
    </w:p>
    <w:p>
      <w:pPr>
        <w:pStyle w:val="BodyText"/>
        <w:spacing w:before="1"/>
        <w:rPr>
          <w:sz w:val="10"/>
        </w:rPr>
      </w:pPr>
    </w:p>
    <w:p>
      <w:pPr>
        <w:pStyle w:val="ListParagraph"/>
        <w:numPr>
          <w:ilvl w:val="0"/>
          <w:numId w:val="24"/>
        </w:numPr>
        <w:tabs>
          <w:tab w:pos="400" w:val="left" w:leader="none"/>
        </w:tabs>
        <w:spacing w:line="208" w:lineRule="auto" w:before="1" w:after="0"/>
        <w:ind w:left="400" w:right="38" w:hanging="240"/>
        <w:jc w:val="left"/>
        <w:rPr>
          <w:sz w:val="12"/>
        </w:rPr>
      </w:pPr>
      <w:r>
        <w:rPr>
          <w:sz w:val="12"/>
        </w:rPr>
        <w:t>Based on IRS data until 1994, then Bank of England, which draws on information from the CBI, Incomes Data Services, Industrial Relations Services,</w:t>
      </w:r>
      <w:r>
        <w:rPr>
          <w:spacing w:val="-7"/>
          <w:sz w:val="12"/>
        </w:rPr>
        <w:t> </w:t>
      </w:r>
      <w:r>
        <w:rPr>
          <w:sz w:val="12"/>
        </w:rPr>
        <w:t>Labour</w:t>
      </w:r>
      <w:r>
        <w:rPr>
          <w:spacing w:val="-6"/>
          <w:sz w:val="12"/>
        </w:rPr>
        <w:t> </w:t>
      </w:r>
      <w:r>
        <w:rPr>
          <w:sz w:val="12"/>
        </w:rPr>
        <w:t>Research</w:t>
      </w:r>
      <w:r>
        <w:rPr>
          <w:spacing w:val="-6"/>
          <w:sz w:val="12"/>
        </w:rPr>
        <w:t> </w:t>
      </w:r>
      <w:r>
        <w:rPr>
          <w:sz w:val="12"/>
        </w:rPr>
        <w:t>Department</w:t>
      </w:r>
      <w:r>
        <w:rPr>
          <w:spacing w:val="-6"/>
          <w:sz w:val="12"/>
        </w:rPr>
        <w:t> </w:t>
      </w:r>
      <w:r>
        <w:rPr>
          <w:sz w:val="12"/>
        </w:rPr>
        <w:t>and</w:t>
      </w:r>
      <w:r>
        <w:rPr>
          <w:spacing w:val="-6"/>
          <w:sz w:val="12"/>
        </w:rPr>
        <w:t> </w:t>
      </w:r>
      <w:r>
        <w:rPr>
          <w:sz w:val="12"/>
        </w:rPr>
        <w:t>the</w:t>
      </w:r>
      <w:r>
        <w:rPr>
          <w:spacing w:val="-6"/>
          <w:sz w:val="12"/>
        </w:rPr>
        <w:t> </w:t>
      </w:r>
      <w:r>
        <w:rPr>
          <w:sz w:val="12"/>
        </w:rPr>
        <w:t>Bank’s</w:t>
      </w:r>
      <w:r>
        <w:rPr>
          <w:spacing w:val="-6"/>
          <w:sz w:val="12"/>
        </w:rPr>
        <w:t> </w:t>
      </w:r>
      <w:r>
        <w:rPr>
          <w:sz w:val="12"/>
        </w:rPr>
        <w:t>regional</w:t>
      </w:r>
      <w:r>
        <w:rPr>
          <w:spacing w:val="-6"/>
          <w:sz w:val="12"/>
        </w:rPr>
        <w:t> </w:t>
      </w:r>
      <w:r>
        <w:rPr>
          <w:sz w:val="12"/>
        </w:rPr>
        <w:t>Agents.</w:t>
      </w:r>
    </w:p>
    <w:p>
      <w:pPr>
        <w:pStyle w:val="ListParagraph"/>
        <w:numPr>
          <w:ilvl w:val="0"/>
          <w:numId w:val="24"/>
        </w:numPr>
        <w:tabs>
          <w:tab w:pos="401" w:val="left" w:leader="none"/>
        </w:tabs>
        <w:spacing w:line="123" w:lineRule="exact" w:before="0" w:after="0"/>
        <w:ind w:left="400" w:right="0" w:hanging="241"/>
        <w:jc w:val="left"/>
        <w:rPr>
          <w:sz w:val="12"/>
        </w:rPr>
      </w:pPr>
      <w:r>
        <w:rPr>
          <w:sz w:val="12"/>
        </w:rPr>
        <w:t>Difference between earnings growth and</w:t>
      </w:r>
      <w:r>
        <w:rPr>
          <w:spacing w:val="-11"/>
          <w:sz w:val="12"/>
        </w:rPr>
        <w:t> </w:t>
      </w:r>
      <w:r>
        <w:rPr>
          <w:sz w:val="12"/>
        </w:rPr>
        <w:t>settlements.</w:t>
      </w:r>
    </w:p>
    <w:p>
      <w:pPr>
        <w:pStyle w:val="Heading6"/>
        <w:spacing w:line="268" w:lineRule="exact"/>
        <w:ind w:left="160"/>
      </w:pPr>
      <w:r>
        <w:rPr/>
        <w:br w:type="column"/>
      </w:r>
      <w:r>
        <w:rPr/>
        <w:t>contribution to annual earnings growth until October.</w:t>
      </w:r>
    </w:p>
    <w:p>
      <w:pPr>
        <w:pStyle w:val="BodyText"/>
        <w:spacing w:before="11"/>
        <w:rPr>
          <w:sz w:val="22"/>
        </w:rPr>
      </w:pPr>
    </w:p>
    <w:p>
      <w:pPr>
        <w:spacing w:line="242" w:lineRule="auto" w:before="0"/>
        <w:ind w:left="160" w:right="138" w:firstLine="0"/>
        <w:jc w:val="left"/>
        <w:rPr>
          <w:sz w:val="24"/>
        </w:rPr>
      </w:pPr>
      <w:r>
        <w:rPr>
          <w:sz w:val="24"/>
        </w:rPr>
        <w:t>Measured average earnings grew by 5.5% in the year to February. The ONS has reported that bonuses</w:t>
      </w:r>
    </w:p>
    <w:p>
      <w:pPr>
        <w:spacing w:after="0" w:line="242" w:lineRule="auto"/>
        <w:jc w:val="left"/>
        <w:rPr>
          <w:sz w:val="24"/>
        </w:rPr>
        <w:sectPr>
          <w:type w:val="continuous"/>
          <w:pgSz w:w="11900" w:h="16840"/>
          <w:pgMar w:top="1220" w:bottom="280" w:left="640" w:right="620"/>
          <w:cols w:num="2" w:equalWidth="0">
            <w:col w:w="3892" w:space="898"/>
            <w:col w:w="5850"/>
          </w:cols>
        </w:sectPr>
      </w:pPr>
    </w:p>
    <w:p>
      <w:pPr>
        <w:pStyle w:val="BodyText"/>
        <w:rPr>
          <w:sz w:val="20"/>
        </w:rPr>
      </w:pPr>
    </w:p>
    <w:p>
      <w:pPr>
        <w:spacing w:line="242" w:lineRule="auto" w:before="227"/>
        <w:ind w:left="4970" w:right="227" w:firstLine="0"/>
        <w:jc w:val="left"/>
        <w:rPr>
          <w:sz w:val="24"/>
        </w:rPr>
      </w:pPr>
      <w:r>
        <w:rPr>
          <w:sz w:val="24"/>
        </w:rPr>
        <w:t>contributed around 0.5 percentage points to earnings growth over the period. The contribution of bonuses to whole-economy earnings growth in the year to February was more than accounted for by bonuses in the service sector: bonuses detracted from earnings growth in the manufacturing sector over the period.</w:t>
      </w:r>
    </w:p>
    <w:p>
      <w:pPr>
        <w:pStyle w:val="BodyText"/>
        <w:spacing w:before="3"/>
        <w:rPr>
          <w:sz w:val="30"/>
        </w:rPr>
      </w:pPr>
    </w:p>
    <w:p>
      <w:pPr>
        <w:spacing w:line="242" w:lineRule="auto" w:before="0"/>
        <w:ind w:left="4970" w:right="224" w:firstLine="0"/>
        <w:jc w:val="left"/>
        <w:rPr>
          <w:sz w:val="24"/>
        </w:rPr>
      </w:pPr>
      <w:r>
        <w:rPr>
          <w:sz w:val="24"/>
        </w:rPr>
        <w:t>There is some qualitative evidence on the type and nature of the recent bonus contribution to annual earnings growth. The ONS has indicated that part of the recent rise in annual earnings growth can be accounted for by larger bonus payments than a year ago in the financial services </w:t>
      </w:r>
      <w:r>
        <w:rPr>
          <w:spacing w:val="-3"/>
          <w:sz w:val="24"/>
        </w:rPr>
        <w:t>sector. </w:t>
      </w:r>
      <w:r>
        <w:rPr>
          <w:sz w:val="24"/>
        </w:rPr>
        <w:t>These bonuses were not generally related to millennium preparation and working. There is also evidence of millennium-related bonus and overtime payments in some other services, including police and health sector workers. The ONS has indicated that annual bonus growth also rose in the manufacturing sector in December and </w:t>
      </w:r>
      <w:r>
        <w:rPr>
          <w:spacing w:val="-3"/>
          <w:sz w:val="24"/>
        </w:rPr>
        <w:t>January. </w:t>
      </w:r>
      <w:r>
        <w:rPr>
          <w:sz w:val="24"/>
        </w:rPr>
        <w:t>There is evidence that some of these bonuses</w:t>
      </w:r>
      <w:r>
        <w:rPr>
          <w:spacing w:val="-13"/>
          <w:sz w:val="24"/>
        </w:rPr>
        <w:t> </w:t>
      </w:r>
      <w:r>
        <w:rPr>
          <w:sz w:val="24"/>
        </w:rPr>
        <w:t>were</w:t>
      </w:r>
    </w:p>
    <w:p>
      <w:pPr>
        <w:spacing w:line="242" w:lineRule="auto" w:before="16"/>
        <w:ind w:left="4970" w:right="232" w:firstLine="0"/>
        <w:jc w:val="left"/>
        <w:rPr>
          <w:sz w:val="24"/>
        </w:rPr>
      </w:pPr>
      <w:r>
        <w:rPr>
          <w:sz w:val="24"/>
        </w:rPr>
        <w:t>millennium-related, and were supplemented by increased</w:t>
      </w:r>
      <w:r>
        <w:rPr>
          <w:spacing w:val="-7"/>
          <w:sz w:val="24"/>
        </w:rPr>
        <w:t> </w:t>
      </w:r>
      <w:r>
        <w:rPr>
          <w:sz w:val="24"/>
        </w:rPr>
        <w:t>overtime</w:t>
      </w:r>
      <w:r>
        <w:rPr>
          <w:spacing w:val="-7"/>
          <w:sz w:val="24"/>
        </w:rPr>
        <w:t> </w:t>
      </w:r>
      <w:r>
        <w:rPr>
          <w:sz w:val="24"/>
        </w:rPr>
        <w:t>payments</w:t>
      </w:r>
      <w:r>
        <w:rPr>
          <w:spacing w:val="-7"/>
          <w:sz w:val="24"/>
        </w:rPr>
        <w:t> </w:t>
      </w:r>
      <w:r>
        <w:rPr>
          <w:sz w:val="24"/>
        </w:rPr>
        <w:t>as</w:t>
      </w:r>
      <w:r>
        <w:rPr>
          <w:spacing w:val="-6"/>
          <w:sz w:val="24"/>
        </w:rPr>
        <w:t> </w:t>
      </w:r>
      <w:r>
        <w:rPr>
          <w:sz w:val="24"/>
        </w:rPr>
        <w:t>firms</w:t>
      </w:r>
      <w:r>
        <w:rPr>
          <w:spacing w:val="-7"/>
          <w:sz w:val="24"/>
        </w:rPr>
        <w:t> </w:t>
      </w:r>
      <w:r>
        <w:rPr>
          <w:sz w:val="24"/>
        </w:rPr>
        <w:t>sought</w:t>
      </w:r>
      <w:r>
        <w:rPr>
          <w:spacing w:val="-7"/>
          <w:sz w:val="24"/>
        </w:rPr>
        <w:t> </w:t>
      </w:r>
      <w:r>
        <w:rPr>
          <w:sz w:val="24"/>
        </w:rPr>
        <w:t>to</w:t>
      </w:r>
      <w:r>
        <w:rPr>
          <w:spacing w:val="-6"/>
          <w:sz w:val="24"/>
        </w:rPr>
        <w:t> </w:t>
      </w:r>
      <w:r>
        <w:rPr>
          <w:sz w:val="24"/>
        </w:rPr>
        <w:t>make</w:t>
      </w:r>
      <w:r>
        <w:rPr>
          <w:spacing w:val="-7"/>
          <w:sz w:val="24"/>
        </w:rPr>
        <w:t> </w:t>
      </w:r>
      <w:r>
        <w:rPr>
          <w:sz w:val="24"/>
        </w:rPr>
        <w:t>up lost output after the prolonged holiday</w:t>
      </w:r>
      <w:r>
        <w:rPr>
          <w:spacing w:val="-15"/>
          <w:sz w:val="24"/>
        </w:rPr>
        <w:t> </w:t>
      </w:r>
      <w:r>
        <w:rPr>
          <w:sz w:val="24"/>
        </w:rPr>
        <w:t>period.</w:t>
      </w:r>
    </w:p>
    <w:p>
      <w:pPr>
        <w:spacing w:line="242" w:lineRule="auto" w:before="4"/>
        <w:ind w:left="4970" w:right="381" w:firstLine="0"/>
        <w:jc w:val="left"/>
        <w:rPr>
          <w:sz w:val="24"/>
        </w:rPr>
      </w:pPr>
      <w:r>
        <w:rPr>
          <w:sz w:val="24"/>
        </w:rPr>
        <w:t>Consistent with this picture, average weekly overtime hours in the manufacturing sector rose by 5.5% in the three months to February compared with the same period a year earlier.</w:t>
      </w:r>
    </w:p>
    <w:p>
      <w:pPr>
        <w:pStyle w:val="BodyText"/>
        <w:rPr>
          <w:sz w:val="30"/>
        </w:rPr>
      </w:pPr>
    </w:p>
    <w:p>
      <w:pPr>
        <w:spacing w:line="242" w:lineRule="auto" w:before="0"/>
        <w:ind w:left="4970" w:right="241" w:firstLine="0"/>
        <w:jc w:val="left"/>
        <w:rPr>
          <w:sz w:val="24"/>
        </w:rPr>
      </w:pPr>
      <w:r>
        <w:rPr>
          <w:sz w:val="24"/>
        </w:rPr>
        <w:t>In March, the Bank’s regional Agents asked around 160 of their business contacts to report on any bonus payments that they had made, or planned to make, during the period November 1999 to April 2000.</w:t>
      </w:r>
    </w:p>
    <w:p>
      <w:pPr>
        <w:spacing w:line="242" w:lineRule="auto" w:before="5"/>
        <w:ind w:left="4970" w:right="204" w:firstLine="0"/>
        <w:jc w:val="left"/>
        <w:rPr>
          <w:sz w:val="24"/>
        </w:rPr>
      </w:pPr>
      <w:r>
        <w:rPr>
          <w:sz w:val="24"/>
        </w:rPr>
        <w:t>Around half of all respondents expected the share of bonus payments in the total wage bill to be higher in this period than a year earlier. This proportion was slightly higher in the financial services sector than in manufacturing. Of those questioned who expected a higher bonus share this year, the most common explanation was to reward staff for past productivity and profitability gains, followed by the need to retain and recruit staff. Less than a third cited millennium preparation and working as a significant factor. On balance, roughly the same proportion of respondents expected to make significant bonus payments in March as had done so in January, and March appears to be a particularly important month for bonuses in the financial services sector. So the headline rate of annual earnings growth (based on a three-month moving average) may include a significant bonus contribution for some months. In the summer, the contribution of wage drift to annual earnings growth is likely to fall back.</w:t>
      </w:r>
    </w:p>
    <w:p>
      <w:pPr>
        <w:spacing w:after="0" w:line="242" w:lineRule="auto"/>
        <w:jc w:val="left"/>
        <w:rPr>
          <w:sz w:val="24"/>
        </w:rPr>
        <w:sectPr>
          <w:pgSz w:w="11900" w:h="16840"/>
          <w:pgMar w:header="586" w:footer="597" w:top="780" w:bottom="780" w:left="640" w:right="620"/>
        </w:sectPr>
      </w:pPr>
    </w:p>
    <w:p>
      <w:pPr>
        <w:pStyle w:val="BodyText"/>
        <w:rPr>
          <w:sz w:val="20"/>
        </w:rPr>
      </w:pPr>
    </w:p>
    <w:p>
      <w:pPr>
        <w:spacing w:after="0"/>
        <w:rPr>
          <w:sz w:val="20"/>
        </w:rPr>
        <w:sectPr>
          <w:headerReference w:type="default" r:id="rId143"/>
          <w:headerReference w:type="even" r:id="rId144"/>
          <w:footerReference w:type="default" r:id="rId145"/>
          <w:footerReference w:type="even" r:id="rId146"/>
          <w:pgSz w:w="11900" w:h="16840"/>
          <w:pgMar w:header="586" w:footer="617" w:top="780" w:bottom="800" w:left="640" w:right="620"/>
          <w:pgNumType w:start="31"/>
        </w:sectPr>
      </w:pPr>
    </w:p>
    <w:p>
      <w:pPr>
        <w:pStyle w:val="BodyText"/>
        <w:spacing w:before="8"/>
        <w:rPr>
          <w:sz w:val="19"/>
        </w:rPr>
      </w:pPr>
    </w:p>
    <w:p>
      <w:pPr>
        <w:spacing w:before="0"/>
        <w:ind w:left="155" w:right="0" w:firstLine="0"/>
        <w:jc w:val="left"/>
        <w:rPr>
          <w:b/>
          <w:sz w:val="20"/>
        </w:rPr>
      </w:pPr>
      <w:r>
        <w:rPr>
          <w:b/>
          <w:color w:val="0092C7"/>
          <w:sz w:val="20"/>
        </w:rPr>
        <w:t>Table 3.B</w:t>
      </w:r>
    </w:p>
    <w:p>
      <w:pPr>
        <w:spacing w:before="10"/>
        <w:ind w:left="155" w:right="0" w:firstLine="0"/>
        <w:jc w:val="left"/>
        <w:rPr>
          <w:sz w:val="12"/>
        </w:rPr>
      </w:pPr>
      <w:r>
        <w:rPr>
          <w:b/>
          <w:color w:val="0092C7"/>
          <w:sz w:val="20"/>
        </w:rPr>
        <w:t>Survey-based inflation expectations</w:t>
      </w:r>
      <w:r>
        <w:rPr>
          <w:position w:val="4"/>
          <w:sz w:val="12"/>
        </w:rPr>
        <w:t>(a)</w:t>
      </w:r>
    </w:p>
    <w:p>
      <w:pPr>
        <w:spacing w:before="106"/>
        <w:ind w:left="155" w:right="0" w:firstLine="0"/>
        <w:jc w:val="left"/>
        <w:rPr>
          <w:sz w:val="14"/>
        </w:rPr>
      </w:pPr>
      <w:r>
        <w:rPr>
          <w:sz w:val="14"/>
        </w:rPr>
        <w:t>Per cent</w:t>
      </w:r>
    </w:p>
    <w:p>
      <w:pPr>
        <w:tabs>
          <w:tab w:pos="3959" w:val="left" w:leader="none"/>
        </w:tabs>
        <w:spacing w:line="150" w:lineRule="exact" w:before="119"/>
        <w:ind w:left="2385" w:right="0" w:firstLine="0"/>
        <w:jc w:val="left"/>
        <w:rPr>
          <w:sz w:val="14"/>
        </w:rPr>
      </w:pPr>
      <w:r>
        <w:rPr>
          <w:sz w:val="14"/>
          <w:u w:val="single"/>
        </w:rPr>
        <w:t>1999</w:t>
        <w:tab/>
        <w:t>2000</w:t>
      </w:r>
      <w:r>
        <w:rPr>
          <w:spacing w:val="9"/>
          <w:sz w:val="14"/>
          <w:u w:val="single"/>
        </w:rPr>
        <w:t> </w:t>
      </w:r>
    </w:p>
    <w:p>
      <w:pPr>
        <w:tabs>
          <w:tab w:pos="2835" w:val="left" w:leader="none"/>
          <w:tab w:pos="3305" w:val="left" w:leader="none"/>
          <w:tab w:pos="3705" w:val="left" w:leader="none"/>
          <w:tab w:pos="4085" w:val="left" w:leader="none"/>
        </w:tabs>
        <w:spacing w:line="150" w:lineRule="exact" w:before="0"/>
        <w:ind w:left="2385" w:right="0" w:firstLine="0"/>
        <w:jc w:val="left"/>
        <w:rPr>
          <w:sz w:val="14"/>
        </w:rPr>
      </w:pPr>
      <w:r>
        <w:rPr>
          <w:sz w:val="14"/>
        </w:rPr>
        <w:t>Q1</w:t>
        <w:tab/>
        <w:t>Q2</w:t>
        <w:tab/>
        <w:t>Q3</w:t>
        <w:tab/>
        <w:t>Q4</w:t>
        <w:tab/>
        <w:t>Q1</w:t>
      </w:r>
    </w:p>
    <w:p>
      <w:pPr>
        <w:pStyle w:val="BodyText"/>
        <w:spacing w:before="5"/>
        <w:rPr>
          <w:sz w:val="2"/>
        </w:rPr>
      </w:pPr>
    </w:p>
    <w:p>
      <w:pPr>
        <w:tabs>
          <w:tab w:pos="3318" w:val="left" w:leader="none"/>
        </w:tabs>
        <w:spacing w:line="20" w:lineRule="exact"/>
        <w:ind w:left="2378" w:right="0" w:firstLine="0"/>
        <w:rPr>
          <w:sz w:val="2"/>
        </w:rPr>
      </w:pPr>
      <w:r>
        <w:rPr>
          <w:sz w:val="2"/>
        </w:rPr>
        <w:pict>
          <v:group style="width:12pt;height:.15pt;mso-position-horizontal-relative:char;mso-position-vertical-relative:line" coordorigin="0,0" coordsize="240,3">
            <v:line style="position:absolute" from="0,1" to="240,1" stroked="true" strokeweight=".125pt" strokecolor="#000000">
              <v:stroke dashstyle="solid"/>
            </v:line>
          </v:group>
        </w:pict>
      </w:r>
      <w:r>
        <w:rPr>
          <w:sz w:val="2"/>
        </w:rPr>
      </w:r>
      <w:r>
        <w:rPr>
          <w:spacing w:val="187"/>
          <w:sz w:val="2"/>
        </w:rPr>
        <w:t> </w:t>
      </w:r>
      <w:r>
        <w:rPr>
          <w:spacing w:val="187"/>
          <w:sz w:val="2"/>
        </w:rPr>
        <w:pict>
          <v:group style="width:12pt;height:.15pt;mso-position-horizontal-relative:char;mso-position-vertical-relative:line" coordorigin="0,0" coordsize="240,3">
            <v:line style="position:absolute" from="0,1" to="240,1" stroked="true" strokeweight=".125pt" strokecolor="#000000">
              <v:stroke dashstyle="solid"/>
            </v:line>
          </v:group>
        </w:pict>
      </w:r>
      <w:r>
        <w:rPr>
          <w:spacing w:val="187"/>
          <w:sz w:val="2"/>
        </w:rPr>
      </w:r>
      <w:r>
        <w:rPr>
          <w:spacing w:val="187"/>
          <w:sz w:val="2"/>
        </w:rPr>
        <w:tab/>
      </w:r>
      <w:r>
        <w:rPr>
          <w:spacing w:val="187"/>
          <w:sz w:val="2"/>
        </w:rPr>
        <w:pict>
          <v:group style="width:12pt;height:.15pt;mso-position-horizontal-relative:char;mso-position-vertical-relative:line" coordorigin="0,0" coordsize="240,3">
            <v:line style="position:absolute" from="0,1" to="240,1" stroked="true" strokeweight=".125pt" strokecolor="#000000">
              <v:stroke dashstyle="solid"/>
            </v:line>
          </v:group>
        </w:pict>
      </w:r>
      <w:r>
        <w:rPr>
          <w:spacing w:val="187"/>
          <w:sz w:val="2"/>
        </w:rPr>
      </w:r>
      <w:r>
        <w:rPr>
          <w:spacing w:val="107"/>
          <w:sz w:val="2"/>
        </w:rPr>
        <w:t> </w:t>
      </w:r>
      <w:r>
        <w:rPr>
          <w:spacing w:val="107"/>
          <w:sz w:val="2"/>
        </w:rPr>
        <w:pict>
          <v:group style="width:12pt;height:.15pt;mso-position-horizontal-relative:char;mso-position-vertical-relative:line" coordorigin="0,0" coordsize="240,3">
            <v:line style="position:absolute" from="0,1" to="240,1" stroked="true" strokeweight=".125pt" strokecolor="#000000">
              <v:stroke dashstyle="solid"/>
            </v:line>
          </v:group>
        </w:pict>
      </w:r>
      <w:r>
        <w:rPr>
          <w:spacing w:val="107"/>
          <w:sz w:val="2"/>
        </w:rPr>
      </w:r>
      <w:r>
        <w:rPr>
          <w:spacing w:val="107"/>
          <w:sz w:val="2"/>
        </w:rPr>
        <w:t> </w:t>
      </w:r>
      <w:r>
        <w:rPr>
          <w:spacing w:val="107"/>
          <w:sz w:val="2"/>
        </w:rPr>
        <w:pict>
          <v:group style="width:13pt;height:.15pt;mso-position-horizontal-relative:char;mso-position-vertical-relative:line" coordorigin="0,0" coordsize="260,3">
            <v:line style="position:absolute" from="0,1" to="260,1" stroked="true" strokeweight=".125pt" strokecolor="#000000">
              <v:stroke dashstyle="solid"/>
            </v:line>
          </v:group>
        </w:pict>
      </w:r>
      <w:r>
        <w:rPr>
          <w:spacing w:val="107"/>
          <w:sz w:val="2"/>
        </w:rPr>
      </w:r>
    </w:p>
    <w:p>
      <w:pPr>
        <w:spacing w:before="71"/>
        <w:ind w:left="155" w:right="0" w:firstLine="0"/>
        <w:jc w:val="left"/>
        <w:rPr>
          <w:b/>
          <w:sz w:val="14"/>
        </w:rPr>
      </w:pPr>
      <w:r>
        <w:rPr>
          <w:b/>
          <w:sz w:val="14"/>
        </w:rPr>
        <w:t>RPI</w:t>
      </w:r>
      <w:r>
        <w:rPr>
          <w:b/>
          <w:spacing w:val="-6"/>
          <w:sz w:val="14"/>
        </w:rPr>
        <w:t> </w:t>
      </w:r>
      <w:r>
        <w:rPr>
          <w:b/>
          <w:sz w:val="14"/>
        </w:rPr>
        <w:t>inflation</w:t>
      </w:r>
      <w:r>
        <w:rPr>
          <w:b/>
          <w:spacing w:val="-6"/>
          <w:sz w:val="14"/>
        </w:rPr>
        <w:t> </w:t>
      </w:r>
      <w:r>
        <w:rPr>
          <w:b/>
          <w:sz w:val="14"/>
        </w:rPr>
        <w:t>rate</w:t>
      </w:r>
      <w:r>
        <w:rPr>
          <w:b/>
          <w:spacing w:val="-5"/>
          <w:sz w:val="14"/>
        </w:rPr>
        <w:t> </w:t>
      </w:r>
      <w:r>
        <w:rPr>
          <w:b/>
          <w:sz w:val="14"/>
        </w:rPr>
        <w:t>one</w:t>
      </w:r>
      <w:r>
        <w:rPr>
          <w:b/>
          <w:spacing w:val="-6"/>
          <w:sz w:val="14"/>
        </w:rPr>
        <w:t> </w:t>
      </w:r>
      <w:r>
        <w:rPr>
          <w:b/>
          <w:sz w:val="14"/>
        </w:rPr>
        <w:t>year</w:t>
      </w:r>
      <w:r>
        <w:rPr>
          <w:b/>
          <w:spacing w:val="-5"/>
          <w:sz w:val="14"/>
        </w:rPr>
        <w:t> </w:t>
      </w:r>
      <w:r>
        <w:rPr>
          <w:b/>
          <w:sz w:val="14"/>
        </w:rPr>
        <w:t>ahead</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7"/>
        <w:gridCol w:w="685"/>
        <w:gridCol w:w="445"/>
        <w:gridCol w:w="815"/>
        <w:gridCol w:w="328"/>
      </w:tblGrid>
      <w:tr>
        <w:trPr>
          <w:trHeight w:val="147" w:hRule="atLeast"/>
        </w:trPr>
        <w:tc>
          <w:tcPr>
            <w:tcW w:w="1947" w:type="dxa"/>
          </w:tcPr>
          <w:p>
            <w:pPr>
              <w:pStyle w:val="TableParagraph"/>
              <w:spacing w:line="128" w:lineRule="exact"/>
              <w:ind w:left="50"/>
              <w:rPr>
                <w:sz w:val="14"/>
              </w:rPr>
            </w:pPr>
            <w:r>
              <w:rPr>
                <w:sz w:val="14"/>
              </w:rPr>
              <w:t>Academic economists</w:t>
            </w:r>
          </w:p>
        </w:tc>
        <w:tc>
          <w:tcPr>
            <w:tcW w:w="685" w:type="dxa"/>
          </w:tcPr>
          <w:p>
            <w:pPr>
              <w:pStyle w:val="TableParagraph"/>
              <w:spacing w:line="128" w:lineRule="exact"/>
              <w:ind w:right="140"/>
              <w:jc w:val="right"/>
              <w:rPr>
                <w:sz w:val="14"/>
              </w:rPr>
            </w:pPr>
            <w:r>
              <w:rPr>
                <w:sz w:val="14"/>
              </w:rPr>
              <w:t>2.3</w:t>
            </w:r>
          </w:p>
        </w:tc>
        <w:tc>
          <w:tcPr>
            <w:tcW w:w="445" w:type="dxa"/>
          </w:tcPr>
          <w:p>
            <w:pPr>
              <w:pStyle w:val="TableParagraph"/>
              <w:spacing w:line="128" w:lineRule="exact"/>
              <w:ind w:left="122" w:right="107"/>
              <w:jc w:val="center"/>
              <w:rPr>
                <w:sz w:val="14"/>
              </w:rPr>
            </w:pPr>
            <w:r>
              <w:rPr>
                <w:sz w:val="14"/>
              </w:rPr>
              <w:t>2.3</w:t>
            </w:r>
          </w:p>
        </w:tc>
        <w:tc>
          <w:tcPr>
            <w:tcW w:w="815" w:type="dxa"/>
          </w:tcPr>
          <w:p>
            <w:pPr>
              <w:pStyle w:val="TableParagraph"/>
              <w:tabs>
                <w:tab w:pos="435" w:val="left" w:leader="none"/>
              </w:tabs>
              <w:spacing w:line="128" w:lineRule="exact"/>
              <w:ind w:left="25"/>
              <w:jc w:val="center"/>
              <w:rPr>
                <w:sz w:val="14"/>
              </w:rPr>
            </w:pPr>
            <w:r>
              <w:rPr>
                <w:sz w:val="14"/>
              </w:rPr>
              <w:t>2.5</w:t>
              <w:tab/>
              <w:t>2.2</w:t>
            </w:r>
          </w:p>
        </w:tc>
        <w:tc>
          <w:tcPr>
            <w:tcW w:w="328" w:type="dxa"/>
          </w:tcPr>
          <w:p>
            <w:pPr>
              <w:pStyle w:val="TableParagraph"/>
              <w:spacing w:line="128" w:lineRule="exact"/>
              <w:ind w:left="82" w:right="30"/>
              <w:jc w:val="center"/>
              <w:rPr>
                <w:sz w:val="14"/>
              </w:rPr>
            </w:pPr>
            <w:r>
              <w:rPr>
                <w:sz w:val="14"/>
              </w:rPr>
              <w:t>2.4</w:t>
            </w:r>
          </w:p>
        </w:tc>
      </w:tr>
      <w:tr>
        <w:trPr>
          <w:trHeight w:val="140" w:hRule="atLeast"/>
        </w:trPr>
        <w:tc>
          <w:tcPr>
            <w:tcW w:w="1947" w:type="dxa"/>
          </w:tcPr>
          <w:p>
            <w:pPr>
              <w:pStyle w:val="TableParagraph"/>
              <w:ind w:left="50"/>
              <w:rPr>
                <w:sz w:val="14"/>
              </w:rPr>
            </w:pPr>
            <w:r>
              <w:rPr>
                <w:sz w:val="14"/>
              </w:rPr>
              <w:t>Business economists</w:t>
            </w:r>
          </w:p>
        </w:tc>
        <w:tc>
          <w:tcPr>
            <w:tcW w:w="685" w:type="dxa"/>
          </w:tcPr>
          <w:p>
            <w:pPr>
              <w:pStyle w:val="TableParagraph"/>
              <w:ind w:right="140"/>
              <w:jc w:val="right"/>
              <w:rPr>
                <w:sz w:val="14"/>
              </w:rPr>
            </w:pPr>
            <w:r>
              <w:rPr>
                <w:sz w:val="14"/>
              </w:rPr>
              <w:t>2.1</w:t>
            </w:r>
          </w:p>
        </w:tc>
        <w:tc>
          <w:tcPr>
            <w:tcW w:w="445" w:type="dxa"/>
          </w:tcPr>
          <w:p>
            <w:pPr>
              <w:pStyle w:val="TableParagraph"/>
              <w:ind w:left="122" w:right="107"/>
              <w:jc w:val="center"/>
              <w:rPr>
                <w:sz w:val="14"/>
              </w:rPr>
            </w:pPr>
            <w:r>
              <w:rPr>
                <w:sz w:val="14"/>
              </w:rPr>
              <w:t>2.2</w:t>
            </w:r>
          </w:p>
        </w:tc>
        <w:tc>
          <w:tcPr>
            <w:tcW w:w="815" w:type="dxa"/>
          </w:tcPr>
          <w:p>
            <w:pPr>
              <w:pStyle w:val="TableParagraph"/>
              <w:tabs>
                <w:tab w:pos="435" w:val="left" w:leader="none"/>
              </w:tabs>
              <w:ind w:left="25"/>
              <w:jc w:val="center"/>
              <w:rPr>
                <w:sz w:val="14"/>
              </w:rPr>
            </w:pPr>
            <w:r>
              <w:rPr>
                <w:sz w:val="14"/>
              </w:rPr>
              <w:t>2.4</w:t>
              <w:tab/>
              <w:t>2.4</w:t>
            </w:r>
          </w:p>
        </w:tc>
        <w:tc>
          <w:tcPr>
            <w:tcW w:w="328" w:type="dxa"/>
          </w:tcPr>
          <w:p>
            <w:pPr>
              <w:pStyle w:val="TableParagraph"/>
              <w:ind w:left="82" w:right="30"/>
              <w:jc w:val="center"/>
              <w:rPr>
                <w:sz w:val="14"/>
              </w:rPr>
            </w:pPr>
            <w:r>
              <w:rPr>
                <w:sz w:val="14"/>
              </w:rPr>
              <w:t>2.5</w:t>
            </w:r>
          </w:p>
        </w:tc>
      </w:tr>
      <w:tr>
        <w:trPr>
          <w:trHeight w:val="140" w:hRule="atLeast"/>
        </w:trPr>
        <w:tc>
          <w:tcPr>
            <w:tcW w:w="1947" w:type="dxa"/>
          </w:tcPr>
          <w:p>
            <w:pPr>
              <w:pStyle w:val="TableParagraph"/>
              <w:ind w:left="50"/>
              <w:rPr>
                <w:sz w:val="14"/>
              </w:rPr>
            </w:pPr>
            <w:r>
              <w:rPr>
                <w:sz w:val="14"/>
              </w:rPr>
              <w:t>Finance directors</w:t>
            </w:r>
          </w:p>
        </w:tc>
        <w:tc>
          <w:tcPr>
            <w:tcW w:w="685" w:type="dxa"/>
          </w:tcPr>
          <w:p>
            <w:pPr>
              <w:pStyle w:val="TableParagraph"/>
              <w:ind w:right="140"/>
              <w:jc w:val="right"/>
              <w:rPr>
                <w:sz w:val="14"/>
              </w:rPr>
            </w:pPr>
            <w:r>
              <w:rPr>
                <w:sz w:val="14"/>
              </w:rPr>
              <w:t>2.3</w:t>
            </w:r>
          </w:p>
        </w:tc>
        <w:tc>
          <w:tcPr>
            <w:tcW w:w="445" w:type="dxa"/>
          </w:tcPr>
          <w:p>
            <w:pPr>
              <w:pStyle w:val="TableParagraph"/>
              <w:ind w:left="122" w:right="107"/>
              <w:jc w:val="center"/>
              <w:rPr>
                <w:sz w:val="14"/>
              </w:rPr>
            </w:pPr>
            <w:r>
              <w:rPr>
                <w:sz w:val="14"/>
              </w:rPr>
              <w:t>2.3</w:t>
            </w:r>
          </w:p>
        </w:tc>
        <w:tc>
          <w:tcPr>
            <w:tcW w:w="815" w:type="dxa"/>
          </w:tcPr>
          <w:p>
            <w:pPr>
              <w:pStyle w:val="TableParagraph"/>
              <w:tabs>
                <w:tab w:pos="435" w:val="left" w:leader="none"/>
              </w:tabs>
              <w:ind w:left="25"/>
              <w:jc w:val="center"/>
              <w:rPr>
                <w:sz w:val="14"/>
              </w:rPr>
            </w:pPr>
            <w:r>
              <w:rPr>
                <w:sz w:val="14"/>
              </w:rPr>
              <w:t>2.4</w:t>
              <w:tab/>
              <w:t>2.3</w:t>
            </w:r>
          </w:p>
        </w:tc>
        <w:tc>
          <w:tcPr>
            <w:tcW w:w="328" w:type="dxa"/>
          </w:tcPr>
          <w:p>
            <w:pPr>
              <w:pStyle w:val="TableParagraph"/>
              <w:ind w:left="82" w:right="30"/>
              <w:jc w:val="center"/>
              <w:rPr>
                <w:sz w:val="14"/>
              </w:rPr>
            </w:pPr>
            <w:r>
              <w:rPr>
                <w:sz w:val="14"/>
              </w:rPr>
              <w:t>2.4</w:t>
            </w:r>
          </w:p>
        </w:tc>
      </w:tr>
      <w:tr>
        <w:trPr>
          <w:trHeight w:val="140" w:hRule="atLeast"/>
        </w:trPr>
        <w:tc>
          <w:tcPr>
            <w:tcW w:w="1947" w:type="dxa"/>
          </w:tcPr>
          <w:p>
            <w:pPr>
              <w:pStyle w:val="TableParagraph"/>
              <w:ind w:left="50"/>
              <w:rPr>
                <w:sz w:val="14"/>
              </w:rPr>
            </w:pPr>
            <w:r>
              <w:rPr>
                <w:sz w:val="14"/>
              </w:rPr>
              <w:t>Trade unions</w:t>
            </w:r>
          </w:p>
        </w:tc>
        <w:tc>
          <w:tcPr>
            <w:tcW w:w="685" w:type="dxa"/>
          </w:tcPr>
          <w:p>
            <w:pPr>
              <w:pStyle w:val="TableParagraph"/>
              <w:ind w:right="140"/>
              <w:jc w:val="right"/>
              <w:rPr>
                <w:sz w:val="14"/>
              </w:rPr>
            </w:pPr>
            <w:r>
              <w:rPr>
                <w:sz w:val="14"/>
              </w:rPr>
              <w:t>2.7</w:t>
            </w:r>
          </w:p>
        </w:tc>
        <w:tc>
          <w:tcPr>
            <w:tcW w:w="445" w:type="dxa"/>
          </w:tcPr>
          <w:p>
            <w:pPr>
              <w:pStyle w:val="TableParagraph"/>
              <w:ind w:left="122" w:right="107"/>
              <w:jc w:val="center"/>
              <w:rPr>
                <w:sz w:val="14"/>
              </w:rPr>
            </w:pPr>
            <w:r>
              <w:rPr>
                <w:sz w:val="14"/>
              </w:rPr>
              <w:t>2.5</w:t>
            </w:r>
          </w:p>
        </w:tc>
        <w:tc>
          <w:tcPr>
            <w:tcW w:w="815" w:type="dxa"/>
          </w:tcPr>
          <w:p>
            <w:pPr>
              <w:pStyle w:val="TableParagraph"/>
              <w:tabs>
                <w:tab w:pos="435" w:val="left" w:leader="none"/>
              </w:tabs>
              <w:ind w:left="25"/>
              <w:jc w:val="center"/>
              <w:rPr>
                <w:sz w:val="14"/>
              </w:rPr>
            </w:pPr>
            <w:r>
              <w:rPr>
                <w:sz w:val="14"/>
              </w:rPr>
              <w:t>2.5</w:t>
              <w:tab/>
              <w:t>2.6</w:t>
            </w:r>
          </w:p>
        </w:tc>
        <w:tc>
          <w:tcPr>
            <w:tcW w:w="328" w:type="dxa"/>
          </w:tcPr>
          <w:p>
            <w:pPr>
              <w:pStyle w:val="TableParagraph"/>
              <w:ind w:left="82" w:right="30"/>
              <w:jc w:val="center"/>
              <w:rPr>
                <w:sz w:val="14"/>
              </w:rPr>
            </w:pPr>
            <w:r>
              <w:rPr>
                <w:sz w:val="14"/>
              </w:rPr>
              <w:t>2.4</w:t>
            </w:r>
          </w:p>
        </w:tc>
      </w:tr>
      <w:tr>
        <w:trPr>
          <w:trHeight w:val="403" w:hRule="atLeast"/>
        </w:trPr>
        <w:tc>
          <w:tcPr>
            <w:tcW w:w="1947" w:type="dxa"/>
          </w:tcPr>
          <w:p>
            <w:pPr>
              <w:pStyle w:val="TableParagraph"/>
              <w:spacing w:line="133" w:lineRule="exact"/>
              <w:ind w:left="50"/>
              <w:rPr>
                <w:sz w:val="14"/>
              </w:rPr>
            </w:pPr>
            <w:r>
              <w:rPr>
                <w:sz w:val="14"/>
              </w:rPr>
              <w:t>General public</w:t>
            </w:r>
          </w:p>
          <w:p>
            <w:pPr>
              <w:pStyle w:val="TableParagraph"/>
              <w:spacing w:line="133" w:lineRule="exact" w:before="117"/>
              <w:ind w:left="50"/>
              <w:rPr>
                <w:sz w:val="12"/>
              </w:rPr>
            </w:pPr>
            <w:r>
              <w:rPr>
                <w:sz w:val="12"/>
              </w:rPr>
              <w:t>Source: Barclays Basix survey.</w:t>
            </w:r>
          </w:p>
        </w:tc>
        <w:tc>
          <w:tcPr>
            <w:tcW w:w="685" w:type="dxa"/>
          </w:tcPr>
          <w:p>
            <w:pPr>
              <w:pStyle w:val="TableParagraph"/>
              <w:spacing w:line="133" w:lineRule="exact"/>
              <w:ind w:right="140"/>
              <w:jc w:val="right"/>
              <w:rPr>
                <w:sz w:val="14"/>
              </w:rPr>
            </w:pPr>
            <w:r>
              <w:rPr>
                <w:sz w:val="14"/>
              </w:rPr>
              <w:t>4.1</w:t>
            </w:r>
          </w:p>
        </w:tc>
        <w:tc>
          <w:tcPr>
            <w:tcW w:w="445" w:type="dxa"/>
          </w:tcPr>
          <w:p>
            <w:pPr>
              <w:pStyle w:val="TableParagraph"/>
              <w:spacing w:line="133" w:lineRule="exact"/>
              <w:ind w:left="122" w:right="107"/>
              <w:jc w:val="center"/>
              <w:rPr>
                <w:sz w:val="14"/>
              </w:rPr>
            </w:pPr>
            <w:r>
              <w:rPr>
                <w:sz w:val="14"/>
              </w:rPr>
              <w:t>4.0</w:t>
            </w:r>
          </w:p>
        </w:tc>
        <w:tc>
          <w:tcPr>
            <w:tcW w:w="815" w:type="dxa"/>
          </w:tcPr>
          <w:p>
            <w:pPr>
              <w:pStyle w:val="TableParagraph"/>
              <w:tabs>
                <w:tab w:pos="435" w:val="left" w:leader="none"/>
              </w:tabs>
              <w:spacing w:line="133" w:lineRule="exact"/>
              <w:ind w:left="25"/>
              <w:jc w:val="center"/>
              <w:rPr>
                <w:sz w:val="14"/>
              </w:rPr>
            </w:pPr>
            <w:r>
              <w:rPr>
                <w:sz w:val="14"/>
              </w:rPr>
              <w:t>3.7</w:t>
              <w:tab/>
              <w:t>3.9</w:t>
            </w:r>
          </w:p>
        </w:tc>
        <w:tc>
          <w:tcPr>
            <w:tcW w:w="328" w:type="dxa"/>
          </w:tcPr>
          <w:p>
            <w:pPr>
              <w:pStyle w:val="TableParagraph"/>
              <w:spacing w:line="133" w:lineRule="exact"/>
              <w:ind w:left="82" w:right="30"/>
              <w:jc w:val="center"/>
              <w:rPr>
                <w:sz w:val="14"/>
              </w:rPr>
            </w:pPr>
            <w:r>
              <w:rPr>
                <w:sz w:val="14"/>
              </w:rPr>
              <w:t>3.9</w:t>
            </w:r>
          </w:p>
        </w:tc>
      </w:tr>
    </w:tbl>
    <w:p>
      <w:pPr>
        <w:spacing w:line="208" w:lineRule="auto" w:before="102"/>
        <w:ind w:left="395" w:right="441" w:hanging="240"/>
        <w:jc w:val="left"/>
        <w:rPr>
          <w:sz w:val="12"/>
        </w:rPr>
      </w:pPr>
      <w:r>
        <w:rPr>
          <w:sz w:val="12"/>
        </w:rPr>
        <w:t>(a) Figures refer to RPI inflation except for General public, for which the measure of inflation is not</w:t>
      </w:r>
      <w:r>
        <w:rPr>
          <w:spacing w:val="-8"/>
          <w:sz w:val="12"/>
        </w:rPr>
        <w:t> </w:t>
      </w:r>
      <w:r>
        <w:rPr>
          <w:sz w:val="12"/>
        </w:rPr>
        <w:t>specified.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2"/>
        <w:ind w:left="160" w:right="0" w:firstLine="0"/>
        <w:jc w:val="left"/>
        <w:rPr>
          <w:b/>
          <w:sz w:val="20"/>
        </w:rPr>
      </w:pPr>
      <w:r>
        <w:rPr>
          <w:b/>
          <w:color w:val="0092C7"/>
          <w:sz w:val="20"/>
        </w:rPr>
        <w:t>Chart 3.14</w:t>
      </w:r>
    </w:p>
    <w:p>
      <w:pPr>
        <w:spacing w:before="10"/>
        <w:ind w:left="160" w:right="0" w:firstLine="0"/>
        <w:jc w:val="left"/>
        <w:rPr>
          <w:b/>
          <w:sz w:val="20"/>
        </w:rPr>
      </w:pPr>
      <w:r>
        <w:rPr>
          <w:b/>
          <w:color w:val="0092C7"/>
          <w:sz w:val="20"/>
        </w:rPr>
        <w:t>Growth in real earnings</w:t>
      </w:r>
    </w:p>
    <w:p>
      <w:pPr>
        <w:spacing w:line="116" w:lineRule="exact" w:before="79"/>
        <w:ind w:left="1637" w:right="0" w:firstLine="0"/>
        <w:jc w:val="left"/>
        <w:rPr>
          <w:sz w:val="12"/>
        </w:rPr>
      </w:pPr>
      <w:r>
        <w:rPr>
          <w:sz w:val="12"/>
        </w:rPr>
        <w:t>Percentage changes on a year earlier</w:t>
      </w:r>
    </w:p>
    <w:p>
      <w:pPr>
        <w:spacing w:line="116" w:lineRule="exact" w:before="0"/>
        <w:ind w:left="3444" w:right="0" w:firstLine="0"/>
        <w:jc w:val="left"/>
        <w:rPr>
          <w:sz w:val="12"/>
        </w:rPr>
      </w:pPr>
      <w:r>
        <w:rPr/>
        <w:pict>
          <v:group style="position:absolute;margin-left:49.103001pt;margin-top:2.528030pt;width:156.8pt;height:132.35pt;mso-position-horizontal-relative:page;mso-position-vertical-relative:paragraph;z-index:16182784" coordorigin="982,51" coordsize="3136,2647">
            <v:shape style="position:absolute;left:992;top:2257;width:373;height:430" coordorigin="992,2257" coordsize="373,430" path="m992,2257l1112,2687m1112,2687l1245,2592m1245,2592l1365,2620e" filled="false" stroked="true" strokeweight="1pt" strokecolor="#972140">
              <v:path arrowok="t"/>
              <v:stroke dashstyle="solid"/>
            </v:shape>
            <v:line style="position:absolute" from="1355,2626" to="1507,2626" stroked="true" strokeweight="1.625pt" strokecolor="#972140">
              <v:stroke dashstyle="solid"/>
            </v:line>
            <v:shape style="position:absolute;left:1497;top:982;width:1383;height:1650" coordorigin="1497,982" coordsize="1383,1650" path="m1497,2632l1617,2497m1617,2497l1750,2620m1750,2620l1870,2445m1870,2445l1990,2162m1990,2162l2122,1130m2122,1130l2242,1197m2242,1197l2375,982m2375,982l2495,1010m2495,1010l2627,1185m2627,1185l2747,1157m2747,1157l2880,1412e" filled="false" stroked="true" strokeweight="1pt" strokecolor="#972140">
              <v:path arrowok="t"/>
              <v:stroke dashstyle="solid"/>
            </v:shape>
            <v:line style="position:absolute" from="2870,1414" to="3010,1414" stroked="true" strokeweight="1.125pt" strokecolor="#972140">
              <v:stroke dashstyle="solid"/>
            </v:line>
            <v:shape style="position:absolute;left:2999;top:99;width:878;height:1580" coordorigin="3000,100" coordsize="878,1580" path="m3000,1412l3122,1680m3122,1680l3252,1372m3252,1372l3372,982m3372,982l3505,475m3505,475l3625,287m3625,287l3757,100m3757,100l3877,300e" filled="false" stroked="true" strokeweight="1pt" strokecolor="#972140">
              <v:path arrowok="t"/>
              <v:stroke dashstyle="solid"/>
            </v:shape>
            <v:shape style="position:absolute;left:992;top:687;width:2885;height:1838" coordorigin="992,687" coordsize="2885,1838" path="m992,1895l1112,1492m1112,1492l1245,1372m1245,1372l1365,1532m1365,1532l1497,1655m1497,1655l1617,1787m1617,1787l1750,2030m1750,2030l1870,2285m1870,2285l1990,2110m1990,2110l2122,2365m2122,2365l2242,2525m2242,2525l2375,1735m2375,1735l2495,1827m2495,1827l2627,1560m2627,1560l2747,902m2747,902l2880,1452m2880,1452l3000,1225m3000,1225l3122,970m3122,970l3252,1212m3252,1212l3372,822m3372,822l3505,687m3505,687l3625,1400m3625,1400l3757,1265m3757,1265l3877,1065e" filled="false" stroked="true" strokeweight="1pt" strokecolor="#006caa">
              <v:path arrowok="t"/>
              <v:stroke dashstyle="solid"/>
            </v:shape>
            <v:shape style="position:absolute;left:3940;top:55;width:87;height:1912" coordorigin="3940,56" coordsize="87,1912" path="m3940,533l4027,533m3940,1011l4027,1011m3940,1489l4027,1489m3940,1967l4027,1967m3940,56l4027,56e" filled="false" stroked="true" strokeweight=".5pt" strokecolor="#000000">
              <v:path arrowok="t"/>
              <v:stroke dashstyle="solid"/>
            </v:shape>
            <v:shape style="position:absolute;left:2702;top:180;width:890;height:254" type="#_x0000_t202" filled="false" stroked="false">
              <v:textbox inset="0,0,0,0">
                <w:txbxContent>
                  <w:p>
                    <w:pPr>
                      <w:spacing w:line="208" w:lineRule="auto" w:before="9"/>
                      <w:ind w:left="60" w:right="0" w:hanging="60"/>
                      <w:jc w:val="left"/>
                      <w:rPr>
                        <w:sz w:val="12"/>
                      </w:rPr>
                    </w:pPr>
                    <w:r>
                      <w:rPr>
                        <w:sz w:val="12"/>
                      </w:rPr>
                      <w:t>Real consumption wage (a)</w:t>
                    </w:r>
                  </w:p>
                </w:txbxContent>
              </v:textbox>
              <w10:wrap type="none"/>
            </v:shape>
            <v:shape style="position:absolute;left:1247;top:1197;width:637;height:253" type="#_x0000_t202" filled="false" stroked="false">
              <v:textbox inset="0,0,0,0">
                <w:txbxContent>
                  <w:p>
                    <w:pPr>
                      <w:spacing w:line="208" w:lineRule="auto" w:before="9"/>
                      <w:ind w:left="60" w:right="0" w:hanging="60"/>
                      <w:jc w:val="left"/>
                      <w:rPr>
                        <w:sz w:val="12"/>
                      </w:rPr>
                    </w:pPr>
                    <w:r>
                      <w:rPr>
                        <w:sz w:val="12"/>
                      </w:rPr>
                      <w:t>Real product wage (b)</w:t>
                    </w:r>
                  </w:p>
                </w:txbxContent>
              </v:textbox>
              <w10:wrap type="none"/>
            </v:shape>
            <v:shape style="position:absolute;left:990;top:2160;width:3128;height:535" type="#_x0000_t202" filled="false" stroked="false">
              <v:textbox inset="0,0,0,0">
                <w:txbxContent>
                  <w:p>
                    <w:pPr>
                      <w:tabs>
                        <w:tab w:pos="2886" w:val="left" w:leader="none"/>
                      </w:tabs>
                      <w:spacing w:line="178" w:lineRule="exact" w:before="0"/>
                      <w:ind w:left="0" w:right="0" w:firstLine="0"/>
                      <w:jc w:val="left"/>
                      <w:rPr>
                        <w:sz w:val="16"/>
                      </w:rPr>
                    </w:pPr>
                    <w:r>
                      <w:rPr>
                        <w:sz w:val="16"/>
                        <w:u w:val="single"/>
                      </w:rPr>
                      <w:t> </w:t>
                      <w:tab/>
                    </w:r>
                    <w:r>
                      <w:rPr>
                        <w:sz w:val="16"/>
                      </w:rPr>
                      <w:t> </w:t>
                    </w:r>
                    <w:r>
                      <w:rPr>
                        <w:spacing w:val="-17"/>
                        <w:sz w:val="16"/>
                      </w:rPr>
                      <w:t> </w:t>
                    </w:r>
                    <w:r>
                      <w:rPr>
                        <w:spacing w:val="7"/>
                        <w:sz w:val="16"/>
                        <w:u w:val="single"/>
                      </w:rPr>
                      <w:t> </w:t>
                    </w:r>
                    <w:r>
                      <w:rPr>
                        <w:sz w:val="16"/>
                      </w:rPr>
                      <w:t>+</w:t>
                    </w:r>
                  </w:p>
                  <w:p>
                    <w:pPr>
                      <w:spacing w:line="240" w:lineRule="auto" w:before="0"/>
                      <w:rPr>
                        <w:sz w:val="15"/>
                      </w:rPr>
                    </w:pPr>
                  </w:p>
                  <w:p>
                    <w:pPr>
                      <w:spacing w:before="0"/>
                      <w:ind w:left="0" w:right="18" w:firstLine="0"/>
                      <w:jc w:val="right"/>
                      <w:rPr>
                        <w:sz w:val="16"/>
                      </w:rPr>
                    </w:pPr>
                    <w:r>
                      <w:rPr>
                        <w:sz w:val="16"/>
                      </w:rPr>
                      <w:t>–</w:t>
                    </w:r>
                  </w:p>
                </w:txbxContent>
              </v:textbox>
              <w10:wrap type="none"/>
            </v:shape>
            <w10:wrap type="none"/>
          </v:group>
        </w:pict>
      </w:r>
      <w:r>
        <w:rPr/>
        <w:pict>
          <v:line style="position:absolute;mso-position-horizontal-relative:page;mso-position-vertical-relative:paragraph;z-index:16186880" from="41.259998pt,2.79803pt" to="45.592998pt,2.79803pt" stroked="true" strokeweight=".5pt" strokecolor="#000000">
            <v:stroke dashstyle="solid"/>
            <w10:wrap type="none"/>
          </v:line>
        </w:pict>
      </w:r>
      <w:r>
        <w:rPr>
          <w:sz w:val="12"/>
        </w:rPr>
        <w:t>5</w:t>
      </w:r>
    </w:p>
    <w:p>
      <w:pPr>
        <w:pStyle w:val="BodyText"/>
        <w:rPr>
          <w:sz w:val="12"/>
        </w:rPr>
      </w:pPr>
    </w:p>
    <w:p>
      <w:pPr>
        <w:pStyle w:val="BodyText"/>
        <w:spacing w:before="9"/>
        <w:rPr>
          <w:sz w:val="17"/>
        </w:rPr>
      </w:pPr>
    </w:p>
    <w:p>
      <w:pPr>
        <w:spacing w:before="0"/>
        <w:ind w:left="0" w:right="978" w:firstLine="0"/>
        <w:jc w:val="right"/>
        <w:rPr>
          <w:sz w:val="12"/>
        </w:rPr>
      </w:pPr>
      <w:r>
        <w:rPr/>
        <w:pict>
          <v:line style="position:absolute;mso-position-horizontal-relative:page;mso-position-vertical-relative:paragraph;z-index:16183808" from="41.259998pt,3.775533pt" to="45.592998pt,3.775533pt" stroked="true" strokeweight=".5pt" strokecolor="#000000">
            <v:stroke dashstyle="solid"/>
            <w10:wrap type="none"/>
          </v:line>
        </w:pict>
      </w:r>
      <w:r>
        <w:rPr>
          <w:sz w:val="12"/>
        </w:rPr>
        <w:t>4</w:t>
      </w:r>
    </w:p>
    <w:p>
      <w:pPr>
        <w:pStyle w:val="BodyText"/>
        <w:rPr>
          <w:sz w:val="12"/>
        </w:rPr>
      </w:pPr>
    </w:p>
    <w:p>
      <w:pPr>
        <w:pStyle w:val="BodyText"/>
        <w:spacing w:before="9"/>
        <w:rPr>
          <w:sz w:val="17"/>
        </w:rPr>
      </w:pPr>
    </w:p>
    <w:p>
      <w:pPr>
        <w:spacing w:before="0"/>
        <w:ind w:left="0" w:right="978" w:firstLine="0"/>
        <w:jc w:val="right"/>
        <w:rPr>
          <w:sz w:val="12"/>
        </w:rPr>
      </w:pPr>
      <w:r>
        <w:rPr/>
        <w:pict>
          <v:line style="position:absolute;mso-position-horizontal-relative:page;mso-position-vertical-relative:paragraph;z-index:16184320" from="41.259998pt,3.646568pt" to="45.592998pt,3.646568pt" stroked="true" strokeweight=".5pt" strokecolor="#000000">
            <v:stroke dashstyle="solid"/>
            <w10:wrap type="none"/>
          </v:line>
        </w:pict>
      </w:r>
      <w:r>
        <w:rPr>
          <w:sz w:val="12"/>
        </w:rPr>
        <w:t>3</w:t>
      </w:r>
    </w:p>
    <w:p>
      <w:pPr>
        <w:pStyle w:val="BodyText"/>
        <w:rPr>
          <w:sz w:val="12"/>
        </w:rPr>
      </w:pPr>
    </w:p>
    <w:p>
      <w:pPr>
        <w:pStyle w:val="BodyText"/>
        <w:spacing w:before="9"/>
        <w:rPr>
          <w:sz w:val="17"/>
        </w:rPr>
      </w:pPr>
    </w:p>
    <w:p>
      <w:pPr>
        <w:spacing w:before="0"/>
        <w:ind w:left="0" w:right="978" w:firstLine="0"/>
        <w:jc w:val="right"/>
        <w:rPr>
          <w:sz w:val="12"/>
        </w:rPr>
      </w:pPr>
      <w:r>
        <w:rPr/>
        <w:pict>
          <v:line style="position:absolute;mso-position-horizontal-relative:page;mso-position-vertical-relative:paragraph;z-index:16184832" from="41.259998pt,3.517571pt" to="45.592998pt,3.517571pt" stroked="true" strokeweight=".5pt" strokecolor="#000000">
            <v:stroke dashstyle="solid"/>
            <w10:wrap type="none"/>
          </v:line>
        </w:pict>
      </w:r>
      <w:r>
        <w:rPr>
          <w:sz w:val="12"/>
        </w:rPr>
        <w:t>2</w:t>
      </w:r>
    </w:p>
    <w:p>
      <w:pPr>
        <w:pStyle w:val="BodyText"/>
        <w:rPr>
          <w:sz w:val="12"/>
        </w:rPr>
      </w:pPr>
    </w:p>
    <w:p>
      <w:pPr>
        <w:pStyle w:val="BodyText"/>
        <w:spacing w:before="9"/>
        <w:rPr>
          <w:sz w:val="17"/>
        </w:rPr>
      </w:pPr>
    </w:p>
    <w:p>
      <w:pPr>
        <w:spacing w:before="0"/>
        <w:ind w:left="0" w:right="978" w:firstLine="0"/>
        <w:jc w:val="right"/>
        <w:rPr>
          <w:sz w:val="12"/>
        </w:rPr>
      </w:pPr>
      <w:r>
        <w:rPr/>
        <w:pict>
          <v:line style="position:absolute;mso-position-horizontal-relative:page;mso-position-vertical-relative:paragraph;z-index:16185856" from="41.259998pt,3.389575pt" to="45.592998pt,3.389575pt" stroked="true" strokeweight=".5pt" strokecolor="#000000">
            <v:stroke dashstyle="solid"/>
            <w10:wrap type="none"/>
          </v:line>
        </w:pict>
      </w:r>
      <w:r>
        <w:rPr>
          <w:sz w:val="12"/>
        </w:rPr>
        <w:t>1</w:t>
      </w:r>
    </w:p>
    <w:p>
      <w:pPr>
        <w:pStyle w:val="BodyText"/>
        <w:rPr>
          <w:sz w:val="12"/>
        </w:rPr>
      </w:pPr>
    </w:p>
    <w:p>
      <w:pPr>
        <w:pStyle w:val="BodyText"/>
        <w:spacing w:before="9"/>
        <w:rPr>
          <w:sz w:val="17"/>
        </w:rPr>
      </w:pPr>
    </w:p>
    <w:p>
      <w:pPr>
        <w:spacing w:before="0"/>
        <w:ind w:left="0" w:right="978" w:firstLine="0"/>
        <w:jc w:val="right"/>
        <w:rPr>
          <w:sz w:val="12"/>
        </w:rPr>
      </w:pPr>
      <w:r>
        <w:rPr/>
        <w:pict>
          <v:line style="position:absolute;mso-position-horizontal-relative:page;mso-position-vertical-relative:paragraph;z-index:16185344" from="41.259998pt,3.260549pt" to="45.592998pt,3.260549pt" stroked="true" strokeweight=".5pt" strokecolor="#000000">
            <v:stroke dashstyle="solid"/>
            <w10:wrap type="none"/>
          </v:line>
        </w:pict>
      </w:r>
      <w:r>
        <w:rPr>
          <w:sz w:val="12"/>
        </w:rPr>
        <w:t>0</w:t>
      </w:r>
    </w:p>
    <w:p>
      <w:pPr>
        <w:pStyle w:val="BodyText"/>
        <w:rPr>
          <w:sz w:val="12"/>
        </w:rPr>
      </w:pPr>
    </w:p>
    <w:p>
      <w:pPr>
        <w:pStyle w:val="BodyText"/>
        <w:spacing w:before="9"/>
        <w:rPr>
          <w:sz w:val="17"/>
        </w:rPr>
      </w:pPr>
    </w:p>
    <w:p>
      <w:pPr>
        <w:spacing w:line="119" w:lineRule="exact" w:before="0"/>
        <w:ind w:left="3444" w:right="0" w:firstLine="0"/>
        <w:jc w:val="left"/>
        <w:rPr>
          <w:sz w:val="12"/>
        </w:rPr>
      </w:pPr>
      <w:r>
        <w:rPr/>
        <w:pict>
          <v:shape style="position:absolute;margin-left:49.488998pt;margin-top:-1.597447pt;width:151.9pt;height:4.75pt;mso-position-horizontal-relative:page;mso-position-vertical-relative:paragraph;z-index:16183296" coordorigin="990,-32" coordsize="3038,95" path="m990,62l3877,62m991,-32l991,62m1116,15l1116,62m1242,15l1242,62m1367,15l1367,62m3940,62l4027,62m1493,-32l1493,62m1618,15l1618,62m1744,15l1744,62m1869,15l1869,62m1995,-32l1995,62m2120,15l2120,62m2245,15l2245,62m2371,15l2371,62m2496,-32l2496,62m2622,15l2622,62m2747,15l2747,62m2873,15l2873,62m2998,-32l2998,62m3124,15l3124,62m3249,15l3249,62m3374,15l3374,62m3500,-32l3500,62m3625,15l3625,62m3751,15l3751,62m3876,15l3876,62e" filled="false" stroked="true" strokeweight=".5pt" strokecolor="#000000">
            <v:path arrowok="t"/>
            <v:stroke dashstyle="solid"/>
            <w10:wrap type="none"/>
          </v:shape>
        </w:pict>
      </w:r>
      <w:r>
        <w:rPr/>
        <w:pict>
          <v:line style="position:absolute;mso-position-horizontal-relative:page;mso-position-vertical-relative:paragraph;z-index:16186368" from="41.259998pt,3.131553pt" to="45.592998pt,3.131553pt" stroked="true" strokeweight=".5pt" strokecolor="#000000">
            <v:stroke dashstyle="solid"/>
            <w10:wrap type="none"/>
          </v:line>
        </w:pict>
      </w:r>
      <w:r>
        <w:rPr>
          <w:sz w:val="12"/>
        </w:rPr>
        <w:t>1</w:t>
      </w:r>
    </w:p>
    <w:p>
      <w:pPr>
        <w:tabs>
          <w:tab w:pos="1055" w:val="left" w:leader="none"/>
          <w:tab w:pos="1547" w:val="left" w:leader="none"/>
          <w:tab w:pos="2052" w:val="left" w:leader="none"/>
          <w:tab w:pos="2557" w:val="left" w:leader="none"/>
          <w:tab w:pos="3006" w:val="left" w:leader="none"/>
        </w:tabs>
        <w:spacing w:line="119" w:lineRule="exact" w:before="0"/>
        <w:ind w:left="480" w:right="0" w:firstLine="0"/>
        <w:jc w:val="left"/>
        <w:rPr>
          <w:sz w:val="12"/>
        </w:rPr>
      </w:pPr>
      <w:r>
        <w:rPr>
          <w:sz w:val="12"/>
        </w:rPr>
        <w:t>1994</w:t>
        <w:tab/>
        <w:t>95</w:t>
        <w:tab/>
        <w:t>96</w:t>
        <w:tab/>
        <w:t>97</w:t>
        <w:tab/>
        <w:t>98</w:t>
        <w:tab/>
        <w:t>99</w:t>
      </w:r>
    </w:p>
    <w:p>
      <w:pPr>
        <w:pStyle w:val="BodyText"/>
        <w:spacing w:before="7"/>
        <w:rPr>
          <w:sz w:val="13"/>
        </w:rPr>
      </w:pPr>
    </w:p>
    <w:p>
      <w:pPr>
        <w:spacing w:before="0"/>
        <w:ind w:left="160" w:right="0" w:firstLine="0"/>
        <w:jc w:val="left"/>
        <w:rPr>
          <w:sz w:val="12"/>
        </w:rPr>
      </w:pPr>
      <w:r>
        <w:rPr>
          <w:sz w:val="12"/>
        </w:rPr>
        <w:t>Sources: ONS and Bank of England.</w:t>
      </w:r>
    </w:p>
    <w:p>
      <w:pPr>
        <w:pStyle w:val="ListParagraph"/>
        <w:numPr>
          <w:ilvl w:val="0"/>
          <w:numId w:val="25"/>
        </w:numPr>
        <w:tabs>
          <w:tab w:pos="401" w:val="left" w:leader="none"/>
        </w:tabs>
        <w:spacing w:line="129" w:lineRule="exact" w:before="102" w:after="0"/>
        <w:ind w:left="400" w:right="0" w:hanging="241"/>
        <w:jc w:val="left"/>
        <w:rPr>
          <w:sz w:val="12"/>
        </w:rPr>
      </w:pPr>
      <w:r>
        <w:rPr>
          <w:sz w:val="12"/>
        </w:rPr>
        <w:t>Wages and salaries per head divided by tax and prices</w:t>
      </w:r>
      <w:r>
        <w:rPr>
          <w:spacing w:val="-18"/>
          <w:sz w:val="12"/>
        </w:rPr>
        <w:t> </w:t>
      </w:r>
      <w:r>
        <w:rPr>
          <w:sz w:val="12"/>
        </w:rPr>
        <w:t>index.</w:t>
      </w:r>
    </w:p>
    <w:p>
      <w:pPr>
        <w:pStyle w:val="ListParagraph"/>
        <w:numPr>
          <w:ilvl w:val="0"/>
          <w:numId w:val="25"/>
        </w:numPr>
        <w:tabs>
          <w:tab w:pos="401" w:val="left" w:leader="none"/>
        </w:tabs>
        <w:spacing w:line="208" w:lineRule="auto" w:before="6" w:after="0"/>
        <w:ind w:left="400" w:right="1007" w:hanging="240"/>
        <w:jc w:val="left"/>
        <w:rPr>
          <w:sz w:val="12"/>
        </w:rPr>
      </w:pPr>
      <w:r>
        <w:rPr>
          <w:sz w:val="12"/>
        </w:rPr>
        <w:t>Wages and salaries and employers’ social security contributions per head divided by GDP deflator at basic</w:t>
      </w:r>
      <w:r>
        <w:rPr>
          <w:spacing w:val="-16"/>
          <w:sz w:val="12"/>
        </w:rPr>
        <w:t> </w:t>
      </w:r>
      <w:r>
        <w:rPr>
          <w:sz w:val="12"/>
        </w:rPr>
        <w:t>prices.</w:t>
      </w:r>
    </w:p>
    <w:p>
      <w:pPr>
        <w:pStyle w:val="Heading6"/>
        <w:spacing w:line="242" w:lineRule="auto" w:before="217"/>
        <w:ind w:left="155" w:right="57"/>
      </w:pPr>
      <w:r>
        <w:rPr/>
        <w:br w:type="column"/>
      </w:r>
      <w:r>
        <w:rPr/>
        <w:t>Although wages are typically agreed in nominal terms, wage bargainers care ultimately about expected real wages, which depend also on expected inflation. In particular, lower inflation expectations tend to result in lower rates of increase in nominal wages. RPI inflation expectations according to the Basix Survey have fallen since 1998—consistent with the fall in wage settlements growth over the same period—although they have picked up slightly for some groups between 1999 Q4 and</w:t>
      </w:r>
    </w:p>
    <w:p>
      <w:pPr>
        <w:spacing w:line="242" w:lineRule="auto" w:before="11"/>
        <w:ind w:left="155" w:right="220" w:firstLine="0"/>
        <w:jc w:val="left"/>
        <w:rPr>
          <w:sz w:val="24"/>
        </w:rPr>
      </w:pPr>
      <w:r>
        <w:rPr>
          <w:sz w:val="24"/>
        </w:rPr>
        <w:t>2000 Q1 (see Table 3.B). But the inflation expectations of trade unions for the next twelve months have continued to fall.</w:t>
      </w:r>
    </w:p>
    <w:p>
      <w:pPr>
        <w:pStyle w:val="BodyText"/>
        <w:spacing w:before="11"/>
        <w:rPr>
          <w:sz w:val="29"/>
        </w:rPr>
      </w:pPr>
    </w:p>
    <w:p>
      <w:pPr>
        <w:spacing w:line="242" w:lineRule="auto" w:before="0"/>
        <w:ind w:left="155" w:right="220" w:firstLine="0"/>
        <w:jc w:val="left"/>
        <w:rPr>
          <w:sz w:val="24"/>
        </w:rPr>
      </w:pPr>
      <w:r>
        <w:rPr>
          <w:sz w:val="24"/>
        </w:rPr>
        <w:t>Employers are concerned about the real product wage, which is their total labour costs per employee relative to the prices of the goods and services they sell.</w:t>
      </w:r>
    </w:p>
    <w:p>
      <w:pPr>
        <w:spacing w:line="242" w:lineRule="auto" w:before="4"/>
        <w:ind w:left="155" w:right="335" w:firstLine="0"/>
        <w:jc w:val="left"/>
        <w:rPr>
          <w:sz w:val="24"/>
        </w:rPr>
      </w:pPr>
      <w:r>
        <w:rPr>
          <w:sz w:val="24"/>
        </w:rPr>
        <w:t>Employees, on the other hand, care about the real consumption wage—a measure of earnings in terms of real purchasing power after taxes have been deducted. The four-quarter growth rate of the real consumption wage has risen over the past year, and has outpaced the real product wage (see Chart 3.14). The relationship between these two real wage series depends on two main factors: the terms of trade, and taxes on employment income and consumers’ expenditure. The terms of trade is the ratio of export to import prices.</w:t>
      </w:r>
    </w:p>
    <w:p>
      <w:pPr>
        <w:spacing w:line="242" w:lineRule="auto" w:before="12"/>
        <w:ind w:left="155" w:right="218" w:firstLine="0"/>
        <w:jc w:val="left"/>
        <w:rPr>
          <w:sz w:val="24"/>
        </w:rPr>
      </w:pPr>
      <w:r>
        <w:rPr>
          <w:sz w:val="24"/>
        </w:rPr>
        <w:t>Over the past </w:t>
      </w:r>
      <w:r>
        <w:rPr>
          <w:spacing w:val="-3"/>
          <w:sz w:val="24"/>
        </w:rPr>
        <w:t>year, </w:t>
      </w:r>
      <w:r>
        <w:rPr>
          <w:sz w:val="24"/>
        </w:rPr>
        <w:t>export prices </w:t>
      </w:r>
      <w:r>
        <w:rPr>
          <w:spacing w:val="-3"/>
          <w:sz w:val="24"/>
        </w:rPr>
        <w:t>have </w:t>
      </w:r>
      <w:r>
        <w:rPr>
          <w:sz w:val="24"/>
        </w:rPr>
        <w:t>fallen less rapidly than import prices, which has boosted both the terms of trade and the real consumption wage relative to the real product wage. An increase in the wedge between the real</w:t>
      </w:r>
      <w:r>
        <w:rPr>
          <w:spacing w:val="-6"/>
          <w:sz w:val="24"/>
        </w:rPr>
        <w:t> </w:t>
      </w:r>
      <w:r>
        <w:rPr>
          <w:sz w:val="24"/>
        </w:rPr>
        <w:t>consumption</w:t>
      </w:r>
      <w:r>
        <w:rPr>
          <w:spacing w:val="-6"/>
          <w:sz w:val="24"/>
        </w:rPr>
        <w:t> </w:t>
      </w:r>
      <w:r>
        <w:rPr>
          <w:sz w:val="24"/>
        </w:rPr>
        <w:t>wage</w:t>
      </w:r>
      <w:r>
        <w:rPr>
          <w:spacing w:val="-5"/>
          <w:sz w:val="24"/>
        </w:rPr>
        <w:t> </w:t>
      </w:r>
      <w:r>
        <w:rPr>
          <w:sz w:val="24"/>
        </w:rPr>
        <w:t>and</w:t>
      </w:r>
      <w:r>
        <w:rPr>
          <w:spacing w:val="-6"/>
          <w:sz w:val="24"/>
        </w:rPr>
        <w:t> </w:t>
      </w:r>
      <w:r>
        <w:rPr>
          <w:sz w:val="24"/>
        </w:rPr>
        <w:t>the</w:t>
      </w:r>
      <w:r>
        <w:rPr>
          <w:spacing w:val="-6"/>
          <w:sz w:val="24"/>
        </w:rPr>
        <w:t> </w:t>
      </w:r>
      <w:r>
        <w:rPr>
          <w:sz w:val="24"/>
        </w:rPr>
        <w:t>real</w:t>
      </w:r>
      <w:r>
        <w:rPr>
          <w:spacing w:val="-5"/>
          <w:sz w:val="24"/>
        </w:rPr>
        <w:t> </w:t>
      </w:r>
      <w:r>
        <w:rPr>
          <w:sz w:val="24"/>
        </w:rPr>
        <w:t>product</w:t>
      </w:r>
      <w:r>
        <w:rPr>
          <w:spacing w:val="-6"/>
          <w:sz w:val="24"/>
        </w:rPr>
        <w:t> </w:t>
      </w:r>
      <w:r>
        <w:rPr>
          <w:sz w:val="24"/>
        </w:rPr>
        <w:t>wage</w:t>
      </w:r>
      <w:r>
        <w:rPr>
          <w:spacing w:val="-6"/>
          <w:sz w:val="24"/>
        </w:rPr>
        <w:t> </w:t>
      </w:r>
      <w:r>
        <w:rPr>
          <w:sz w:val="24"/>
        </w:rPr>
        <w:t>should mean, other things being equal, lower overall real wage pressure, because at a </w:t>
      </w:r>
      <w:r>
        <w:rPr>
          <w:spacing w:val="-3"/>
          <w:sz w:val="24"/>
        </w:rPr>
        <w:t>given level </w:t>
      </w:r>
      <w:r>
        <w:rPr>
          <w:sz w:val="24"/>
        </w:rPr>
        <w:t>of demand for hours worked there would be a greater </w:t>
      </w:r>
      <w:r>
        <w:rPr>
          <w:spacing w:val="-3"/>
          <w:sz w:val="24"/>
        </w:rPr>
        <w:t>effective </w:t>
      </w:r>
      <w:r>
        <w:rPr>
          <w:sz w:val="24"/>
        </w:rPr>
        <w:t>supply of </w:t>
      </w:r>
      <w:r>
        <w:rPr>
          <w:spacing w:val="-3"/>
          <w:sz w:val="24"/>
        </w:rPr>
        <w:t>labour.</w:t>
      </w:r>
    </w:p>
    <w:p>
      <w:pPr>
        <w:pStyle w:val="BodyText"/>
        <w:spacing w:before="7"/>
        <w:rPr>
          <w:sz w:val="30"/>
        </w:rPr>
      </w:pPr>
    </w:p>
    <w:p>
      <w:pPr>
        <w:spacing w:line="242" w:lineRule="auto" w:before="0"/>
        <w:ind w:left="155" w:right="220" w:firstLine="0"/>
        <w:jc w:val="left"/>
        <w:rPr>
          <w:sz w:val="24"/>
        </w:rPr>
      </w:pPr>
      <w:r>
        <w:rPr>
          <w:sz w:val="24"/>
        </w:rPr>
        <w:t>It is difficult to judge the likely effect on prospective inflation of the recent rise in earnings. This depends on the extent to which the rise reflects temporary factors and/or past or expected productivity improvements.</w:t>
      </w:r>
    </w:p>
    <w:p>
      <w:pPr>
        <w:spacing w:line="242" w:lineRule="auto" w:before="5"/>
        <w:ind w:left="155" w:right="229" w:firstLine="0"/>
        <w:jc w:val="left"/>
        <w:rPr>
          <w:sz w:val="24"/>
        </w:rPr>
      </w:pPr>
      <w:r>
        <w:rPr>
          <w:sz w:val="24"/>
        </w:rPr>
        <w:t>Insofar as the rise in earnings reflected unusual productivity gains, there would be less effect on unit wage costs and inflationary pressure. Insofar as the rise is indicative of labour market tightness, the implication would be greater inflationary pressure. The Committee judges that the higher growth in earnings is likely to be temporary, and would put relatively little upward pressure on prices. The implications of the recent rise in earnings for the Committee’s judgments on the outlook for inflation are discussed further in</w:t>
      </w:r>
      <w:hyperlink w:history="true" w:anchor="_bookmark40">
        <w:r>
          <w:rPr>
            <w:sz w:val="24"/>
          </w:rPr>
          <w:t> Section 6 </w:t>
        </w:r>
      </w:hyperlink>
      <w:r>
        <w:rPr>
          <w:sz w:val="24"/>
        </w:rPr>
        <w:t>of this </w:t>
      </w:r>
      <w:r>
        <w:rPr>
          <w:i/>
          <w:sz w:val="24"/>
        </w:rPr>
        <w:t>Report</w:t>
      </w:r>
      <w:r>
        <w:rPr>
          <w:sz w:val="24"/>
        </w:rPr>
        <w:t>.</w:t>
      </w:r>
    </w:p>
    <w:p>
      <w:pPr>
        <w:spacing w:after="0" w:line="242" w:lineRule="auto"/>
        <w:jc w:val="left"/>
        <w:rPr>
          <w:sz w:val="24"/>
        </w:rPr>
        <w:sectPr>
          <w:type w:val="continuous"/>
          <w:pgSz w:w="11900" w:h="16840"/>
          <w:pgMar w:top="1220" w:bottom="280" w:left="640" w:right="620"/>
          <w:cols w:num="2" w:equalWidth="0">
            <w:col w:w="4485" w:space="319"/>
            <w:col w:w="5836"/>
          </w:cols>
        </w:sectPr>
      </w:pPr>
    </w:p>
    <w:p>
      <w:pPr>
        <w:pStyle w:val="BodyText"/>
        <w:rPr>
          <w:sz w:val="20"/>
        </w:rPr>
      </w:pPr>
    </w:p>
    <w:p>
      <w:pPr>
        <w:pStyle w:val="Heading3"/>
        <w:numPr>
          <w:ilvl w:val="1"/>
          <w:numId w:val="19"/>
        </w:numPr>
        <w:tabs>
          <w:tab w:pos="9067" w:val="left" w:leader="none"/>
          <w:tab w:pos="9068" w:val="left" w:leader="none"/>
          <w:tab w:pos="10469" w:val="left" w:leader="none"/>
        </w:tabs>
        <w:spacing w:line="240" w:lineRule="auto" w:before="208" w:after="0"/>
        <w:ind w:left="9067" w:right="0" w:hanging="4098"/>
        <w:jc w:val="left"/>
        <w:rPr>
          <w:color w:val="009391"/>
        </w:rPr>
      </w:pPr>
      <w:bookmarkStart w:name="Summary" w:id="58"/>
      <w:bookmarkEnd w:id="58"/>
      <w:r>
        <w:rPr>
          <w:b w:val="0"/>
        </w:rPr>
      </w:r>
      <w:bookmarkStart w:name="_bookmark28" w:id="59"/>
      <w:bookmarkEnd w:id="59"/>
      <w:r>
        <w:rPr>
          <w:b w:val="0"/>
        </w:rPr>
      </w:r>
      <w:bookmarkStart w:name="_bookmark28" w:id="60"/>
      <w:bookmarkEnd w:id="60"/>
      <w:r>
        <w:rPr>
          <w:color w:val="009391"/>
          <w:u w:val="thick" w:color="0092C7"/>
        </w:rPr>
        <w:t>Summar</w:t>
      </w:r>
      <w:r>
        <w:rPr>
          <w:color w:val="009391"/>
          <w:u w:val="thick" w:color="0092C7"/>
        </w:rPr>
        <w:t>y</w:t>
        <w:tab/>
      </w:r>
    </w:p>
    <w:p>
      <w:pPr>
        <w:spacing w:line="242" w:lineRule="auto" w:before="263"/>
        <w:ind w:left="4970" w:right="197" w:firstLine="0"/>
        <w:jc w:val="left"/>
        <w:rPr>
          <w:sz w:val="24"/>
        </w:rPr>
      </w:pPr>
      <w:r>
        <w:rPr>
          <w:sz w:val="24"/>
        </w:rPr>
        <w:t>Employment has continued to </w:t>
      </w:r>
      <w:r>
        <w:rPr>
          <w:spacing w:val="-5"/>
          <w:sz w:val="24"/>
        </w:rPr>
        <w:t>grow. </w:t>
      </w:r>
      <w:r>
        <w:rPr>
          <w:sz w:val="24"/>
        </w:rPr>
        <w:t>Productivity growth has picked up. Unemployment has fallen on both the claimant count and LFS measures. Survey evidence and Agents’ reports suggest that skill shortages remain a concern. Although settlements </w:t>
      </w:r>
      <w:r>
        <w:rPr>
          <w:spacing w:val="-3"/>
          <w:sz w:val="24"/>
        </w:rPr>
        <w:t>have </w:t>
      </w:r>
      <w:r>
        <w:rPr>
          <w:sz w:val="24"/>
        </w:rPr>
        <w:t>continued to edge down, earnings growth is significantly stronger than expected three months ago. So estimated wage drift has risen </w:t>
      </w:r>
      <w:r>
        <w:rPr>
          <w:spacing w:val="-3"/>
          <w:sz w:val="24"/>
        </w:rPr>
        <w:t>further. </w:t>
      </w:r>
      <w:r>
        <w:rPr>
          <w:sz w:val="24"/>
        </w:rPr>
        <w:t>Recent bonus payments appear to </w:t>
      </w:r>
      <w:r>
        <w:rPr>
          <w:spacing w:val="-3"/>
          <w:sz w:val="24"/>
        </w:rPr>
        <w:t>have </w:t>
      </w:r>
      <w:r>
        <w:rPr>
          <w:sz w:val="24"/>
        </w:rPr>
        <w:t>been higher than a year ago, and headline earnings growth may be boosted by bonuses for some</w:t>
      </w:r>
      <w:r>
        <w:rPr>
          <w:spacing w:val="-28"/>
          <w:sz w:val="24"/>
        </w:rPr>
        <w:t> </w:t>
      </w:r>
      <w:r>
        <w:rPr>
          <w:sz w:val="24"/>
        </w:rPr>
        <w:t>months.</w:t>
      </w:r>
    </w:p>
    <w:p>
      <w:pPr>
        <w:spacing w:line="242" w:lineRule="auto" w:before="13"/>
        <w:ind w:left="4970" w:right="295" w:firstLine="0"/>
        <w:jc w:val="left"/>
        <w:rPr>
          <w:sz w:val="24"/>
        </w:rPr>
      </w:pPr>
      <w:r>
        <w:rPr>
          <w:sz w:val="24"/>
        </w:rPr>
        <w:t>The effects of the recent rise in earnings on prospective inflation are uncertain. They will depend on the extent to which the rise reflects temporary factors and unusual productivity gains rather than general labour market tightness.</w:t>
      </w:r>
    </w:p>
    <w:p>
      <w:pPr>
        <w:spacing w:after="0" w:line="242" w:lineRule="auto"/>
        <w:jc w:val="left"/>
        <w:rPr>
          <w:sz w:val="24"/>
        </w:rPr>
        <w:sectPr>
          <w:pgSz w:w="11900" w:h="16840"/>
          <w:pgMar w:header="586" w:footer="597" w:top="780" w:bottom="780" w:left="640" w:right="620"/>
        </w:sectPr>
      </w:pPr>
    </w:p>
    <w:p>
      <w:pPr>
        <w:pStyle w:val="BodyText"/>
        <w:spacing w:line="20" w:lineRule="exact"/>
        <w:ind w:left="13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pStyle w:val="BodyText"/>
        <w:spacing w:before="10"/>
        <w:rPr>
          <w:sz w:val="17"/>
        </w:rPr>
      </w:pPr>
      <w:r>
        <w:rPr/>
        <w:pict>
          <v:shape style="position:absolute;margin-left:40.090pt;margin-top:11.500977pt;width:516pt;height:48pt;mso-position-horizontal-relative:page;mso-position-vertical-relative:paragraph;z-index:-15269376;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Costs and prices" w:id="61"/>
                  <w:bookmarkEnd w:id="61"/>
                  <w:r>
                    <w:rPr/>
                  </w:r>
                  <w:bookmarkStart w:name="Raw materials and commodity prices" w:id="62"/>
                  <w:bookmarkEnd w:id="62"/>
                  <w:r>
                    <w:rPr/>
                  </w:r>
                  <w:bookmarkStart w:name="_bookmark29" w:id="63"/>
                  <w:bookmarkEnd w:id="63"/>
                  <w:r>
                    <w:rPr/>
                  </w:r>
                  <w:r>
                    <w:rPr>
                      <w:b/>
                      <w:color w:val="009391"/>
                      <w:sz w:val="48"/>
                    </w:rPr>
                    <w:t>Costs</w:t>
                  </w:r>
                  <w:r>
                    <w:rPr>
                      <w:b/>
                      <w:color w:val="009391"/>
                      <w:spacing w:val="-2"/>
                      <w:sz w:val="48"/>
                    </w:rPr>
                    <w:t> </w:t>
                  </w:r>
                  <w:r>
                    <w:rPr>
                      <w:b/>
                      <w:color w:val="009391"/>
                      <w:sz w:val="48"/>
                    </w:rPr>
                    <w:t>and</w:t>
                  </w:r>
                  <w:r>
                    <w:rPr>
                      <w:b/>
                      <w:color w:val="009391"/>
                      <w:spacing w:val="-1"/>
                      <w:sz w:val="48"/>
                    </w:rPr>
                    <w:t> </w:t>
                  </w:r>
                  <w:r>
                    <w:rPr>
                      <w:b/>
                      <w:color w:val="009391"/>
                      <w:sz w:val="48"/>
                    </w:rPr>
                    <w:t>prices</w:t>
                    <w:tab/>
                  </w:r>
                  <w:r>
                    <w:rPr>
                      <w:b/>
                      <w:color w:val="009391"/>
                      <w:sz w:val="72"/>
                    </w:rPr>
                    <w:t>4</w:t>
                  </w:r>
                </w:p>
              </w:txbxContent>
            </v:textbox>
            <v:fill type="solid"/>
            <w10:wrap type="topAndBottom"/>
          </v:shape>
        </w:pict>
      </w:r>
    </w:p>
    <w:p>
      <w:pPr>
        <w:pStyle w:val="BodyText"/>
        <w:rPr>
          <w:sz w:val="20"/>
        </w:rPr>
      </w:pPr>
    </w:p>
    <w:p>
      <w:pPr>
        <w:pStyle w:val="BodyText"/>
        <w:rPr>
          <w:sz w:val="20"/>
        </w:rPr>
      </w:pPr>
    </w:p>
    <w:p>
      <w:pPr>
        <w:spacing w:after="0"/>
        <w:rPr>
          <w:sz w:val="20"/>
        </w:rPr>
        <w:sectPr>
          <w:headerReference w:type="default" r:id="rId147"/>
          <w:footerReference w:type="default" r:id="rId148"/>
          <w:footerReference w:type="even" r:id="rId149"/>
          <w:pgSz w:w="11900" w:h="16840"/>
          <w:pgMar w:header="0" w:footer="617" w:top="780" w:bottom="800" w:left="640" w:right="620"/>
          <w:pgNumType w:start="33"/>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30"/>
        </w:rPr>
      </w:pPr>
    </w:p>
    <w:p>
      <w:pPr>
        <w:spacing w:before="1"/>
        <w:ind w:left="162" w:right="0" w:firstLine="0"/>
        <w:jc w:val="left"/>
        <w:rPr>
          <w:b/>
          <w:sz w:val="20"/>
        </w:rPr>
      </w:pPr>
      <w:r>
        <w:rPr>
          <w:b/>
          <w:color w:val="0092C7"/>
          <w:sz w:val="20"/>
        </w:rPr>
        <w:t>Table 4.A</w:t>
      </w:r>
    </w:p>
    <w:p>
      <w:pPr>
        <w:spacing w:before="10"/>
        <w:ind w:left="162" w:right="0" w:firstLine="0"/>
        <w:jc w:val="left"/>
        <w:rPr>
          <w:b/>
          <w:sz w:val="20"/>
        </w:rPr>
      </w:pPr>
      <w:r>
        <w:rPr>
          <w:b/>
          <w:color w:val="0092C7"/>
          <w:sz w:val="20"/>
        </w:rPr>
        <w:t>World oil production and demand</w:t>
      </w:r>
    </w:p>
    <w:p>
      <w:pPr>
        <w:spacing w:before="106"/>
        <w:ind w:left="162" w:right="0" w:firstLine="0"/>
        <w:jc w:val="left"/>
        <w:rPr>
          <w:sz w:val="14"/>
        </w:rPr>
      </w:pPr>
      <w:r>
        <w:rPr/>
        <w:pict>
          <v:shape style="position:absolute;margin-left:108.300003pt;margin-top:19.597343pt;width:89.4pt;height:99.8pt;mso-position-horizontal-relative:page;mso-position-vertical-relative:paragraph;z-index:161955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0"/>
                    <w:gridCol w:w="699"/>
                    <w:gridCol w:w="547"/>
                  </w:tblGrid>
                  <w:tr>
                    <w:trPr>
                      <w:trHeight w:val="327" w:hRule="atLeast"/>
                    </w:trPr>
                    <w:tc>
                      <w:tcPr>
                        <w:tcW w:w="540" w:type="dxa"/>
                      </w:tcPr>
                      <w:p>
                        <w:pPr>
                          <w:pStyle w:val="TableParagraph"/>
                          <w:spacing w:line="155" w:lineRule="exact"/>
                          <w:ind w:right="209"/>
                          <w:jc w:val="right"/>
                          <w:rPr>
                            <w:sz w:val="14"/>
                          </w:rPr>
                        </w:pPr>
                        <w:r>
                          <w:rPr>
                            <w:sz w:val="14"/>
                            <w:u w:val="single"/>
                          </w:rPr>
                          <w:t>1997</w:t>
                        </w:r>
                      </w:p>
                    </w:tc>
                    <w:tc>
                      <w:tcPr>
                        <w:tcW w:w="699" w:type="dxa"/>
                      </w:tcPr>
                      <w:p>
                        <w:pPr>
                          <w:pStyle w:val="TableParagraph"/>
                          <w:spacing w:line="155" w:lineRule="exact"/>
                          <w:ind w:right="222"/>
                          <w:jc w:val="right"/>
                          <w:rPr>
                            <w:sz w:val="14"/>
                          </w:rPr>
                        </w:pPr>
                        <w:r>
                          <w:rPr>
                            <w:sz w:val="14"/>
                            <w:u w:val="single"/>
                          </w:rPr>
                          <w:t>1998</w:t>
                        </w:r>
                      </w:p>
                    </w:tc>
                    <w:tc>
                      <w:tcPr>
                        <w:tcW w:w="547" w:type="dxa"/>
                      </w:tcPr>
                      <w:p>
                        <w:pPr>
                          <w:pStyle w:val="TableParagraph"/>
                          <w:spacing w:line="155" w:lineRule="exact"/>
                          <w:ind w:right="49"/>
                          <w:jc w:val="right"/>
                          <w:rPr>
                            <w:sz w:val="14"/>
                          </w:rPr>
                        </w:pPr>
                        <w:r>
                          <w:rPr>
                            <w:sz w:val="14"/>
                            <w:u w:val="single"/>
                          </w:rPr>
                          <w:t>1999</w:t>
                        </w:r>
                      </w:p>
                    </w:tc>
                  </w:tr>
                  <w:tr>
                    <w:trPr>
                      <w:trHeight w:val="389" w:hRule="atLeast"/>
                    </w:trPr>
                    <w:tc>
                      <w:tcPr>
                        <w:tcW w:w="540" w:type="dxa"/>
                      </w:tcPr>
                      <w:p>
                        <w:pPr>
                          <w:pStyle w:val="TableParagraph"/>
                          <w:spacing w:line="240" w:lineRule="auto" w:before="5"/>
                          <w:rPr>
                            <w:sz w:val="14"/>
                          </w:rPr>
                        </w:pPr>
                      </w:p>
                      <w:p>
                        <w:pPr>
                          <w:pStyle w:val="TableParagraph"/>
                          <w:spacing w:line="240" w:lineRule="auto"/>
                          <w:ind w:right="193"/>
                          <w:jc w:val="right"/>
                          <w:rPr>
                            <w:sz w:val="14"/>
                          </w:rPr>
                        </w:pPr>
                        <w:r>
                          <w:rPr>
                            <w:sz w:val="14"/>
                          </w:rPr>
                          <w:t>73.4</w:t>
                        </w:r>
                      </w:p>
                    </w:tc>
                    <w:tc>
                      <w:tcPr>
                        <w:tcW w:w="699" w:type="dxa"/>
                      </w:tcPr>
                      <w:p>
                        <w:pPr>
                          <w:pStyle w:val="TableParagraph"/>
                          <w:spacing w:line="240" w:lineRule="auto" w:before="5"/>
                          <w:rPr>
                            <w:sz w:val="14"/>
                          </w:rPr>
                        </w:pPr>
                      </w:p>
                      <w:p>
                        <w:pPr>
                          <w:pStyle w:val="TableParagraph"/>
                          <w:spacing w:line="240" w:lineRule="auto"/>
                          <w:ind w:right="213"/>
                          <w:jc w:val="right"/>
                          <w:rPr>
                            <w:sz w:val="14"/>
                          </w:rPr>
                        </w:pPr>
                        <w:r>
                          <w:rPr>
                            <w:sz w:val="14"/>
                          </w:rPr>
                          <w:t>74.0</w:t>
                        </w:r>
                      </w:p>
                    </w:tc>
                    <w:tc>
                      <w:tcPr>
                        <w:tcW w:w="547" w:type="dxa"/>
                      </w:tcPr>
                      <w:p>
                        <w:pPr>
                          <w:pStyle w:val="TableParagraph"/>
                          <w:spacing w:line="240" w:lineRule="auto" w:before="5"/>
                          <w:rPr>
                            <w:sz w:val="14"/>
                          </w:rPr>
                        </w:pPr>
                      </w:p>
                      <w:p>
                        <w:pPr>
                          <w:pStyle w:val="TableParagraph"/>
                          <w:spacing w:line="240" w:lineRule="auto"/>
                          <w:ind w:right="46"/>
                          <w:jc w:val="right"/>
                          <w:rPr>
                            <w:sz w:val="14"/>
                          </w:rPr>
                        </w:pPr>
                        <w:r>
                          <w:rPr>
                            <w:sz w:val="14"/>
                          </w:rPr>
                          <w:t>75.3</w:t>
                        </w:r>
                      </w:p>
                    </w:tc>
                  </w:tr>
                  <w:tr>
                    <w:trPr>
                      <w:trHeight w:val="389" w:hRule="atLeast"/>
                    </w:trPr>
                    <w:tc>
                      <w:tcPr>
                        <w:tcW w:w="540" w:type="dxa"/>
                      </w:tcPr>
                      <w:p>
                        <w:pPr>
                          <w:pStyle w:val="TableParagraph"/>
                          <w:spacing w:line="240" w:lineRule="auto" w:before="56"/>
                          <w:ind w:right="193"/>
                          <w:jc w:val="right"/>
                          <w:rPr>
                            <w:sz w:val="14"/>
                          </w:rPr>
                        </w:pPr>
                        <w:r>
                          <w:rPr>
                            <w:sz w:val="14"/>
                          </w:rPr>
                          <w:t>19.8</w:t>
                        </w:r>
                      </w:p>
                    </w:tc>
                    <w:tc>
                      <w:tcPr>
                        <w:tcW w:w="699" w:type="dxa"/>
                      </w:tcPr>
                      <w:p>
                        <w:pPr>
                          <w:pStyle w:val="TableParagraph"/>
                          <w:spacing w:line="240" w:lineRule="auto" w:before="56"/>
                          <w:ind w:right="213"/>
                          <w:jc w:val="right"/>
                          <w:rPr>
                            <w:sz w:val="14"/>
                          </w:rPr>
                        </w:pPr>
                        <w:r>
                          <w:rPr>
                            <w:sz w:val="14"/>
                          </w:rPr>
                          <w:t>19.4</w:t>
                        </w:r>
                      </w:p>
                    </w:tc>
                    <w:tc>
                      <w:tcPr>
                        <w:tcW w:w="547" w:type="dxa"/>
                      </w:tcPr>
                      <w:p>
                        <w:pPr>
                          <w:pStyle w:val="TableParagraph"/>
                          <w:spacing w:line="240" w:lineRule="auto" w:before="56"/>
                          <w:ind w:right="46"/>
                          <w:jc w:val="right"/>
                          <w:rPr>
                            <w:sz w:val="14"/>
                          </w:rPr>
                        </w:pPr>
                        <w:r>
                          <w:rPr>
                            <w:sz w:val="14"/>
                          </w:rPr>
                          <w:t>20.3</w:t>
                        </w:r>
                      </w:p>
                    </w:tc>
                  </w:tr>
                  <w:tr>
                    <w:trPr>
                      <w:trHeight w:val="389" w:hRule="atLeast"/>
                    </w:trPr>
                    <w:tc>
                      <w:tcPr>
                        <w:tcW w:w="540" w:type="dxa"/>
                      </w:tcPr>
                      <w:p>
                        <w:pPr>
                          <w:pStyle w:val="TableParagraph"/>
                          <w:spacing w:line="240" w:lineRule="auto" w:before="5"/>
                          <w:rPr>
                            <w:sz w:val="14"/>
                          </w:rPr>
                        </w:pPr>
                      </w:p>
                      <w:p>
                        <w:pPr>
                          <w:pStyle w:val="TableParagraph"/>
                          <w:spacing w:line="240" w:lineRule="auto"/>
                          <w:ind w:right="193"/>
                          <w:jc w:val="right"/>
                          <w:rPr>
                            <w:sz w:val="14"/>
                          </w:rPr>
                        </w:pPr>
                        <w:r>
                          <w:rPr>
                            <w:sz w:val="14"/>
                          </w:rPr>
                          <w:t>74.4</w:t>
                        </w:r>
                      </w:p>
                    </w:tc>
                    <w:tc>
                      <w:tcPr>
                        <w:tcW w:w="699" w:type="dxa"/>
                      </w:tcPr>
                      <w:p>
                        <w:pPr>
                          <w:pStyle w:val="TableParagraph"/>
                          <w:spacing w:line="240" w:lineRule="auto" w:before="5"/>
                          <w:rPr>
                            <w:sz w:val="14"/>
                          </w:rPr>
                        </w:pPr>
                      </w:p>
                      <w:p>
                        <w:pPr>
                          <w:pStyle w:val="TableParagraph"/>
                          <w:spacing w:line="240" w:lineRule="auto"/>
                          <w:ind w:right="213"/>
                          <w:jc w:val="right"/>
                          <w:rPr>
                            <w:sz w:val="14"/>
                          </w:rPr>
                        </w:pPr>
                        <w:r>
                          <w:rPr>
                            <w:sz w:val="14"/>
                          </w:rPr>
                          <w:t>75.5</w:t>
                        </w:r>
                      </w:p>
                    </w:tc>
                    <w:tc>
                      <w:tcPr>
                        <w:tcW w:w="547" w:type="dxa"/>
                      </w:tcPr>
                      <w:p>
                        <w:pPr>
                          <w:pStyle w:val="TableParagraph"/>
                          <w:spacing w:line="240" w:lineRule="auto" w:before="5"/>
                          <w:rPr>
                            <w:sz w:val="14"/>
                          </w:rPr>
                        </w:pPr>
                      </w:p>
                      <w:p>
                        <w:pPr>
                          <w:pStyle w:val="TableParagraph"/>
                          <w:spacing w:line="240" w:lineRule="auto"/>
                          <w:ind w:right="46"/>
                          <w:jc w:val="right"/>
                          <w:rPr>
                            <w:sz w:val="14"/>
                          </w:rPr>
                        </w:pPr>
                        <w:r>
                          <w:rPr>
                            <w:sz w:val="14"/>
                          </w:rPr>
                          <w:t>74.0</w:t>
                        </w:r>
                      </w:p>
                    </w:tc>
                  </w:tr>
                  <w:tr>
                    <w:trPr>
                      <w:trHeight w:val="280" w:hRule="atLeast"/>
                    </w:trPr>
                    <w:tc>
                      <w:tcPr>
                        <w:tcW w:w="540" w:type="dxa"/>
                      </w:tcPr>
                      <w:p>
                        <w:pPr>
                          <w:pStyle w:val="TableParagraph"/>
                          <w:spacing w:line="240" w:lineRule="auto" w:before="56"/>
                          <w:ind w:right="193"/>
                          <w:jc w:val="right"/>
                          <w:rPr>
                            <w:sz w:val="14"/>
                          </w:rPr>
                        </w:pPr>
                        <w:r>
                          <w:rPr>
                            <w:sz w:val="14"/>
                          </w:rPr>
                          <w:t>27.2</w:t>
                        </w:r>
                      </w:p>
                    </w:tc>
                    <w:tc>
                      <w:tcPr>
                        <w:tcW w:w="699" w:type="dxa"/>
                      </w:tcPr>
                      <w:p>
                        <w:pPr>
                          <w:pStyle w:val="TableParagraph"/>
                          <w:spacing w:line="240" w:lineRule="auto" w:before="56"/>
                          <w:ind w:right="213"/>
                          <w:jc w:val="right"/>
                          <w:rPr>
                            <w:sz w:val="14"/>
                          </w:rPr>
                        </w:pPr>
                        <w:r>
                          <w:rPr>
                            <w:sz w:val="14"/>
                          </w:rPr>
                          <w:t>28.0</w:t>
                        </w:r>
                      </w:p>
                    </w:tc>
                    <w:tc>
                      <w:tcPr>
                        <w:tcW w:w="547" w:type="dxa"/>
                      </w:tcPr>
                      <w:p>
                        <w:pPr>
                          <w:pStyle w:val="TableParagraph"/>
                          <w:spacing w:line="240" w:lineRule="auto" w:before="56"/>
                          <w:ind w:right="46"/>
                          <w:jc w:val="right"/>
                          <w:rPr>
                            <w:sz w:val="14"/>
                          </w:rPr>
                        </w:pPr>
                        <w:r>
                          <w:rPr>
                            <w:sz w:val="14"/>
                          </w:rPr>
                          <w:t>26.6</w:t>
                        </w:r>
                      </w:p>
                    </w:tc>
                  </w:tr>
                  <w:tr>
                    <w:trPr>
                      <w:trHeight w:val="217" w:hRule="atLeast"/>
                    </w:trPr>
                    <w:tc>
                      <w:tcPr>
                        <w:tcW w:w="540" w:type="dxa"/>
                      </w:tcPr>
                      <w:p>
                        <w:pPr>
                          <w:pStyle w:val="TableParagraph"/>
                          <w:spacing w:line="141" w:lineRule="exact" w:before="56"/>
                          <w:ind w:right="195"/>
                          <w:jc w:val="right"/>
                          <w:rPr>
                            <w:sz w:val="14"/>
                          </w:rPr>
                        </w:pPr>
                        <w:r>
                          <w:rPr>
                            <w:sz w:val="14"/>
                          </w:rPr>
                          <w:t>0.3</w:t>
                        </w:r>
                      </w:p>
                    </w:tc>
                    <w:tc>
                      <w:tcPr>
                        <w:tcW w:w="699" w:type="dxa"/>
                      </w:tcPr>
                      <w:p>
                        <w:pPr>
                          <w:pStyle w:val="TableParagraph"/>
                          <w:spacing w:line="141" w:lineRule="exact" w:before="56"/>
                          <w:ind w:right="215"/>
                          <w:jc w:val="right"/>
                          <w:rPr>
                            <w:sz w:val="14"/>
                          </w:rPr>
                        </w:pPr>
                        <w:r>
                          <w:rPr>
                            <w:sz w:val="14"/>
                          </w:rPr>
                          <w:t>0.3</w:t>
                        </w:r>
                      </w:p>
                    </w:tc>
                    <w:tc>
                      <w:tcPr>
                        <w:tcW w:w="547" w:type="dxa"/>
                      </w:tcPr>
                      <w:p>
                        <w:pPr>
                          <w:pStyle w:val="TableParagraph"/>
                          <w:spacing w:line="141" w:lineRule="exact" w:before="56"/>
                          <w:ind w:right="46"/>
                          <w:jc w:val="right"/>
                          <w:rPr>
                            <w:sz w:val="14"/>
                          </w:rPr>
                        </w:pPr>
                        <w:r>
                          <w:rPr>
                            <w:sz w:val="14"/>
                          </w:rPr>
                          <w:t>-0.7</w:t>
                        </w:r>
                      </w:p>
                    </w:tc>
                  </w:tr>
                </w:tbl>
                <w:p>
                  <w:pPr>
                    <w:pStyle w:val="BodyText"/>
                  </w:pPr>
                </w:p>
              </w:txbxContent>
            </v:textbox>
            <w10:wrap type="none"/>
          </v:shape>
        </w:pict>
      </w:r>
      <w:r>
        <w:rPr>
          <w:sz w:val="14"/>
        </w:rPr>
        <w:t>Millions of barrels per day</w:t>
      </w:r>
    </w:p>
    <w:p>
      <w:pPr>
        <w:pStyle w:val="BodyText"/>
        <w:rPr>
          <w:sz w:val="16"/>
        </w:rPr>
      </w:pPr>
    </w:p>
    <w:p>
      <w:pPr>
        <w:pStyle w:val="BodyText"/>
        <w:spacing w:before="8"/>
      </w:pPr>
    </w:p>
    <w:p>
      <w:pPr>
        <w:spacing w:before="0"/>
        <w:ind w:left="162" w:right="0" w:firstLine="0"/>
        <w:jc w:val="left"/>
        <w:rPr>
          <w:b/>
          <w:sz w:val="14"/>
        </w:rPr>
      </w:pPr>
      <w:r>
        <w:rPr>
          <w:b/>
          <w:sz w:val="14"/>
        </w:rPr>
        <w:t>Demand</w:t>
      </w:r>
    </w:p>
    <w:p>
      <w:pPr>
        <w:spacing w:line="150" w:lineRule="exact" w:before="59"/>
        <w:ind w:left="162" w:right="0" w:firstLine="0"/>
        <w:jc w:val="left"/>
        <w:rPr>
          <w:sz w:val="14"/>
        </w:rPr>
      </w:pPr>
      <w:r>
        <w:rPr>
          <w:sz w:val="14"/>
        </w:rPr>
        <w:t>Total</w:t>
      </w:r>
    </w:p>
    <w:p>
      <w:pPr>
        <w:spacing w:line="140" w:lineRule="exact" w:before="0"/>
        <w:ind w:left="232" w:right="0" w:firstLine="0"/>
        <w:jc w:val="left"/>
        <w:rPr>
          <w:i/>
          <w:sz w:val="14"/>
        </w:rPr>
      </w:pPr>
      <w:r>
        <w:rPr>
          <w:i/>
          <w:sz w:val="14"/>
        </w:rPr>
        <w:t>of which:</w:t>
      </w:r>
    </w:p>
    <w:p>
      <w:pPr>
        <w:spacing w:line="150" w:lineRule="exact" w:before="0"/>
        <w:ind w:left="302" w:right="0" w:firstLine="0"/>
        <w:jc w:val="left"/>
        <w:rPr>
          <w:sz w:val="14"/>
        </w:rPr>
      </w:pPr>
      <w:r>
        <w:rPr>
          <w:sz w:val="14"/>
        </w:rPr>
        <w:t>Asia</w:t>
      </w:r>
    </w:p>
    <w:p>
      <w:pPr>
        <w:spacing w:before="119"/>
        <w:ind w:left="162" w:right="0" w:firstLine="0"/>
        <w:jc w:val="left"/>
        <w:rPr>
          <w:b/>
          <w:sz w:val="14"/>
        </w:rPr>
      </w:pPr>
      <w:r>
        <w:rPr>
          <w:b/>
          <w:sz w:val="14"/>
        </w:rPr>
        <w:t>Production</w:t>
      </w:r>
    </w:p>
    <w:p>
      <w:pPr>
        <w:spacing w:line="150" w:lineRule="exact" w:before="59"/>
        <w:ind w:left="162" w:right="0" w:firstLine="0"/>
        <w:jc w:val="left"/>
        <w:rPr>
          <w:sz w:val="14"/>
        </w:rPr>
      </w:pPr>
      <w:r>
        <w:rPr>
          <w:sz w:val="14"/>
        </w:rPr>
        <w:t>Total</w:t>
      </w:r>
    </w:p>
    <w:p>
      <w:pPr>
        <w:spacing w:line="140" w:lineRule="exact" w:before="0"/>
        <w:ind w:left="232" w:right="0" w:firstLine="0"/>
        <w:jc w:val="left"/>
        <w:rPr>
          <w:i/>
          <w:sz w:val="14"/>
        </w:rPr>
      </w:pPr>
      <w:r>
        <w:rPr>
          <w:i/>
          <w:sz w:val="14"/>
        </w:rPr>
        <w:t>of which:</w:t>
      </w:r>
    </w:p>
    <w:p>
      <w:pPr>
        <w:spacing w:line="150" w:lineRule="exact" w:before="0"/>
        <w:ind w:left="302" w:right="0" w:firstLine="0"/>
        <w:jc w:val="left"/>
        <w:rPr>
          <w:sz w:val="14"/>
        </w:rPr>
      </w:pPr>
      <w:r>
        <w:rPr>
          <w:sz w:val="14"/>
        </w:rPr>
        <w:t>OPEC</w:t>
      </w:r>
    </w:p>
    <w:p>
      <w:pPr>
        <w:spacing w:before="119"/>
        <w:ind w:left="162" w:right="0" w:firstLine="0"/>
        <w:jc w:val="left"/>
        <w:rPr>
          <w:sz w:val="12"/>
        </w:rPr>
      </w:pPr>
      <w:r>
        <w:rPr>
          <w:b/>
          <w:sz w:val="14"/>
        </w:rPr>
        <w:t>Change in stocks </w:t>
      </w:r>
      <w:r>
        <w:rPr>
          <w:sz w:val="12"/>
        </w:rPr>
        <w:t>(a)</w:t>
      </w:r>
    </w:p>
    <w:p>
      <w:pPr>
        <w:spacing w:before="118"/>
        <w:ind w:left="162" w:right="0" w:firstLine="0"/>
        <w:jc w:val="left"/>
        <w:rPr>
          <w:sz w:val="12"/>
        </w:rPr>
      </w:pPr>
      <w:r>
        <w:rPr>
          <w:sz w:val="12"/>
        </w:rPr>
        <w:t>Source: International Energy Agency—</w:t>
      </w:r>
      <w:r>
        <w:rPr>
          <w:i/>
          <w:sz w:val="12"/>
        </w:rPr>
        <w:t>Monthly Oil Market Report</w:t>
      </w:r>
      <w:r>
        <w:rPr>
          <w:sz w:val="12"/>
        </w:rPr>
        <w:t>.</w:t>
      </w:r>
    </w:p>
    <w:p>
      <w:pPr>
        <w:pStyle w:val="BodyText"/>
        <w:spacing w:before="1"/>
        <w:rPr>
          <w:sz w:val="10"/>
        </w:rPr>
      </w:pPr>
    </w:p>
    <w:p>
      <w:pPr>
        <w:spacing w:line="208" w:lineRule="auto" w:before="0"/>
        <w:ind w:left="401" w:right="38" w:hanging="240"/>
        <w:jc w:val="both"/>
        <w:rPr>
          <w:sz w:val="12"/>
        </w:rPr>
      </w:pPr>
      <w:r>
        <w:rPr>
          <w:sz w:val="12"/>
        </w:rPr>
        <w:t>(a) Reported by OECD countries. This does not equal the difference between estimates of production and demand because it excludes unreported changes in OECD and non-OECD stocks.</w:t>
      </w:r>
    </w:p>
    <w:p>
      <w:pPr>
        <w:pStyle w:val="BodyText"/>
        <w:rPr>
          <w:sz w:val="12"/>
        </w:rPr>
      </w:pPr>
    </w:p>
    <w:p>
      <w:pPr>
        <w:pStyle w:val="BodyText"/>
        <w:rPr>
          <w:sz w:val="12"/>
        </w:rPr>
      </w:pPr>
    </w:p>
    <w:p>
      <w:pPr>
        <w:pStyle w:val="BodyText"/>
        <w:spacing w:before="10"/>
        <w:rPr>
          <w:sz w:val="9"/>
        </w:rPr>
      </w:pPr>
    </w:p>
    <w:p>
      <w:pPr>
        <w:spacing w:before="0"/>
        <w:ind w:left="165" w:right="0" w:firstLine="0"/>
        <w:jc w:val="left"/>
        <w:rPr>
          <w:b/>
          <w:sz w:val="20"/>
        </w:rPr>
      </w:pPr>
      <w:r>
        <w:rPr>
          <w:b/>
          <w:color w:val="0092C7"/>
          <w:sz w:val="20"/>
        </w:rPr>
        <w:t>Chart 4.1</w:t>
      </w:r>
    </w:p>
    <w:p>
      <w:pPr>
        <w:spacing w:before="10"/>
        <w:ind w:left="165" w:right="0" w:firstLine="0"/>
        <w:jc w:val="left"/>
        <w:rPr>
          <w:sz w:val="12"/>
        </w:rPr>
      </w:pPr>
      <w:r>
        <w:rPr>
          <w:b/>
          <w:color w:val="0092C7"/>
          <w:sz w:val="20"/>
        </w:rPr>
        <w:t>Implied distribution for oil prices</w:t>
      </w:r>
      <w:r>
        <w:rPr>
          <w:position w:val="4"/>
          <w:sz w:val="12"/>
        </w:rPr>
        <w:t>(a)(b)</w:t>
      </w:r>
    </w:p>
    <w:p>
      <w:pPr>
        <w:tabs>
          <w:tab w:pos="2771" w:val="left" w:leader="none"/>
        </w:tabs>
        <w:spacing w:line="422" w:lineRule="auto" w:before="73"/>
        <w:ind w:left="3385" w:right="70" w:hanging="3153"/>
        <w:jc w:val="right"/>
        <w:rPr>
          <w:sz w:val="12"/>
        </w:rPr>
      </w:pPr>
      <w:r>
        <w:rPr/>
        <w:pict>
          <v:group style="position:absolute;margin-left:43.442001pt;margin-top:20.685556pt;width:155.1pt;height:127.7pt;mso-position-horizontal-relative:page;mso-position-vertical-relative:paragraph;z-index:-22423040" coordorigin="869,414" coordsize="3102,2554">
            <v:shape style="position:absolute;left:3218;top:413;width:629;height:2133" coordorigin="3219,414" coordsize="629,2133" path="m3676,414l3504,433,3333,703,3219,1218,3333,1503,3504,2105,3676,2390,3847,2546,3847,472,3676,414xe" filled="true" fillcolor="#efe7df" stroked="false">
              <v:path arrowok="t"/>
              <v:fill type="solid"/>
            </v:shape>
            <v:shape style="position:absolute;left:3218;top:662;width:629;height:1735" coordorigin="3219,663" coordsize="629,1735" path="m3504,663l3333,799,3219,1217,3333,1413,3504,1954,3676,2233,3847,2397,3847,825,3676,707,3504,663xe" filled="true" fillcolor="#e1d2c5" stroked="false">
              <v:path arrowok="t"/>
              <v:fill type="solid"/>
            </v:shape>
            <v:shape style="position:absolute;left:3218;top:810;width:629;height:1484" coordorigin="3219,810" coordsize="629,1484" path="m3504,810l3333,865,3219,1220,3333,1353,3504,1846,3676,2127,3847,2294,3847,1043,3676,898,3504,810xe" filled="true" fillcolor="#d3beac" stroked="false">
              <v:path arrowok="t"/>
              <v:fill type="solid"/>
            </v:shape>
            <v:shape style="position:absolute;left:3218;top:912;width:629;height:1290" coordorigin="3219,912" coordsize="629,1290" path="m3333,912l3219,1218,3333,1302,3504,1751,3676,2037,3847,2202,3847,1201,3676,1043,3504,916,3333,912xe" filled="true" fillcolor="#c5ab93" stroked="false">
              <v:path arrowok="t"/>
              <v:fill type="solid"/>
            </v:shape>
            <v:shape style="position:absolute;left:3218;top:951;width:629;height:1166" coordorigin="3219,952" coordsize="629,1166" path="m3333,952l3219,1218,3333,1259,3504,1666,3676,1959,3847,2117,3847,1323,3676,1166,3504,1001,3333,952xe" filled="true" fillcolor="#b8977d" stroked="false">
              <v:path arrowok="t"/>
              <v:fill type="solid"/>
            </v:shape>
            <v:shape style="position:absolute;left:3218;top:986;width:629;height:1052" coordorigin="3219,986" coordsize="629,1052" path="m3333,986l3219,1218,3333,1222,3504,1589,3676,1882,3847,2038,3847,1425,3676,1271,3504,1075,3333,986xe" filled="true" fillcolor="#aa8569" stroked="false">
              <v:path arrowok="t"/>
              <v:fill type="solid"/>
            </v:shape>
            <v:shape style="position:absolute;left:3218;top:1017;width:629;height:939" coordorigin="3219,1018" coordsize="629,939" path="m3333,1018l3219,1218,3333,1189,3504,1517,3676,1805,3847,1956,3847,1506,3676,1358,3504,1141,3333,1018xe" filled="true" fillcolor="#9c7556" stroked="false">
              <v:path arrowok="t"/>
              <v:fill type="solid"/>
            </v:shape>
            <v:shape style="position:absolute;left:3218;top:1046;width:629;height:833" coordorigin="3219,1046" coordsize="629,833" path="m3333,1046l3219,1218,3333,1159,3504,1456,3676,1740,3847,1879,3847,1584,3676,1428,3504,1209,3333,1046xe" filled="true" fillcolor="#906345" stroked="false">
              <v:path arrowok="t"/>
              <v:fill type="solid"/>
            </v:shape>
            <v:shape style="position:absolute;left:3218;top:1074;width:629;height:734" coordorigin="3219,1075" coordsize="629,734" path="m3333,1075l3219,1219,3333,1130,3504,1393,3676,1660,3847,1808,3847,1660,3676,1515,3504,1252,3333,1075xe" filled="true" fillcolor="#835335" stroked="false">
              <v:path arrowok="t"/>
              <v:fill type="solid"/>
            </v:shape>
            <v:shape style="position:absolute;left:868;top:468;width:3102;height:1921" coordorigin="869,468" coordsize="3102,1921" path="m3970,2388l3897,2388m3970,2148l3897,2148m3970,1908l3897,1908m3970,1668l3897,1668m3970,1428l3897,1428m3970,1188l3897,1188m3970,948l3897,948m3970,708l3897,708m3970,468l3897,468m869,1908l942,1908m869,1668l942,1668m869,1428l942,1428e" filled="false" stroked="true" strokeweight=".5pt" strokecolor="#000000">
              <v:path arrowok="t"/>
              <v:stroke dashstyle="solid"/>
            </v:shape>
            <v:shape style="position:absolute;left:990;top:1410;width:1258;height:1547" coordorigin="990,1410" coordsize="1258,1547" path="m1047,1872l990,1410m1104,1859l1047,1872m1162,1883l1104,1859m1219,1803l1162,1883m1276,1932l1219,1803m1333,1891l1276,1932m1390,1955l1333,1891m1447,1767l1390,1955m1504,1779l1447,1767m1562,2010l1504,1779m1619,2191l1562,2010m1676,2243l1619,2191m1733,2448l1676,2243m1790,2424l1733,2448m1847,2451l1790,2424m1904,2481l1847,2451m1962,2597l1904,2481m2019,2597l1962,2597m2076,2703l2019,2597m2133,2368l2076,2703m2190,2574l2133,2368m2247,2957l2190,2574e" filled="false" stroked="true" strokeweight="1pt" strokecolor="#835335">
              <v:path arrowok="t"/>
              <v:stroke dashstyle="solid"/>
            </v:shape>
            <v:shape style="position:absolute;left:2247;top:2777;width:172;height:180" coordorigin="2247,2777" coordsize="172,180" path="m2304,2857l2247,2957m2362,2777l2304,2857m2419,2835l2362,2777e" filled="false" stroked="true" strokeweight=".5pt" strokecolor="#835335">
              <v:path arrowok="t"/>
              <v:stroke dashstyle="solid"/>
            </v:shape>
            <v:shape style="position:absolute;left:2418;top:656;width:801;height:2178" coordorigin="2419,657" coordsize="801,2178" path="m2476,2297l2419,2835m2533,2069l2476,2297m2590,2287l2533,2069m2647,1993l2590,2287m2704,1845l2647,1993m2762,1655l2704,1845m2819,1367l2762,1655m2876,1698l2819,1367m2933,1357l2876,1698m2990,1236l2933,1357m3047,991l2990,1236m3105,657l3047,991m3162,1080l3105,657m3219,1219l3162,1080e" filled="false" stroked="true" strokeweight="1pt" strokecolor="#835335">
              <v:path arrowok="t"/>
              <v:stroke dashstyle="solid"/>
            </v:shape>
            <w10:wrap type="none"/>
          </v:group>
        </w:pict>
      </w:r>
      <w:r>
        <w:rPr/>
        <w:pict>
          <v:line style="position:absolute;mso-position-horizontal-relative:page;mso-position-vertical-relative:paragraph;z-index:-22418432" from="43.442001pt,23.410557pt" to="47.085001pt,23.410557pt" stroked="true" strokeweight=".5pt" strokecolor="#000000">
            <v:stroke dashstyle="solid"/>
            <w10:wrap type="none"/>
          </v:line>
        </w:pict>
      </w:r>
      <w:r>
        <w:rPr/>
        <w:pict>
          <v:line style="position:absolute;mso-position-horizontal-relative:page;mso-position-vertical-relative:paragraph;z-index:-22417920" from="43.442001pt,11.411556pt" to="47.085001pt,11.411556pt" stroked="true" strokeweight=".5pt" strokecolor="#000000">
            <v:stroke dashstyle="solid"/>
            <w10:wrap type="none"/>
          </v:line>
        </w:pict>
      </w:r>
      <w:r>
        <w:rPr/>
        <w:pict>
          <v:line style="position:absolute;mso-position-horizontal-relative:page;mso-position-vertical-relative:paragraph;z-index:-22416384" from="198.495997pt,11.411556pt" to="194.852997pt,11.411556pt" stroked="true" strokeweight=".5pt" strokecolor="#000000">
            <v:stroke dashstyle="solid"/>
            <w10:wrap type="none"/>
          </v:line>
        </w:pict>
      </w:r>
      <w:r>
        <w:rPr>
          <w:sz w:val="12"/>
        </w:rPr>
        <w:t>Expectations as at cob 3 May 2000</w:t>
        <w:tab/>
        <w:t>$ per</w:t>
      </w:r>
      <w:r>
        <w:rPr>
          <w:spacing w:val="-4"/>
          <w:sz w:val="12"/>
        </w:rPr>
        <w:t> </w:t>
      </w:r>
      <w:r>
        <w:rPr>
          <w:sz w:val="12"/>
        </w:rPr>
        <w:t>barrel</w:t>
      </w:r>
      <w:r>
        <w:rPr>
          <w:spacing w:val="4"/>
          <w:sz w:val="12"/>
        </w:rPr>
        <w:t> </w:t>
      </w:r>
      <w:r>
        <w:rPr>
          <w:position w:val="-6"/>
          <w:sz w:val="12"/>
        </w:rPr>
        <w:t>34 </w:t>
      </w:r>
      <w:r>
        <w:rPr>
          <w:sz w:val="12"/>
        </w:rPr>
        <w:t>32</w:t>
      </w:r>
    </w:p>
    <w:p>
      <w:pPr>
        <w:spacing w:line="135" w:lineRule="exact" w:before="0"/>
        <w:ind w:left="3385" w:right="0" w:firstLine="0"/>
        <w:jc w:val="left"/>
        <w:rPr>
          <w:sz w:val="12"/>
        </w:rPr>
      </w:pPr>
      <w:r>
        <w:rPr/>
        <w:pict>
          <v:line style="position:absolute;mso-position-horizontal-relative:page;mso-position-vertical-relative:paragraph;z-index:16192512" from="43.442001pt,3.976619pt" to="47.085001pt,3.976619pt" stroked="true" strokeweight=".5pt" strokecolor="#000000">
            <v:stroke dashstyle="solid"/>
            <w10:wrap type="none"/>
          </v:line>
        </w:pict>
      </w:r>
      <w:r>
        <w:rPr>
          <w:sz w:val="12"/>
        </w:rPr>
        <w:t>30</w:t>
      </w:r>
    </w:p>
    <w:p>
      <w:pPr>
        <w:spacing w:before="102"/>
        <w:ind w:left="3385" w:right="0" w:firstLine="0"/>
        <w:jc w:val="left"/>
        <w:rPr>
          <w:sz w:val="12"/>
        </w:rPr>
      </w:pPr>
      <w:r>
        <w:rPr/>
        <w:pict>
          <v:line style="position:absolute;mso-position-horizontal-relative:page;mso-position-vertical-relative:paragraph;z-index:16192000" from="43.442001pt,9.247573pt" to="47.085001pt,9.247573pt" stroked="true" strokeweight=".5pt" strokecolor="#000000">
            <v:stroke dashstyle="solid"/>
            <w10:wrap type="none"/>
          </v:line>
        </w:pict>
      </w:r>
      <w:r>
        <w:rPr>
          <w:sz w:val="12"/>
        </w:rPr>
        <w:t>28</w:t>
      </w:r>
    </w:p>
    <w:p>
      <w:pPr>
        <w:spacing w:before="102"/>
        <w:ind w:left="3385" w:right="0" w:firstLine="0"/>
        <w:jc w:val="left"/>
        <w:rPr>
          <w:sz w:val="12"/>
        </w:rPr>
      </w:pPr>
      <w:r>
        <w:rPr/>
        <w:pict>
          <v:line style="position:absolute;mso-position-horizontal-relative:page;mso-position-vertical-relative:paragraph;z-index:16191488" from="43.442001pt,9.247153pt" to="47.085001pt,9.247153pt" stroked="true" strokeweight=".5pt" strokecolor="#000000">
            <v:stroke dashstyle="solid"/>
            <w10:wrap type="none"/>
          </v:line>
        </w:pict>
      </w:r>
      <w:r>
        <w:rPr>
          <w:sz w:val="12"/>
        </w:rPr>
        <w:t>26</w:t>
      </w:r>
    </w:p>
    <w:p>
      <w:pPr>
        <w:spacing w:before="102"/>
        <w:ind w:left="3385" w:right="0" w:firstLine="0"/>
        <w:jc w:val="left"/>
        <w:rPr>
          <w:sz w:val="12"/>
        </w:rPr>
      </w:pPr>
      <w:r>
        <w:rPr>
          <w:sz w:val="12"/>
        </w:rPr>
        <w:t>24</w:t>
      </w:r>
    </w:p>
    <w:p>
      <w:pPr>
        <w:spacing w:before="102"/>
        <w:ind w:left="3385" w:right="0" w:firstLine="0"/>
        <w:jc w:val="left"/>
        <w:rPr>
          <w:sz w:val="12"/>
        </w:rPr>
      </w:pPr>
      <w:r>
        <w:rPr>
          <w:sz w:val="12"/>
        </w:rPr>
        <w:t>22</w:t>
      </w:r>
    </w:p>
    <w:p>
      <w:pPr>
        <w:spacing w:before="102"/>
        <w:ind w:left="3385" w:right="0" w:firstLine="0"/>
        <w:jc w:val="left"/>
        <w:rPr>
          <w:sz w:val="12"/>
        </w:rPr>
      </w:pPr>
      <w:r>
        <w:rPr>
          <w:sz w:val="12"/>
        </w:rPr>
        <w:t>20</w:t>
      </w:r>
    </w:p>
    <w:p>
      <w:pPr>
        <w:spacing w:before="102"/>
        <w:ind w:left="3385" w:right="0" w:firstLine="0"/>
        <w:jc w:val="left"/>
        <w:rPr>
          <w:sz w:val="12"/>
        </w:rPr>
      </w:pPr>
      <w:r>
        <w:rPr/>
        <w:pict>
          <v:line style="position:absolute;mso-position-horizontal-relative:page;mso-position-vertical-relative:paragraph;z-index:16190976" from="43.442001pt,9.247963pt" to="47.085001pt,9.247963pt" stroked="true" strokeweight=".5pt" strokecolor="#000000">
            <v:stroke dashstyle="solid"/>
            <w10:wrap type="none"/>
          </v:line>
        </w:pict>
      </w:r>
      <w:r>
        <w:rPr>
          <w:sz w:val="12"/>
        </w:rPr>
        <w:t>18</w:t>
      </w:r>
    </w:p>
    <w:p>
      <w:pPr>
        <w:spacing w:before="102"/>
        <w:ind w:left="3385" w:right="0" w:firstLine="0"/>
        <w:jc w:val="left"/>
        <w:rPr>
          <w:sz w:val="12"/>
        </w:rPr>
      </w:pPr>
      <w:r>
        <w:rPr/>
        <w:pict>
          <v:line style="position:absolute;mso-position-horizontal-relative:page;mso-position-vertical-relative:paragraph;z-index:16190464" from="43.442001pt,9.247558pt" to="47.085001pt,9.247558pt" stroked="true" strokeweight=".5pt" strokecolor="#000000">
            <v:stroke dashstyle="solid"/>
            <w10:wrap type="none"/>
          </v:line>
        </w:pict>
      </w:r>
      <w:r>
        <w:rPr>
          <w:sz w:val="12"/>
        </w:rPr>
        <w:t>16</w:t>
      </w:r>
    </w:p>
    <w:p>
      <w:pPr>
        <w:spacing w:before="102"/>
        <w:ind w:left="3385" w:right="0" w:firstLine="0"/>
        <w:jc w:val="left"/>
        <w:rPr>
          <w:sz w:val="12"/>
        </w:rPr>
      </w:pPr>
      <w:r>
        <w:rPr/>
        <w:pict>
          <v:line style="position:absolute;mso-position-horizontal-relative:page;mso-position-vertical-relative:paragraph;z-index:16189952" from="43.442001pt,9.247169pt" to="47.085001pt,9.247169pt" stroked="true" strokeweight=".5pt" strokecolor="#000000">
            <v:stroke dashstyle="solid"/>
            <w10:wrap type="none"/>
          </v:line>
        </w:pict>
      </w:r>
      <w:r>
        <w:rPr/>
        <w:pict>
          <v:line style="position:absolute;mso-position-horizontal-relative:page;mso-position-vertical-relative:paragraph;z-index:16194560" from="198.495997pt,9.247169pt" to="194.852997pt,9.247169pt" stroked="true" strokeweight=".5pt" strokecolor="#000000">
            <v:stroke dashstyle="solid"/>
            <w10:wrap type="none"/>
          </v:line>
        </w:pict>
      </w:r>
      <w:r>
        <w:rPr>
          <w:sz w:val="12"/>
        </w:rPr>
        <w:t>14</w:t>
      </w:r>
    </w:p>
    <w:p>
      <w:pPr>
        <w:spacing w:before="102"/>
        <w:ind w:left="3385" w:right="0" w:firstLine="0"/>
        <w:jc w:val="left"/>
        <w:rPr>
          <w:sz w:val="12"/>
        </w:rPr>
      </w:pPr>
      <w:r>
        <w:rPr/>
        <w:pict>
          <v:line style="position:absolute;mso-position-horizontal-relative:page;mso-position-vertical-relative:paragraph;z-index:16189440" from="43.442001pt,9.247963pt" to="47.085001pt,9.247963pt" stroked="true" strokeweight=".5pt" strokecolor="#000000">
            <v:stroke dashstyle="solid"/>
            <w10:wrap type="none"/>
          </v:line>
        </w:pict>
      </w:r>
      <w:r>
        <w:rPr/>
        <w:pict>
          <v:line style="position:absolute;mso-position-horizontal-relative:page;mso-position-vertical-relative:paragraph;z-index:16194048" from="198.495997pt,9.247963pt" to="194.852997pt,9.247963pt" stroked="true" strokeweight=".5pt" strokecolor="#000000">
            <v:stroke dashstyle="solid"/>
            <w10:wrap type="none"/>
          </v:line>
        </w:pict>
      </w:r>
      <w:r>
        <w:rPr>
          <w:sz w:val="12"/>
        </w:rPr>
        <w:t>12</w:t>
      </w:r>
    </w:p>
    <w:p>
      <w:pPr>
        <w:spacing w:before="102"/>
        <w:ind w:left="3385" w:right="0" w:firstLine="0"/>
        <w:jc w:val="left"/>
        <w:rPr>
          <w:sz w:val="12"/>
        </w:rPr>
      </w:pPr>
      <w:r>
        <w:rPr/>
        <w:pict>
          <v:shape style="position:absolute;margin-left:43.396pt;margin-top:9.247558pt;width:155.550pt;height:7pt;mso-position-horizontal-relative:page;mso-position-vertical-relative:paragraph;z-index:16188928" coordorigin="868,185" coordsize="3111,140" path="m868,325l3964,325m990,325l990,228m1047,325l1047,275m1104,325l1104,275m1162,325l1162,275m1219,325l1219,275m1276,325l1276,275m1333,325l1333,275m1390,325l1390,275m1447,325l1447,275m1504,325l1504,275m1562,325l1562,275m1619,325l1619,275m1676,325l1676,228m1733,325l1733,275m1790,325l1790,275m1847,325l1847,275m1904,325l1904,275m1962,325l1962,275m2019,325l2019,275m2076,325l2076,275m2133,325l2133,275m2190,325l2190,275m2247,325l2247,275m2304,325l2304,275m2362,325l2362,228m2419,325l2419,275m2476,325l2476,275m2533,325l2533,275m2590,325l2590,275m2647,325l2647,275m2704,325l2704,275m2762,325l2762,275m2819,325l2819,275m2876,325l2876,275m2933,325l2933,275m2990,325l2990,275m3047,325l3047,228m3105,325l3105,275m3162,325l3162,275m3219,325l3219,275m3276,325l3276,275m3333,325l3333,275m3390,325l3390,275m3447,325l3447,275m3505,325l3505,275m3562,325l3562,275m3619,325l3619,275m3676,325l3676,275m3733,325l3733,228m3790,325l3790,275m3847,325l3847,275m869,185l942,185m3970,185l3897,185m3964,190l3964,220,3949,235,3979,248,3949,267,3979,283,3961,292,3961,322m939,186l939,222,924,237,954,250,924,269,954,284,937,294,937,324e" filled="false" stroked="true" strokeweight=".5pt" strokecolor="#000000">
            <v:path arrowok="t"/>
            <v:stroke dashstyle="solid"/>
            <w10:wrap type="none"/>
          </v:shape>
        </w:pict>
      </w:r>
      <w:r>
        <w:rPr>
          <w:sz w:val="12"/>
        </w:rPr>
        <w:t>10</w:t>
      </w:r>
    </w:p>
    <w:p>
      <w:pPr>
        <w:spacing w:line="119" w:lineRule="exact" w:before="9"/>
        <w:ind w:left="3441" w:right="0" w:firstLine="0"/>
        <w:jc w:val="left"/>
        <w:rPr>
          <w:sz w:val="12"/>
        </w:rPr>
      </w:pPr>
      <w:r>
        <w:rPr>
          <w:sz w:val="12"/>
        </w:rPr>
        <w:t>0</w:t>
      </w:r>
    </w:p>
    <w:p>
      <w:pPr>
        <w:tabs>
          <w:tab w:pos="1335" w:val="left" w:leader="none"/>
          <w:tab w:pos="2029" w:val="left" w:leader="none"/>
          <w:tab w:pos="2661" w:val="left" w:leader="none"/>
          <w:tab w:pos="3127" w:val="left" w:leader="none"/>
        </w:tabs>
        <w:spacing w:line="119" w:lineRule="exact" w:before="0"/>
        <w:ind w:left="534" w:right="0" w:firstLine="0"/>
        <w:jc w:val="left"/>
        <w:rPr>
          <w:sz w:val="12"/>
        </w:rPr>
      </w:pPr>
      <w:r>
        <w:rPr>
          <w:sz w:val="12"/>
        </w:rPr>
        <w:t>1997</w:t>
        <w:tab/>
        <w:t>98</w:t>
        <w:tab/>
        <w:t>99</w:t>
        <w:tab/>
        <w:t>2000</w:t>
        <w:tab/>
        <w:t>01</w:t>
      </w:r>
    </w:p>
    <w:p>
      <w:pPr>
        <w:spacing w:before="34"/>
        <w:ind w:left="155" w:right="0" w:firstLine="0"/>
        <w:jc w:val="left"/>
        <w:rPr>
          <w:sz w:val="12"/>
        </w:rPr>
      </w:pPr>
      <w:r>
        <w:rPr>
          <w:sz w:val="12"/>
        </w:rPr>
        <w:t>Sources: NYMEX and Bank of England.</w:t>
      </w:r>
    </w:p>
    <w:p>
      <w:pPr>
        <w:pStyle w:val="BodyText"/>
        <w:spacing w:before="2"/>
        <w:rPr>
          <w:sz w:val="10"/>
        </w:rPr>
      </w:pPr>
    </w:p>
    <w:p>
      <w:pPr>
        <w:pStyle w:val="ListParagraph"/>
        <w:numPr>
          <w:ilvl w:val="0"/>
          <w:numId w:val="26"/>
        </w:numPr>
        <w:tabs>
          <w:tab w:pos="395" w:val="left" w:leader="none"/>
        </w:tabs>
        <w:spacing w:line="208" w:lineRule="auto" w:before="0" w:after="0"/>
        <w:ind w:left="395" w:right="278" w:hanging="240"/>
        <w:jc w:val="left"/>
        <w:rPr>
          <w:sz w:val="12"/>
        </w:rPr>
      </w:pPr>
      <w:r>
        <w:rPr>
          <w:sz w:val="12"/>
        </w:rPr>
        <w:t>Derived from option prices for West Texas Intermediate oil (WTI). Prices for WTI tend on average to be around $ 1 per barrel higher than those for Brent crude oil. But in April </w:t>
      </w:r>
      <w:r>
        <w:rPr>
          <w:spacing w:val="-6"/>
          <w:sz w:val="12"/>
        </w:rPr>
        <w:t>the </w:t>
      </w:r>
      <w:r>
        <w:rPr>
          <w:sz w:val="12"/>
        </w:rPr>
        <w:t>difference was around $</w:t>
      </w:r>
      <w:r>
        <w:rPr>
          <w:spacing w:val="-4"/>
          <w:sz w:val="12"/>
        </w:rPr>
        <w:t> </w:t>
      </w:r>
      <w:r>
        <w:rPr>
          <w:sz w:val="12"/>
        </w:rPr>
        <w:t>3.</w:t>
      </w:r>
    </w:p>
    <w:p>
      <w:pPr>
        <w:pStyle w:val="ListParagraph"/>
        <w:numPr>
          <w:ilvl w:val="0"/>
          <w:numId w:val="26"/>
        </w:numPr>
        <w:tabs>
          <w:tab w:pos="396" w:val="left" w:leader="none"/>
        </w:tabs>
        <w:spacing w:line="208" w:lineRule="auto" w:before="0" w:after="0"/>
        <w:ind w:left="395" w:right="38" w:hanging="240"/>
        <w:jc w:val="left"/>
        <w:rPr>
          <w:sz w:val="12"/>
        </w:rPr>
      </w:pPr>
      <w:r>
        <w:rPr>
          <w:sz w:val="12"/>
        </w:rPr>
        <w:t>The chart depicts the probability distributions for oil prices, and is rather like a contour map. At any given point, the depth of shading represents the height of the probability density function implied by the markets over a range of outcomes for oil prices. The markets judge that there is a 10% chance of oil prices being within the darkest, central band at any date. Each successive </w:t>
      </w:r>
      <w:r>
        <w:rPr>
          <w:spacing w:val="-5"/>
          <w:sz w:val="12"/>
        </w:rPr>
        <w:t>pair </w:t>
      </w:r>
      <w:r>
        <w:rPr>
          <w:sz w:val="12"/>
        </w:rPr>
        <w:t>of bands covers a further 10% of the distribution until 90% of the distribution is covered. The bands widen as the time horizon is extended, indicating increased uncertainty about oil price outcomes.</w:t>
      </w:r>
    </w:p>
    <w:p>
      <w:pPr>
        <w:pStyle w:val="Heading6"/>
        <w:spacing w:line="242" w:lineRule="auto" w:before="208"/>
        <w:ind w:left="155" w:right="248"/>
      </w:pPr>
      <w:r>
        <w:rPr/>
        <w:br w:type="column"/>
      </w:r>
      <w:r>
        <w:rPr/>
        <w:t>In 2000 Q1 world commodity prices rose by more than expected at the time of the February </w:t>
      </w:r>
      <w:r>
        <w:rPr>
          <w:i/>
        </w:rPr>
        <w:t>Report</w:t>
      </w:r>
      <w:r>
        <w:rPr/>
        <w:t>. That put further upward pressure on UK manufacturers’ input prices. Moreover, manufacturers’ unit labour costs are no longer falling. But manufacturers’ output price inflation remains subdued, partly reflecting intense competition from imports. The sterling prices of imported manufactures have continued to decline, reflecting the appreciation of the exchange rate over the past year. Retail goods price inflation has fallen below zero. But surveys suggest that inflation in corporate services prices has picked up and retail services price inflation has also increased. As expected, aggregate RPIX inflation has fallen slightly since the February </w:t>
      </w:r>
      <w:r>
        <w:rPr>
          <w:i/>
        </w:rPr>
        <w:t>Report</w:t>
      </w:r>
      <w:r>
        <w:rPr/>
        <w:t>, and remains below the government’s</w:t>
      </w:r>
    </w:p>
    <w:p>
      <w:pPr>
        <w:spacing w:before="20"/>
        <w:ind w:left="155" w:right="0" w:firstLine="0"/>
        <w:jc w:val="left"/>
        <w:rPr>
          <w:sz w:val="24"/>
        </w:rPr>
      </w:pPr>
      <w:r>
        <w:rPr>
          <w:sz w:val="24"/>
        </w:rPr>
        <w:t>2</w:t>
      </w:r>
      <w:r>
        <w:rPr>
          <w:position w:val="8"/>
          <w:sz w:val="12"/>
        </w:rPr>
        <w:t>1</w:t>
      </w:r>
      <w:r>
        <w:rPr>
          <w:sz w:val="24"/>
        </w:rPr>
        <w:t>/</w:t>
      </w:r>
      <w:r>
        <w:rPr>
          <w:sz w:val="12"/>
        </w:rPr>
        <w:t>2</w:t>
      </w:r>
      <w:r>
        <w:rPr>
          <w:sz w:val="24"/>
        </w:rPr>
        <w:t>% target.</w:t>
      </w:r>
    </w:p>
    <w:p>
      <w:pPr>
        <w:pStyle w:val="BodyText"/>
        <w:spacing w:before="4"/>
        <w:rPr>
          <w:sz w:val="28"/>
        </w:rPr>
      </w:pPr>
    </w:p>
    <w:p>
      <w:pPr>
        <w:pStyle w:val="Heading3"/>
        <w:numPr>
          <w:ilvl w:val="1"/>
          <w:numId w:val="27"/>
        </w:numPr>
        <w:tabs>
          <w:tab w:pos="987" w:val="left" w:leader="none"/>
          <w:tab w:pos="988" w:val="left" w:leader="none"/>
          <w:tab w:pos="5654" w:val="left" w:leader="none"/>
        </w:tabs>
        <w:spacing w:line="240" w:lineRule="auto" w:before="0" w:after="0"/>
        <w:ind w:left="987" w:right="0" w:hanging="833"/>
        <w:jc w:val="left"/>
      </w:pPr>
      <w:r>
        <w:rPr>
          <w:color w:val="009391"/>
          <w:u w:val="thick" w:color="0092C7"/>
        </w:rPr>
        <w:t>Raw materials and commodity</w:t>
      </w:r>
      <w:r>
        <w:rPr>
          <w:color w:val="009391"/>
          <w:spacing w:val="-29"/>
          <w:u w:val="thick" w:color="0092C7"/>
        </w:rPr>
        <w:t> </w:t>
      </w:r>
      <w:r>
        <w:rPr>
          <w:color w:val="009391"/>
          <w:u w:val="thick" w:color="0092C7"/>
        </w:rPr>
        <w:t>prices</w:t>
        <w:tab/>
      </w:r>
    </w:p>
    <w:p>
      <w:pPr>
        <w:pStyle w:val="BodyText"/>
        <w:spacing w:before="11"/>
        <w:rPr>
          <w:b/>
          <w:sz w:val="23"/>
        </w:rPr>
      </w:pPr>
    </w:p>
    <w:p>
      <w:pPr>
        <w:tabs>
          <w:tab w:pos="808" w:val="left" w:leader="none"/>
        </w:tabs>
        <w:spacing w:line="242" w:lineRule="auto" w:before="0"/>
        <w:ind w:left="155" w:right="204" w:firstLine="0"/>
        <w:jc w:val="left"/>
        <w:rPr>
          <w:sz w:val="24"/>
        </w:rPr>
      </w:pPr>
      <w:r>
        <w:rPr>
          <w:sz w:val="24"/>
        </w:rPr>
        <w:t>According to the International Energy </w:t>
      </w:r>
      <w:r>
        <w:rPr>
          <w:spacing w:val="-3"/>
          <w:sz w:val="24"/>
        </w:rPr>
        <w:t>Agency, </w:t>
      </w:r>
      <w:r>
        <w:rPr>
          <w:sz w:val="24"/>
        </w:rPr>
        <w:t>global final demand for oil increased by 1.7% in 1999, mainly because of an increase in demand from Asian countries (see </w:t>
      </w:r>
      <w:r>
        <w:rPr>
          <w:spacing w:val="-5"/>
          <w:sz w:val="24"/>
        </w:rPr>
        <w:t>Table </w:t>
      </w:r>
      <w:r>
        <w:rPr>
          <w:sz w:val="24"/>
        </w:rPr>
        <w:t>4.A). By contrast, supply is estimated to </w:t>
      </w:r>
      <w:r>
        <w:rPr>
          <w:spacing w:val="-3"/>
          <w:sz w:val="24"/>
        </w:rPr>
        <w:t>have </w:t>
      </w:r>
      <w:r>
        <w:rPr>
          <w:sz w:val="24"/>
        </w:rPr>
        <w:t>contracted by 2.0% as OPEC reduced production. So reported stocks of oil fell in 1999, and are likely to </w:t>
      </w:r>
      <w:r>
        <w:rPr>
          <w:spacing w:val="-3"/>
          <w:sz w:val="24"/>
        </w:rPr>
        <w:t>have </w:t>
      </w:r>
      <w:r>
        <w:rPr>
          <w:sz w:val="24"/>
        </w:rPr>
        <w:t>declined further in the early months of this </w:t>
      </w:r>
      <w:r>
        <w:rPr>
          <w:spacing w:val="-4"/>
          <w:sz w:val="24"/>
        </w:rPr>
        <w:t>year. </w:t>
      </w:r>
      <w:r>
        <w:rPr>
          <w:sz w:val="24"/>
        </w:rPr>
        <w:t>The increased scarcity of oil was associated with a rise in its price (see Chart 4.1), and in early March the price of Brent crude oil exceeded $ 30 per barrel for the first </w:t>
      </w:r>
      <w:r>
        <w:rPr>
          <w:spacing w:val="-4"/>
          <w:sz w:val="24"/>
        </w:rPr>
        <w:t>time </w:t>
      </w:r>
      <w:r>
        <w:rPr>
          <w:sz w:val="24"/>
        </w:rPr>
        <w:t>since the Gulf crisis in 1991. But oil prices then fell in anticipation of, and following, an agreement by OPEC </w:t>
      </w:r>
      <w:r>
        <w:rPr>
          <w:spacing w:val="-9"/>
          <w:sz w:val="24"/>
        </w:rPr>
        <w:t>to </w:t>
      </w:r>
      <w:r>
        <w:rPr>
          <w:sz w:val="24"/>
        </w:rPr>
        <w:t>increase production. On 29 March, OPEC members agreed to raise production by 1.45 million barrels per </w:t>
      </w:r>
      <w:r>
        <w:rPr>
          <w:spacing w:val="-4"/>
          <w:sz w:val="24"/>
        </w:rPr>
        <w:t>day, </w:t>
      </w:r>
      <w:r>
        <w:rPr>
          <w:sz w:val="24"/>
        </w:rPr>
        <w:t>equivalent to around 2% of world production in 1999, although quotas </w:t>
      </w:r>
      <w:r>
        <w:rPr>
          <w:spacing w:val="-3"/>
          <w:sz w:val="24"/>
        </w:rPr>
        <w:t>have </w:t>
      </w:r>
      <w:r>
        <w:rPr>
          <w:sz w:val="24"/>
        </w:rPr>
        <w:t>not been strictly adhered to in the past. The average price of oil in 2000 Q1 was close to $ 27 per barrel, higher than expected at the time of the February </w:t>
      </w:r>
      <w:r>
        <w:rPr>
          <w:i/>
          <w:sz w:val="24"/>
        </w:rPr>
        <w:t>Report</w:t>
      </w:r>
      <w:r>
        <w:rPr>
          <w:sz w:val="24"/>
        </w:rPr>
        <w:t>. Prices are currently lower than that;</w:t>
        <w:tab/>
        <w:t>Brent crude averaged around $ 22 per barrel in April, and, consistent with futures prices, the MPC has continued to assume that the price of oil declines further towards $ 18 per barrel in two years’ time. Market uncertainty, as measured by the standard deviation of the distribution for oil prices implied by futures contracts, has diminished since the OPEC meeting (see Chart 4.2).</w:t>
      </w:r>
    </w:p>
    <w:p>
      <w:pPr>
        <w:spacing w:after="0" w:line="242" w:lineRule="auto"/>
        <w:jc w:val="left"/>
        <w:rPr>
          <w:sz w:val="24"/>
        </w:rPr>
        <w:sectPr>
          <w:type w:val="continuous"/>
          <w:pgSz w:w="11900" w:h="16840"/>
          <w:pgMar w:top="1220" w:bottom="280" w:left="640" w:right="620"/>
          <w:cols w:num="2" w:equalWidth="0">
            <w:col w:w="3579" w:space="1226"/>
            <w:col w:w="5835"/>
          </w:cols>
        </w:sectPr>
      </w:pPr>
    </w:p>
    <w:p>
      <w:pPr>
        <w:pStyle w:val="BodyText"/>
        <w:rPr>
          <w:sz w:val="20"/>
        </w:rPr>
      </w:pPr>
    </w:p>
    <w:p>
      <w:pPr>
        <w:spacing w:after="0"/>
        <w:rPr>
          <w:sz w:val="20"/>
        </w:rPr>
        <w:sectPr>
          <w:headerReference w:type="default" r:id="rId150"/>
          <w:headerReference w:type="even" r:id="rId151"/>
          <w:pgSz w:w="11900" w:h="16840"/>
          <w:pgMar w:header="586" w:footer="617" w:top="780" w:bottom="780" w:left="640" w:right="620"/>
        </w:sectPr>
      </w:pPr>
    </w:p>
    <w:p>
      <w:pPr>
        <w:pStyle w:val="BodyText"/>
        <w:spacing w:before="8"/>
        <w:rPr>
          <w:sz w:val="19"/>
        </w:rPr>
      </w:pPr>
    </w:p>
    <w:p>
      <w:pPr>
        <w:spacing w:before="0"/>
        <w:ind w:left="170" w:right="0" w:firstLine="0"/>
        <w:jc w:val="left"/>
        <w:rPr>
          <w:b/>
          <w:sz w:val="20"/>
        </w:rPr>
      </w:pPr>
      <w:bookmarkStart w:name="Import prices and the exchange rate" w:id="64"/>
      <w:bookmarkEnd w:id="64"/>
      <w:r>
        <w:rPr/>
      </w:r>
      <w:bookmarkStart w:name="_bookmark30" w:id="65"/>
      <w:bookmarkEnd w:id="65"/>
      <w:r>
        <w:rPr/>
      </w:r>
      <w:r>
        <w:rPr>
          <w:b/>
          <w:color w:val="0092C7"/>
          <w:sz w:val="20"/>
        </w:rPr>
        <w:t>Chart 4.2</w:t>
      </w:r>
    </w:p>
    <w:p>
      <w:pPr>
        <w:spacing w:line="249" w:lineRule="auto" w:before="10"/>
        <w:ind w:left="170" w:right="19" w:firstLine="0"/>
        <w:jc w:val="left"/>
        <w:rPr>
          <w:sz w:val="12"/>
        </w:rPr>
      </w:pPr>
      <w:r>
        <w:rPr>
          <w:b/>
          <w:color w:val="0092C7"/>
          <w:sz w:val="20"/>
        </w:rPr>
        <w:t>Information from futures prices about the oil price six months ahead</w:t>
      </w:r>
      <w:r>
        <w:rPr>
          <w:position w:val="4"/>
          <w:sz w:val="12"/>
        </w:rPr>
        <w:t>(a)</w:t>
      </w:r>
    </w:p>
    <w:p>
      <w:pPr>
        <w:spacing w:before="36"/>
        <w:ind w:left="170" w:right="0" w:firstLine="0"/>
        <w:jc w:val="left"/>
        <w:rPr>
          <w:sz w:val="12"/>
        </w:rPr>
      </w:pPr>
      <w:r>
        <w:rPr>
          <w:sz w:val="12"/>
        </w:rPr>
        <w:t>As at cob 3 May 2000</w:t>
      </w:r>
    </w:p>
    <w:p>
      <w:pPr>
        <w:pStyle w:val="Heading6"/>
        <w:spacing w:line="242" w:lineRule="auto" w:before="207"/>
        <w:ind w:right="180"/>
      </w:pPr>
      <w:r>
        <w:rPr/>
        <w:br w:type="column"/>
      </w:r>
      <w:r>
        <w:rPr/>
        <w:t>But the skew of the distribution suggests that the balance of risks is still judged by the market to be on the upside of the downward sloping central projection.</w:t>
      </w:r>
    </w:p>
    <w:p>
      <w:pPr>
        <w:spacing w:after="0" w:line="242" w:lineRule="auto"/>
        <w:sectPr>
          <w:type w:val="continuous"/>
          <w:pgSz w:w="11900" w:h="16840"/>
          <w:pgMar w:top="1220" w:bottom="280" w:left="640" w:right="620"/>
          <w:cols w:num="2" w:equalWidth="0">
            <w:col w:w="3487" w:space="1303"/>
            <w:col w:w="5850"/>
          </w:cols>
        </w:sectPr>
      </w:pPr>
    </w:p>
    <w:p>
      <w:pPr>
        <w:spacing w:before="31"/>
        <w:ind w:left="166" w:right="0" w:firstLine="0"/>
        <w:jc w:val="left"/>
        <w:rPr>
          <w:sz w:val="12"/>
        </w:rPr>
      </w:pPr>
      <w:r>
        <w:rPr/>
        <w:drawing>
          <wp:anchor distT="0" distB="0" distL="0" distR="0" allowOverlap="1" layoutInCell="1" locked="0" behindDoc="1" simplePos="0" relativeHeight="480918016">
            <wp:simplePos x="0" y="0"/>
            <wp:positionH relativeFrom="page">
              <wp:posOffset>630237</wp:posOffset>
            </wp:positionH>
            <wp:positionV relativeFrom="paragraph">
              <wp:posOffset>109175</wp:posOffset>
            </wp:positionV>
            <wp:extent cx="1854200" cy="609549"/>
            <wp:effectExtent l="0" t="0" r="0" b="0"/>
            <wp:wrapNone/>
            <wp:docPr id="303" name="image76.png"/>
            <wp:cNvGraphicFramePr>
              <a:graphicFrameLocks noChangeAspect="1"/>
            </wp:cNvGraphicFramePr>
            <a:graphic>
              <a:graphicData uri="http://schemas.openxmlformats.org/drawingml/2006/picture">
                <pic:pic>
                  <pic:nvPicPr>
                    <pic:cNvPr id="304" name="image76.png"/>
                    <pic:cNvPicPr/>
                  </pic:nvPicPr>
                  <pic:blipFill>
                    <a:blip r:embed="rId152" cstate="print"/>
                    <a:stretch>
                      <a:fillRect/>
                    </a:stretch>
                  </pic:blipFill>
                  <pic:spPr>
                    <a:xfrm>
                      <a:off x="0" y="0"/>
                      <a:ext cx="1854200" cy="609549"/>
                    </a:xfrm>
                    <a:prstGeom prst="rect">
                      <a:avLst/>
                    </a:prstGeom>
                  </pic:spPr>
                </pic:pic>
              </a:graphicData>
            </a:graphic>
          </wp:anchor>
        </w:drawing>
      </w:r>
      <w:r>
        <w:rPr>
          <w:b/>
          <w:sz w:val="12"/>
          <w:u w:val="single"/>
        </w:rPr>
        <w:t>M</w:t>
      </w:r>
      <w:r>
        <w:rPr>
          <w:b/>
          <w:sz w:val="12"/>
        </w:rPr>
        <w:t>ean </w:t>
      </w:r>
      <w:r>
        <w:rPr>
          <w:sz w:val="12"/>
        </w:rPr>
        <w:t>(b)</w:t>
      </w:r>
    </w:p>
    <w:p>
      <w:pPr>
        <w:pStyle w:val="BodyText"/>
        <w:spacing w:before="2"/>
        <w:rPr>
          <w:sz w:val="9"/>
        </w:rPr>
      </w:pPr>
      <w:r>
        <w:rPr/>
        <w:drawing>
          <wp:anchor distT="0" distB="0" distL="0" distR="0" allowOverlap="1" layoutInCell="1" locked="0" behindDoc="0" simplePos="0" relativeHeight="913">
            <wp:simplePos x="0" y="0"/>
            <wp:positionH relativeFrom="page">
              <wp:posOffset>512216</wp:posOffset>
            </wp:positionH>
            <wp:positionV relativeFrom="paragraph">
              <wp:posOffset>91778</wp:posOffset>
            </wp:positionV>
            <wp:extent cx="55304" cy="6381"/>
            <wp:effectExtent l="0" t="0" r="0" b="0"/>
            <wp:wrapTopAndBottom/>
            <wp:docPr id="305" name="image15.png"/>
            <wp:cNvGraphicFramePr>
              <a:graphicFrameLocks noChangeAspect="1"/>
            </wp:cNvGraphicFramePr>
            <a:graphic>
              <a:graphicData uri="http://schemas.openxmlformats.org/drawingml/2006/picture">
                <pic:pic>
                  <pic:nvPicPr>
                    <pic:cNvPr id="306" name="image15.png"/>
                    <pic:cNvPicPr/>
                  </pic:nvPicPr>
                  <pic:blipFill>
                    <a:blip r:embed="rId46" cstate="print"/>
                    <a:stretch>
                      <a:fillRect/>
                    </a:stretch>
                  </pic:blipFill>
                  <pic:spPr>
                    <a:xfrm>
                      <a:off x="0" y="0"/>
                      <a:ext cx="55304" cy="6381"/>
                    </a:xfrm>
                    <a:prstGeom prst="rect">
                      <a:avLst/>
                    </a:prstGeom>
                  </pic:spPr>
                </pic:pic>
              </a:graphicData>
            </a:graphic>
          </wp:anchor>
        </w:drawing>
      </w:r>
    </w:p>
    <w:p>
      <w:pPr>
        <w:pStyle w:val="BodyText"/>
        <w:spacing w:before="5"/>
        <w:rPr>
          <w:sz w:val="8"/>
        </w:rPr>
      </w:pPr>
    </w:p>
    <w:p>
      <w:pPr>
        <w:pStyle w:val="BodyText"/>
        <w:spacing w:line="20" w:lineRule="exact"/>
        <w:ind w:left="166"/>
        <w:rPr>
          <w:sz w:val="2"/>
        </w:rPr>
      </w:pPr>
      <w:r>
        <w:rPr>
          <w:sz w:val="2"/>
        </w:rPr>
        <w:drawing>
          <wp:inline distT="0" distB="0" distL="0" distR="0">
            <wp:extent cx="54478" cy="6286"/>
            <wp:effectExtent l="0" t="0" r="0" b="0"/>
            <wp:docPr id="307" name="image19.png"/>
            <wp:cNvGraphicFramePr>
              <a:graphicFrameLocks noChangeAspect="1"/>
            </wp:cNvGraphicFramePr>
            <a:graphic>
              <a:graphicData uri="http://schemas.openxmlformats.org/drawingml/2006/picture">
                <pic:pic>
                  <pic:nvPicPr>
                    <pic:cNvPr id="308" name="image19.png"/>
                    <pic:cNvPicPr/>
                  </pic:nvPicPr>
                  <pic:blipFill>
                    <a:blip r:embed="rId50" cstate="print"/>
                    <a:stretch>
                      <a:fillRect/>
                    </a:stretch>
                  </pic:blipFill>
                  <pic:spPr>
                    <a:xfrm>
                      <a:off x="0" y="0"/>
                      <a:ext cx="54478" cy="6286"/>
                    </a:xfrm>
                    <a:prstGeom prst="rect">
                      <a:avLst/>
                    </a:prstGeom>
                  </pic:spPr>
                </pic:pic>
              </a:graphicData>
            </a:graphic>
          </wp:inline>
        </w:drawing>
      </w:r>
      <w:r>
        <w:rPr>
          <w:sz w:val="2"/>
        </w:rPr>
      </w:r>
    </w:p>
    <w:p>
      <w:pPr>
        <w:pStyle w:val="BodyText"/>
        <w:spacing w:before="8"/>
        <w:rPr>
          <w:sz w:val="6"/>
        </w:rPr>
      </w:pPr>
      <w:r>
        <w:rPr/>
        <w:drawing>
          <wp:anchor distT="0" distB="0" distL="0" distR="0" allowOverlap="1" layoutInCell="1" locked="0" behindDoc="0" simplePos="0" relativeHeight="914">
            <wp:simplePos x="0" y="0"/>
            <wp:positionH relativeFrom="page">
              <wp:posOffset>512216</wp:posOffset>
            </wp:positionH>
            <wp:positionV relativeFrom="paragraph">
              <wp:posOffset>73874</wp:posOffset>
            </wp:positionV>
            <wp:extent cx="54478" cy="6286"/>
            <wp:effectExtent l="0" t="0" r="0" b="0"/>
            <wp:wrapTopAndBottom/>
            <wp:docPr id="309" name="image19.png"/>
            <wp:cNvGraphicFramePr>
              <a:graphicFrameLocks noChangeAspect="1"/>
            </wp:cNvGraphicFramePr>
            <a:graphic>
              <a:graphicData uri="http://schemas.openxmlformats.org/drawingml/2006/picture">
                <pic:pic>
                  <pic:nvPicPr>
                    <pic:cNvPr id="310" name="image19.png"/>
                    <pic:cNvPicPr/>
                  </pic:nvPicPr>
                  <pic:blipFill>
                    <a:blip r:embed="rId50" cstate="print"/>
                    <a:stretch>
                      <a:fillRect/>
                    </a:stretch>
                  </pic:blipFill>
                  <pic:spPr>
                    <a:xfrm>
                      <a:off x="0" y="0"/>
                      <a:ext cx="54478" cy="6286"/>
                    </a:xfrm>
                    <a:prstGeom prst="rect">
                      <a:avLst/>
                    </a:prstGeom>
                  </pic:spPr>
                </pic:pic>
              </a:graphicData>
            </a:graphic>
          </wp:anchor>
        </w:drawing>
      </w:r>
    </w:p>
    <w:p>
      <w:pPr>
        <w:pStyle w:val="BodyText"/>
        <w:spacing w:before="5"/>
        <w:rPr>
          <w:sz w:val="8"/>
        </w:rPr>
      </w:pPr>
    </w:p>
    <w:p>
      <w:pPr>
        <w:pStyle w:val="BodyText"/>
        <w:spacing w:line="20" w:lineRule="exact"/>
        <w:ind w:left="166"/>
        <w:rPr>
          <w:sz w:val="2"/>
        </w:rPr>
      </w:pPr>
      <w:r>
        <w:rPr>
          <w:sz w:val="2"/>
        </w:rPr>
        <w:drawing>
          <wp:inline distT="0" distB="0" distL="0" distR="0">
            <wp:extent cx="55304" cy="6381"/>
            <wp:effectExtent l="0" t="0" r="0" b="0"/>
            <wp:docPr id="311" name="image15.png"/>
            <wp:cNvGraphicFramePr>
              <a:graphicFrameLocks noChangeAspect="1"/>
            </wp:cNvGraphicFramePr>
            <a:graphic>
              <a:graphicData uri="http://schemas.openxmlformats.org/drawingml/2006/picture">
                <pic:pic>
                  <pic:nvPicPr>
                    <pic:cNvPr id="312" name="image15.png"/>
                    <pic:cNvPicPr/>
                  </pic:nvPicPr>
                  <pic:blipFill>
                    <a:blip r:embed="rId46" cstate="print"/>
                    <a:stretch>
                      <a:fillRect/>
                    </a:stretch>
                  </pic:blipFill>
                  <pic:spPr>
                    <a:xfrm>
                      <a:off x="0" y="0"/>
                      <a:ext cx="55304" cy="6381"/>
                    </a:xfrm>
                    <a:prstGeom prst="rect">
                      <a:avLst/>
                    </a:prstGeom>
                  </pic:spPr>
                </pic:pic>
              </a:graphicData>
            </a:graphic>
          </wp:inline>
        </w:drawing>
      </w:r>
      <w:r>
        <w:rPr>
          <w:sz w:val="2"/>
        </w:rPr>
      </w:r>
    </w:p>
    <w:p>
      <w:pPr>
        <w:pStyle w:val="BodyText"/>
        <w:spacing w:before="8"/>
        <w:rPr>
          <w:sz w:val="6"/>
        </w:rPr>
      </w:pPr>
      <w:r>
        <w:rPr/>
        <w:drawing>
          <wp:anchor distT="0" distB="0" distL="0" distR="0" allowOverlap="1" layoutInCell="1" locked="0" behindDoc="0" simplePos="0" relativeHeight="915">
            <wp:simplePos x="0" y="0"/>
            <wp:positionH relativeFrom="page">
              <wp:posOffset>512216</wp:posOffset>
            </wp:positionH>
            <wp:positionV relativeFrom="paragraph">
              <wp:posOffset>73969</wp:posOffset>
            </wp:positionV>
            <wp:extent cx="55304" cy="6381"/>
            <wp:effectExtent l="0" t="0" r="0" b="0"/>
            <wp:wrapTopAndBottom/>
            <wp:docPr id="313" name="image15.png"/>
            <wp:cNvGraphicFramePr>
              <a:graphicFrameLocks noChangeAspect="1"/>
            </wp:cNvGraphicFramePr>
            <a:graphic>
              <a:graphicData uri="http://schemas.openxmlformats.org/drawingml/2006/picture">
                <pic:pic>
                  <pic:nvPicPr>
                    <pic:cNvPr id="314" name="image15.png"/>
                    <pic:cNvPicPr/>
                  </pic:nvPicPr>
                  <pic:blipFill>
                    <a:blip r:embed="rId46" cstate="print"/>
                    <a:stretch>
                      <a:fillRect/>
                    </a:stretch>
                  </pic:blipFill>
                  <pic:spPr>
                    <a:xfrm>
                      <a:off x="0" y="0"/>
                      <a:ext cx="55304" cy="6381"/>
                    </a:xfrm>
                    <a:prstGeom prst="rect">
                      <a:avLst/>
                    </a:prstGeom>
                  </pic:spPr>
                </pic:pic>
              </a:graphicData>
            </a:graphic>
          </wp:anchor>
        </w:drawing>
      </w:r>
    </w:p>
    <w:p>
      <w:pPr>
        <w:pStyle w:val="BodyText"/>
        <w:spacing w:before="5"/>
        <w:rPr>
          <w:sz w:val="8"/>
        </w:rPr>
      </w:pPr>
    </w:p>
    <w:p>
      <w:pPr>
        <w:pStyle w:val="BodyText"/>
        <w:spacing w:line="20" w:lineRule="exact"/>
        <w:ind w:left="166"/>
        <w:rPr>
          <w:sz w:val="2"/>
        </w:rPr>
      </w:pPr>
      <w:r>
        <w:rPr>
          <w:sz w:val="2"/>
        </w:rPr>
        <w:drawing>
          <wp:inline distT="0" distB="0" distL="0" distR="0">
            <wp:extent cx="55304" cy="6381"/>
            <wp:effectExtent l="0" t="0" r="0" b="0"/>
            <wp:docPr id="315" name="image15.png"/>
            <wp:cNvGraphicFramePr>
              <a:graphicFrameLocks noChangeAspect="1"/>
            </wp:cNvGraphicFramePr>
            <a:graphic>
              <a:graphicData uri="http://schemas.openxmlformats.org/drawingml/2006/picture">
                <pic:pic>
                  <pic:nvPicPr>
                    <pic:cNvPr id="316" name="image15.png"/>
                    <pic:cNvPicPr/>
                  </pic:nvPicPr>
                  <pic:blipFill>
                    <a:blip r:embed="rId46" cstate="print"/>
                    <a:stretch>
                      <a:fillRect/>
                    </a:stretch>
                  </pic:blipFill>
                  <pic:spPr>
                    <a:xfrm>
                      <a:off x="0" y="0"/>
                      <a:ext cx="55304" cy="6381"/>
                    </a:xfrm>
                    <a:prstGeom prst="rect">
                      <a:avLst/>
                    </a:prstGeom>
                  </pic:spPr>
                </pic:pic>
              </a:graphicData>
            </a:graphic>
          </wp:inline>
        </w:drawing>
      </w:r>
      <w:r>
        <w:rPr>
          <w:sz w:val="2"/>
        </w:rPr>
      </w:r>
    </w:p>
    <w:p>
      <w:pPr>
        <w:pStyle w:val="BodyText"/>
        <w:spacing w:before="8"/>
        <w:rPr>
          <w:sz w:val="6"/>
        </w:rPr>
      </w:pPr>
      <w:r>
        <w:rPr/>
        <w:drawing>
          <wp:anchor distT="0" distB="0" distL="0" distR="0" allowOverlap="1" layoutInCell="1" locked="0" behindDoc="0" simplePos="0" relativeHeight="916">
            <wp:simplePos x="0" y="0"/>
            <wp:positionH relativeFrom="page">
              <wp:posOffset>512216</wp:posOffset>
            </wp:positionH>
            <wp:positionV relativeFrom="paragraph">
              <wp:posOffset>73874</wp:posOffset>
            </wp:positionV>
            <wp:extent cx="55304" cy="6381"/>
            <wp:effectExtent l="0" t="0" r="0" b="0"/>
            <wp:wrapTopAndBottom/>
            <wp:docPr id="317" name="image15.png"/>
            <wp:cNvGraphicFramePr>
              <a:graphicFrameLocks noChangeAspect="1"/>
            </wp:cNvGraphicFramePr>
            <a:graphic>
              <a:graphicData uri="http://schemas.openxmlformats.org/drawingml/2006/picture">
                <pic:pic>
                  <pic:nvPicPr>
                    <pic:cNvPr id="318" name="image15.png"/>
                    <pic:cNvPicPr/>
                  </pic:nvPicPr>
                  <pic:blipFill>
                    <a:blip r:embed="rId46" cstate="print"/>
                    <a:stretch>
                      <a:fillRect/>
                    </a:stretch>
                  </pic:blipFill>
                  <pic:spPr>
                    <a:xfrm>
                      <a:off x="0" y="0"/>
                      <a:ext cx="55304" cy="6381"/>
                    </a:xfrm>
                    <a:prstGeom prst="rect">
                      <a:avLst/>
                    </a:prstGeom>
                  </pic:spPr>
                </pic:pic>
              </a:graphicData>
            </a:graphic>
          </wp:anchor>
        </w:drawing>
      </w:r>
    </w:p>
    <w:p>
      <w:pPr>
        <w:pStyle w:val="BodyText"/>
        <w:spacing w:before="5"/>
        <w:rPr>
          <w:sz w:val="8"/>
        </w:rPr>
      </w:pPr>
    </w:p>
    <w:p>
      <w:pPr>
        <w:pStyle w:val="BodyText"/>
        <w:spacing w:line="20" w:lineRule="exact"/>
        <w:ind w:left="166"/>
        <w:rPr>
          <w:sz w:val="2"/>
        </w:rPr>
      </w:pPr>
      <w:r>
        <w:rPr>
          <w:sz w:val="2"/>
        </w:rPr>
        <w:drawing>
          <wp:inline distT="0" distB="0" distL="0" distR="0">
            <wp:extent cx="54478" cy="6286"/>
            <wp:effectExtent l="0" t="0" r="0" b="0"/>
            <wp:docPr id="319" name="image19.png"/>
            <wp:cNvGraphicFramePr>
              <a:graphicFrameLocks noChangeAspect="1"/>
            </wp:cNvGraphicFramePr>
            <a:graphic>
              <a:graphicData uri="http://schemas.openxmlformats.org/drawingml/2006/picture">
                <pic:pic>
                  <pic:nvPicPr>
                    <pic:cNvPr id="320" name="image19.png"/>
                    <pic:cNvPicPr/>
                  </pic:nvPicPr>
                  <pic:blipFill>
                    <a:blip r:embed="rId50" cstate="print"/>
                    <a:stretch>
                      <a:fillRect/>
                    </a:stretch>
                  </pic:blipFill>
                  <pic:spPr>
                    <a:xfrm>
                      <a:off x="0" y="0"/>
                      <a:ext cx="54478" cy="6286"/>
                    </a:xfrm>
                    <a:prstGeom prst="rect">
                      <a:avLst/>
                    </a:prstGeom>
                  </pic:spPr>
                </pic:pic>
              </a:graphicData>
            </a:graphic>
          </wp:inline>
        </w:drawing>
      </w:r>
      <w:r>
        <w:rPr>
          <w:sz w:val="2"/>
        </w:rPr>
      </w:r>
    </w:p>
    <w:p>
      <w:pPr>
        <w:spacing w:before="32"/>
        <w:ind w:left="166" w:right="0" w:firstLine="0"/>
        <w:jc w:val="left"/>
        <w:rPr>
          <w:sz w:val="12"/>
        </w:rPr>
      </w:pPr>
      <w:r>
        <w:rPr/>
        <w:drawing>
          <wp:anchor distT="0" distB="0" distL="0" distR="0" allowOverlap="1" layoutInCell="1" locked="0" behindDoc="0" simplePos="0" relativeHeight="16213504">
            <wp:simplePos x="0" y="0"/>
            <wp:positionH relativeFrom="page">
              <wp:posOffset>628650</wp:posOffset>
            </wp:positionH>
            <wp:positionV relativeFrom="paragraph">
              <wp:posOffset>269925</wp:posOffset>
            </wp:positionV>
            <wp:extent cx="1860550" cy="255422"/>
            <wp:effectExtent l="0" t="0" r="0" b="0"/>
            <wp:wrapNone/>
            <wp:docPr id="321" name="image77.png"/>
            <wp:cNvGraphicFramePr>
              <a:graphicFrameLocks noChangeAspect="1"/>
            </wp:cNvGraphicFramePr>
            <a:graphic>
              <a:graphicData uri="http://schemas.openxmlformats.org/drawingml/2006/picture">
                <pic:pic>
                  <pic:nvPicPr>
                    <pic:cNvPr id="322" name="image77.png"/>
                    <pic:cNvPicPr/>
                  </pic:nvPicPr>
                  <pic:blipFill>
                    <a:blip r:embed="rId153" cstate="print"/>
                    <a:stretch>
                      <a:fillRect/>
                    </a:stretch>
                  </pic:blipFill>
                  <pic:spPr>
                    <a:xfrm>
                      <a:off x="0" y="0"/>
                      <a:ext cx="1860550" cy="255422"/>
                    </a:xfrm>
                    <a:prstGeom prst="rect">
                      <a:avLst/>
                    </a:prstGeom>
                  </pic:spPr>
                </pic:pic>
              </a:graphicData>
            </a:graphic>
          </wp:anchor>
        </w:drawing>
      </w:r>
      <w:r>
        <w:rPr>
          <w:b/>
          <w:sz w:val="12"/>
          <w:u w:val="single"/>
        </w:rPr>
        <w:t>S</w:t>
      </w:r>
      <w:r>
        <w:rPr>
          <w:b/>
          <w:sz w:val="12"/>
        </w:rPr>
        <w:t>tandard deviation </w:t>
      </w:r>
      <w:r>
        <w:rPr>
          <w:sz w:val="12"/>
        </w:rPr>
        <w:t>(c)</w:t>
      </w:r>
    </w:p>
    <w:p>
      <w:pPr>
        <w:pStyle w:val="BodyText"/>
        <w:rPr>
          <w:sz w:val="11"/>
        </w:rPr>
      </w:pPr>
    </w:p>
    <w:p>
      <w:pPr>
        <w:pStyle w:val="BodyText"/>
        <w:spacing w:line="20" w:lineRule="exact"/>
        <w:ind w:left="166"/>
        <w:rPr>
          <w:sz w:val="2"/>
        </w:rPr>
      </w:pPr>
      <w:r>
        <w:rPr>
          <w:sz w:val="2"/>
        </w:rPr>
        <w:drawing>
          <wp:inline distT="0" distB="0" distL="0" distR="0">
            <wp:extent cx="54478" cy="6286"/>
            <wp:effectExtent l="0" t="0" r="0" b="0"/>
            <wp:docPr id="323" name="image19.png"/>
            <wp:cNvGraphicFramePr>
              <a:graphicFrameLocks noChangeAspect="1"/>
            </wp:cNvGraphicFramePr>
            <a:graphic>
              <a:graphicData uri="http://schemas.openxmlformats.org/drawingml/2006/picture">
                <pic:pic>
                  <pic:nvPicPr>
                    <pic:cNvPr id="324" name="image19.png"/>
                    <pic:cNvPicPr/>
                  </pic:nvPicPr>
                  <pic:blipFill>
                    <a:blip r:embed="rId50" cstate="print"/>
                    <a:stretch>
                      <a:fillRect/>
                    </a:stretch>
                  </pic:blipFill>
                  <pic:spPr>
                    <a:xfrm>
                      <a:off x="0" y="0"/>
                      <a:ext cx="54478" cy="6286"/>
                    </a:xfrm>
                    <a:prstGeom prst="rect">
                      <a:avLst/>
                    </a:prstGeom>
                  </pic:spPr>
                </pic:pic>
              </a:graphicData>
            </a:graphic>
          </wp:inline>
        </w:drawing>
      </w:r>
      <w:r>
        <w:rPr>
          <w:sz w:val="2"/>
        </w:rPr>
      </w:r>
    </w:p>
    <w:p>
      <w:pPr>
        <w:pStyle w:val="BodyText"/>
        <w:spacing w:before="8"/>
        <w:rPr>
          <w:sz w:val="9"/>
        </w:rPr>
      </w:pPr>
    </w:p>
    <w:p>
      <w:pPr>
        <w:pStyle w:val="BodyText"/>
        <w:spacing w:line="20" w:lineRule="exact"/>
        <w:ind w:left="166"/>
        <w:rPr>
          <w:sz w:val="2"/>
        </w:rPr>
      </w:pPr>
      <w:r>
        <w:rPr>
          <w:sz w:val="2"/>
        </w:rPr>
        <w:drawing>
          <wp:inline distT="0" distB="0" distL="0" distR="0">
            <wp:extent cx="55304" cy="6381"/>
            <wp:effectExtent l="0" t="0" r="0" b="0"/>
            <wp:docPr id="325" name="image15.png"/>
            <wp:cNvGraphicFramePr>
              <a:graphicFrameLocks noChangeAspect="1"/>
            </wp:cNvGraphicFramePr>
            <a:graphic>
              <a:graphicData uri="http://schemas.openxmlformats.org/drawingml/2006/picture">
                <pic:pic>
                  <pic:nvPicPr>
                    <pic:cNvPr id="326" name="image15.png"/>
                    <pic:cNvPicPr/>
                  </pic:nvPicPr>
                  <pic:blipFill>
                    <a:blip r:embed="rId46" cstate="print"/>
                    <a:stretch>
                      <a:fillRect/>
                    </a:stretch>
                  </pic:blipFill>
                  <pic:spPr>
                    <a:xfrm>
                      <a:off x="0" y="0"/>
                      <a:ext cx="55304" cy="6381"/>
                    </a:xfrm>
                    <a:prstGeom prst="rect">
                      <a:avLst/>
                    </a:prstGeom>
                  </pic:spPr>
                </pic:pic>
              </a:graphicData>
            </a:graphic>
          </wp:inline>
        </w:drawing>
      </w:r>
      <w:r>
        <w:rPr>
          <w:sz w:val="2"/>
        </w:rPr>
      </w:r>
    </w:p>
    <w:p>
      <w:pPr>
        <w:pStyle w:val="BodyText"/>
        <w:spacing w:before="9"/>
        <w:rPr>
          <w:sz w:val="9"/>
        </w:rPr>
      </w:pPr>
    </w:p>
    <w:p>
      <w:pPr>
        <w:pStyle w:val="BodyText"/>
        <w:spacing w:line="20" w:lineRule="exact"/>
        <w:ind w:left="166"/>
        <w:rPr>
          <w:sz w:val="2"/>
        </w:rPr>
      </w:pPr>
      <w:r>
        <w:rPr>
          <w:sz w:val="2"/>
        </w:rPr>
        <w:drawing>
          <wp:inline distT="0" distB="0" distL="0" distR="0">
            <wp:extent cx="55304" cy="6381"/>
            <wp:effectExtent l="0" t="0" r="0" b="0"/>
            <wp:docPr id="327" name="image15.png"/>
            <wp:cNvGraphicFramePr>
              <a:graphicFrameLocks noChangeAspect="1"/>
            </wp:cNvGraphicFramePr>
            <a:graphic>
              <a:graphicData uri="http://schemas.openxmlformats.org/drawingml/2006/picture">
                <pic:pic>
                  <pic:nvPicPr>
                    <pic:cNvPr id="328" name="image15.png"/>
                    <pic:cNvPicPr/>
                  </pic:nvPicPr>
                  <pic:blipFill>
                    <a:blip r:embed="rId46" cstate="print"/>
                    <a:stretch>
                      <a:fillRect/>
                    </a:stretch>
                  </pic:blipFill>
                  <pic:spPr>
                    <a:xfrm>
                      <a:off x="0" y="0"/>
                      <a:ext cx="55304" cy="6381"/>
                    </a:xfrm>
                    <a:prstGeom prst="rect">
                      <a:avLst/>
                    </a:prstGeom>
                  </pic:spPr>
                </pic:pic>
              </a:graphicData>
            </a:graphic>
          </wp:inline>
        </w:drawing>
      </w:r>
      <w:r>
        <w:rPr>
          <w:sz w:val="2"/>
        </w:rPr>
      </w:r>
    </w:p>
    <w:p>
      <w:pPr>
        <w:pStyle w:val="BodyText"/>
        <w:spacing w:before="8"/>
        <w:rPr>
          <w:sz w:val="9"/>
        </w:rPr>
      </w:pPr>
    </w:p>
    <w:p>
      <w:pPr>
        <w:pStyle w:val="BodyText"/>
        <w:spacing w:line="20" w:lineRule="exact"/>
        <w:ind w:left="166"/>
        <w:rPr>
          <w:sz w:val="2"/>
        </w:rPr>
      </w:pPr>
      <w:r>
        <w:rPr>
          <w:sz w:val="2"/>
        </w:rPr>
        <w:drawing>
          <wp:inline distT="0" distB="0" distL="0" distR="0">
            <wp:extent cx="54478" cy="6286"/>
            <wp:effectExtent l="0" t="0" r="0" b="0"/>
            <wp:docPr id="329" name="image19.png"/>
            <wp:cNvGraphicFramePr>
              <a:graphicFrameLocks noChangeAspect="1"/>
            </wp:cNvGraphicFramePr>
            <a:graphic>
              <a:graphicData uri="http://schemas.openxmlformats.org/drawingml/2006/picture">
                <pic:pic>
                  <pic:nvPicPr>
                    <pic:cNvPr id="330" name="image19.png"/>
                    <pic:cNvPicPr/>
                  </pic:nvPicPr>
                  <pic:blipFill>
                    <a:blip r:embed="rId50" cstate="print"/>
                    <a:stretch>
                      <a:fillRect/>
                    </a:stretch>
                  </pic:blipFill>
                  <pic:spPr>
                    <a:xfrm>
                      <a:off x="0" y="0"/>
                      <a:ext cx="54478" cy="6286"/>
                    </a:xfrm>
                    <a:prstGeom prst="rect">
                      <a:avLst/>
                    </a:prstGeom>
                  </pic:spPr>
                </pic:pic>
              </a:graphicData>
            </a:graphic>
          </wp:inline>
        </w:drawing>
      </w:r>
      <w:r>
        <w:rPr>
          <w:sz w:val="2"/>
        </w:rPr>
      </w:r>
    </w:p>
    <w:p>
      <w:pPr>
        <w:pStyle w:val="BodyText"/>
        <w:spacing w:before="9"/>
        <w:rPr>
          <w:sz w:val="9"/>
        </w:rPr>
      </w:pPr>
    </w:p>
    <w:p>
      <w:pPr>
        <w:pStyle w:val="BodyText"/>
        <w:spacing w:line="20" w:lineRule="exact"/>
        <w:ind w:left="166"/>
        <w:rPr>
          <w:sz w:val="2"/>
        </w:rPr>
      </w:pPr>
      <w:r>
        <w:rPr>
          <w:sz w:val="2"/>
        </w:rPr>
        <w:drawing>
          <wp:inline distT="0" distB="0" distL="0" distR="0">
            <wp:extent cx="55304" cy="6381"/>
            <wp:effectExtent l="0" t="0" r="0" b="0"/>
            <wp:docPr id="331" name="image15.png"/>
            <wp:cNvGraphicFramePr>
              <a:graphicFrameLocks noChangeAspect="1"/>
            </wp:cNvGraphicFramePr>
            <a:graphic>
              <a:graphicData uri="http://schemas.openxmlformats.org/drawingml/2006/picture">
                <pic:pic>
                  <pic:nvPicPr>
                    <pic:cNvPr id="332" name="image15.png"/>
                    <pic:cNvPicPr/>
                  </pic:nvPicPr>
                  <pic:blipFill>
                    <a:blip r:embed="rId46" cstate="print"/>
                    <a:stretch>
                      <a:fillRect/>
                    </a:stretch>
                  </pic:blipFill>
                  <pic:spPr>
                    <a:xfrm>
                      <a:off x="0" y="0"/>
                      <a:ext cx="55304" cy="6381"/>
                    </a:xfrm>
                    <a:prstGeom prst="rect">
                      <a:avLst/>
                    </a:prstGeom>
                  </pic:spPr>
                </pic:pic>
              </a:graphicData>
            </a:graphic>
          </wp:inline>
        </w:drawing>
      </w:r>
      <w:r>
        <w:rPr>
          <w:sz w:val="2"/>
        </w:rPr>
      </w:r>
    </w:p>
    <w:p>
      <w:pPr>
        <w:pStyle w:val="BodyText"/>
        <w:spacing w:before="9"/>
        <w:rPr>
          <w:sz w:val="9"/>
        </w:rPr>
      </w:pPr>
    </w:p>
    <w:p>
      <w:pPr>
        <w:pStyle w:val="BodyText"/>
        <w:spacing w:line="20" w:lineRule="exact"/>
        <w:ind w:left="166"/>
        <w:rPr>
          <w:sz w:val="2"/>
        </w:rPr>
      </w:pPr>
      <w:r>
        <w:rPr>
          <w:sz w:val="2"/>
        </w:rPr>
        <w:drawing>
          <wp:inline distT="0" distB="0" distL="0" distR="0">
            <wp:extent cx="55304" cy="6381"/>
            <wp:effectExtent l="0" t="0" r="0" b="0"/>
            <wp:docPr id="333" name="image15.png"/>
            <wp:cNvGraphicFramePr>
              <a:graphicFrameLocks noChangeAspect="1"/>
            </wp:cNvGraphicFramePr>
            <a:graphic>
              <a:graphicData uri="http://schemas.openxmlformats.org/drawingml/2006/picture">
                <pic:pic>
                  <pic:nvPicPr>
                    <pic:cNvPr id="334" name="image15.png"/>
                    <pic:cNvPicPr/>
                  </pic:nvPicPr>
                  <pic:blipFill>
                    <a:blip r:embed="rId46" cstate="print"/>
                    <a:stretch>
                      <a:fillRect/>
                    </a:stretch>
                  </pic:blipFill>
                  <pic:spPr>
                    <a:xfrm>
                      <a:off x="0" y="0"/>
                      <a:ext cx="55304" cy="6381"/>
                    </a:xfrm>
                    <a:prstGeom prst="rect">
                      <a:avLst/>
                    </a:prstGeom>
                  </pic:spPr>
                </pic:pic>
              </a:graphicData>
            </a:graphic>
          </wp:inline>
        </w:drawing>
      </w:r>
      <w:r>
        <w:rPr>
          <w:sz w:val="2"/>
        </w:rPr>
      </w:r>
    </w:p>
    <w:p>
      <w:pPr>
        <w:pStyle w:val="BodyText"/>
        <w:spacing w:before="8"/>
        <w:rPr>
          <w:sz w:val="9"/>
        </w:rPr>
      </w:pPr>
    </w:p>
    <w:p>
      <w:pPr>
        <w:pStyle w:val="BodyText"/>
        <w:spacing w:line="20" w:lineRule="exact"/>
        <w:ind w:left="166"/>
        <w:rPr>
          <w:sz w:val="2"/>
        </w:rPr>
      </w:pPr>
      <w:r>
        <w:rPr>
          <w:sz w:val="2"/>
        </w:rPr>
        <w:drawing>
          <wp:inline distT="0" distB="0" distL="0" distR="0">
            <wp:extent cx="55304" cy="6381"/>
            <wp:effectExtent l="0" t="0" r="0" b="0"/>
            <wp:docPr id="335" name="image15.png"/>
            <wp:cNvGraphicFramePr>
              <a:graphicFrameLocks noChangeAspect="1"/>
            </wp:cNvGraphicFramePr>
            <a:graphic>
              <a:graphicData uri="http://schemas.openxmlformats.org/drawingml/2006/picture">
                <pic:pic>
                  <pic:nvPicPr>
                    <pic:cNvPr id="336" name="image15.png"/>
                    <pic:cNvPicPr/>
                  </pic:nvPicPr>
                  <pic:blipFill>
                    <a:blip r:embed="rId46" cstate="print"/>
                    <a:stretch>
                      <a:fillRect/>
                    </a:stretch>
                  </pic:blipFill>
                  <pic:spPr>
                    <a:xfrm>
                      <a:off x="0" y="0"/>
                      <a:ext cx="55304" cy="6381"/>
                    </a:xfrm>
                    <a:prstGeom prst="rect">
                      <a:avLst/>
                    </a:prstGeom>
                  </pic:spPr>
                </pic:pic>
              </a:graphicData>
            </a:graphic>
          </wp:inline>
        </w:drawing>
      </w:r>
      <w:r>
        <w:rPr>
          <w:sz w:val="2"/>
        </w:rPr>
      </w:r>
    </w:p>
    <w:p>
      <w:pPr>
        <w:pStyle w:val="BodyText"/>
        <w:spacing w:before="9"/>
        <w:rPr>
          <w:sz w:val="9"/>
        </w:rPr>
      </w:pPr>
    </w:p>
    <w:p>
      <w:pPr>
        <w:pStyle w:val="BodyText"/>
        <w:spacing w:line="20" w:lineRule="exact"/>
        <w:ind w:left="166"/>
        <w:rPr>
          <w:sz w:val="2"/>
        </w:rPr>
      </w:pPr>
      <w:r>
        <w:rPr>
          <w:sz w:val="2"/>
        </w:rPr>
        <w:drawing>
          <wp:inline distT="0" distB="0" distL="0" distR="0">
            <wp:extent cx="55304" cy="6381"/>
            <wp:effectExtent l="0" t="0" r="0" b="0"/>
            <wp:docPr id="337" name="image15.png"/>
            <wp:cNvGraphicFramePr>
              <a:graphicFrameLocks noChangeAspect="1"/>
            </wp:cNvGraphicFramePr>
            <a:graphic>
              <a:graphicData uri="http://schemas.openxmlformats.org/drawingml/2006/picture">
                <pic:pic>
                  <pic:nvPicPr>
                    <pic:cNvPr id="338" name="image15.png"/>
                    <pic:cNvPicPr/>
                  </pic:nvPicPr>
                  <pic:blipFill>
                    <a:blip r:embed="rId46" cstate="print"/>
                    <a:stretch>
                      <a:fillRect/>
                    </a:stretch>
                  </pic:blipFill>
                  <pic:spPr>
                    <a:xfrm>
                      <a:off x="0" y="0"/>
                      <a:ext cx="55304" cy="6381"/>
                    </a:xfrm>
                    <a:prstGeom prst="rect">
                      <a:avLst/>
                    </a:prstGeom>
                  </pic:spPr>
                </pic:pic>
              </a:graphicData>
            </a:graphic>
          </wp:inline>
        </w:drawing>
      </w:r>
      <w:r>
        <w:rPr>
          <w:sz w:val="2"/>
        </w:rPr>
      </w:r>
    </w:p>
    <w:p>
      <w:pPr>
        <w:spacing w:before="48"/>
        <w:ind w:left="166" w:right="0" w:firstLine="0"/>
        <w:jc w:val="left"/>
        <w:rPr>
          <w:sz w:val="12"/>
        </w:rPr>
      </w:pPr>
      <w:r>
        <w:rPr>
          <w:b/>
          <w:sz w:val="12"/>
        </w:rPr>
        <w:t>Skew </w:t>
      </w:r>
      <w:r>
        <w:rPr>
          <w:sz w:val="12"/>
        </w:rPr>
        <w:t>(d)</w:t>
      </w:r>
    </w:p>
    <w:p>
      <w:pPr>
        <w:pStyle w:val="BodyText"/>
        <w:spacing w:line="20" w:lineRule="exact"/>
        <w:ind w:left="166"/>
        <w:rPr>
          <w:sz w:val="2"/>
        </w:rPr>
      </w:pPr>
      <w:r>
        <w:rPr>
          <w:sz w:val="2"/>
        </w:rPr>
        <w:drawing>
          <wp:inline distT="0" distB="0" distL="0" distR="0">
            <wp:extent cx="54478" cy="6286"/>
            <wp:effectExtent l="0" t="0" r="0" b="0"/>
            <wp:docPr id="339" name="image19.png"/>
            <wp:cNvGraphicFramePr>
              <a:graphicFrameLocks noChangeAspect="1"/>
            </wp:cNvGraphicFramePr>
            <a:graphic>
              <a:graphicData uri="http://schemas.openxmlformats.org/drawingml/2006/picture">
                <pic:pic>
                  <pic:nvPicPr>
                    <pic:cNvPr id="340" name="image19.png"/>
                    <pic:cNvPicPr/>
                  </pic:nvPicPr>
                  <pic:blipFill>
                    <a:blip r:embed="rId50" cstate="print"/>
                    <a:stretch>
                      <a:fillRect/>
                    </a:stretch>
                  </pic:blipFill>
                  <pic:spPr>
                    <a:xfrm>
                      <a:off x="0" y="0"/>
                      <a:ext cx="54478" cy="6286"/>
                    </a:xfrm>
                    <a:prstGeom prst="rect">
                      <a:avLst/>
                    </a:prstGeom>
                  </pic:spPr>
                </pic:pic>
              </a:graphicData>
            </a:graphic>
          </wp:inline>
        </w:drawing>
      </w:r>
      <w:r>
        <w:rPr>
          <w:sz w:val="2"/>
        </w:rPr>
      </w:r>
    </w:p>
    <w:p>
      <w:pPr>
        <w:pStyle w:val="BodyText"/>
        <w:spacing w:before="7"/>
        <w:rPr>
          <w:sz w:val="11"/>
        </w:rPr>
      </w:pPr>
      <w:r>
        <w:rPr/>
        <w:drawing>
          <wp:anchor distT="0" distB="0" distL="0" distR="0" allowOverlap="1" layoutInCell="1" locked="0" behindDoc="0" simplePos="0" relativeHeight="917">
            <wp:simplePos x="0" y="0"/>
            <wp:positionH relativeFrom="page">
              <wp:posOffset>512216</wp:posOffset>
            </wp:positionH>
            <wp:positionV relativeFrom="paragraph">
              <wp:posOffset>110032</wp:posOffset>
            </wp:positionV>
            <wp:extent cx="55304" cy="6381"/>
            <wp:effectExtent l="0" t="0" r="0" b="0"/>
            <wp:wrapTopAndBottom/>
            <wp:docPr id="341" name="image15.png"/>
            <wp:cNvGraphicFramePr>
              <a:graphicFrameLocks noChangeAspect="1"/>
            </wp:cNvGraphicFramePr>
            <a:graphic>
              <a:graphicData uri="http://schemas.openxmlformats.org/drawingml/2006/picture">
                <pic:pic>
                  <pic:nvPicPr>
                    <pic:cNvPr id="342"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918">
            <wp:simplePos x="0" y="0"/>
            <wp:positionH relativeFrom="page">
              <wp:posOffset>512216</wp:posOffset>
            </wp:positionH>
            <wp:positionV relativeFrom="paragraph">
              <wp:posOffset>232765</wp:posOffset>
            </wp:positionV>
            <wp:extent cx="55304" cy="6381"/>
            <wp:effectExtent l="0" t="0" r="0" b="0"/>
            <wp:wrapTopAndBottom/>
            <wp:docPr id="343" name="image15.png"/>
            <wp:cNvGraphicFramePr>
              <a:graphicFrameLocks noChangeAspect="1"/>
            </wp:cNvGraphicFramePr>
            <a:graphic>
              <a:graphicData uri="http://schemas.openxmlformats.org/drawingml/2006/picture">
                <pic:pic>
                  <pic:nvPicPr>
                    <pic:cNvPr id="344"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919">
            <wp:simplePos x="0" y="0"/>
            <wp:positionH relativeFrom="page">
              <wp:posOffset>512216</wp:posOffset>
            </wp:positionH>
            <wp:positionV relativeFrom="paragraph">
              <wp:posOffset>355498</wp:posOffset>
            </wp:positionV>
            <wp:extent cx="55304" cy="6381"/>
            <wp:effectExtent l="0" t="0" r="0" b="0"/>
            <wp:wrapTopAndBottom/>
            <wp:docPr id="345" name="image15.png"/>
            <wp:cNvGraphicFramePr>
              <a:graphicFrameLocks noChangeAspect="1"/>
            </wp:cNvGraphicFramePr>
            <a:graphic>
              <a:graphicData uri="http://schemas.openxmlformats.org/drawingml/2006/picture">
                <pic:pic>
                  <pic:nvPicPr>
                    <pic:cNvPr id="346" name="image15.png"/>
                    <pic:cNvPicPr/>
                  </pic:nvPicPr>
                  <pic:blipFill>
                    <a:blip r:embed="rId46"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920">
            <wp:simplePos x="0" y="0"/>
            <wp:positionH relativeFrom="page">
              <wp:posOffset>512216</wp:posOffset>
            </wp:positionH>
            <wp:positionV relativeFrom="paragraph">
              <wp:posOffset>478218</wp:posOffset>
            </wp:positionV>
            <wp:extent cx="54478" cy="6286"/>
            <wp:effectExtent l="0" t="0" r="0" b="0"/>
            <wp:wrapTopAndBottom/>
            <wp:docPr id="347" name="image19.png"/>
            <wp:cNvGraphicFramePr>
              <a:graphicFrameLocks noChangeAspect="1"/>
            </wp:cNvGraphicFramePr>
            <a:graphic>
              <a:graphicData uri="http://schemas.openxmlformats.org/drawingml/2006/picture">
                <pic:pic>
                  <pic:nvPicPr>
                    <pic:cNvPr id="348" name="image19.png"/>
                    <pic:cNvPicPr/>
                  </pic:nvPicPr>
                  <pic:blipFill>
                    <a:blip r:embed="rId50" cstate="print"/>
                    <a:stretch>
                      <a:fillRect/>
                    </a:stretch>
                  </pic:blipFill>
                  <pic:spPr>
                    <a:xfrm>
                      <a:off x="0" y="0"/>
                      <a:ext cx="54478" cy="6286"/>
                    </a:xfrm>
                    <a:prstGeom prst="rect">
                      <a:avLst/>
                    </a:prstGeom>
                  </pic:spPr>
                </pic:pic>
              </a:graphicData>
            </a:graphic>
          </wp:anchor>
        </w:drawing>
      </w:r>
      <w:r>
        <w:rPr/>
        <w:drawing>
          <wp:anchor distT="0" distB="0" distL="0" distR="0" allowOverlap="1" layoutInCell="1" locked="0" behindDoc="0" simplePos="0" relativeHeight="921">
            <wp:simplePos x="0" y="0"/>
            <wp:positionH relativeFrom="page">
              <wp:posOffset>512216</wp:posOffset>
            </wp:positionH>
            <wp:positionV relativeFrom="paragraph">
              <wp:posOffset>600951</wp:posOffset>
            </wp:positionV>
            <wp:extent cx="55304" cy="6381"/>
            <wp:effectExtent l="0" t="0" r="0" b="0"/>
            <wp:wrapTopAndBottom/>
            <wp:docPr id="349" name="image15.png"/>
            <wp:cNvGraphicFramePr>
              <a:graphicFrameLocks noChangeAspect="1"/>
            </wp:cNvGraphicFramePr>
            <a:graphic>
              <a:graphicData uri="http://schemas.openxmlformats.org/drawingml/2006/picture">
                <pic:pic>
                  <pic:nvPicPr>
                    <pic:cNvPr id="350" name="image15.png"/>
                    <pic:cNvPicPr/>
                  </pic:nvPicPr>
                  <pic:blipFill>
                    <a:blip r:embed="rId46" cstate="print"/>
                    <a:stretch>
                      <a:fillRect/>
                    </a:stretch>
                  </pic:blipFill>
                  <pic:spPr>
                    <a:xfrm>
                      <a:off x="0" y="0"/>
                      <a:ext cx="55304" cy="6381"/>
                    </a:xfrm>
                    <a:prstGeom prst="rect">
                      <a:avLst/>
                    </a:prstGeom>
                  </pic:spPr>
                </pic:pic>
              </a:graphicData>
            </a:graphic>
          </wp:anchor>
        </w:drawing>
      </w:r>
    </w:p>
    <w:p>
      <w:pPr>
        <w:pStyle w:val="BodyText"/>
        <w:rPr>
          <w:sz w:val="10"/>
        </w:rPr>
      </w:pPr>
    </w:p>
    <w:p>
      <w:pPr>
        <w:pStyle w:val="BodyText"/>
        <w:rPr>
          <w:sz w:val="10"/>
        </w:rPr>
      </w:pPr>
    </w:p>
    <w:p>
      <w:pPr>
        <w:pStyle w:val="BodyText"/>
        <w:rPr>
          <w:sz w:val="10"/>
        </w:rPr>
      </w:pPr>
    </w:p>
    <w:p>
      <w:pPr>
        <w:pStyle w:val="BodyText"/>
        <w:rPr>
          <w:sz w:val="10"/>
        </w:rPr>
      </w:pPr>
    </w:p>
    <w:p>
      <w:pPr>
        <w:spacing w:before="31"/>
        <w:ind w:left="0" w:right="38" w:firstLine="0"/>
        <w:jc w:val="right"/>
        <w:rPr>
          <w:sz w:val="12"/>
        </w:rPr>
      </w:pPr>
      <w:r>
        <w:rPr/>
        <w:br w:type="column"/>
      </w:r>
      <w:r>
        <w:rPr>
          <w:sz w:val="12"/>
        </w:rPr>
        <w:t>$  per bar</w:t>
      </w:r>
      <w:r>
        <w:rPr>
          <w:sz w:val="12"/>
          <w:u w:val="single"/>
        </w:rPr>
        <w:t>re</w:t>
      </w:r>
      <w:r>
        <w:rPr>
          <w:sz w:val="12"/>
        </w:rPr>
        <w:t>l</w:t>
      </w:r>
      <w:r>
        <w:rPr>
          <w:spacing w:val="26"/>
          <w:sz w:val="12"/>
        </w:rPr>
        <w:t> </w:t>
      </w:r>
      <w:r>
        <w:rPr>
          <w:position w:val="-6"/>
          <w:sz w:val="12"/>
        </w:rPr>
        <w:t>26</w:t>
      </w:r>
    </w:p>
    <w:p>
      <w:pPr>
        <w:spacing w:line="137" w:lineRule="exact" w:before="2"/>
        <w:ind w:left="0" w:right="38" w:firstLine="0"/>
        <w:jc w:val="right"/>
        <w:rPr>
          <w:sz w:val="12"/>
        </w:rPr>
      </w:pPr>
      <w:r>
        <w:rPr/>
        <w:drawing>
          <wp:anchor distT="0" distB="0" distL="0" distR="0" allowOverlap="1" layoutInCell="1" locked="0" behindDoc="0" simplePos="0" relativeHeight="16216576">
            <wp:simplePos x="0" y="0"/>
            <wp:positionH relativeFrom="page">
              <wp:posOffset>2542120</wp:posOffset>
            </wp:positionH>
            <wp:positionV relativeFrom="paragraph">
              <wp:posOffset>46969</wp:posOffset>
            </wp:positionV>
            <wp:extent cx="55029" cy="6350"/>
            <wp:effectExtent l="0" t="0" r="0" b="0"/>
            <wp:wrapNone/>
            <wp:docPr id="351" name="image15.png"/>
            <wp:cNvGraphicFramePr>
              <a:graphicFrameLocks noChangeAspect="1"/>
            </wp:cNvGraphicFramePr>
            <a:graphic>
              <a:graphicData uri="http://schemas.openxmlformats.org/drawingml/2006/picture">
                <pic:pic>
                  <pic:nvPicPr>
                    <pic:cNvPr id="352"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20</w:t>
      </w:r>
    </w:p>
    <w:p>
      <w:pPr>
        <w:spacing w:line="136" w:lineRule="exact" w:before="0"/>
        <w:ind w:left="0" w:right="38" w:firstLine="0"/>
        <w:jc w:val="right"/>
        <w:rPr>
          <w:sz w:val="12"/>
        </w:rPr>
      </w:pPr>
      <w:r>
        <w:rPr/>
        <w:drawing>
          <wp:anchor distT="0" distB="0" distL="0" distR="0" allowOverlap="1" layoutInCell="1" locked="0" behindDoc="0" simplePos="0" relativeHeight="16217088">
            <wp:simplePos x="0" y="0"/>
            <wp:positionH relativeFrom="page">
              <wp:posOffset>2542120</wp:posOffset>
            </wp:positionH>
            <wp:positionV relativeFrom="paragraph">
              <wp:posOffset>45122</wp:posOffset>
            </wp:positionV>
            <wp:extent cx="55029" cy="6350"/>
            <wp:effectExtent l="0" t="0" r="0" b="0"/>
            <wp:wrapNone/>
            <wp:docPr id="353" name="image19.png"/>
            <wp:cNvGraphicFramePr>
              <a:graphicFrameLocks noChangeAspect="1"/>
            </wp:cNvGraphicFramePr>
            <a:graphic>
              <a:graphicData uri="http://schemas.openxmlformats.org/drawingml/2006/picture">
                <pic:pic>
                  <pic:nvPicPr>
                    <pic:cNvPr id="354"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22</w:t>
      </w:r>
    </w:p>
    <w:p>
      <w:pPr>
        <w:spacing w:line="136" w:lineRule="exact" w:before="0"/>
        <w:ind w:left="0" w:right="38" w:firstLine="0"/>
        <w:jc w:val="right"/>
        <w:rPr>
          <w:sz w:val="12"/>
        </w:rPr>
      </w:pPr>
      <w:r>
        <w:rPr/>
        <w:drawing>
          <wp:anchor distT="0" distB="0" distL="0" distR="0" allowOverlap="1" layoutInCell="1" locked="0" behindDoc="0" simplePos="0" relativeHeight="16214528">
            <wp:simplePos x="0" y="0"/>
            <wp:positionH relativeFrom="page">
              <wp:posOffset>2542120</wp:posOffset>
            </wp:positionH>
            <wp:positionV relativeFrom="paragraph">
              <wp:posOffset>45130</wp:posOffset>
            </wp:positionV>
            <wp:extent cx="55029" cy="6350"/>
            <wp:effectExtent l="0" t="0" r="0" b="0"/>
            <wp:wrapNone/>
            <wp:docPr id="355" name="image19.png"/>
            <wp:cNvGraphicFramePr>
              <a:graphicFrameLocks noChangeAspect="1"/>
            </wp:cNvGraphicFramePr>
            <a:graphic>
              <a:graphicData uri="http://schemas.openxmlformats.org/drawingml/2006/picture">
                <pic:pic>
                  <pic:nvPicPr>
                    <pic:cNvPr id="356"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20</w:t>
      </w:r>
    </w:p>
    <w:p>
      <w:pPr>
        <w:spacing w:line="136" w:lineRule="exact" w:before="0"/>
        <w:ind w:left="0" w:right="38" w:firstLine="0"/>
        <w:jc w:val="right"/>
        <w:rPr>
          <w:sz w:val="12"/>
        </w:rPr>
      </w:pPr>
      <w:r>
        <w:rPr/>
        <w:drawing>
          <wp:anchor distT="0" distB="0" distL="0" distR="0" allowOverlap="1" layoutInCell="1" locked="0" behindDoc="0" simplePos="0" relativeHeight="16217600">
            <wp:simplePos x="0" y="0"/>
            <wp:positionH relativeFrom="page">
              <wp:posOffset>2542120</wp:posOffset>
            </wp:positionH>
            <wp:positionV relativeFrom="paragraph">
              <wp:posOffset>45138</wp:posOffset>
            </wp:positionV>
            <wp:extent cx="55029" cy="6350"/>
            <wp:effectExtent l="0" t="0" r="0" b="0"/>
            <wp:wrapNone/>
            <wp:docPr id="357" name="image15.png"/>
            <wp:cNvGraphicFramePr>
              <a:graphicFrameLocks noChangeAspect="1"/>
            </wp:cNvGraphicFramePr>
            <a:graphic>
              <a:graphicData uri="http://schemas.openxmlformats.org/drawingml/2006/picture">
                <pic:pic>
                  <pic:nvPicPr>
                    <pic:cNvPr id="358"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18</w:t>
      </w:r>
    </w:p>
    <w:p>
      <w:pPr>
        <w:spacing w:line="136" w:lineRule="exact" w:before="0"/>
        <w:ind w:left="0" w:right="38" w:firstLine="0"/>
        <w:jc w:val="right"/>
        <w:rPr>
          <w:sz w:val="12"/>
        </w:rPr>
      </w:pPr>
      <w:r>
        <w:rPr/>
        <w:drawing>
          <wp:anchor distT="0" distB="0" distL="0" distR="0" allowOverlap="1" layoutInCell="1" locked="0" behindDoc="0" simplePos="0" relativeHeight="16215040">
            <wp:simplePos x="0" y="0"/>
            <wp:positionH relativeFrom="page">
              <wp:posOffset>2542120</wp:posOffset>
            </wp:positionH>
            <wp:positionV relativeFrom="paragraph">
              <wp:posOffset>45132</wp:posOffset>
            </wp:positionV>
            <wp:extent cx="55029" cy="6350"/>
            <wp:effectExtent l="0" t="0" r="0" b="0"/>
            <wp:wrapNone/>
            <wp:docPr id="359" name="image15.png"/>
            <wp:cNvGraphicFramePr>
              <a:graphicFrameLocks noChangeAspect="1"/>
            </wp:cNvGraphicFramePr>
            <a:graphic>
              <a:graphicData uri="http://schemas.openxmlformats.org/drawingml/2006/picture">
                <pic:pic>
                  <pic:nvPicPr>
                    <pic:cNvPr id="360"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16</w:t>
      </w:r>
    </w:p>
    <w:p>
      <w:pPr>
        <w:spacing w:line="136" w:lineRule="exact" w:before="0"/>
        <w:ind w:left="0" w:right="38" w:firstLine="0"/>
        <w:jc w:val="right"/>
        <w:rPr>
          <w:sz w:val="12"/>
        </w:rPr>
      </w:pPr>
      <w:r>
        <w:rPr/>
        <w:drawing>
          <wp:anchor distT="0" distB="0" distL="0" distR="0" allowOverlap="1" layoutInCell="1" locked="0" behindDoc="0" simplePos="0" relativeHeight="16218112">
            <wp:simplePos x="0" y="0"/>
            <wp:positionH relativeFrom="page">
              <wp:posOffset>2542120</wp:posOffset>
            </wp:positionH>
            <wp:positionV relativeFrom="paragraph">
              <wp:posOffset>45140</wp:posOffset>
            </wp:positionV>
            <wp:extent cx="55029" cy="6350"/>
            <wp:effectExtent l="0" t="0" r="0" b="0"/>
            <wp:wrapNone/>
            <wp:docPr id="361" name="image15.png"/>
            <wp:cNvGraphicFramePr>
              <a:graphicFrameLocks noChangeAspect="1"/>
            </wp:cNvGraphicFramePr>
            <a:graphic>
              <a:graphicData uri="http://schemas.openxmlformats.org/drawingml/2006/picture">
                <pic:pic>
                  <pic:nvPicPr>
                    <pic:cNvPr id="362"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14</w:t>
      </w:r>
    </w:p>
    <w:p>
      <w:pPr>
        <w:spacing w:line="136" w:lineRule="exact" w:before="0"/>
        <w:ind w:left="0" w:right="38" w:firstLine="0"/>
        <w:jc w:val="right"/>
        <w:rPr>
          <w:sz w:val="12"/>
        </w:rPr>
      </w:pPr>
      <w:r>
        <w:rPr/>
        <w:drawing>
          <wp:anchor distT="0" distB="0" distL="0" distR="0" allowOverlap="1" layoutInCell="1" locked="0" behindDoc="0" simplePos="0" relativeHeight="16215552">
            <wp:simplePos x="0" y="0"/>
            <wp:positionH relativeFrom="page">
              <wp:posOffset>2542120</wp:posOffset>
            </wp:positionH>
            <wp:positionV relativeFrom="paragraph">
              <wp:posOffset>45135</wp:posOffset>
            </wp:positionV>
            <wp:extent cx="55029" cy="6350"/>
            <wp:effectExtent l="0" t="0" r="0" b="0"/>
            <wp:wrapNone/>
            <wp:docPr id="363" name="image15.png"/>
            <wp:cNvGraphicFramePr>
              <a:graphicFrameLocks noChangeAspect="1"/>
            </wp:cNvGraphicFramePr>
            <a:graphic>
              <a:graphicData uri="http://schemas.openxmlformats.org/drawingml/2006/picture">
                <pic:pic>
                  <pic:nvPicPr>
                    <pic:cNvPr id="364"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12</w:t>
      </w:r>
    </w:p>
    <w:p>
      <w:pPr>
        <w:spacing w:line="130" w:lineRule="exact" w:before="0"/>
        <w:ind w:left="0" w:right="38" w:firstLine="0"/>
        <w:jc w:val="right"/>
        <w:rPr>
          <w:sz w:val="12"/>
        </w:rPr>
      </w:pPr>
      <w:r>
        <w:rPr/>
        <w:drawing>
          <wp:anchor distT="0" distB="0" distL="0" distR="0" allowOverlap="1" layoutInCell="1" locked="0" behindDoc="0" simplePos="0" relativeHeight="16216064">
            <wp:simplePos x="0" y="0"/>
            <wp:positionH relativeFrom="page">
              <wp:posOffset>2542120</wp:posOffset>
            </wp:positionH>
            <wp:positionV relativeFrom="paragraph">
              <wp:posOffset>45143</wp:posOffset>
            </wp:positionV>
            <wp:extent cx="55029" cy="6350"/>
            <wp:effectExtent l="0" t="0" r="0" b="0"/>
            <wp:wrapNone/>
            <wp:docPr id="365" name="image19.png"/>
            <wp:cNvGraphicFramePr>
              <a:graphicFrameLocks noChangeAspect="1"/>
            </wp:cNvGraphicFramePr>
            <a:graphic>
              <a:graphicData uri="http://schemas.openxmlformats.org/drawingml/2006/picture">
                <pic:pic>
                  <pic:nvPicPr>
                    <pic:cNvPr id="366"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10</w:t>
      </w:r>
    </w:p>
    <w:p>
      <w:pPr>
        <w:spacing w:line="223" w:lineRule="auto" w:before="0"/>
        <w:ind w:left="166" w:right="0" w:firstLine="0"/>
        <w:jc w:val="left"/>
        <w:rPr>
          <w:sz w:val="12"/>
        </w:rPr>
      </w:pPr>
      <w:r>
        <w:rPr>
          <w:sz w:val="12"/>
        </w:rPr>
        <w:t>$  per bar</w:t>
      </w:r>
      <w:r>
        <w:rPr>
          <w:sz w:val="12"/>
          <w:u w:val="single"/>
        </w:rPr>
        <w:t>re</w:t>
      </w:r>
      <w:r>
        <w:rPr>
          <w:sz w:val="12"/>
        </w:rPr>
        <w:t>l  </w:t>
      </w:r>
      <w:r>
        <w:rPr>
          <w:spacing w:val="26"/>
          <w:sz w:val="12"/>
        </w:rPr>
        <w:t> </w:t>
      </w:r>
      <w:r>
        <w:rPr>
          <w:position w:val="-5"/>
          <w:sz w:val="12"/>
        </w:rPr>
        <w:t>8</w:t>
      </w:r>
    </w:p>
    <w:p>
      <w:pPr>
        <w:spacing w:line="135" w:lineRule="exact" w:before="0"/>
        <w:ind w:left="0" w:right="38" w:firstLine="0"/>
        <w:jc w:val="right"/>
        <w:rPr>
          <w:sz w:val="12"/>
        </w:rPr>
      </w:pPr>
      <w:r>
        <w:rPr/>
        <w:drawing>
          <wp:anchor distT="0" distB="0" distL="0" distR="0" allowOverlap="1" layoutInCell="1" locked="0" behindDoc="0" simplePos="0" relativeHeight="16220672">
            <wp:simplePos x="0" y="0"/>
            <wp:positionH relativeFrom="page">
              <wp:posOffset>2542120</wp:posOffset>
            </wp:positionH>
            <wp:positionV relativeFrom="paragraph">
              <wp:posOffset>45313</wp:posOffset>
            </wp:positionV>
            <wp:extent cx="55029" cy="6350"/>
            <wp:effectExtent l="0" t="0" r="0" b="0"/>
            <wp:wrapNone/>
            <wp:docPr id="367" name="image19.png"/>
            <wp:cNvGraphicFramePr>
              <a:graphicFrameLocks noChangeAspect="1"/>
            </wp:cNvGraphicFramePr>
            <a:graphic>
              <a:graphicData uri="http://schemas.openxmlformats.org/drawingml/2006/picture">
                <pic:pic>
                  <pic:nvPicPr>
                    <pic:cNvPr id="368"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7</w:t>
      </w:r>
    </w:p>
    <w:p>
      <w:pPr>
        <w:spacing w:line="132" w:lineRule="exact" w:before="0"/>
        <w:ind w:left="0" w:right="38" w:firstLine="0"/>
        <w:jc w:val="right"/>
        <w:rPr>
          <w:sz w:val="12"/>
        </w:rPr>
      </w:pPr>
      <w:r>
        <w:rPr/>
        <w:drawing>
          <wp:anchor distT="0" distB="0" distL="0" distR="0" allowOverlap="1" layoutInCell="1" locked="0" behindDoc="0" simplePos="0" relativeHeight="16218624">
            <wp:simplePos x="0" y="0"/>
            <wp:positionH relativeFrom="page">
              <wp:posOffset>2542120</wp:posOffset>
            </wp:positionH>
            <wp:positionV relativeFrom="paragraph">
              <wp:posOffset>43354</wp:posOffset>
            </wp:positionV>
            <wp:extent cx="55029" cy="6350"/>
            <wp:effectExtent l="0" t="0" r="0" b="0"/>
            <wp:wrapNone/>
            <wp:docPr id="369" name="image15.png"/>
            <wp:cNvGraphicFramePr>
              <a:graphicFrameLocks noChangeAspect="1"/>
            </wp:cNvGraphicFramePr>
            <a:graphic>
              <a:graphicData uri="http://schemas.openxmlformats.org/drawingml/2006/picture">
                <pic:pic>
                  <pic:nvPicPr>
                    <pic:cNvPr id="370"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6</w:t>
      </w:r>
    </w:p>
    <w:p>
      <w:pPr>
        <w:spacing w:line="132" w:lineRule="exact" w:before="0"/>
        <w:ind w:left="0" w:right="38" w:firstLine="0"/>
        <w:jc w:val="right"/>
        <w:rPr>
          <w:sz w:val="12"/>
        </w:rPr>
      </w:pPr>
      <w:r>
        <w:rPr/>
        <w:drawing>
          <wp:anchor distT="0" distB="0" distL="0" distR="0" allowOverlap="1" layoutInCell="1" locked="0" behindDoc="0" simplePos="0" relativeHeight="16221184">
            <wp:simplePos x="0" y="0"/>
            <wp:positionH relativeFrom="page">
              <wp:posOffset>2542120</wp:posOffset>
            </wp:positionH>
            <wp:positionV relativeFrom="paragraph">
              <wp:posOffset>43067</wp:posOffset>
            </wp:positionV>
            <wp:extent cx="55029" cy="6350"/>
            <wp:effectExtent l="0" t="0" r="0" b="0"/>
            <wp:wrapNone/>
            <wp:docPr id="371" name="image15.png"/>
            <wp:cNvGraphicFramePr>
              <a:graphicFrameLocks noChangeAspect="1"/>
            </wp:cNvGraphicFramePr>
            <a:graphic>
              <a:graphicData uri="http://schemas.openxmlformats.org/drawingml/2006/picture">
                <pic:pic>
                  <pic:nvPicPr>
                    <pic:cNvPr id="372"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5</w:t>
      </w:r>
    </w:p>
    <w:p>
      <w:pPr>
        <w:spacing w:line="132" w:lineRule="exact" w:before="0"/>
        <w:ind w:left="0" w:right="38" w:firstLine="0"/>
        <w:jc w:val="right"/>
        <w:rPr>
          <w:sz w:val="12"/>
        </w:rPr>
      </w:pPr>
      <w:r>
        <w:rPr/>
        <w:drawing>
          <wp:anchor distT="0" distB="0" distL="0" distR="0" allowOverlap="1" layoutInCell="1" locked="0" behindDoc="0" simplePos="0" relativeHeight="16219136">
            <wp:simplePos x="0" y="0"/>
            <wp:positionH relativeFrom="page">
              <wp:posOffset>2542120</wp:posOffset>
            </wp:positionH>
            <wp:positionV relativeFrom="paragraph">
              <wp:posOffset>42768</wp:posOffset>
            </wp:positionV>
            <wp:extent cx="55029" cy="6350"/>
            <wp:effectExtent l="0" t="0" r="0" b="0"/>
            <wp:wrapNone/>
            <wp:docPr id="373" name="image19.png"/>
            <wp:cNvGraphicFramePr>
              <a:graphicFrameLocks noChangeAspect="1"/>
            </wp:cNvGraphicFramePr>
            <a:graphic>
              <a:graphicData uri="http://schemas.openxmlformats.org/drawingml/2006/picture">
                <pic:pic>
                  <pic:nvPicPr>
                    <pic:cNvPr id="374"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4</w:t>
      </w:r>
    </w:p>
    <w:p>
      <w:pPr>
        <w:spacing w:line="132" w:lineRule="exact" w:before="0"/>
        <w:ind w:left="0" w:right="38" w:firstLine="0"/>
        <w:jc w:val="right"/>
        <w:rPr>
          <w:sz w:val="12"/>
        </w:rPr>
      </w:pPr>
      <w:r>
        <w:rPr/>
        <w:drawing>
          <wp:anchor distT="0" distB="0" distL="0" distR="0" allowOverlap="1" layoutInCell="1" locked="0" behindDoc="0" simplePos="0" relativeHeight="16221696">
            <wp:simplePos x="0" y="0"/>
            <wp:positionH relativeFrom="page">
              <wp:posOffset>2542120</wp:posOffset>
            </wp:positionH>
            <wp:positionV relativeFrom="paragraph">
              <wp:posOffset>42481</wp:posOffset>
            </wp:positionV>
            <wp:extent cx="55029" cy="6350"/>
            <wp:effectExtent l="0" t="0" r="0" b="0"/>
            <wp:wrapNone/>
            <wp:docPr id="375" name="image15.png"/>
            <wp:cNvGraphicFramePr>
              <a:graphicFrameLocks noChangeAspect="1"/>
            </wp:cNvGraphicFramePr>
            <a:graphic>
              <a:graphicData uri="http://schemas.openxmlformats.org/drawingml/2006/picture">
                <pic:pic>
                  <pic:nvPicPr>
                    <pic:cNvPr id="376"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3</w:t>
      </w:r>
    </w:p>
    <w:p>
      <w:pPr>
        <w:spacing w:line="132" w:lineRule="exact" w:before="0"/>
        <w:ind w:left="0" w:right="38" w:firstLine="0"/>
        <w:jc w:val="right"/>
        <w:rPr>
          <w:sz w:val="12"/>
        </w:rPr>
      </w:pPr>
      <w:r>
        <w:rPr/>
        <w:drawing>
          <wp:anchor distT="0" distB="0" distL="0" distR="0" allowOverlap="1" layoutInCell="1" locked="0" behindDoc="0" simplePos="0" relativeHeight="16219648">
            <wp:simplePos x="0" y="0"/>
            <wp:positionH relativeFrom="page">
              <wp:posOffset>2542120</wp:posOffset>
            </wp:positionH>
            <wp:positionV relativeFrom="paragraph">
              <wp:posOffset>42194</wp:posOffset>
            </wp:positionV>
            <wp:extent cx="55029" cy="6350"/>
            <wp:effectExtent l="0" t="0" r="0" b="0"/>
            <wp:wrapNone/>
            <wp:docPr id="377" name="image15.png"/>
            <wp:cNvGraphicFramePr>
              <a:graphicFrameLocks noChangeAspect="1"/>
            </wp:cNvGraphicFramePr>
            <a:graphic>
              <a:graphicData uri="http://schemas.openxmlformats.org/drawingml/2006/picture">
                <pic:pic>
                  <pic:nvPicPr>
                    <pic:cNvPr id="378"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2</w:t>
      </w:r>
    </w:p>
    <w:p>
      <w:pPr>
        <w:spacing w:line="132" w:lineRule="exact" w:before="0"/>
        <w:ind w:left="0" w:right="38" w:firstLine="0"/>
        <w:jc w:val="right"/>
        <w:rPr>
          <w:sz w:val="12"/>
        </w:rPr>
      </w:pPr>
      <w:r>
        <w:rPr/>
        <w:drawing>
          <wp:anchor distT="0" distB="0" distL="0" distR="0" allowOverlap="1" layoutInCell="1" locked="0" behindDoc="0" simplePos="0" relativeHeight="16222208">
            <wp:simplePos x="0" y="0"/>
            <wp:positionH relativeFrom="page">
              <wp:posOffset>2542120</wp:posOffset>
            </wp:positionH>
            <wp:positionV relativeFrom="paragraph">
              <wp:posOffset>41894</wp:posOffset>
            </wp:positionV>
            <wp:extent cx="55029" cy="6350"/>
            <wp:effectExtent l="0" t="0" r="0" b="0"/>
            <wp:wrapNone/>
            <wp:docPr id="379" name="image15.png"/>
            <wp:cNvGraphicFramePr>
              <a:graphicFrameLocks noChangeAspect="1"/>
            </wp:cNvGraphicFramePr>
            <a:graphic>
              <a:graphicData uri="http://schemas.openxmlformats.org/drawingml/2006/picture">
                <pic:pic>
                  <pic:nvPicPr>
                    <pic:cNvPr id="380"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1</w:t>
      </w:r>
    </w:p>
    <w:p>
      <w:pPr>
        <w:spacing w:line="135" w:lineRule="exact" w:before="0"/>
        <w:ind w:left="0" w:right="38" w:firstLine="0"/>
        <w:jc w:val="right"/>
        <w:rPr>
          <w:sz w:val="12"/>
        </w:rPr>
      </w:pPr>
      <w:r>
        <w:rPr/>
        <w:drawing>
          <wp:anchor distT="0" distB="0" distL="0" distR="0" allowOverlap="1" layoutInCell="1" locked="0" behindDoc="0" simplePos="0" relativeHeight="16220160">
            <wp:simplePos x="0" y="0"/>
            <wp:positionH relativeFrom="page">
              <wp:posOffset>2542120</wp:posOffset>
            </wp:positionH>
            <wp:positionV relativeFrom="paragraph">
              <wp:posOffset>41607</wp:posOffset>
            </wp:positionV>
            <wp:extent cx="55029" cy="6350"/>
            <wp:effectExtent l="0" t="0" r="0" b="0"/>
            <wp:wrapNone/>
            <wp:docPr id="381" name="image15.png"/>
            <wp:cNvGraphicFramePr>
              <a:graphicFrameLocks noChangeAspect="1"/>
            </wp:cNvGraphicFramePr>
            <a:graphic>
              <a:graphicData uri="http://schemas.openxmlformats.org/drawingml/2006/picture">
                <pic:pic>
                  <pic:nvPicPr>
                    <pic:cNvPr id="382"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0</w:t>
      </w:r>
    </w:p>
    <w:p>
      <w:pPr>
        <w:spacing w:before="2"/>
        <w:ind w:left="0" w:right="38" w:firstLine="0"/>
        <w:jc w:val="right"/>
        <w:rPr>
          <w:sz w:val="12"/>
        </w:rPr>
      </w:pPr>
      <w:r>
        <w:rPr/>
        <w:drawing>
          <wp:anchor distT="0" distB="0" distL="0" distR="0" allowOverlap="1" layoutInCell="1" locked="0" behindDoc="1" simplePos="0" relativeHeight="480928768">
            <wp:simplePos x="0" y="0"/>
            <wp:positionH relativeFrom="page">
              <wp:posOffset>2542120</wp:posOffset>
            </wp:positionH>
            <wp:positionV relativeFrom="paragraph">
              <wp:posOffset>85097</wp:posOffset>
            </wp:positionV>
            <wp:extent cx="55029" cy="6350"/>
            <wp:effectExtent l="0" t="0" r="0" b="0"/>
            <wp:wrapNone/>
            <wp:docPr id="383" name="image19.png"/>
            <wp:cNvGraphicFramePr>
              <a:graphicFrameLocks noChangeAspect="1"/>
            </wp:cNvGraphicFramePr>
            <a:graphic>
              <a:graphicData uri="http://schemas.openxmlformats.org/drawingml/2006/picture">
                <pic:pic>
                  <pic:nvPicPr>
                    <pic:cNvPr id="384"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Index </w:t>
      </w:r>
      <w:r>
        <w:rPr>
          <w:spacing w:val="4"/>
          <w:sz w:val="12"/>
        </w:rPr>
        <w:t> </w:t>
      </w:r>
      <w:r>
        <w:rPr>
          <w:position w:val="-6"/>
          <w:sz w:val="12"/>
        </w:rPr>
        <w:t>1.2</w:t>
      </w:r>
    </w:p>
    <w:p>
      <w:pPr>
        <w:spacing w:before="50"/>
        <w:ind w:left="0" w:right="38" w:firstLine="0"/>
        <w:jc w:val="right"/>
        <w:rPr>
          <w:sz w:val="12"/>
        </w:rPr>
      </w:pPr>
      <w:r>
        <w:rPr/>
        <w:drawing>
          <wp:anchor distT="0" distB="0" distL="0" distR="0" allowOverlap="1" layoutInCell="1" locked="0" behindDoc="0" simplePos="0" relativeHeight="16214016">
            <wp:simplePos x="0" y="0"/>
            <wp:positionH relativeFrom="page">
              <wp:posOffset>639762</wp:posOffset>
            </wp:positionH>
            <wp:positionV relativeFrom="paragraph">
              <wp:posOffset>53753</wp:posOffset>
            </wp:positionV>
            <wp:extent cx="1847850" cy="640372"/>
            <wp:effectExtent l="0" t="0" r="0" b="0"/>
            <wp:wrapNone/>
            <wp:docPr id="385" name="image78.png"/>
            <wp:cNvGraphicFramePr>
              <a:graphicFrameLocks noChangeAspect="1"/>
            </wp:cNvGraphicFramePr>
            <a:graphic>
              <a:graphicData uri="http://schemas.openxmlformats.org/drawingml/2006/picture">
                <pic:pic>
                  <pic:nvPicPr>
                    <pic:cNvPr id="386" name="image78.png"/>
                    <pic:cNvPicPr/>
                  </pic:nvPicPr>
                  <pic:blipFill>
                    <a:blip r:embed="rId154" cstate="print"/>
                    <a:stretch>
                      <a:fillRect/>
                    </a:stretch>
                  </pic:blipFill>
                  <pic:spPr>
                    <a:xfrm>
                      <a:off x="0" y="0"/>
                      <a:ext cx="1847850" cy="640372"/>
                    </a:xfrm>
                    <a:prstGeom prst="rect">
                      <a:avLst/>
                    </a:prstGeom>
                  </pic:spPr>
                </pic:pic>
              </a:graphicData>
            </a:graphic>
          </wp:anchor>
        </w:drawing>
      </w:r>
      <w:r>
        <w:rPr/>
        <w:drawing>
          <wp:anchor distT="0" distB="0" distL="0" distR="0" allowOverlap="1" layoutInCell="1" locked="0" behindDoc="0" simplePos="0" relativeHeight="16224256">
            <wp:simplePos x="0" y="0"/>
            <wp:positionH relativeFrom="page">
              <wp:posOffset>2542120</wp:posOffset>
            </wp:positionH>
            <wp:positionV relativeFrom="paragraph">
              <wp:posOffset>74124</wp:posOffset>
            </wp:positionV>
            <wp:extent cx="55029" cy="6350"/>
            <wp:effectExtent l="0" t="0" r="0" b="0"/>
            <wp:wrapNone/>
            <wp:docPr id="387" name="image15.png"/>
            <wp:cNvGraphicFramePr>
              <a:graphicFrameLocks noChangeAspect="1"/>
            </wp:cNvGraphicFramePr>
            <a:graphic>
              <a:graphicData uri="http://schemas.openxmlformats.org/drawingml/2006/picture">
                <pic:pic>
                  <pic:nvPicPr>
                    <pic:cNvPr id="388"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1.0</w:t>
      </w:r>
    </w:p>
    <w:p>
      <w:pPr>
        <w:spacing w:before="55"/>
        <w:ind w:left="0" w:right="38" w:firstLine="0"/>
        <w:jc w:val="right"/>
        <w:rPr>
          <w:sz w:val="12"/>
        </w:rPr>
      </w:pPr>
      <w:r>
        <w:rPr/>
        <w:drawing>
          <wp:anchor distT="0" distB="0" distL="0" distR="0" allowOverlap="1" layoutInCell="1" locked="0" behindDoc="0" simplePos="0" relativeHeight="16222720">
            <wp:simplePos x="0" y="0"/>
            <wp:positionH relativeFrom="page">
              <wp:posOffset>2542120</wp:posOffset>
            </wp:positionH>
            <wp:positionV relativeFrom="paragraph">
              <wp:posOffset>77494</wp:posOffset>
            </wp:positionV>
            <wp:extent cx="55029" cy="6350"/>
            <wp:effectExtent l="0" t="0" r="0" b="0"/>
            <wp:wrapNone/>
            <wp:docPr id="389" name="image15.png"/>
            <wp:cNvGraphicFramePr>
              <a:graphicFrameLocks noChangeAspect="1"/>
            </wp:cNvGraphicFramePr>
            <a:graphic>
              <a:graphicData uri="http://schemas.openxmlformats.org/drawingml/2006/picture">
                <pic:pic>
                  <pic:nvPicPr>
                    <pic:cNvPr id="390"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0.8</w:t>
      </w:r>
    </w:p>
    <w:p>
      <w:pPr>
        <w:spacing w:before="55"/>
        <w:ind w:left="0" w:right="38" w:firstLine="0"/>
        <w:jc w:val="right"/>
        <w:rPr>
          <w:sz w:val="12"/>
        </w:rPr>
      </w:pPr>
      <w:r>
        <w:rPr/>
        <w:drawing>
          <wp:anchor distT="0" distB="0" distL="0" distR="0" allowOverlap="1" layoutInCell="1" locked="0" behindDoc="0" simplePos="0" relativeHeight="16224768">
            <wp:simplePos x="0" y="0"/>
            <wp:positionH relativeFrom="page">
              <wp:posOffset>2542120</wp:posOffset>
            </wp:positionH>
            <wp:positionV relativeFrom="paragraph">
              <wp:posOffset>77690</wp:posOffset>
            </wp:positionV>
            <wp:extent cx="55029" cy="6350"/>
            <wp:effectExtent l="0" t="0" r="0" b="0"/>
            <wp:wrapNone/>
            <wp:docPr id="391" name="image15.png"/>
            <wp:cNvGraphicFramePr>
              <a:graphicFrameLocks noChangeAspect="1"/>
            </wp:cNvGraphicFramePr>
            <a:graphic>
              <a:graphicData uri="http://schemas.openxmlformats.org/drawingml/2006/picture">
                <pic:pic>
                  <pic:nvPicPr>
                    <pic:cNvPr id="392"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0.6</w:t>
      </w:r>
    </w:p>
    <w:p>
      <w:pPr>
        <w:spacing w:before="55"/>
        <w:ind w:left="0" w:right="38" w:firstLine="0"/>
        <w:jc w:val="right"/>
        <w:rPr>
          <w:sz w:val="12"/>
        </w:rPr>
      </w:pPr>
      <w:r>
        <w:rPr/>
        <w:drawing>
          <wp:anchor distT="0" distB="0" distL="0" distR="0" allowOverlap="1" layoutInCell="1" locked="0" behindDoc="0" simplePos="0" relativeHeight="16223232">
            <wp:simplePos x="0" y="0"/>
            <wp:positionH relativeFrom="page">
              <wp:posOffset>2542120</wp:posOffset>
            </wp:positionH>
            <wp:positionV relativeFrom="paragraph">
              <wp:posOffset>77873</wp:posOffset>
            </wp:positionV>
            <wp:extent cx="55029" cy="6350"/>
            <wp:effectExtent l="0" t="0" r="0" b="0"/>
            <wp:wrapNone/>
            <wp:docPr id="393" name="image19.png"/>
            <wp:cNvGraphicFramePr>
              <a:graphicFrameLocks noChangeAspect="1"/>
            </wp:cNvGraphicFramePr>
            <a:graphic>
              <a:graphicData uri="http://schemas.openxmlformats.org/drawingml/2006/picture">
                <pic:pic>
                  <pic:nvPicPr>
                    <pic:cNvPr id="394" name="image19.png"/>
                    <pic:cNvPicPr/>
                  </pic:nvPicPr>
                  <pic:blipFill>
                    <a:blip r:embed="rId50" cstate="print"/>
                    <a:stretch>
                      <a:fillRect/>
                    </a:stretch>
                  </pic:blipFill>
                  <pic:spPr>
                    <a:xfrm>
                      <a:off x="0" y="0"/>
                      <a:ext cx="55029" cy="6350"/>
                    </a:xfrm>
                    <a:prstGeom prst="rect">
                      <a:avLst/>
                    </a:prstGeom>
                  </pic:spPr>
                </pic:pic>
              </a:graphicData>
            </a:graphic>
          </wp:anchor>
        </w:drawing>
      </w:r>
      <w:r>
        <w:rPr>
          <w:sz w:val="12"/>
        </w:rPr>
        <w:t>0.4</w:t>
      </w:r>
    </w:p>
    <w:p>
      <w:pPr>
        <w:spacing w:before="55"/>
        <w:ind w:left="0" w:right="38" w:firstLine="0"/>
        <w:jc w:val="right"/>
        <w:rPr>
          <w:sz w:val="12"/>
        </w:rPr>
      </w:pPr>
      <w:r>
        <w:rPr/>
        <w:drawing>
          <wp:anchor distT="0" distB="0" distL="0" distR="0" allowOverlap="1" layoutInCell="1" locked="0" behindDoc="0" simplePos="0" relativeHeight="16225280">
            <wp:simplePos x="0" y="0"/>
            <wp:positionH relativeFrom="page">
              <wp:posOffset>2542120</wp:posOffset>
            </wp:positionH>
            <wp:positionV relativeFrom="paragraph">
              <wp:posOffset>78068</wp:posOffset>
            </wp:positionV>
            <wp:extent cx="55029" cy="6350"/>
            <wp:effectExtent l="0" t="0" r="0" b="0"/>
            <wp:wrapNone/>
            <wp:docPr id="395" name="image15.png"/>
            <wp:cNvGraphicFramePr>
              <a:graphicFrameLocks noChangeAspect="1"/>
            </wp:cNvGraphicFramePr>
            <a:graphic>
              <a:graphicData uri="http://schemas.openxmlformats.org/drawingml/2006/picture">
                <pic:pic>
                  <pic:nvPicPr>
                    <pic:cNvPr id="396" name="image15.png"/>
                    <pic:cNvPicPr/>
                  </pic:nvPicPr>
                  <pic:blipFill>
                    <a:blip r:embed="rId46" cstate="print"/>
                    <a:stretch>
                      <a:fillRect/>
                    </a:stretch>
                  </pic:blipFill>
                  <pic:spPr>
                    <a:xfrm>
                      <a:off x="0" y="0"/>
                      <a:ext cx="55029" cy="6350"/>
                    </a:xfrm>
                    <a:prstGeom prst="rect">
                      <a:avLst/>
                    </a:prstGeom>
                  </pic:spPr>
                </pic:pic>
              </a:graphicData>
            </a:graphic>
          </wp:anchor>
        </w:drawing>
      </w:r>
      <w:r>
        <w:rPr>
          <w:sz w:val="12"/>
        </w:rPr>
        <w:t>0.2</w:t>
      </w:r>
    </w:p>
    <w:p>
      <w:pPr>
        <w:pStyle w:val="Heading6"/>
        <w:spacing w:line="242" w:lineRule="auto" w:before="208"/>
        <w:ind w:left="166" w:right="698"/>
      </w:pPr>
      <w:r>
        <w:rPr/>
        <w:br w:type="column"/>
      </w:r>
      <w:r>
        <w:rPr/>
        <w:t>Non-oil commodity prices in 2000 Q1 were slightly higher than expected at the time of the February </w:t>
      </w:r>
      <w:r>
        <w:rPr>
          <w:i/>
        </w:rPr>
        <w:t>Report</w:t>
      </w:r>
      <w:r>
        <w:rPr/>
        <w:t>. In the year to March the Bank’s sterling non-oil commodity price index rose by 3.0%.</w:t>
      </w:r>
    </w:p>
    <w:p>
      <w:pPr>
        <w:spacing w:line="242" w:lineRule="auto" w:before="5"/>
        <w:ind w:left="166" w:right="248" w:firstLine="0"/>
        <w:jc w:val="left"/>
        <w:rPr>
          <w:sz w:val="24"/>
        </w:rPr>
      </w:pPr>
      <w:r>
        <w:rPr>
          <w:sz w:val="24"/>
        </w:rPr>
        <w:t>Stronger-than-expected prices for hard commodities such as metals have more than offset</w:t>
      </w:r>
    </w:p>
    <w:p>
      <w:pPr>
        <w:spacing w:before="3"/>
        <w:ind w:left="166" w:right="0" w:firstLine="0"/>
        <w:jc w:val="left"/>
        <w:rPr>
          <w:sz w:val="24"/>
        </w:rPr>
      </w:pPr>
      <w:r>
        <w:rPr>
          <w:sz w:val="24"/>
        </w:rPr>
        <w:t>weaker-than-expected food prices (see Chart 4.3).</w:t>
      </w:r>
    </w:p>
    <w:p>
      <w:pPr>
        <w:spacing w:line="242" w:lineRule="auto" w:before="4"/>
        <w:ind w:left="166" w:right="188" w:firstLine="0"/>
        <w:jc w:val="left"/>
        <w:rPr>
          <w:sz w:val="24"/>
        </w:rPr>
      </w:pPr>
      <w:r>
        <w:rPr>
          <w:sz w:val="24"/>
        </w:rPr>
        <w:t>The link between world industrial production and demand for hard commodities may be weaker than in the past if the prospective increase in manufacturing production is concentrated in high-technology sectors, whose use of commodities is less intensive than traditional manufacturing. Nevertheless, consistent with</w:t>
      </w:r>
    </w:p>
    <w:p>
      <w:pPr>
        <w:spacing w:after="0" w:line="242" w:lineRule="auto"/>
        <w:jc w:val="left"/>
        <w:rPr>
          <w:sz w:val="24"/>
        </w:rPr>
        <w:sectPr>
          <w:type w:val="continuous"/>
          <w:pgSz w:w="11900" w:h="16840"/>
          <w:pgMar w:top="1220" w:bottom="280" w:left="640" w:right="620"/>
          <w:cols w:num="3" w:equalWidth="0">
            <w:col w:w="1354" w:space="1376"/>
            <w:col w:w="968" w:space="1096"/>
            <w:col w:w="5846"/>
          </w:cols>
        </w:sectPr>
      </w:pPr>
    </w:p>
    <w:p>
      <w:pPr>
        <w:pStyle w:val="BodyText"/>
        <w:spacing w:before="10"/>
        <w:rPr>
          <w:sz w:val="2"/>
        </w:rPr>
      </w:pPr>
    </w:p>
    <w:p>
      <w:pPr>
        <w:tabs>
          <w:tab w:pos="3363" w:val="left" w:leader="none"/>
        </w:tabs>
        <w:spacing w:line="20" w:lineRule="exact"/>
        <w:ind w:left="166" w:right="-44" w:firstLine="0"/>
        <w:rPr>
          <w:sz w:val="2"/>
        </w:rPr>
      </w:pPr>
      <w:r>
        <w:rPr>
          <w:sz w:val="2"/>
        </w:rPr>
        <w:drawing>
          <wp:inline distT="0" distB="0" distL="0" distR="0">
            <wp:extent cx="55304" cy="6381"/>
            <wp:effectExtent l="0" t="0" r="0" b="0"/>
            <wp:docPr id="397" name="image15.png"/>
            <wp:cNvGraphicFramePr>
              <a:graphicFrameLocks noChangeAspect="1"/>
            </wp:cNvGraphicFramePr>
            <a:graphic>
              <a:graphicData uri="http://schemas.openxmlformats.org/drawingml/2006/picture">
                <pic:pic>
                  <pic:nvPicPr>
                    <pic:cNvPr id="398" name="image15.png"/>
                    <pic:cNvPicPr/>
                  </pic:nvPicPr>
                  <pic:blipFill>
                    <a:blip r:embed="rId46" cstate="print"/>
                    <a:stretch>
                      <a:fillRect/>
                    </a:stretch>
                  </pic:blipFill>
                  <pic:spPr>
                    <a:xfrm>
                      <a:off x="0" y="0"/>
                      <a:ext cx="55304" cy="6381"/>
                    </a:xfrm>
                    <a:prstGeom prst="rect">
                      <a:avLst/>
                    </a:prstGeom>
                  </pic:spPr>
                </pic:pic>
              </a:graphicData>
            </a:graphic>
          </wp:inline>
        </w:drawing>
      </w:r>
      <w:r>
        <w:rPr>
          <w:sz w:val="2"/>
        </w:rPr>
      </w:r>
      <w:r>
        <w:rPr>
          <w:sz w:val="2"/>
        </w:rPr>
        <w:tab/>
      </w:r>
      <w:r>
        <w:rPr>
          <w:sz w:val="2"/>
        </w:rPr>
        <w:drawing>
          <wp:inline distT="0" distB="0" distL="0" distR="0">
            <wp:extent cx="55304" cy="6381"/>
            <wp:effectExtent l="0" t="0" r="0" b="0"/>
            <wp:docPr id="399" name="image15.png"/>
            <wp:cNvGraphicFramePr>
              <a:graphicFrameLocks noChangeAspect="1"/>
            </wp:cNvGraphicFramePr>
            <a:graphic>
              <a:graphicData uri="http://schemas.openxmlformats.org/drawingml/2006/picture">
                <pic:pic>
                  <pic:nvPicPr>
                    <pic:cNvPr id="400" name="image15.png"/>
                    <pic:cNvPicPr/>
                  </pic:nvPicPr>
                  <pic:blipFill>
                    <a:blip r:embed="rId46" cstate="print"/>
                    <a:stretch>
                      <a:fillRect/>
                    </a:stretch>
                  </pic:blipFill>
                  <pic:spPr>
                    <a:xfrm>
                      <a:off x="0" y="0"/>
                      <a:ext cx="55304" cy="6381"/>
                    </a:xfrm>
                    <a:prstGeom prst="rect">
                      <a:avLst/>
                    </a:prstGeom>
                  </pic:spPr>
                </pic:pic>
              </a:graphicData>
            </a:graphic>
          </wp:inline>
        </w:drawing>
      </w:r>
      <w:r>
        <w:rPr>
          <w:sz w:val="2"/>
        </w:rPr>
      </w:r>
    </w:p>
    <w:p>
      <w:pPr>
        <w:spacing w:line="120" w:lineRule="exact" w:before="0"/>
        <w:ind w:left="322" w:right="0" w:firstLine="0"/>
        <w:jc w:val="left"/>
        <w:rPr>
          <w:sz w:val="12"/>
        </w:rPr>
      </w:pPr>
      <w:r>
        <w:rPr>
          <w:sz w:val="12"/>
        </w:rPr>
        <w:t>Jan. Mar. May July Sept. Nov. Jan. Mar. May</w:t>
      </w:r>
    </w:p>
    <w:p>
      <w:pPr>
        <w:tabs>
          <w:tab w:pos="2852" w:val="left" w:leader="none"/>
        </w:tabs>
        <w:spacing w:line="133" w:lineRule="exact" w:before="0"/>
        <w:ind w:left="1312" w:right="0" w:firstLine="0"/>
        <w:jc w:val="left"/>
        <w:rPr>
          <w:sz w:val="12"/>
        </w:rPr>
      </w:pPr>
      <w:r>
        <w:rPr>
          <w:sz w:val="12"/>
        </w:rPr>
        <w:t>1999</w:t>
        <w:tab/>
        <w:t>2000</w:t>
      </w:r>
    </w:p>
    <w:p>
      <w:pPr>
        <w:spacing w:line="133" w:lineRule="exact" w:before="0"/>
        <w:ind w:left="170" w:right="0" w:firstLine="0"/>
        <w:jc w:val="left"/>
        <w:rPr>
          <w:sz w:val="12"/>
        </w:rPr>
      </w:pPr>
      <w:r>
        <w:rPr>
          <w:sz w:val="12"/>
        </w:rPr>
        <w:t>Sources: NYMEX and Bank of England.</w:t>
      </w:r>
    </w:p>
    <w:p>
      <w:pPr>
        <w:spacing w:line="36" w:lineRule="exact" w:before="102"/>
        <w:ind w:left="170" w:right="0" w:firstLine="0"/>
        <w:jc w:val="left"/>
        <w:rPr>
          <w:sz w:val="12"/>
        </w:rPr>
      </w:pPr>
      <w:r>
        <w:rPr>
          <w:sz w:val="12"/>
        </w:rPr>
        <w:t>(a) Derived from option prices for West Texas Intermediate oil</w:t>
      </w:r>
    </w:p>
    <w:p>
      <w:pPr>
        <w:spacing w:line="103" w:lineRule="exact" w:before="0"/>
        <w:ind w:left="17" w:right="0" w:firstLine="0"/>
        <w:jc w:val="left"/>
        <w:rPr>
          <w:sz w:val="12"/>
        </w:rPr>
      </w:pPr>
      <w:r>
        <w:rPr/>
        <w:br w:type="column"/>
      </w:r>
      <w:r>
        <w:rPr>
          <w:sz w:val="12"/>
        </w:rPr>
        <w:t>0.0</w:t>
      </w:r>
    </w:p>
    <w:p>
      <w:pPr>
        <w:pStyle w:val="Heading6"/>
        <w:spacing w:line="242" w:lineRule="auto" w:before="8"/>
        <w:ind w:left="166" w:right="232"/>
      </w:pPr>
      <w:r>
        <w:rPr/>
        <w:br w:type="column"/>
      </w:r>
      <w:r>
        <w:rPr/>
        <w:t>an upward revision to the prospects for world activity, the MPC has assumed a higher rate of increase in</w:t>
      </w:r>
    </w:p>
    <w:p>
      <w:pPr>
        <w:spacing w:after="0" w:line="242" w:lineRule="auto"/>
        <w:sectPr>
          <w:type w:val="continuous"/>
          <w:pgSz w:w="11900" w:h="16840"/>
          <w:pgMar w:top="1220" w:bottom="280" w:left="640" w:right="620"/>
          <w:cols w:num="3" w:equalWidth="0">
            <w:col w:w="3450" w:space="40"/>
            <w:col w:w="208" w:space="1095"/>
            <w:col w:w="5847"/>
          </w:cols>
        </w:sectPr>
      </w:pPr>
    </w:p>
    <w:p>
      <w:pPr>
        <w:spacing w:line="208" w:lineRule="auto" w:before="98"/>
        <w:ind w:left="410" w:right="0" w:firstLine="0"/>
        <w:jc w:val="left"/>
        <w:rPr>
          <w:sz w:val="12"/>
        </w:rPr>
      </w:pPr>
      <w:r>
        <w:rPr>
          <w:sz w:val="12"/>
        </w:rPr>
        <w:t>(WTI). Prices for WTI tend on average to be around $ 1 per barrel higher than those for Brent crude oil. But in April the difference was around $ 3.</w:t>
      </w:r>
    </w:p>
    <w:p>
      <w:pPr>
        <w:pStyle w:val="ListParagraph"/>
        <w:numPr>
          <w:ilvl w:val="0"/>
          <w:numId w:val="28"/>
        </w:numPr>
        <w:tabs>
          <w:tab w:pos="411" w:val="left" w:leader="none"/>
        </w:tabs>
        <w:spacing w:line="114" w:lineRule="exact" w:before="0" w:after="0"/>
        <w:ind w:left="410" w:right="0" w:hanging="241"/>
        <w:jc w:val="left"/>
        <w:rPr>
          <w:sz w:val="12"/>
        </w:rPr>
      </w:pPr>
      <w:r>
        <w:rPr>
          <w:sz w:val="12"/>
        </w:rPr>
        <w:t>The expected price in six months’ time.</w:t>
      </w:r>
    </w:p>
    <w:p>
      <w:pPr>
        <w:pStyle w:val="ListParagraph"/>
        <w:numPr>
          <w:ilvl w:val="0"/>
          <w:numId w:val="28"/>
        </w:numPr>
        <w:tabs>
          <w:tab w:pos="410" w:val="left" w:leader="none"/>
        </w:tabs>
        <w:spacing w:line="120" w:lineRule="exact" w:before="0" w:after="0"/>
        <w:ind w:left="410" w:right="0" w:hanging="240"/>
        <w:jc w:val="left"/>
        <w:rPr>
          <w:sz w:val="12"/>
        </w:rPr>
      </w:pPr>
      <w:r>
        <w:rPr>
          <w:sz w:val="12"/>
        </w:rPr>
        <w:t>The spread of views about the expected price in six months’ time.</w:t>
      </w:r>
    </w:p>
    <w:p>
      <w:pPr>
        <w:pStyle w:val="ListParagraph"/>
        <w:numPr>
          <w:ilvl w:val="0"/>
          <w:numId w:val="28"/>
        </w:numPr>
        <w:tabs>
          <w:tab w:pos="411" w:val="left" w:leader="none"/>
        </w:tabs>
        <w:spacing w:line="208" w:lineRule="auto" w:before="6" w:after="0"/>
        <w:ind w:left="410" w:right="237" w:hanging="240"/>
        <w:jc w:val="left"/>
        <w:rPr>
          <w:sz w:val="12"/>
        </w:rPr>
      </w:pPr>
      <w:r>
        <w:rPr>
          <w:sz w:val="12"/>
        </w:rPr>
        <w:t>Skewness reflects the balance of risks around the central, most likely, path for oil prices. A positive skew indicates that the balance of risks are on the</w:t>
      </w:r>
      <w:r>
        <w:rPr>
          <w:spacing w:val="-9"/>
          <w:sz w:val="12"/>
        </w:rPr>
        <w:t> </w:t>
      </w:r>
      <w:r>
        <w:rPr>
          <w:sz w:val="12"/>
        </w:rPr>
        <w:t>upside.</w:t>
      </w:r>
    </w:p>
    <w:p>
      <w:pPr>
        <w:pStyle w:val="BodyText"/>
        <w:rPr>
          <w:sz w:val="12"/>
        </w:rPr>
      </w:pPr>
    </w:p>
    <w:p>
      <w:pPr>
        <w:pStyle w:val="BodyText"/>
        <w:rPr>
          <w:sz w:val="12"/>
        </w:rPr>
      </w:pPr>
    </w:p>
    <w:p>
      <w:pPr>
        <w:spacing w:before="81"/>
        <w:ind w:left="170" w:right="0" w:firstLine="0"/>
        <w:jc w:val="left"/>
        <w:rPr>
          <w:b/>
          <w:sz w:val="20"/>
        </w:rPr>
      </w:pPr>
      <w:r>
        <w:rPr>
          <w:b/>
          <w:color w:val="0092C7"/>
          <w:sz w:val="20"/>
        </w:rPr>
        <w:t>Chart 4.3</w:t>
      </w:r>
    </w:p>
    <w:p>
      <w:pPr>
        <w:spacing w:line="249" w:lineRule="auto" w:before="10"/>
        <w:ind w:left="170" w:right="659" w:firstLine="0"/>
        <w:jc w:val="left"/>
        <w:rPr>
          <w:sz w:val="12"/>
        </w:rPr>
      </w:pPr>
      <w:r>
        <w:rPr>
          <w:b/>
          <w:color w:val="0092C7"/>
          <w:sz w:val="20"/>
        </w:rPr>
        <w:t>Bank sterling non-oil commodity price index</w:t>
      </w:r>
      <w:r>
        <w:rPr>
          <w:position w:val="4"/>
          <w:sz w:val="12"/>
        </w:rPr>
        <w:t>(a)</w:t>
      </w:r>
    </w:p>
    <w:p>
      <w:pPr>
        <w:spacing w:before="41"/>
        <w:ind w:left="1611" w:right="0" w:firstLine="0"/>
        <w:jc w:val="left"/>
        <w:rPr>
          <w:sz w:val="12"/>
        </w:rPr>
      </w:pPr>
      <w:r>
        <w:rPr/>
        <w:drawing>
          <wp:anchor distT="0" distB="0" distL="0" distR="0" allowOverlap="1" layoutInCell="1" locked="0" behindDoc="0" simplePos="0" relativeHeight="16207360">
            <wp:simplePos x="0" y="0"/>
            <wp:positionH relativeFrom="page">
              <wp:posOffset>513156</wp:posOffset>
            </wp:positionH>
            <wp:positionV relativeFrom="paragraph">
              <wp:posOffset>126424</wp:posOffset>
            </wp:positionV>
            <wp:extent cx="55029" cy="6350"/>
            <wp:effectExtent l="0" t="0" r="0" b="0"/>
            <wp:wrapNone/>
            <wp:docPr id="401" name="image15.png"/>
            <wp:cNvGraphicFramePr>
              <a:graphicFrameLocks noChangeAspect="1"/>
            </wp:cNvGraphicFramePr>
            <a:graphic>
              <a:graphicData uri="http://schemas.openxmlformats.org/drawingml/2006/picture">
                <pic:pic>
                  <pic:nvPicPr>
                    <pic:cNvPr id="402" name="image15.png"/>
                    <pic:cNvPicPr/>
                  </pic:nvPicPr>
                  <pic:blipFill>
                    <a:blip r:embed="rId4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917504">
            <wp:simplePos x="0" y="0"/>
            <wp:positionH relativeFrom="page">
              <wp:posOffset>2485491</wp:posOffset>
            </wp:positionH>
            <wp:positionV relativeFrom="paragraph">
              <wp:posOffset>126297</wp:posOffset>
            </wp:positionV>
            <wp:extent cx="55041" cy="6350"/>
            <wp:effectExtent l="0" t="0" r="0" b="0"/>
            <wp:wrapNone/>
            <wp:docPr id="403" name="image15.png"/>
            <wp:cNvGraphicFramePr>
              <a:graphicFrameLocks noChangeAspect="1"/>
            </wp:cNvGraphicFramePr>
            <a:graphic>
              <a:graphicData uri="http://schemas.openxmlformats.org/drawingml/2006/picture">
                <pic:pic>
                  <pic:nvPicPr>
                    <pic:cNvPr id="404"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Percentage changes on a year earlier</w:t>
      </w:r>
      <w:r>
        <w:rPr>
          <w:spacing w:val="27"/>
          <w:sz w:val="12"/>
        </w:rPr>
        <w:t> </w:t>
      </w:r>
      <w:r>
        <w:rPr>
          <w:position w:val="-8"/>
          <w:sz w:val="12"/>
        </w:rPr>
        <w:t>25</w:t>
      </w:r>
    </w:p>
    <w:p>
      <w:pPr>
        <w:spacing w:before="181"/>
        <w:ind w:left="0" w:right="114" w:firstLine="0"/>
        <w:jc w:val="right"/>
        <w:rPr>
          <w:sz w:val="12"/>
        </w:rPr>
      </w:pPr>
      <w:r>
        <w:rPr/>
        <w:pict>
          <v:group style="position:absolute;margin-left:48.5pt;margin-top:7.478156pt;width:143.7pt;height:116.9pt;mso-position-horizontal-relative:page;mso-position-vertical-relative:paragraph;z-index:16201728" coordorigin="970,150" coordsize="2874,2338">
            <v:shape style="position:absolute;left:970;top:149;width:2874;height:2338" type="#_x0000_t75" stroked="false">
              <v:imagedata r:id="rId155" o:title=""/>
            </v:shape>
            <v:shape style="position:absolute;left:2465;top:540;width:1160;height:134" type="#_x0000_t202" filled="false" stroked="false">
              <v:textbox inset="0,0,0,0">
                <w:txbxContent>
                  <w:p>
                    <w:pPr>
                      <w:spacing w:line="133" w:lineRule="exact" w:before="0"/>
                      <w:ind w:left="0" w:right="0" w:firstLine="0"/>
                      <w:jc w:val="left"/>
                      <w:rPr>
                        <w:sz w:val="12"/>
                      </w:rPr>
                    </w:pPr>
                    <w:r>
                      <w:rPr>
                        <w:sz w:val="12"/>
                      </w:rPr>
                      <w:t>‘Hard’ commodities (b)</w:t>
                    </w:r>
                  </w:p>
                </w:txbxContent>
              </v:textbox>
              <w10:wrap type="none"/>
            </v:shape>
            <v:shape style="position:absolute;left:1080;top:2352;width:1114;height:134" type="#_x0000_t202" filled="false" stroked="false">
              <v:textbox inset="0,0,0,0">
                <w:txbxContent>
                  <w:p>
                    <w:pPr>
                      <w:spacing w:line="133" w:lineRule="exact" w:before="0"/>
                      <w:ind w:left="0" w:right="0" w:firstLine="0"/>
                      <w:jc w:val="left"/>
                      <w:rPr>
                        <w:sz w:val="12"/>
                      </w:rPr>
                    </w:pPr>
                    <w:r>
                      <w:rPr>
                        <w:sz w:val="12"/>
                      </w:rPr>
                      <w:t>‘Soft’ commodities (c)</w:t>
                    </w:r>
                  </w:p>
                </w:txbxContent>
              </v:textbox>
              <w10:wrap type="none"/>
            </v:shape>
            <w10:wrap type="none"/>
          </v:group>
        </w:pict>
      </w:r>
      <w:r>
        <w:rPr/>
        <w:drawing>
          <wp:anchor distT="0" distB="0" distL="0" distR="0" allowOverlap="1" layoutInCell="1" locked="0" behindDoc="0" simplePos="0" relativeHeight="16202752">
            <wp:simplePos x="0" y="0"/>
            <wp:positionH relativeFrom="page">
              <wp:posOffset>513156</wp:posOffset>
            </wp:positionH>
            <wp:positionV relativeFrom="paragraph">
              <wp:posOffset>160479</wp:posOffset>
            </wp:positionV>
            <wp:extent cx="55029" cy="6350"/>
            <wp:effectExtent l="0" t="0" r="0" b="0"/>
            <wp:wrapNone/>
            <wp:docPr id="405" name="image15.png"/>
            <wp:cNvGraphicFramePr>
              <a:graphicFrameLocks noChangeAspect="1"/>
            </wp:cNvGraphicFramePr>
            <a:graphic>
              <a:graphicData uri="http://schemas.openxmlformats.org/drawingml/2006/picture">
                <pic:pic>
                  <pic:nvPicPr>
                    <pic:cNvPr id="406" name="image15.png"/>
                    <pic:cNvPicPr/>
                  </pic:nvPicPr>
                  <pic:blipFill>
                    <a:blip r:embed="rId4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07872">
            <wp:simplePos x="0" y="0"/>
            <wp:positionH relativeFrom="page">
              <wp:posOffset>2485491</wp:posOffset>
            </wp:positionH>
            <wp:positionV relativeFrom="paragraph">
              <wp:posOffset>160352</wp:posOffset>
            </wp:positionV>
            <wp:extent cx="55041" cy="6350"/>
            <wp:effectExtent l="0" t="0" r="0" b="0"/>
            <wp:wrapNone/>
            <wp:docPr id="407" name="image15.png"/>
            <wp:cNvGraphicFramePr>
              <a:graphicFrameLocks noChangeAspect="1"/>
            </wp:cNvGraphicFramePr>
            <a:graphic>
              <a:graphicData uri="http://schemas.openxmlformats.org/drawingml/2006/picture">
                <pic:pic>
                  <pic:nvPicPr>
                    <pic:cNvPr id="408"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20</w:t>
      </w:r>
    </w:p>
    <w:p>
      <w:pPr>
        <w:pStyle w:val="BodyText"/>
        <w:spacing w:before="1"/>
        <w:rPr>
          <w:sz w:val="16"/>
        </w:rPr>
      </w:pPr>
    </w:p>
    <w:p>
      <w:pPr>
        <w:spacing w:before="0"/>
        <w:ind w:left="0" w:right="114" w:firstLine="0"/>
        <w:jc w:val="right"/>
        <w:rPr>
          <w:sz w:val="12"/>
        </w:rPr>
      </w:pPr>
      <w:r>
        <w:rPr/>
        <w:drawing>
          <wp:anchor distT="0" distB="0" distL="0" distR="0" allowOverlap="1" layoutInCell="1" locked="0" behindDoc="0" simplePos="0" relativeHeight="16203264">
            <wp:simplePos x="0" y="0"/>
            <wp:positionH relativeFrom="page">
              <wp:posOffset>513156</wp:posOffset>
            </wp:positionH>
            <wp:positionV relativeFrom="paragraph">
              <wp:posOffset>45478</wp:posOffset>
            </wp:positionV>
            <wp:extent cx="55029" cy="6350"/>
            <wp:effectExtent l="0" t="0" r="0" b="0"/>
            <wp:wrapNone/>
            <wp:docPr id="409" name="image15.png"/>
            <wp:cNvGraphicFramePr>
              <a:graphicFrameLocks noChangeAspect="1"/>
            </wp:cNvGraphicFramePr>
            <a:graphic>
              <a:graphicData uri="http://schemas.openxmlformats.org/drawingml/2006/picture">
                <pic:pic>
                  <pic:nvPicPr>
                    <pic:cNvPr id="410" name="image15.png"/>
                    <pic:cNvPicPr/>
                  </pic:nvPicPr>
                  <pic:blipFill>
                    <a:blip r:embed="rId4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08384">
            <wp:simplePos x="0" y="0"/>
            <wp:positionH relativeFrom="page">
              <wp:posOffset>2485491</wp:posOffset>
            </wp:positionH>
            <wp:positionV relativeFrom="paragraph">
              <wp:posOffset>45351</wp:posOffset>
            </wp:positionV>
            <wp:extent cx="55041" cy="6350"/>
            <wp:effectExtent l="0" t="0" r="0" b="0"/>
            <wp:wrapNone/>
            <wp:docPr id="411" name="image15.png"/>
            <wp:cNvGraphicFramePr>
              <a:graphicFrameLocks noChangeAspect="1"/>
            </wp:cNvGraphicFramePr>
            <a:graphic>
              <a:graphicData uri="http://schemas.openxmlformats.org/drawingml/2006/picture">
                <pic:pic>
                  <pic:nvPicPr>
                    <pic:cNvPr id="412"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15</w:t>
      </w:r>
    </w:p>
    <w:p>
      <w:pPr>
        <w:pStyle w:val="BodyText"/>
        <w:spacing w:before="1"/>
        <w:rPr>
          <w:sz w:val="16"/>
        </w:rPr>
      </w:pPr>
    </w:p>
    <w:p>
      <w:pPr>
        <w:spacing w:before="0"/>
        <w:ind w:left="0" w:right="114" w:firstLine="0"/>
        <w:jc w:val="right"/>
        <w:rPr>
          <w:sz w:val="12"/>
        </w:rPr>
      </w:pPr>
      <w:r>
        <w:rPr/>
        <w:drawing>
          <wp:anchor distT="0" distB="0" distL="0" distR="0" allowOverlap="1" layoutInCell="1" locked="0" behindDoc="0" simplePos="0" relativeHeight="16203776">
            <wp:simplePos x="0" y="0"/>
            <wp:positionH relativeFrom="page">
              <wp:posOffset>513156</wp:posOffset>
            </wp:positionH>
            <wp:positionV relativeFrom="paragraph">
              <wp:posOffset>45412</wp:posOffset>
            </wp:positionV>
            <wp:extent cx="55029" cy="6350"/>
            <wp:effectExtent l="0" t="0" r="0" b="0"/>
            <wp:wrapNone/>
            <wp:docPr id="413" name="image15.png"/>
            <wp:cNvGraphicFramePr>
              <a:graphicFrameLocks noChangeAspect="1"/>
            </wp:cNvGraphicFramePr>
            <a:graphic>
              <a:graphicData uri="http://schemas.openxmlformats.org/drawingml/2006/picture">
                <pic:pic>
                  <pic:nvPicPr>
                    <pic:cNvPr id="414" name="image15.png"/>
                    <pic:cNvPicPr/>
                  </pic:nvPicPr>
                  <pic:blipFill>
                    <a:blip r:embed="rId4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08896">
            <wp:simplePos x="0" y="0"/>
            <wp:positionH relativeFrom="page">
              <wp:posOffset>2485491</wp:posOffset>
            </wp:positionH>
            <wp:positionV relativeFrom="paragraph">
              <wp:posOffset>45297</wp:posOffset>
            </wp:positionV>
            <wp:extent cx="55041" cy="6350"/>
            <wp:effectExtent l="0" t="0" r="0" b="0"/>
            <wp:wrapNone/>
            <wp:docPr id="415" name="image15.png"/>
            <wp:cNvGraphicFramePr>
              <a:graphicFrameLocks noChangeAspect="1"/>
            </wp:cNvGraphicFramePr>
            <a:graphic>
              <a:graphicData uri="http://schemas.openxmlformats.org/drawingml/2006/picture">
                <pic:pic>
                  <pic:nvPicPr>
                    <pic:cNvPr id="416"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10</w:t>
      </w:r>
    </w:p>
    <w:p>
      <w:pPr>
        <w:pStyle w:val="BodyText"/>
        <w:spacing w:before="1"/>
        <w:rPr>
          <w:sz w:val="16"/>
        </w:rPr>
      </w:pPr>
    </w:p>
    <w:p>
      <w:pPr>
        <w:spacing w:before="0"/>
        <w:ind w:left="0" w:right="114" w:firstLine="0"/>
        <w:jc w:val="right"/>
        <w:rPr>
          <w:sz w:val="12"/>
        </w:rPr>
      </w:pPr>
      <w:r>
        <w:rPr/>
        <w:drawing>
          <wp:anchor distT="0" distB="0" distL="0" distR="0" allowOverlap="1" layoutInCell="1" locked="0" behindDoc="0" simplePos="0" relativeHeight="16204288">
            <wp:simplePos x="0" y="0"/>
            <wp:positionH relativeFrom="page">
              <wp:posOffset>513156</wp:posOffset>
            </wp:positionH>
            <wp:positionV relativeFrom="paragraph">
              <wp:posOffset>45353</wp:posOffset>
            </wp:positionV>
            <wp:extent cx="55029" cy="6350"/>
            <wp:effectExtent l="0" t="0" r="0" b="0"/>
            <wp:wrapNone/>
            <wp:docPr id="417" name="image15.png"/>
            <wp:cNvGraphicFramePr>
              <a:graphicFrameLocks noChangeAspect="1"/>
            </wp:cNvGraphicFramePr>
            <a:graphic>
              <a:graphicData uri="http://schemas.openxmlformats.org/drawingml/2006/picture">
                <pic:pic>
                  <pic:nvPicPr>
                    <pic:cNvPr id="418" name="image15.png"/>
                    <pic:cNvPicPr/>
                  </pic:nvPicPr>
                  <pic:blipFill>
                    <a:blip r:embed="rId4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09408">
            <wp:simplePos x="0" y="0"/>
            <wp:positionH relativeFrom="page">
              <wp:posOffset>2485491</wp:posOffset>
            </wp:positionH>
            <wp:positionV relativeFrom="paragraph">
              <wp:posOffset>45239</wp:posOffset>
            </wp:positionV>
            <wp:extent cx="55041" cy="6350"/>
            <wp:effectExtent l="0" t="0" r="0" b="0"/>
            <wp:wrapNone/>
            <wp:docPr id="419" name="image15.png"/>
            <wp:cNvGraphicFramePr>
              <a:graphicFrameLocks noChangeAspect="1"/>
            </wp:cNvGraphicFramePr>
            <a:graphic>
              <a:graphicData uri="http://schemas.openxmlformats.org/drawingml/2006/picture">
                <pic:pic>
                  <pic:nvPicPr>
                    <pic:cNvPr id="420"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5</w:t>
      </w:r>
    </w:p>
    <w:p>
      <w:pPr>
        <w:spacing w:line="183" w:lineRule="exact" w:before="3"/>
        <w:ind w:left="3369" w:right="0" w:firstLine="0"/>
        <w:jc w:val="left"/>
        <w:rPr>
          <w:sz w:val="16"/>
        </w:rPr>
      </w:pPr>
      <w:r>
        <w:rPr>
          <w:w w:val="100"/>
          <w:sz w:val="16"/>
        </w:rPr>
        <w:t>+</w:t>
      </w:r>
    </w:p>
    <w:p>
      <w:pPr>
        <w:spacing w:line="177" w:lineRule="auto" w:before="17"/>
        <w:ind w:left="3369" w:right="0" w:firstLine="0"/>
        <w:jc w:val="left"/>
        <w:rPr>
          <w:sz w:val="12"/>
        </w:rPr>
      </w:pPr>
      <w:r>
        <w:rPr/>
        <w:drawing>
          <wp:anchor distT="0" distB="0" distL="0" distR="0" allowOverlap="1" layoutInCell="1" locked="0" behindDoc="0" simplePos="0" relativeHeight="16204800">
            <wp:simplePos x="0" y="0"/>
            <wp:positionH relativeFrom="page">
              <wp:posOffset>513156</wp:posOffset>
            </wp:positionH>
            <wp:positionV relativeFrom="paragraph">
              <wp:posOffset>35111</wp:posOffset>
            </wp:positionV>
            <wp:extent cx="55029" cy="6350"/>
            <wp:effectExtent l="0" t="0" r="0" b="0"/>
            <wp:wrapNone/>
            <wp:docPr id="421" name="image15.png"/>
            <wp:cNvGraphicFramePr>
              <a:graphicFrameLocks noChangeAspect="1"/>
            </wp:cNvGraphicFramePr>
            <a:graphic>
              <a:graphicData uri="http://schemas.openxmlformats.org/drawingml/2006/picture">
                <pic:pic>
                  <pic:nvPicPr>
                    <pic:cNvPr id="422" name="image15.png"/>
                    <pic:cNvPicPr/>
                  </pic:nvPicPr>
                  <pic:blipFill>
                    <a:blip r:embed="rId4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09920">
            <wp:simplePos x="0" y="0"/>
            <wp:positionH relativeFrom="page">
              <wp:posOffset>2485491</wp:posOffset>
            </wp:positionH>
            <wp:positionV relativeFrom="paragraph">
              <wp:posOffset>35111</wp:posOffset>
            </wp:positionV>
            <wp:extent cx="55041" cy="6350"/>
            <wp:effectExtent l="0" t="0" r="0" b="0"/>
            <wp:wrapNone/>
            <wp:docPr id="423" name="image15.png"/>
            <wp:cNvGraphicFramePr>
              <a:graphicFrameLocks noChangeAspect="1"/>
            </wp:cNvGraphicFramePr>
            <a:graphic>
              <a:graphicData uri="http://schemas.openxmlformats.org/drawingml/2006/picture">
                <pic:pic>
                  <pic:nvPicPr>
                    <pic:cNvPr id="424" name="image15.png"/>
                    <pic:cNvPicPr/>
                  </pic:nvPicPr>
                  <pic:blipFill>
                    <a:blip r:embed="rId46" cstate="print"/>
                    <a:stretch>
                      <a:fillRect/>
                    </a:stretch>
                  </pic:blipFill>
                  <pic:spPr>
                    <a:xfrm>
                      <a:off x="0" y="0"/>
                      <a:ext cx="55041" cy="6350"/>
                    </a:xfrm>
                    <a:prstGeom prst="rect">
                      <a:avLst/>
                    </a:prstGeom>
                  </pic:spPr>
                </pic:pic>
              </a:graphicData>
            </a:graphic>
          </wp:anchor>
        </w:drawing>
      </w:r>
      <w:r>
        <w:rPr>
          <w:position w:val="-7"/>
          <w:sz w:val="16"/>
        </w:rPr>
        <w:t>_</w:t>
      </w:r>
      <w:r>
        <w:rPr>
          <w:spacing w:val="-11"/>
          <w:position w:val="-7"/>
          <w:sz w:val="16"/>
        </w:rPr>
        <w:t> </w:t>
      </w:r>
      <w:r>
        <w:rPr>
          <w:sz w:val="12"/>
        </w:rPr>
        <w:t>0</w:t>
      </w:r>
    </w:p>
    <w:p>
      <w:pPr>
        <w:spacing w:before="127"/>
        <w:ind w:left="0" w:right="114" w:firstLine="0"/>
        <w:jc w:val="right"/>
        <w:rPr>
          <w:sz w:val="12"/>
        </w:rPr>
      </w:pPr>
      <w:r>
        <w:rPr/>
        <w:drawing>
          <wp:anchor distT="0" distB="0" distL="0" distR="0" allowOverlap="1" layoutInCell="1" locked="0" behindDoc="0" simplePos="0" relativeHeight="16205312">
            <wp:simplePos x="0" y="0"/>
            <wp:positionH relativeFrom="page">
              <wp:posOffset>513156</wp:posOffset>
            </wp:positionH>
            <wp:positionV relativeFrom="paragraph">
              <wp:posOffset>125881</wp:posOffset>
            </wp:positionV>
            <wp:extent cx="55029" cy="6350"/>
            <wp:effectExtent l="0" t="0" r="0" b="0"/>
            <wp:wrapNone/>
            <wp:docPr id="425" name="image15.png"/>
            <wp:cNvGraphicFramePr>
              <a:graphicFrameLocks noChangeAspect="1"/>
            </wp:cNvGraphicFramePr>
            <a:graphic>
              <a:graphicData uri="http://schemas.openxmlformats.org/drawingml/2006/picture">
                <pic:pic>
                  <pic:nvPicPr>
                    <pic:cNvPr id="426" name="image15.png"/>
                    <pic:cNvPicPr/>
                  </pic:nvPicPr>
                  <pic:blipFill>
                    <a:blip r:embed="rId4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10432">
            <wp:simplePos x="0" y="0"/>
            <wp:positionH relativeFrom="page">
              <wp:posOffset>2485491</wp:posOffset>
            </wp:positionH>
            <wp:positionV relativeFrom="paragraph">
              <wp:posOffset>125767</wp:posOffset>
            </wp:positionV>
            <wp:extent cx="55041" cy="6350"/>
            <wp:effectExtent l="0" t="0" r="0" b="0"/>
            <wp:wrapNone/>
            <wp:docPr id="427" name="image15.png"/>
            <wp:cNvGraphicFramePr>
              <a:graphicFrameLocks noChangeAspect="1"/>
            </wp:cNvGraphicFramePr>
            <a:graphic>
              <a:graphicData uri="http://schemas.openxmlformats.org/drawingml/2006/picture">
                <pic:pic>
                  <pic:nvPicPr>
                    <pic:cNvPr id="428"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5</w:t>
      </w:r>
    </w:p>
    <w:p>
      <w:pPr>
        <w:pStyle w:val="BodyText"/>
        <w:spacing w:before="1"/>
        <w:rPr>
          <w:sz w:val="16"/>
        </w:rPr>
      </w:pPr>
    </w:p>
    <w:p>
      <w:pPr>
        <w:spacing w:before="0"/>
        <w:ind w:left="0" w:right="114" w:firstLine="0"/>
        <w:jc w:val="right"/>
        <w:rPr>
          <w:sz w:val="12"/>
        </w:rPr>
      </w:pPr>
      <w:r>
        <w:rPr/>
        <w:drawing>
          <wp:anchor distT="0" distB="0" distL="0" distR="0" allowOverlap="1" layoutInCell="1" locked="0" behindDoc="0" simplePos="0" relativeHeight="16206336">
            <wp:simplePos x="0" y="0"/>
            <wp:positionH relativeFrom="page">
              <wp:posOffset>513156</wp:posOffset>
            </wp:positionH>
            <wp:positionV relativeFrom="paragraph">
              <wp:posOffset>45170</wp:posOffset>
            </wp:positionV>
            <wp:extent cx="55029" cy="6350"/>
            <wp:effectExtent l="0" t="0" r="0" b="0"/>
            <wp:wrapNone/>
            <wp:docPr id="429" name="image15.png"/>
            <wp:cNvGraphicFramePr>
              <a:graphicFrameLocks noChangeAspect="1"/>
            </wp:cNvGraphicFramePr>
            <a:graphic>
              <a:graphicData uri="http://schemas.openxmlformats.org/drawingml/2006/picture">
                <pic:pic>
                  <pic:nvPicPr>
                    <pic:cNvPr id="430" name="image15.png"/>
                    <pic:cNvPicPr/>
                  </pic:nvPicPr>
                  <pic:blipFill>
                    <a:blip r:embed="rId4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11456">
            <wp:simplePos x="0" y="0"/>
            <wp:positionH relativeFrom="page">
              <wp:posOffset>2485491</wp:posOffset>
            </wp:positionH>
            <wp:positionV relativeFrom="paragraph">
              <wp:posOffset>45056</wp:posOffset>
            </wp:positionV>
            <wp:extent cx="55041" cy="6350"/>
            <wp:effectExtent l="0" t="0" r="0" b="0"/>
            <wp:wrapNone/>
            <wp:docPr id="431" name="image15.png"/>
            <wp:cNvGraphicFramePr>
              <a:graphicFrameLocks noChangeAspect="1"/>
            </wp:cNvGraphicFramePr>
            <a:graphic>
              <a:graphicData uri="http://schemas.openxmlformats.org/drawingml/2006/picture">
                <pic:pic>
                  <pic:nvPicPr>
                    <pic:cNvPr id="432"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10</w:t>
      </w:r>
    </w:p>
    <w:p>
      <w:pPr>
        <w:pStyle w:val="BodyText"/>
        <w:spacing w:before="1"/>
        <w:rPr>
          <w:sz w:val="16"/>
        </w:rPr>
      </w:pPr>
    </w:p>
    <w:p>
      <w:pPr>
        <w:spacing w:before="0"/>
        <w:ind w:left="0" w:right="114" w:firstLine="0"/>
        <w:jc w:val="right"/>
        <w:rPr>
          <w:sz w:val="12"/>
        </w:rPr>
      </w:pPr>
      <w:r>
        <w:rPr/>
        <w:drawing>
          <wp:anchor distT="0" distB="0" distL="0" distR="0" allowOverlap="1" layoutInCell="1" locked="0" behindDoc="0" simplePos="0" relativeHeight="16205824">
            <wp:simplePos x="0" y="0"/>
            <wp:positionH relativeFrom="page">
              <wp:posOffset>513156</wp:posOffset>
            </wp:positionH>
            <wp:positionV relativeFrom="paragraph">
              <wp:posOffset>45124</wp:posOffset>
            </wp:positionV>
            <wp:extent cx="55029" cy="6350"/>
            <wp:effectExtent l="0" t="0" r="0" b="0"/>
            <wp:wrapNone/>
            <wp:docPr id="433" name="image15.png"/>
            <wp:cNvGraphicFramePr>
              <a:graphicFrameLocks noChangeAspect="1"/>
            </wp:cNvGraphicFramePr>
            <a:graphic>
              <a:graphicData uri="http://schemas.openxmlformats.org/drawingml/2006/picture">
                <pic:pic>
                  <pic:nvPicPr>
                    <pic:cNvPr id="434" name="image15.png"/>
                    <pic:cNvPicPr/>
                  </pic:nvPicPr>
                  <pic:blipFill>
                    <a:blip r:embed="rId4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10944">
            <wp:simplePos x="0" y="0"/>
            <wp:positionH relativeFrom="page">
              <wp:posOffset>2485491</wp:posOffset>
            </wp:positionH>
            <wp:positionV relativeFrom="paragraph">
              <wp:posOffset>44997</wp:posOffset>
            </wp:positionV>
            <wp:extent cx="55041" cy="6350"/>
            <wp:effectExtent l="0" t="0" r="0" b="0"/>
            <wp:wrapNone/>
            <wp:docPr id="435" name="image15.png"/>
            <wp:cNvGraphicFramePr>
              <a:graphicFrameLocks noChangeAspect="1"/>
            </wp:cNvGraphicFramePr>
            <a:graphic>
              <a:graphicData uri="http://schemas.openxmlformats.org/drawingml/2006/picture">
                <pic:pic>
                  <pic:nvPicPr>
                    <pic:cNvPr id="436"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15</w:t>
      </w:r>
    </w:p>
    <w:p>
      <w:pPr>
        <w:pStyle w:val="BodyText"/>
        <w:spacing w:before="1"/>
        <w:rPr>
          <w:sz w:val="16"/>
        </w:rPr>
      </w:pPr>
    </w:p>
    <w:p>
      <w:pPr>
        <w:spacing w:line="126" w:lineRule="exact" w:before="0"/>
        <w:ind w:left="3418" w:right="0" w:firstLine="0"/>
        <w:jc w:val="left"/>
        <w:rPr>
          <w:sz w:val="12"/>
        </w:rPr>
      </w:pPr>
      <w:r>
        <w:rPr/>
        <w:drawing>
          <wp:anchor distT="0" distB="0" distL="0" distR="0" allowOverlap="1" layoutInCell="1" locked="0" behindDoc="0" simplePos="0" relativeHeight="16202240">
            <wp:simplePos x="0" y="0"/>
            <wp:positionH relativeFrom="page">
              <wp:posOffset>615289</wp:posOffset>
            </wp:positionH>
            <wp:positionV relativeFrom="paragraph">
              <wp:posOffset>-16706</wp:posOffset>
            </wp:positionV>
            <wp:extent cx="1825231" cy="68668"/>
            <wp:effectExtent l="0" t="0" r="0" b="0"/>
            <wp:wrapNone/>
            <wp:docPr id="437" name="image80.png"/>
            <wp:cNvGraphicFramePr>
              <a:graphicFrameLocks noChangeAspect="1"/>
            </wp:cNvGraphicFramePr>
            <a:graphic>
              <a:graphicData uri="http://schemas.openxmlformats.org/drawingml/2006/picture">
                <pic:pic>
                  <pic:nvPicPr>
                    <pic:cNvPr id="438" name="image80.png"/>
                    <pic:cNvPicPr/>
                  </pic:nvPicPr>
                  <pic:blipFill>
                    <a:blip r:embed="rId156" cstate="print"/>
                    <a:stretch>
                      <a:fillRect/>
                    </a:stretch>
                  </pic:blipFill>
                  <pic:spPr>
                    <a:xfrm>
                      <a:off x="0" y="0"/>
                      <a:ext cx="1825231" cy="68668"/>
                    </a:xfrm>
                    <a:prstGeom prst="rect">
                      <a:avLst/>
                    </a:prstGeom>
                  </pic:spPr>
                </pic:pic>
              </a:graphicData>
            </a:graphic>
          </wp:anchor>
        </w:drawing>
      </w:r>
      <w:r>
        <w:rPr/>
        <w:drawing>
          <wp:anchor distT="0" distB="0" distL="0" distR="0" allowOverlap="1" layoutInCell="1" locked="0" behindDoc="0" simplePos="0" relativeHeight="16206848">
            <wp:simplePos x="0" y="0"/>
            <wp:positionH relativeFrom="page">
              <wp:posOffset>513156</wp:posOffset>
            </wp:positionH>
            <wp:positionV relativeFrom="paragraph">
              <wp:posOffset>45066</wp:posOffset>
            </wp:positionV>
            <wp:extent cx="55029" cy="6350"/>
            <wp:effectExtent l="0" t="0" r="0" b="0"/>
            <wp:wrapNone/>
            <wp:docPr id="439" name="image19.png"/>
            <wp:cNvGraphicFramePr>
              <a:graphicFrameLocks noChangeAspect="1"/>
            </wp:cNvGraphicFramePr>
            <a:graphic>
              <a:graphicData uri="http://schemas.openxmlformats.org/drawingml/2006/picture">
                <pic:pic>
                  <pic:nvPicPr>
                    <pic:cNvPr id="440" name="image19.png"/>
                    <pic:cNvPicPr/>
                  </pic:nvPicPr>
                  <pic:blipFill>
                    <a:blip r:embed="rId50"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11968">
            <wp:simplePos x="0" y="0"/>
            <wp:positionH relativeFrom="page">
              <wp:posOffset>2485491</wp:posOffset>
            </wp:positionH>
            <wp:positionV relativeFrom="paragraph">
              <wp:posOffset>44939</wp:posOffset>
            </wp:positionV>
            <wp:extent cx="55041" cy="6350"/>
            <wp:effectExtent l="0" t="0" r="0" b="0"/>
            <wp:wrapNone/>
            <wp:docPr id="441" name="image15.png"/>
            <wp:cNvGraphicFramePr>
              <a:graphicFrameLocks noChangeAspect="1"/>
            </wp:cNvGraphicFramePr>
            <a:graphic>
              <a:graphicData uri="http://schemas.openxmlformats.org/drawingml/2006/picture">
                <pic:pic>
                  <pic:nvPicPr>
                    <pic:cNvPr id="442"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20</w:t>
      </w:r>
    </w:p>
    <w:p>
      <w:pPr>
        <w:tabs>
          <w:tab w:pos="1108" w:val="left" w:leader="none"/>
          <w:tab w:pos="1657" w:val="left" w:leader="none"/>
          <w:tab w:pos="2206" w:val="left" w:leader="none"/>
          <w:tab w:pos="2755" w:val="left" w:leader="none"/>
        </w:tabs>
        <w:spacing w:line="126" w:lineRule="exact" w:before="0"/>
        <w:ind w:left="484" w:right="0" w:firstLine="0"/>
        <w:jc w:val="left"/>
        <w:rPr>
          <w:sz w:val="12"/>
        </w:rPr>
      </w:pPr>
      <w:r>
        <w:rPr>
          <w:sz w:val="12"/>
        </w:rPr>
        <w:t>1995</w:t>
        <w:tab/>
        <w:t>96</w:t>
        <w:tab/>
        <w:t>97</w:t>
        <w:tab/>
        <w:t>98</w:t>
        <w:tab/>
        <w:t>99</w:t>
      </w:r>
      <w:r>
        <w:rPr>
          <w:spacing w:val="1"/>
          <w:sz w:val="12"/>
        </w:rPr>
        <w:t> </w:t>
      </w:r>
      <w:r>
        <w:rPr>
          <w:sz w:val="12"/>
        </w:rPr>
        <w:t>2000</w:t>
      </w:r>
    </w:p>
    <w:p>
      <w:pPr>
        <w:pStyle w:val="ListParagraph"/>
        <w:numPr>
          <w:ilvl w:val="0"/>
          <w:numId w:val="29"/>
        </w:numPr>
        <w:tabs>
          <w:tab w:pos="410" w:val="left" w:leader="none"/>
        </w:tabs>
        <w:spacing w:line="208" w:lineRule="auto" w:before="77" w:after="0"/>
        <w:ind w:left="410" w:right="140" w:hanging="240"/>
        <w:jc w:val="left"/>
        <w:rPr>
          <w:sz w:val="12"/>
        </w:rPr>
      </w:pPr>
      <w:r>
        <w:rPr>
          <w:sz w:val="12"/>
        </w:rPr>
        <w:t>Monthly average of prices of primary commodities, weighted </w:t>
      </w:r>
      <w:r>
        <w:rPr>
          <w:spacing w:val="-9"/>
          <w:sz w:val="12"/>
        </w:rPr>
        <w:t>by </w:t>
      </w:r>
      <w:r>
        <w:rPr>
          <w:sz w:val="12"/>
        </w:rPr>
        <w:t>their shares in UK demand.</w:t>
      </w:r>
    </w:p>
    <w:p>
      <w:pPr>
        <w:pStyle w:val="ListParagraph"/>
        <w:numPr>
          <w:ilvl w:val="0"/>
          <w:numId w:val="29"/>
        </w:numPr>
        <w:tabs>
          <w:tab w:pos="411" w:val="left" w:leader="none"/>
        </w:tabs>
        <w:spacing w:line="114" w:lineRule="exact" w:before="0" w:after="0"/>
        <w:ind w:left="410" w:right="0" w:hanging="241"/>
        <w:jc w:val="left"/>
        <w:rPr>
          <w:sz w:val="12"/>
        </w:rPr>
      </w:pPr>
      <w:r>
        <w:rPr>
          <w:sz w:val="12"/>
        </w:rPr>
        <w:t>Includes prices of non-oil fuels and metals.</w:t>
      </w:r>
    </w:p>
    <w:p>
      <w:pPr>
        <w:pStyle w:val="ListParagraph"/>
        <w:numPr>
          <w:ilvl w:val="0"/>
          <w:numId w:val="29"/>
        </w:numPr>
        <w:tabs>
          <w:tab w:pos="410" w:val="left" w:leader="none"/>
        </w:tabs>
        <w:spacing w:line="208" w:lineRule="auto" w:before="6" w:after="0"/>
        <w:ind w:left="410" w:right="87" w:hanging="240"/>
        <w:jc w:val="left"/>
        <w:rPr>
          <w:sz w:val="12"/>
        </w:rPr>
      </w:pPr>
      <w:r>
        <w:rPr>
          <w:sz w:val="12"/>
        </w:rPr>
        <w:t>Includes prices of domestically produced and imported foodstuffs and non-food agricultural products.</w:t>
      </w:r>
    </w:p>
    <w:p>
      <w:pPr>
        <w:pStyle w:val="Heading6"/>
        <w:spacing w:line="242" w:lineRule="auto"/>
        <w:ind w:left="168" w:right="1248"/>
      </w:pPr>
      <w:r>
        <w:rPr/>
        <w:br w:type="column"/>
      </w:r>
      <w:r>
        <w:rPr/>
        <w:t>non-oil commodity prices than in its February projections.</w:t>
      </w:r>
    </w:p>
    <w:p>
      <w:pPr>
        <w:pStyle w:val="BodyText"/>
        <w:spacing w:before="4"/>
        <w:rPr>
          <w:sz w:val="27"/>
        </w:rPr>
      </w:pPr>
    </w:p>
    <w:p>
      <w:pPr>
        <w:pStyle w:val="Heading3"/>
        <w:numPr>
          <w:ilvl w:val="1"/>
          <w:numId w:val="27"/>
        </w:numPr>
        <w:tabs>
          <w:tab w:pos="1117" w:val="left" w:leader="none"/>
          <w:tab w:pos="1118" w:val="left" w:leader="none"/>
        </w:tabs>
        <w:spacing w:line="240" w:lineRule="auto" w:before="0" w:after="0"/>
        <w:ind w:left="1117" w:right="0" w:hanging="950"/>
        <w:jc w:val="left"/>
      </w:pPr>
      <w:r>
        <w:rPr>
          <w:color w:val="009391"/>
          <w:u w:val="thick" w:color="0092C7"/>
        </w:rPr>
        <w:t>Import prices and the exchange</w:t>
      </w:r>
      <w:r>
        <w:rPr>
          <w:color w:val="009391"/>
          <w:spacing w:val="-16"/>
          <w:u w:val="thick" w:color="0092C7"/>
        </w:rPr>
        <w:t> </w:t>
      </w:r>
      <w:r>
        <w:rPr>
          <w:color w:val="009391"/>
          <w:u w:val="thick" w:color="0092C7"/>
        </w:rPr>
        <w:t>rate</w:t>
      </w:r>
      <w:r>
        <w:rPr>
          <w:color w:val="009391"/>
          <w:spacing w:val="-11"/>
          <w:u w:val="thick" w:color="0092C7"/>
        </w:rPr>
        <w:t> </w:t>
      </w:r>
    </w:p>
    <w:p>
      <w:pPr>
        <w:pStyle w:val="BodyText"/>
        <w:spacing w:before="11"/>
        <w:rPr>
          <w:b/>
          <w:sz w:val="23"/>
        </w:rPr>
      </w:pPr>
    </w:p>
    <w:p>
      <w:pPr>
        <w:spacing w:line="242" w:lineRule="auto" w:before="0"/>
        <w:ind w:left="168" w:right="195" w:firstLine="0"/>
        <w:jc w:val="left"/>
        <w:rPr>
          <w:sz w:val="24"/>
        </w:rPr>
      </w:pPr>
      <w:r>
        <w:rPr>
          <w:sz w:val="24"/>
        </w:rPr>
        <w:t>Sterling import prices of goods and services fell by 0.2% in 1999 Q4 and were 1.4% lower than a year earlier.</w:t>
      </w:r>
    </w:p>
    <w:p>
      <w:pPr>
        <w:spacing w:line="242" w:lineRule="auto" w:before="3"/>
        <w:ind w:left="168" w:right="62" w:firstLine="0"/>
        <w:jc w:val="left"/>
        <w:rPr>
          <w:sz w:val="24"/>
        </w:rPr>
      </w:pPr>
      <w:r>
        <w:rPr>
          <w:sz w:val="24"/>
        </w:rPr>
        <w:t>Within the total, goods import prices were 1.1% lower than a year earlier, whereas services import prices fell by 2.6% over the same period (see Chart 4.4). The main reason why goods import prices have fallen by less than services import prices over the past year is that oil prices have increased (see Chart 4.5).</w:t>
      </w:r>
    </w:p>
    <w:p>
      <w:pPr>
        <w:pStyle w:val="BodyText"/>
        <w:spacing w:before="11"/>
        <w:rPr>
          <w:sz w:val="24"/>
        </w:rPr>
      </w:pPr>
    </w:p>
    <w:p>
      <w:pPr>
        <w:spacing w:line="242" w:lineRule="auto" w:before="0"/>
        <w:ind w:left="168" w:right="182" w:firstLine="0"/>
        <w:jc w:val="left"/>
        <w:rPr>
          <w:sz w:val="24"/>
        </w:rPr>
      </w:pPr>
      <w:r>
        <w:rPr>
          <w:sz w:val="24"/>
        </w:rPr>
        <w:t>The impact of oil prices on world prices depends both on the direct effects arising from oil usage in production, and on any indirect effects that arise when oil price changes affect expectations about inflation and hence wages. There are two reasons why the impact of</w:t>
      </w:r>
    </w:p>
    <w:p>
      <w:pPr>
        <w:spacing w:line="242" w:lineRule="auto" w:before="7"/>
        <w:ind w:left="168" w:right="248" w:firstLine="0"/>
        <w:jc w:val="left"/>
        <w:rPr>
          <w:sz w:val="24"/>
        </w:rPr>
      </w:pPr>
      <w:r>
        <w:rPr>
          <w:sz w:val="24"/>
        </w:rPr>
        <w:t>any change in oil prices may be less than in the past. OECD consumption of oil per unit of GDP has fallen by almost a half since 1972, and monetary policy regimes firmly focused on maintaining price stability should limit any further passthrough into wage and price inflation.</w:t>
      </w:r>
    </w:p>
    <w:p>
      <w:pPr>
        <w:pStyle w:val="BodyText"/>
        <w:spacing w:before="11"/>
        <w:rPr>
          <w:sz w:val="24"/>
        </w:rPr>
      </w:pPr>
    </w:p>
    <w:p>
      <w:pPr>
        <w:spacing w:line="242" w:lineRule="auto" w:before="0"/>
        <w:ind w:left="168" w:right="255" w:firstLine="0"/>
        <w:jc w:val="left"/>
        <w:rPr>
          <w:sz w:val="24"/>
        </w:rPr>
      </w:pPr>
      <w:r>
        <w:rPr>
          <w:sz w:val="24"/>
        </w:rPr>
        <w:t>Even excluding oil, sterling import prices of goods and services have fallen by less than might have been expected based solely on movements in the sterling effective exchange rate: in the year to 1999 Q4 the sterling price of non-oil imports fell by 2.5% whereas the exchange rate appreciated by 5.3%. That is partly</w:t>
      </w:r>
    </w:p>
    <w:p>
      <w:pPr>
        <w:spacing w:after="0" w:line="242" w:lineRule="auto"/>
        <w:jc w:val="left"/>
        <w:rPr>
          <w:sz w:val="24"/>
        </w:rPr>
        <w:sectPr>
          <w:type w:val="continuous"/>
          <w:pgSz w:w="11900" w:h="16840"/>
          <w:pgMar w:top="1220" w:bottom="280" w:left="640" w:right="620"/>
          <w:cols w:num="2" w:equalWidth="0">
            <w:col w:w="3655" w:space="1136"/>
            <w:col w:w="5849"/>
          </w:cols>
        </w:sectPr>
      </w:pPr>
    </w:p>
    <w:p>
      <w:pPr>
        <w:pStyle w:val="BodyText"/>
        <w:rPr>
          <w:sz w:val="20"/>
        </w:rPr>
      </w:pPr>
    </w:p>
    <w:p>
      <w:pPr>
        <w:spacing w:after="0"/>
        <w:rPr>
          <w:sz w:val="20"/>
        </w:rPr>
        <w:sectPr>
          <w:footerReference w:type="default" r:id="rId157"/>
          <w:footerReference w:type="even" r:id="rId158"/>
          <w:pgSz w:w="11900" w:h="16840"/>
          <w:pgMar w:footer="617" w:header="586" w:top="780" w:bottom="800" w:left="640" w:right="620"/>
          <w:pgNumType w:start="35"/>
        </w:sectPr>
      </w:pPr>
    </w:p>
    <w:p>
      <w:pPr>
        <w:pStyle w:val="BodyText"/>
        <w:spacing w:before="3"/>
        <w:rPr>
          <w:sz w:val="22"/>
        </w:rPr>
      </w:pPr>
    </w:p>
    <w:p>
      <w:pPr>
        <w:spacing w:before="0"/>
        <w:ind w:left="165" w:right="0" w:firstLine="0"/>
        <w:jc w:val="left"/>
        <w:rPr>
          <w:b/>
          <w:sz w:val="20"/>
        </w:rPr>
      </w:pPr>
      <w:bookmarkStart w:name="Costs and prices in manufacturing" w:id="66"/>
      <w:bookmarkEnd w:id="66"/>
      <w:r>
        <w:rPr/>
      </w:r>
      <w:bookmarkStart w:name="_bookmark31" w:id="67"/>
      <w:bookmarkEnd w:id="67"/>
      <w:r>
        <w:rPr/>
      </w:r>
      <w:r>
        <w:rPr>
          <w:b/>
          <w:color w:val="0092C7"/>
          <w:sz w:val="20"/>
        </w:rPr>
        <w:t>Chart 4.4</w:t>
      </w:r>
    </w:p>
    <w:p>
      <w:pPr>
        <w:spacing w:line="249" w:lineRule="auto" w:before="10"/>
        <w:ind w:left="165" w:right="287" w:firstLine="0"/>
        <w:jc w:val="left"/>
        <w:rPr>
          <w:b/>
          <w:sz w:val="20"/>
        </w:rPr>
      </w:pPr>
      <w:r>
        <w:rPr>
          <w:b/>
          <w:color w:val="0092C7"/>
          <w:sz w:val="20"/>
        </w:rPr>
        <w:t>UK sterling import prices and the exchange rate</w:t>
      </w:r>
    </w:p>
    <w:p>
      <w:pPr>
        <w:spacing w:before="50"/>
        <w:ind w:left="0" w:right="0" w:firstLine="0"/>
        <w:jc w:val="right"/>
        <w:rPr>
          <w:sz w:val="12"/>
        </w:rPr>
      </w:pPr>
      <w:r>
        <w:rPr/>
        <w:pict>
          <v:group style="position:absolute;margin-left:48.125pt;margin-top:34.435059pt;width:143.65pt;height:110pt;mso-position-horizontal-relative:page;mso-position-vertical-relative:paragraph;z-index:16236032" coordorigin="963,689" coordsize="2873,2200">
            <v:shape style="position:absolute;left:972;top:848;width:300;height:330" coordorigin="973,849" coordsize="300,330" path="m973,1179l1123,1046m1123,1046l1273,849e" filled="false" stroked="true" strokeweight="1pt" strokecolor="#610e7a">
              <v:path arrowok="t"/>
              <v:stroke dashstyle="solid"/>
            </v:shape>
            <v:shape style="position:absolute;left:1262;top:849;width:320;height:2" coordorigin="1263,850" coordsize="320,0" path="m1263,850l1433,850m1413,850l1583,850e" filled="false" stroked="true" strokeweight="1.125pt" strokecolor="#610e7a">
              <v:path arrowok="t"/>
              <v:stroke dashstyle="solid"/>
            </v:shape>
            <v:shape style="position:absolute;left:1572;top:831;width:1650;height:1668" coordorigin="1573,831" coordsize="1650,1668" path="m1573,849l1723,831m1723,831l1873,1079m1873,1079l2023,1146m2023,1146l2173,1409m2173,1409l2323,1641m2323,1641l2473,1674m2473,1674l2623,1771m2623,1771l2773,2069m2773,2069l2923,2251m2923,2251l3073,2384m3073,2384l3223,2499e" filled="false" stroked="true" strokeweight="1pt" strokecolor="#610e7a">
              <v:path arrowok="t"/>
              <v:stroke dashstyle="solid"/>
            </v:shape>
            <v:shape style="position:absolute;left:972;top:698;width:600;height:480" coordorigin="973,699" coordsize="600,480" path="m973,1179l1123,1014m1123,1014l1273,914m1273,914l1423,946m1423,946l1573,699e" filled="false" stroked="true" strokeweight="1pt" strokecolor="#f6bd61">
              <v:path arrowok="t"/>
              <v:stroke dashstyle="solid"/>
            </v:shape>
            <v:line style="position:absolute" from="1563,700" to="1733,700" stroked="true" strokeweight="1.125pt" strokecolor="#f6bd61">
              <v:stroke dashstyle="solid"/>
            </v:line>
            <v:shape style="position:absolute;left:1722;top:698;width:300;height:645" coordorigin="1723,699" coordsize="300,645" path="m1723,699l1873,849m1873,849l2023,1344e" filled="false" stroked="true" strokeweight="1pt" strokecolor="#f6bd61">
              <v:path arrowok="t"/>
              <v:stroke dashstyle="solid"/>
            </v:shape>
            <v:line style="position:absolute" from="2013,1345" to="2183,1345" stroked="true" strokeweight="1.125pt" strokecolor="#f6bd61">
              <v:stroke dashstyle="solid"/>
            </v:line>
            <v:shape style="position:absolute;left:2172;top:1343;width:1653;height:545" coordorigin="2173,1344" coordsize="1653,545" path="m2173,1344l2323,1409m2323,1409l2473,1641m2473,1641l2623,1806m2623,1806l2773,1854m2773,1854l2923,1706m2923,1706l3073,1689m3073,1689l3223,1656m3223,1656l3375,1724m3375,1724l3525,1821m3525,1821l3675,1871m3675,1871l3825,1889e" filled="false" stroked="true" strokeweight="1pt" strokecolor="#f6bd61">
              <v:path arrowok="t"/>
              <v:stroke dashstyle="solid"/>
            </v:shape>
            <v:line style="position:absolute" from="973,1179" to="1123,849" stroked="true" strokeweight="1pt" strokecolor="#9ed01a">
              <v:stroke dashstyle="solid"/>
            </v:line>
            <v:line style="position:absolute" from="1113,850" to="1283,850" stroked="true" strokeweight="1.125pt" strokecolor="#9ed01a">
              <v:stroke dashstyle="solid"/>
            </v:line>
            <v:line style="position:absolute" from="1273,849" to="1423,749" stroked="true" strokeweight="1pt" strokecolor="#9ed01a">
              <v:stroke dashstyle="solid"/>
            </v:line>
            <v:line style="position:absolute" from="1413,750" to="1583,750" stroked="true" strokeweight="1.125pt" strokecolor="#9ed01a">
              <v:stroke dashstyle="solid"/>
            </v:line>
            <v:shape style="position:absolute;left:1572;top:748;width:750;height:1635" coordorigin="1573,749" coordsize="750,1635" path="m1573,749l1723,914m1723,914l1873,996m1873,996l2023,1624m2023,1624l2173,2136m2173,2136l2323,2384e" filled="false" stroked="true" strokeweight="1pt" strokecolor="#9ed01a">
              <v:path arrowok="t"/>
              <v:stroke dashstyle="solid"/>
            </v:shape>
            <v:line style="position:absolute" from="2313,2385" to="2483,2385" stroked="true" strokeweight="1.125pt" strokecolor="#9ed01a">
              <v:stroke dashstyle="solid"/>
            </v:line>
            <v:shape style="position:absolute;left:2472;top:2383;width:300;height:445" coordorigin="2473,2384" coordsize="300,445" path="m2473,2384l2623,2664m2623,2664l2773,2829e" filled="false" stroked="true" strokeweight="1pt" strokecolor="#9ed01a">
              <v:path arrowok="t"/>
              <v:stroke dashstyle="solid"/>
            </v:shape>
            <v:line style="position:absolute" from="2763,2830" to="2933,2830" stroked="true" strokeweight="1.125pt" strokecolor="#9ed01a">
              <v:stroke dashstyle="solid"/>
            </v:line>
            <v:shape style="position:absolute;left:2922;top:2448;width:300;height:380" coordorigin="2923,2449" coordsize="300,380" path="m2923,2829l3073,2761m3073,2761l3223,2449e" filled="false" stroked="true" strokeweight="1pt" strokecolor="#9ed01a">
              <v:path arrowok="t"/>
              <v:stroke dashstyle="solid"/>
            </v:shape>
            <v:line style="position:absolute" from="3375,2514" to="3525,2564" stroked="true" strokeweight="1pt" strokecolor="#610e7a">
              <v:stroke dashstyle="solid"/>
            </v:line>
            <v:shape style="position:absolute;left:3222;top:2448;width:303;height:280" coordorigin="3223,2449" coordsize="303,280" path="m3223,2449l3375,2499m3375,2499l3525,2729e" filled="false" stroked="true" strokeweight="1pt" strokecolor="#9ed01a">
              <v:path arrowok="t"/>
              <v:stroke dashstyle="solid"/>
            </v:shape>
            <v:line style="position:absolute" from="3515,2721" to="3685,2721" stroked="true" strokeweight="1.75pt" strokecolor="#9ed01a">
              <v:stroke dashstyle="solid"/>
            </v:line>
            <v:line style="position:absolute" from="3675,2714" to="3825,2879" stroked="true" strokeweight="1pt" strokecolor="#9ed01a">
              <v:stroke dashstyle="solid"/>
            </v:line>
            <v:shape style="position:absolute;left:3176;top:1517;width:427;height:133" type="#_x0000_t202" filled="false" stroked="false">
              <v:textbox inset="0,0,0,0">
                <w:txbxContent>
                  <w:p>
                    <w:pPr>
                      <w:spacing w:line="133" w:lineRule="exact" w:before="0"/>
                      <w:ind w:left="0" w:right="0" w:firstLine="0"/>
                      <w:jc w:val="left"/>
                      <w:rPr>
                        <w:sz w:val="12"/>
                      </w:rPr>
                    </w:pPr>
                    <w:r>
                      <w:rPr>
                        <w:sz w:val="12"/>
                      </w:rPr>
                      <w:t>Services</w:t>
                    </w:r>
                  </w:p>
                </w:txbxContent>
              </v:textbox>
              <w10:wrap type="none"/>
            </v:shape>
            <v:shape style="position:absolute;left:2831;top:1995;width:334;height:133" type="#_x0000_t202" filled="false" stroked="false">
              <v:textbox inset="0,0,0,0">
                <w:txbxContent>
                  <w:p>
                    <w:pPr>
                      <w:spacing w:line="133" w:lineRule="exact" w:before="0"/>
                      <w:ind w:left="0" w:right="0" w:firstLine="0"/>
                      <w:jc w:val="left"/>
                      <w:rPr>
                        <w:sz w:val="12"/>
                      </w:rPr>
                    </w:pPr>
                    <w:r>
                      <w:rPr>
                        <w:sz w:val="12"/>
                      </w:rPr>
                      <w:t>Goods</w:t>
                    </w:r>
                  </w:p>
                </w:txbxContent>
              </v:textbox>
              <w10:wrap type="none"/>
            </v:shape>
            <v:shape style="position:absolute;left:1343;top:2115;width:964;height:374" type="#_x0000_t202" filled="false" stroked="false">
              <v:textbox inset="0,0,0,0">
                <w:txbxContent>
                  <w:p>
                    <w:pPr>
                      <w:spacing w:line="208" w:lineRule="auto" w:before="9"/>
                      <w:ind w:left="60" w:right="1" w:hanging="60"/>
                      <w:jc w:val="left"/>
                      <w:rPr>
                        <w:sz w:val="12"/>
                      </w:rPr>
                    </w:pPr>
                    <w:r>
                      <w:rPr>
                        <w:sz w:val="12"/>
                      </w:rPr>
                      <w:t>Sterling effective exchange rate index, inverted (a)</w:t>
                    </w:r>
                  </w:p>
                </w:txbxContent>
              </v:textbox>
              <w10:wrap type="none"/>
            </v:shape>
            <v:shape style="position:absolute;left:3212;top:2355;width:493;height:133" type="#_x0000_t202" filled="false" stroked="false">
              <v:textbox inset="0,0,0,0">
                <w:txbxContent>
                  <w:p>
                    <w:pPr>
                      <w:spacing w:line="133" w:lineRule="exact" w:before="0"/>
                      <w:ind w:left="0" w:right="0" w:firstLine="0"/>
                      <w:jc w:val="left"/>
                      <w:rPr>
                        <w:sz w:val="12"/>
                      </w:rPr>
                    </w:pPr>
                    <w:r>
                      <w:rPr>
                        <w:sz w:val="12"/>
                        <w:u w:val="thick" w:color="610E7A"/>
                      </w:rPr>
                      <w:t>     </w:t>
                    </w:r>
                    <w:r>
                      <w:rPr>
                        <w:spacing w:val="-8"/>
                        <w:sz w:val="12"/>
                        <w:u w:val="thick" w:color="610E7A"/>
                      </w:rPr>
                      <w:t> </w:t>
                    </w:r>
                    <w:r>
                      <w:rPr>
                        <w:sz w:val="12"/>
                      </w:rPr>
                      <w:t>   </w:t>
                    </w:r>
                    <w:r>
                      <w:rPr>
                        <w:spacing w:val="10"/>
                        <w:sz w:val="12"/>
                      </w:rPr>
                      <w:t> </w:t>
                    </w:r>
                    <w:r>
                      <w:rPr>
                        <w:sz w:val="12"/>
                        <w:u w:val="thick" w:color="610E7A"/>
                      </w:rPr>
                      <w:t> </w:t>
                    </w:r>
                    <w:r>
                      <w:rPr>
                        <w:spacing w:val="-10"/>
                        <w:sz w:val="12"/>
                        <w:u w:val="thick" w:color="610E7A"/>
                      </w:rPr>
                      <w:t> </w:t>
                    </w:r>
                  </w:p>
                </w:txbxContent>
              </v:textbox>
              <w10:wrap type="none"/>
            </v:shape>
            <w10:wrap type="none"/>
          </v:group>
        </w:pict>
      </w:r>
      <w:r>
        <w:rPr/>
        <w:pict>
          <v:line style="position:absolute;mso-position-horizontal-relative:page;mso-position-vertical-relative:paragraph;z-index:16237056" from="39.958pt,58.31406pt" to="44.292pt,58.31406pt" stroked="true" strokeweight=".5pt" strokecolor="#000000">
            <v:stroke dashstyle="solid"/>
            <w10:wrap type="none"/>
          </v:line>
        </w:pict>
      </w:r>
      <w:r>
        <w:rPr/>
        <w:pict>
          <v:line style="position:absolute;mso-position-horizontal-relative:page;mso-position-vertical-relative:paragraph;z-index:16237568" from="39.958pt,82.206062pt" to="44.292pt,82.206062pt" stroked="true" strokeweight=".5pt" strokecolor="#000000">
            <v:stroke dashstyle="solid"/>
            <w10:wrap type="none"/>
          </v:line>
        </w:pict>
      </w:r>
      <w:r>
        <w:rPr/>
        <w:pict>
          <v:line style="position:absolute;mso-position-horizontal-relative:page;mso-position-vertical-relative:paragraph;z-index:16239104" from="195.417007pt,35.067059pt" to="199.750007pt,35.067059pt" stroked="true" strokeweight=".5pt" strokecolor="#000000">
            <v:stroke dashstyle="solid"/>
            <w10:wrap type="none"/>
          </v:line>
        </w:pict>
      </w:r>
      <w:r>
        <w:rPr/>
        <w:pict>
          <v:line style="position:absolute;mso-position-horizontal-relative:page;mso-position-vertical-relative:paragraph;z-index:16239616" from="195.417007pt,58.959057pt" to="199.750007pt,58.959057pt" stroked="true" strokeweight=".5pt" strokecolor="#000000">
            <v:stroke dashstyle="solid"/>
            <w10:wrap type="none"/>
          </v:line>
        </w:pict>
      </w:r>
      <w:r>
        <w:rPr/>
        <w:pict>
          <v:line style="position:absolute;mso-position-horizontal-relative:page;mso-position-vertical-relative:paragraph;z-index:16240128" from="195.417007pt,82.852058pt" to="199.750007pt,82.852058pt" stroked="true" strokeweight=".5pt" strokecolor="#000000">
            <v:stroke dashstyle="solid"/>
            <w10:wrap type="none"/>
          </v:line>
        </w:pict>
      </w:r>
      <w:r>
        <w:rPr>
          <w:sz w:val="12"/>
        </w:rPr>
        <w:t>1995 Q1 =</w:t>
      </w:r>
      <w:r>
        <w:rPr>
          <w:spacing w:val="-1"/>
          <w:sz w:val="12"/>
        </w:rPr>
        <w:t> </w:t>
      </w:r>
      <w:r>
        <w:rPr>
          <w:sz w:val="12"/>
        </w:rPr>
        <w:t>100</w:t>
      </w:r>
    </w:p>
    <w:p>
      <w:pPr>
        <w:tabs>
          <w:tab w:pos="3263" w:val="left" w:leader="none"/>
        </w:tabs>
        <w:spacing w:line="22" w:lineRule="exact"/>
        <w:ind w:left="154" w:right="-72" w:firstLine="0"/>
        <w:rPr>
          <w:sz w:val="2"/>
        </w:rPr>
      </w:pPr>
      <w:r>
        <w:rPr>
          <w:position w:val="1"/>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position w:val="1"/>
          <w:sz w:val="2"/>
        </w:rPr>
      </w:r>
      <w:r>
        <w:rPr>
          <w:position w:val="1"/>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4"/>
        </w:rPr>
      </w:pPr>
    </w:p>
    <w:p>
      <w:pPr>
        <w:spacing w:line="77" w:lineRule="exact"/>
        <w:ind w:left="154"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pacing w:val="33"/>
          <w:sz w:val="7"/>
        </w:rPr>
        <w:t> </w:t>
      </w:r>
      <w:r>
        <w:rPr>
          <w:spacing w:val="33"/>
          <w:position w:val="-1"/>
          <w:sz w:val="7"/>
        </w:rPr>
        <w:pict>
          <v:group style="width:143.25pt;height:3.65pt;mso-position-horizontal-relative:char;mso-position-vertical-relative:line" coordorigin="0,0" coordsize="2865,73">
            <v:shape style="position:absolute;left:5;top:0;width:2860;height:68" coordorigin="5,0" coordsize="2860,68" path="m8,67l2865,67m5,0l5,67m604,0l604,67m1203,0l1203,67m1803,0l1803,67m2402,0l2402,67e" filled="false" stroked="true" strokeweight=".5pt" strokecolor="#000000">
              <v:path arrowok="t"/>
              <v:stroke dashstyle="solid"/>
            </v:shape>
          </v:group>
        </w:pict>
      </w:r>
      <w:r>
        <w:rPr>
          <w:spacing w:val="33"/>
          <w:position w:val="-1"/>
          <w:sz w:val="7"/>
        </w:rPr>
      </w:r>
      <w:r>
        <w:rPr>
          <w:spacing w:val="50"/>
          <w:position w:val="-1"/>
          <w:sz w:val="2"/>
        </w:rPr>
        <w:t> </w:t>
      </w:r>
      <w:r>
        <w:rPr>
          <w:spacing w:val="50"/>
          <w:position w:val="-1"/>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pacing w:val="50"/>
          <w:position w:val="-1"/>
          <w:sz w:val="2"/>
        </w:rPr>
      </w:r>
    </w:p>
    <w:p>
      <w:pPr>
        <w:tabs>
          <w:tab w:pos="1154" w:val="left" w:leader="none"/>
          <w:tab w:pos="1756" w:val="left" w:leader="none"/>
          <w:tab w:pos="2357" w:val="left" w:leader="none"/>
          <w:tab w:pos="2897" w:val="left" w:leader="none"/>
        </w:tabs>
        <w:spacing w:before="36"/>
        <w:ind w:left="495" w:right="0" w:firstLine="0"/>
        <w:jc w:val="left"/>
        <w:rPr>
          <w:sz w:val="12"/>
        </w:rPr>
      </w:pPr>
      <w:r>
        <w:rPr/>
        <w:pict>
          <v:line style="position:absolute;mso-position-horizontal-relative:page;mso-position-vertical-relative:paragraph;z-index:16236544" from="183.75pt,-26.597706pt" to="191.25pt,-25.722706pt" stroked="true" strokeweight="1pt" strokecolor="#610e7a">
            <v:stroke dashstyle="solid"/>
            <w10:wrap type="none"/>
          </v:line>
        </w:pict>
      </w:r>
      <w:r>
        <w:rPr/>
        <w:pict>
          <v:line style="position:absolute;mso-position-horizontal-relative:page;mso-position-vertical-relative:paragraph;z-index:16238080" from="39.958pt,-24.791704pt" to="44.292pt,-24.791704pt" stroked="true" strokeweight=".5pt" strokecolor="#000000">
            <v:stroke dashstyle="solid"/>
            <w10:wrap type="none"/>
          </v:line>
        </w:pict>
      </w:r>
      <w:r>
        <w:rPr/>
        <w:pict>
          <v:line style="position:absolute;mso-position-horizontal-relative:page;mso-position-vertical-relative:paragraph;z-index:16238592" from="39.958pt,-48.684704pt" to="44.292pt,-48.684704pt" stroked="true" strokeweight=".5pt" strokecolor="#000000">
            <v:stroke dashstyle="solid"/>
            <w10:wrap type="none"/>
          </v:line>
        </w:pict>
      </w:r>
      <w:r>
        <w:rPr/>
        <w:pict>
          <v:line style="position:absolute;mso-position-horizontal-relative:page;mso-position-vertical-relative:paragraph;z-index:16240640" from="195.417007pt,-24.146706pt" to="199.750007pt,-24.146706pt" stroked="true" strokeweight=".5pt" strokecolor="#000000">
            <v:stroke dashstyle="solid"/>
            <w10:wrap type="none"/>
          </v:line>
        </w:pict>
      </w:r>
      <w:r>
        <w:rPr/>
        <w:pict>
          <v:line style="position:absolute;mso-position-horizontal-relative:page;mso-position-vertical-relative:paragraph;z-index:16241152" from="195.417007pt,-48.038704pt" to="199.750007pt,-48.038704pt" stroked="true" strokeweight=".5pt" strokecolor="#000000">
            <v:stroke dashstyle="solid"/>
            <w10:wrap type="none"/>
          </v:line>
        </w:pict>
      </w:r>
      <w:r>
        <w:rPr>
          <w:sz w:val="12"/>
        </w:rPr>
        <w:t>1995</w:t>
        <w:tab/>
        <w:t>96</w:t>
        <w:tab/>
        <w:t>97</w:t>
        <w:tab/>
        <w:t>98</w:t>
        <w:tab/>
        <w:t>99</w:t>
      </w:r>
    </w:p>
    <w:p>
      <w:pPr>
        <w:pStyle w:val="BodyText"/>
        <w:spacing w:before="1"/>
        <w:rPr>
          <w:sz w:val="10"/>
        </w:rPr>
      </w:pPr>
    </w:p>
    <w:p>
      <w:pPr>
        <w:spacing w:before="0"/>
        <w:ind w:left="165" w:right="0" w:firstLine="0"/>
        <w:jc w:val="left"/>
        <w:rPr>
          <w:sz w:val="12"/>
        </w:rPr>
      </w:pPr>
      <w:r>
        <w:rPr>
          <w:sz w:val="12"/>
        </w:rPr>
        <w:t>Sources:  ONS and Bank of England.</w:t>
      </w:r>
    </w:p>
    <w:p>
      <w:pPr>
        <w:spacing w:before="102"/>
        <w:ind w:left="165" w:right="0" w:firstLine="0"/>
        <w:jc w:val="left"/>
        <w:rPr>
          <w:sz w:val="12"/>
        </w:rPr>
      </w:pPr>
      <w:r>
        <w:rPr>
          <w:sz w:val="12"/>
        </w:rPr>
        <w:t>(a)    A fall indicates an</w:t>
      </w:r>
      <w:r>
        <w:rPr>
          <w:spacing w:val="-14"/>
          <w:sz w:val="12"/>
        </w:rPr>
        <w:t> </w:t>
      </w:r>
      <w:r>
        <w:rPr>
          <w:sz w:val="12"/>
        </w:rPr>
        <w:t>appreciation.</w:t>
      </w:r>
    </w:p>
    <w:p>
      <w:pPr>
        <w:pStyle w:val="BodyText"/>
        <w:rPr>
          <w:sz w:val="12"/>
        </w:rPr>
      </w:pPr>
    </w:p>
    <w:p>
      <w:pPr>
        <w:pStyle w:val="BodyText"/>
        <w:rPr>
          <w:sz w:val="12"/>
        </w:rPr>
      </w:pPr>
    </w:p>
    <w:p>
      <w:pPr>
        <w:spacing w:line="151" w:lineRule="exact" w:before="102"/>
        <w:ind w:left="150" w:right="0" w:firstLine="0"/>
        <w:jc w:val="left"/>
        <w:rPr>
          <w:b/>
          <w:sz w:val="20"/>
        </w:rPr>
      </w:pPr>
      <w:r>
        <w:rPr>
          <w:b/>
          <w:color w:val="0092C7"/>
          <w:sz w:val="20"/>
        </w:rPr>
        <w:t>Chart 4.5</w:t>
      </w:r>
    </w:p>
    <w:p>
      <w:pPr>
        <w:pStyle w:val="BodyText"/>
        <w:rPr>
          <w:b/>
          <w:sz w:val="12"/>
        </w:rPr>
      </w:pPr>
      <w:r>
        <w:rPr/>
        <w:br w:type="column"/>
      </w:r>
      <w:r>
        <w:rPr>
          <w:b/>
          <w:sz w:val="12"/>
        </w:rPr>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4"/>
        <w:rPr>
          <w:b/>
          <w:sz w:val="13"/>
        </w:rPr>
      </w:pPr>
    </w:p>
    <w:p>
      <w:pPr>
        <w:spacing w:before="1"/>
        <w:ind w:left="-13" w:right="0" w:firstLine="0"/>
        <w:jc w:val="left"/>
        <w:rPr>
          <w:sz w:val="12"/>
        </w:rPr>
      </w:pPr>
      <w:r>
        <w:rPr>
          <w:sz w:val="12"/>
        </w:rPr>
        <w:t>110</w:t>
      </w:r>
    </w:p>
    <w:p>
      <w:pPr>
        <w:pStyle w:val="BodyText"/>
        <w:rPr>
          <w:sz w:val="12"/>
        </w:rPr>
      </w:pPr>
    </w:p>
    <w:p>
      <w:pPr>
        <w:pStyle w:val="BodyText"/>
        <w:spacing w:before="5"/>
        <w:rPr>
          <w:sz w:val="17"/>
        </w:rPr>
      </w:pPr>
    </w:p>
    <w:p>
      <w:pPr>
        <w:spacing w:before="1"/>
        <w:ind w:left="-13" w:right="0" w:firstLine="0"/>
        <w:jc w:val="left"/>
        <w:rPr>
          <w:sz w:val="12"/>
        </w:rPr>
      </w:pPr>
      <w:r>
        <w:rPr>
          <w:sz w:val="12"/>
        </w:rPr>
        <w:t>105</w:t>
      </w:r>
    </w:p>
    <w:p>
      <w:pPr>
        <w:pStyle w:val="BodyText"/>
        <w:rPr>
          <w:sz w:val="12"/>
        </w:rPr>
      </w:pPr>
    </w:p>
    <w:p>
      <w:pPr>
        <w:pStyle w:val="BodyText"/>
        <w:spacing w:before="5"/>
        <w:rPr>
          <w:sz w:val="17"/>
        </w:rPr>
      </w:pPr>
    </w:p>
    <w:p>
      <w:pPr>
        <w:spacing w:before="0"/>
        <w:ind w:left="-13" w:right="0" w:firstLine="0"/>
        <w:jc w:val="left"/>
        <w:rPr>
          <w:sz w:val="12"/>
        </w:rPr>
      </w:pPr>
      <w:r>
        <w:rPr>
          <w:sz w:val="12"/>
        </w:rPr>
        <w:t>100</w:t>
      </w:r>
    </w:p>
    <w:p>
      <w:pPr>
        <w:pStyle w:val="BodyText"/>
        <w:rPr>
          <w:sz w:val="12"/>
        </w:rPr>
      </w:pPr>
    </w:p>
    <w:p>
      <w:pPr>
        <w:pStyle w:val="BodyText"/>
        <w:spacing w:before="6"/>
        <w:rPr>
          <w:sz w:val="17"/>
        </w:rPr>
      </w:pPr>
    </w:p>
    <w:p>
      <w:pPr>
        <w:spacing w:before="0"/>
        <w:ind w:left="47" w:right="0" w:firstLine="0"/>
        <w:jc w:val="left"/>
        <w:rPr>
          <w:sz w:val="12"/>
        </w:rPr>
      </w:pPr>
      <w:r>
        <w:rPr>
          <w:sz w:val="12"/>
        </w:rPr>
        <w:t>95</w:t>
      </w:r>
    </w:p>
    <w:p>
      <w:pPr>
        <w:pStyle w:val="BodyText"/>
        <w:rPr>
          <w:sz w:val="12"/>
        </w:rPr>
      </w:pPr>
    </w:p>
    <w:p>
      <w:pPr>
        <w:pStyle w:val="BodyText"/>
        <w:spacing w:before="6"/>
        <w:rPr>
          <w:sz w:val="17"/>
        </w:rPr>
      </w:pPr>
    </w:p>
    <w:p>
      <w:pPr>
        <w:spacing w:before="0"/>
        <w:ind w:left="47" w:right="0" w:firstLine="0"/>
        <w:jc w:val="left"/>
        <w:rPr>
          <w:sz w:val="12"/>
        </w:rPr>
      </w:pPr>
      <w:r>
        <w:rPr>
          <w:sz w:val="12"/>
        </w:rPr>
        <w:t>90</w:t>
      </w:r>
    </w:p>
    <w:p>
      <w:pPr>
        <w:pStyle w:val="BodyText"/>
        <w:rPr>
          <w:sz w:val="12"/>
        </w:rPr>
      </w:pPr>
    </w:p>
    <w:p>
      <w:pPr>
        <w:pStyle w:val="BodyText"/>
        <w:spacing w:before="6"/>
        <w:rPr>
          <w:sz w:val="17"/>
        </w:rPr>
      </w:pPr>
    </w:p>
    <w:p>
      <w:pPr>
        <w:spacing w:before="0"/>
        <w:ind w:left="47" w:right="0" w:firstLine="0"/>
        <w:jc w:val="left"/>
        <w:rPr>
          <w:sz w:val="12"/>
        </w:rPr>
      </w:pPr>
      <w:r>
        <w:rPr>
          <w:sz w:val="12"/>
        </w:rPr>
        <w:t>85</w:t>
      </w:r>
    </w:p>
    <w:p>
      <w:pPr>
        <w:pStyle w:val="BodyText"/>
        <w:rPr>
          <w:sz w:val="12"/>
        </w:rPr>
      </w:pPr>
    </w:p>
    <w:p>
      <w:pPr>
        <w:pStyle w:val="BodyText"/>
        <w:spacing w:before="6"/>
        <w:rPr>
          <w:sz w:val="17"/>
        </w:rPr>
      </w:pPr>
    </w:p>
    <w:p>
      <w:pPr>
        <w:spacing w:before="0"/>
        <w:ind w:left="47" w:right="0" w:firstLine="0"/>
        <w:jc w:val="left"/>
        <w:rPr>
          <w:sz w:val="12"/>
        </w:rPr>
      </w:pPr>
      <w:r>
        <w:rPr>
          <w:sz w:val="12"/>
        </w:rPr>
        <w:t>80</w:t>
      </w:r>
    </w:p>
    <w:p>
      <w:pPr>
        <w:pStyle w:val="Heading6"/>
        <w:spacing w:line="242" w:lineRule="auto" w:before="217"/>
        <w:ind w:left="150" w:right="610"/>
      </w:pPr>
      <w:r>
        <w:rPr/>
        <w:br w:type="column"/>
      </w:r>
      <w:r>
        <w:rPr/>
        <w:t>because world prices have risen: in 1999 Q4 UK trade-weighted world export prices rose for the third consecutive quarter, and by more than expected.</w:t>
      </w:r>
    </w:p>
    <w:p>
      <w:pPr>
        <w:spacing w:line="242" w:lineRule="auto" w:before="4"/>
        <w:ind w:left="150" w:right="367" w:firstLine="0"/>
        <w:jc w:val="left"/>
        <w:rPr>
          <w:sz w:val="24"/>
        </w:rPr>
      </w:pPr>
      <w:r>
        <w:rPr>
          <w:sz w:val="24"/>
        </w:rPr>
        <w:t>Looking ahead, the MPC has assumed that world export prices rise more quickly than in the February projection because of stronger world demand and the lagged effects of the rise in oil and other commodity prices.</w:t>
      </w:r>
    </w:p>
    <w:p>
      <w:pPr>
        <w:pStyle w:val="BodyText"/>
        <w:spacing w:before="10"/>
        <w:rPr>
          <w:sz w:val="24"/>
        </w:rPr>
      </w:pPr>
    </w:p>
    <w:p>
      <w:pPr>
        <w:spacing w:line="242" w:lineRule="auto" w:before="0"/>
        <w:ind w:left="150" w:right="202" w:firstLine="0"/>
        <w:jc w:val="left"/>
        <w:rPr>
          <w:sz w:val="24"/>
        </w:rPr>
      </w:pPr>
      <w:r>
        <w:rPr>
          <w:sz w:val="24"/>
        </w:rPr>
        <w:t>But</w:t>
      </w:r>
      <w:r>
        <w:rPr>
          <w:spacing w:val="-7"/>
          <w:sz w:val="24"/>
        </w:rPr>
        <w:t> </w:t>
      </w:r>
      <w:r>
        <w:rPr>
          <w:spacing w:val="-3"/>
          <w:sz w:val="24"/>
        </w:rPr>
        <w:t>even</w:t>
      </w:r>
      <w:r>
        <w:rPr>
          <w:spacing w:val="-7"/>
          <w:sz w:val="24"/>
        </w:rPr>
        <w:t> </w:t>
      </w:r>
      <w:r>
        <w:rPr>
          <w:sz w:val="24"/>
        </w:rPr>
        <w:t>allowing</w:t>
      </w:r>
      <w:r>
        <w:rPr>
          <w:spacing w:val="-7"/>
          <w:sz w:val="24"/>
        </w:rPr>
        <w:t> </w:t>
      </w:r>
      <w:r>
        <w:rPr>
          <w:sz w:val="24"/>
        </w:rPr>
        <w:t>for</w:t>
      </w:r>
      <w:r>
        <w:rPr>
          <w:spacing w:val="-6"/>
          <w:sz w:val="24"/>
        </w:rPr>
        <w:t> </w:t>
      </w:r>
      <w:r>
        <w:rPr>
          <w:sz w:val="24"/>
        </w:rPr>
        <w:t>movements</w:t>
      </w:r>
      <w:r>
        <w:rPr>
          <w:spacing w:val="-7"/>
          <w:sz w:val="24"/>
        </w:rPr>
        <w:t> </w:t>
      </w:r>
      <w:r>
        <w:rPr>
          <w:sz w:val="24"/>
        </w:rPr>
        <w:t>in</w:t>
      </w:r>
      <w:r>
        <w:rPr>
          <w:spacing w:val="-7"/>
          <w:sz w:val="24"/>
        </w:rPr>
        <w:t> </w:t>
      </w:r>
      <w:r>
        <w:rPr>
          <w:sz w:val="24"/>
        </w:rPr>
        <w:t>world</w:t>
      </w:r>
      <w:r>
        <w:rPr>
          <w:spacing w:val="-6"/>
          <w:sz w:val="24"/>
        </w:rPr>
        <w:t> </w:t>
      </w:r>
      <w:r>
        <w:rPr>
          <w:sz w:val="24"/>
        </w:rPr>
        <w:t>export</w:t>
      </w:r>
      <w:r>
        <w:rPr>
          <w:spacing w:val="-7"/>
          <w:sz w:val="24"/>
        </w:rPr>
        <w:t> </w:t>
      </w:r>
      <w:r>
        <w:rPr>
          <w:sz w:val="24"/>
        </w:rPr>
        <w:t>prices, sterling import prices </w:t>
      </w:r>
      <w:r>
        <w:rPr>
          <w:spacing w:val="-3"/>
          <w:sz w:val="24"/>
        </w:rPr>
        <w:t>have </w:t>
      </w:r>
      <w:r>
        <w:rPr>
          <w:sz w:val="24"/>
        </w:rPr>
        <w:t>not declined as much as expected in recent quarters.  That may </w:t>
      </w:r>
      <w:r>
        <w:rPr>
          <w:spacing w:val="-3"/>
          <w:sz w:val="24"/>
        </w:rPr>
        <w:t>have </w:t>
      </w:r>
      <w:r>
        <w:rPr>
          <w:sz w:val="24"/>
        </w:rPr>
        <w:t>been because overseas producers raised their relative margins on exports to the United Kingdom, perhaps because they expected the appreciation would be short-lived, and because demand in the United Kingdom was more buoyant than in other markets. But the persistence of the appreciation and competition from other producers may</w:t>
      </w:r>
    </w:p>
    <w:p>
      <w:pPr>
        <w:spacing w:after="0" w:line="242" w:lineRule="auto"/>
        <w:jc w:val="left"/>
        <w:rPr>
          <w:sz w:val="24"/>
        </w:rPr>
        <w:sectPr>
          <w:type w:val="continuous"/>
          <w:pgSz w:w="11900" w:h="16840"/>
          <w:pgMar w:top="1220" w:bottom="280" w:left="640" w:right="620"/>
          <w:cols w:num="3" w:equalWidth="0">
            <w:col w:w="3356" w:space="40"/>
            <w:col w:w="208" w:space="1206"/>
            <w:col w:w="5830"/>
          </w:cols>
        </w:sectPr>
      </w:pPr>
    </w:p>
    <w:p>
      <w:pPr>
        <w:spacing w:line="249" w:lineRule="auto" w:before="89"/>
        <w:ind w:left="150" w:right="19" w:firstLine="0"/>
        <w:jc w:val="left"/>
        <w:rPr>
          <w:b/>
          <w:sz w:val="20"/>
        </w:rPr>
      </w:pPr>
      <w:r>
        <w:rPr/>
        <w:pict>
          <v:group style="position:absolute;margin-left:96.833pt;margin-top:31.462948pt;width:8.85pt;height:8.85pt;mso-position-horizontal-relative:page;mso-position-vertical-relative:paragraph;z-index:16244224" coordorigin="1937,629" coordsize="177,177">
            <v:rect style="position:absolute;left:1941;top:634;width:167;height:167" filled="true" fillcolor="#f6bd61" stroked="false">
              <v:fill type="solid"/>
            </v:rect>
            <v:rect style="position:absolute;left:1941;top:634;width:167;height:167" filled="false" stroked="true" strokeweight=".5pt" strokecolor="#000000">
              <v:stroke dashstyle="solid"/>
            </v:rect>
            <w10:wrap type="none"/>
          </v:group>
        </w:pict>
      </w:r>
      <w:r>
        <w:rPr>
          <w:b/>
          <w:color w:val="0092C7"/>
          <w:sz w:val="20"/>
        </w:rPr>
        <w:t>Contribution to annual changes in sterling goods import prices</w:t>
      </w:r>
    </w:p>
    <w:p>
      <w:pPr>
        <w:spacing w:line="242" w:lineRule="auto" w:before="0"/>
        <w:ind w:left="150" w:right="274" w:firstLine="0"/>
        <w:jc w:val="left"/>
        <w:rPr>
          <w:sz w:val="24"/>
        </w:rPr>
      </w:pPr>
      <w:r>
        <w:rPr/>
        <w:br w:type="column"/>
      </w:r>
      <w:r>
        <w:rPr>
          <w:sz w:val="24"/>
        </w:rPr>
        <w:t>encourage overseas suppliers to reduce their margins in order to increase their UK sales. The MPC have</w:t>
      </w:r>
    </w:p>
    <w:p>
      <w:pPr>
        <w:spacing w:after="0" w:line="242" w:lineRule="auto"/>
        <w:jc w:val="left"/>
        <w:rPr>
          <w:sz w:val="24"/>
        </w:rPr>
        <w:sectPr>
          <w:type w:val="continuous"/>
          <w:pgSz w:w="11900" w:h="16840"/>
          <w:pgMar w:top="1220" w:bottom="280" w:left="640" w:right="620"/>
          <w:cols w:num="2" w:equalWidth="0">
            <w:col w:w="3807" w:space="1003"/>
            <w:col w:w="5830"/>
          </w:cols>
        </w:sectPr>
      </w:pPr>
    </w:p>
    <w:p>
      <w:pPr>
        <w:spacing w:before="78"/>
        <w:ind w:left="350" w:right="0" w:firstLine="0"/>
        <w:jc w:val="left"/>
        <w:rPr>
          <w:sz w:val="12"/>
        </w:rPr>
      </w:pPr>
      <w:r>
        <w:rPr/>
        <w:pict>
          <v:group style="position:absolute;margin-left:39.042pt;margin-top:3.105757pt;width:8.85pt;height:28.7pt;mso-position-horizontal-relative:page;mso-position-vertical-relative:paragraph;z-index:16242176" coordorigin="781,62" coordsize="177,574">
            <v:shape style="position:absolute;left:780;top:225;width:177;height:347" type="#_x0000_t75" stroked="false">
              <v:imagedata r:id="rId159" o:title=""/>
            </v:shape>
            <v:line style="position:absolute" from="781,631" to="867,631" stroked="true" strokeweight=".5pt" strokecolor="#000000">
              <v:stroke dashstyle="solid"/>
            </v:line>
            <v:rect style="position:absolute;left:785;top:67;width:167;height:167" filled="true" fillcolor="#fdeecc" stroked="false">
              <v:fill type="solid"/>
            </v:rect>
            <v:rect style="position:absolute;left:785;top:67;width:167;height:167" filled="false" stroked="true" strokeweight=".5pt" strokecolor="#000000">
              <v:stroke dashstyle="solid"/>
            </v:rect>
            <w10:wrap type="none"/>
          </v:group>
        </w:pict>
      </w:r>
      <w:r>
        <w:rPr>
          <w:sz w:val="12"/>
        </w:rPr>
        <w:t>Manufactures</w:t>
      </w:r>
    </w:p>
    <w:p>
      <w:pPr>
        <w:spacing w:before="78"/>
        <w:ind w:left="350" w:right="0" w:firstLine="0"/>
        <w:jc w:val="left"/>
        <w:rPr>
          <w:sz w:val="12"/>
        </w:rPr>
      </w:pPr>
      <w:r>
        <w:rPr/>
        <w:br w:type="column"/>
      </w:r>
      <w:r>
        <w:rPr>
          <w:sz w:val="12"/>
        </w:rPr>
        <w:t>Food, drink and tobacco</w:t>
      </w:r>
    </w:p>
    <w:p>
      <w:pPr>
        <w:pStyle w:val="Heading6"/>
        <w:spacing w:line="252" w:lineRule="exact"/>
        <w:ind w:left="350"/>
      </w:pPr>
      <w:r>
        <w:rPr/>
        <w:br w:type="column"/>
      </w:r>
      <w:r>
        <w:rPr/>
        <w:t>assumed that margins are reduced over the forecast</w:t>
      </w:r>
    </w:p>
    <w:p>
      <w:pPr>
        <w:spacing w:after="0" w:line="252" w:lineRule="exact"/>
        <w:sectPr>
          <w:type w:val="continuous"/>
          <w:pgSz w:w="11900" w:h="16840"/>
          <w:pgMar w:top="1220" w:bottom="280" w:left="640" w:right="620"/>
          <w:cols w:num="3" w:equalWidth="0">
            <w:col w:w="1051" w:space="116"/>
            <w:col w:w="1558" w:space="1884"/>
            <w:col w:w="6031"/>
          </w:cols>
        </w:sectPr>
      </w:pPr>
    </w:p>
    <w:p>
      <w:pPr>
        <w:tabs>
          <w:tab w:pos="1288" w:val="left" w:leader="none"/>
        </w:tabs>
        <w:spacing w:line="271" w:lineRule="auto" w:before="0"/>
        <w:ind w:left="350" w:right="0" w:firstLine="0"/>
        <w:jc w:val="left"/>
        <w:rPr>
          <w:sz w:val="12"/>
        </w:rPr>
      </w:pPr>
      <w:r>
        <w:rPr>
          <w:position w:val="1"/>
          <w:sz w:val="12"/>
        </w:rPr>
        <w:t>Fuels</w:t>
        <w:tab/>
      </w:r>
      <w:r>
        <w:rPr>
          <w:position w:val="1"/>
          <w:sz w:val="12"/>
          <w:u w:val="single" w:color="610E7A"/>
        </w:rPr>
        <w:t> </w:t>
      </w:r>
      <w:r>
        <w:rPr>
          <w:sz w:val="12"/>
        </w:rPr>
        <w:t>Goods import </w:t>
      </w:r>
      <w:r>
        <w:rPr>
          <w:spacing w:val="-4"/>
          <w:sz w:val="12"/>
        </w:rPr>
        <w:t>prices </w:t>
      </w:r>
      <w:r>
        <w:rPr>
          <w:sz w:val="12"/>
        </w:rPr>
        <w:t>Basic materials</w:t>
      </w:r>
    </w:p>
    <w:p>
      <w:pPr>
        <w:pStyle w:val="BodyText"/>
        <w:spacing w:before="11" w:after="39"/>
        <w:rPr>
          <w:sz w:val="25"/>
        </w:rPr>
      </w:pPr>
    </w:p>
    <w:p>
      <w:pPr>
        <w:pStyle w:val="BodyText"/>
        <w:spacing w:line="20" w:lineRule="exact"/>
        <w:ind w:left="135"/>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7"/>
        <w:rPr>
          <w:sz w:val="19"/>
        </w:rPr>
      </w:pPr>
      <w:r>
        <w:rPr/>
        <w:pict>
          <v:shape style="position:absolute;margin-left:39.042pt;margin-top:13.515pt;width:4.350pt;height:.1pt;mso-position-horizontal-relative:page;mso-position-vertical-relative:paragraph;z-index:-15228416;mso-wrap-distance-left:0;mso-wrap-distance-right:0" coordorigin="781,270" coordsize="87,0" path="m781,270l867,270e" filled="false" stroked="true" strokeweight=".5pt" strokecolor="#000000">
            <v:path arrowok="t"/>
            <v:stroke dashstyle="solid"/>
            <w10:wrap type="topAndBottom"/>
          </v:shape>
        </w:pict>
      </w:r>
      <w:r>
        <w:rPr/>
        <w:pict>
          <v:shape style="position:absolute;margin-left:39.042pt;margin-top:27.778999pt;width:4.350pt;height:.1pt;mso-position-horizontal-relative:page;mso-position-vertical-relative:paragraph;z-index:-15227904;mso-wrap-distance-left:0;mso-wrap-distance-right:0" coordorigin="781,556" coordsize="87,0" path="m781,556l867,556e" filled="false" stroked="true" strokeweight=".5pt" strokecolor="#000000">
            <v:path arrowok="t"/>
            <v:stroke dashstyle="solid"/>
            <w10:wrap type="topAndBottom"/>
          </v:shape>
        </w:pict>
      </w:r>
      <w:r>
        <w:rPr/>
        <w:pict>
          <v:shape style="position:absolute;margin-left:39.042pt;margin-top:42.043999pt;width:4.350pt;height:.1pt;mso-position-horizontal-relative:page;mso-position-vertical-relative:paragraph;z-index:-15227392;mso-wrap-distance-left:0;mso-wrap-distance-right:0" coordorigin="781,841" coordsize="87,0" path="m781,841l867,841e" filled="false" stroked="true" strokeweight=".5pt" strokecolor="#000000">
            <v:path arrowok="t"/>
            <v:stroke dashstyle="solid"/>
            <w10:wrap type="topAndBottom"/>
          </v:shape>
        </w:pict>
      </w:r>
    </w:p>
    <w:p>
      <w:pPr>
        <w:pStyle w:val="BodyText"/>
      </w:pPr>
    </w:p>
    <w:p>
      <w:pPr>
        <w:pStyle w:val="BodyText"/>
      </w:pPr>
    </w:p>
    <w:p>
      <w:pPr>
        <w:pStyle w:val="BodyText"/>
        <w:spacing w:before="1"/>
        <w:rPr>
          <w:sz w:val="19"/>
        </w:rPr>
      </w:pPr>
      <w:r>
        <w:rPr/>
        <w:br w:type="column"/>
      </w:r>
      <w:r>
        <w:rPr>
          <w:sz w:val="19"/>
        </w:rPr>
      </w:r>
    </w:p>
    <w:p>
      <w:pPr>
        <w:spacing w:before="0"/>
        <w:ind w:left="5" w:right="0" w:firstLine="0"/>
        <w:jc w:val="left"/>
        <w:rPr>
          <w:sz w:val="12"/>
        </w:rPr>
      </w:pPr>
      <w:r>
        <w:rPr>
          <w:sz w:val="12"/>
        </w:rPr>
        <w:t>Percentage points </w:t>
      </w:r>
      <w:r>
        <w:rPr>
          <w:position w:val="-6"/>
          <w:sz w:val="12"/>
        </w:rPr>
        <w:t>10</w:t>
      </w:r>
    </w:p>
    <w:p>
      <w:pPr>
        <w:spacing w:before="152"/>
        <w:ind w:left="0" w:right="38" w:firstLine="0"/>
        <w:jc w:val="right"/>
        <w:rPr>
          <w:sz w:val="12"/>
        </w:rPr>
      </w:pPr>
      <w:r>
        <w:rPr/>
        <w:pict>
          <v:group style="position:absolute;margin-left:47.875pt;margin-top:11.631168pt;width:153.8pt;height:115.9pt;mso-position-horizontal-relative:page;mso-position-vertical-relative:paragraph;z-index:16241664" coordorigin="958,233" coordsize="3076,2318">
            <v:rect style="position:absolute;left:995;top:1270;width:70;height:110" filled="true" fillcolor="#f6bd61" stroked="false">
              <v:fill type="solid"/>
            </v:rect>
            <v:rect style="position:absolute;left:995;top:1270;width:70;height:110" filled="false" stroked="true" strokeweight=".580pt" strokecolor="#000000">
              <v:stroke dashstyle="solid"/>
            </v:rect>
            <v:rect style="position:absolute;left:1141;top:1270;width:72;height:110" filled="true" fillcolor="#f6bd61" stroked="false">
              <v:fill type="solid"/>
            </v:rect>
            <v:rect style="position:absolute;left:1141;top:1270;width:72;height:110" filled="false" stroked="true" strokeweight=".580pt" strokecolor="#000000">
              <v:stroke dashstyle="solid"/>
            </v:rect>
            <v:rect style="position:absolute;left:1292;top:1270;width:68;height:110" filled="true" fillcolor="#f6bd61" stroked="false">
              <v:fill type="solid"/>
            </v:rect>
            <v:rect style="position:absolute;left:1292;top:1270;width:68;height:110" filled="false" stroked="true" strokeweight=".580pt" strokecolor="#000000">
              <v:stroke dashstyle="solid"/>
            </v:rect>
            <v:rect style="position:absolute;left:1435;top:1287;width:68;height:93" filled="true" fillcolor="#f6bd61" stroked="false">
              <v:fill type="solid"/>
            </v:rect>
            <v:rect style="position:absolute;left:1435;top:1287;width:68;height:93" filled="false" stroked="true" strokeweight=".580pt" strokecolor="#000000">
              <v:stroke dashstyle="solid"/>
            </v:rect>
            <v:rect style="position:absolute;left:1577;top:1322;width:68;height:58" filled="true" fillcolor="#f6bd61" stroked="false">
              <v:fill type="solid"/>
            </v:rect>
            <v:rect style="position:absolute;left:1577;top:1322;width:68;height:58" filled="false" stroked="true" strokeweight=".580pt" strokecolor="#000000">
              <v:stroke dashstyle="solid"/>
            </v:rect>
            <v:rect style="position:absolute;left:1724;top:1287;width:72;height:93" filled="true" fillcolor="#f6bd61" stroked="false">
              <v:fill type="solid"/>
            </v:rect>
            <v:rect style="position:absolute;left:1724;top:1287;width:72;height:93" filled="false" stroked="true" strokeweight=".580pt" strokecolor="#000000">
              <v:stroke dashstyle="solid"/>
            </v:rect>
            <v:rect style="position:absolute;left:995;top:1180;width:70;height:93" filled="true" fillcolor="#b3dabb" stroked="false">
              <v:fill type="solid"/>
            </v:rect>
            <v:rect style="position:absolute;left:995;top:1180;width:70;height:93" filled="false" stroked="true" strokeweight=".5pt" strokecolor="#000000">
              <v:stroke dashstyle="solid"/>
            </v:rect>
            <v:rect style="position:absolute;left:1141;top:1162;width:72;height:110" filled="true" fillcolor="#b3dabb" stroked="false">
              <v:fill type="solid"/>
            </v:rect>
            <v:rect style="position:absolute;left:1141;top:1162;width:72;height:110" filled="false" stroked="true" strokeweight=".5pt" strokecolor="#000000">
              <v:stroke dashstyle="solid"/>
            </v:rect>
            <v:rect style="position:absolute;left:1292;top:1162;width:68;height:110" filled="true" fillcolor="#b3dabb" stroked="false">
              <v:fill type="solid"/>
            </v:rect>
            <v:rect style="position:absolute;left:1292;top:1162;width:68;height:110" filled="false" stroked="true" strokeweight=".5pt" strokecolor="#000000">
              <v:stroke dashstyle="solid"/>
            </v:rect>
            <v:rect style="position:absolute;left:1435;top:1235;width:68;height:55" filled="true" fillcolor="#b3dabb" stroked="false">
              <v:fill type="solid"/>
            </v:rect>
            <v:rect style="position:absolute;left:1435;top:1235;width:68;height:55" filled="false" stroked="true" strokeweight=".5pt" strokecolor="#000000">
              <v:stroke dashstyle="solid"/>
            </v:rect>
            <v:rect style="position:absolute;left:1577;top:1305;width:68;height:20" filled="true" fillcolor="#b3dabb" stroked="false">
              <v:fill type="solid"/>
            </v:rect>
            <v:rect style="position:absolute;left:1577;top:1305;width:68;height:20" filled="false" stroked="true" strokeweight=".5pt" strokecolor="#000000">
              <v:stroke dashstyle="solid"/>
            </v:rect>
            <v:rect style="position:absolute;left:1724;top:1377;width:72;height:20" filled="true" fillcolor="#b3dabb" stroked="false">
              <v:fill type="solid"/>
            </v:rect>
            <v:rect style="position:absolute;left:1724;top:1377;width:72;height:20" filled="false" stroked="true" strokeweight=".5pt" strokecolor="#000000">
              <v:stroke dashstyle="solid"/>
            </v:rect>
            <v:rect style="position:absolute;left:1872;top:1377;width:70;height:38" filled="true" fillcolor="#b3dabb" stroked="false">
              <v:fill type="solid"/>
            </v:rect>
            <v:rect style="position:absolute;left:1872;top:1377;width:70;height:38" filled="false" stroked="true" strokeweight=".5pt" strokecolor="#000000">
              <v:stroke dashstyle="solid"/>
            </v:rect>
            <v:rect style="position:absolute;left:2157;top:1377;width:70;height:75" filled="true" fillcolor="#f6bd61" stroked="false">
              <v:fill type="solid"/>
            </v:rect>
            <v:rect style="position:absolute;left:2157;top:1377;width:70;height:75" filled="false" stroked="true" strokeweight=".580pt" strokecolor="#000000">
              <v:stroke dashstyle="solid"/>
            </v:rect>
            <v:rect style="position:absolute;left:2302;top:1377;width:78;height:110" filled="true" fillcolor="#f6bd61" stroked="false">
              <v:fill type="solid"/>
            </v:rect>
            <v:rect style="position:absolute;left:2302;top:1377;width:78;height:110" filled="false" stroked="true" strokeweight=".580pt" strokecolor="#000000">
              <v:stroke dashstyle="solid"/>
            </v:rect>
            <v:rect style="position:absolute;left:2455;top:1377;width:68;height:75" filled="true" fillcolor="#f6bd61" stroked="false">
              <v:fill type="solid"/>
            </v:rect>
            <v:rect style="position:absolute;left:2455;top:1377;width:68;height:75" filled="false" stroked="true" strokeweight=".580pt" strokecolor="#000000">
              <v:stroke dashstyle="solid"/>
            </v:rect>
            <v:rect style="position:absolute;left:2597;top:1377;width:68;height:110" filled="true" fillcolor="#f6bd61" stroked="false">
              <v:fill type="solid"/>
            </v:rect>
            <v:rect style="position:absolute;left:2597;top:1377;width:68;height:110" filled="false" stroked="true" strokeweight=".580pt" strokecolor="#000000">
              <v:stroke dashstyle="solid"/>
            </v:rect>
            <v:rect style="position:absolute;left:2740;top:1377;width:68;height:93" filled="true" fillcolor="#f6bd61" stroked="false">
              <v:fill type="solid"/>
            </v:rect>
            <v:rect style="position:absolute;left:2740;top:1377;width:68;height:93" filled="false" stroked="true" strokeweight=".580pt" strokecolor="#000000">
              <v:stroke dashstyle="solid"/>
            </v:rect>
            <v:rect style="position:absolute;left:2886;top:1377;width:72;height:128" filled="true" fillcolor="#f6bd61" stroked="false">
              <v:fill type="solid"/>
            </v:rect>
            <v:rect style="position:absolute;left:2886;top:1377;width:72;height:128" filled="false" stroked="true" strokeweight=".580pt" strokecolor="#000000">
              <v:stroke dashstyle="solid"/>
            </v:rect>
            <v:rect style="position:absolute;left:3037;top:1377;width:68;height:128" filled="true" fillcolor="#f6bd61" stroked="false">
              <v:fill type="solid"/>
            </v:rect>
            <v:rect style="position:absolute;left:3037;top:1377;width:68;height:128" filled="false" stroked="true" strokeweight=".580pt" strokecolor="#000000">
              <v:stroke dashstyle="solid"/>
            </v:rect>
            <v:rect style="position:absolute;left:3180;top:1377;width:68;height:75" filled="true" fillcolor="#f6bd61" stroked="false">
              <v:fill type="solid"/>
            </v:rect>
            <v:rect style="position:absolute;left:3180;top:1377;width:68;height:75" filled="false" stroked="true" strokeweight=".580pt" strokecolor="#000000">
              <v:stroke dashstyle="solid"/>
            </v:rect>
            <v:rect style="position:absolute;left:3322;top:1377;width:68;height:55" filled="true" fillcolor="#f6bd61" stroked="false">
              <v:fill type="solid"/>
            </v:rect>
            <v:rect style="position:absolute;left:3322;top:1377;width:68;height:55" filled="false" stroked="true" strokeweight=".580pt" strokecolor="#000000">
              <v:stroke dashstyle="solid"/>
            </v:rect>
            <v:rect style="position:absolute;left:3465;top:1377;width:78;height:38" filled="true" fillcolor="#f6bd61" stroked="false">
              <v:fill type="solid"/>
            </v:rect>
            <v:rect style="position:absolute;left:3465;top:1377;width:78;height:38" filled="false" stroked="true" strokeweight=".580pt" strokecolor="#000000">
              <v:stroke dashstyle="solid"/>
            </v:rect>
            <v:rect style="position:absolute;left:3617;top:1377;width:68;height:38" filled="true" fillcolor="#f6bd61" stroked="false">
              <v:fill type="solid"/>
            </v:rect>
            <v:rect style="position:absolute;left:3617;top:1377;width:68;height:38" filled="false" stroked="true" strokeweight=".580pt" strokecolor="#000000">
              <v:stroke dashstyle="solid"/>
            </v:rect>
            <v:rect style="position:absolute;left:3760;top:1377;width:68;height:55" filled="true" fillcolor="#f6bd61" stroked="false">
              <v:fill type="solid"/>
            </v:rect>
            <v:rect style="position:absolute;left:3760;top:1377;width:68;height:55" filled="false" stroked="true" strokeweight=".580pt" strokecolor="#000000">
              <v:stroke dashstyle="solid"/>
            </v:rect>
            <v:rect style="position:absolute;left:2015;top:1377;width:70;height:38" filled="true" fillcolor="#b3dabb" stroked="false">
              <v:fill type="solid"/>
            </v:rect>
            <v:rect style="position:absolute;left:2015;top:1377;width:70;height:38" filled="false" stroked="true" strokeweight=".5pt" strokecolor="#000000">
              <v:stroke dashstyle="solid"/>
            </v:rect>
            <v:rect style="position:absolute;left:2157;top:1450;width:70;height:38" filled="true" fillcolor="#b3dabb" stroked="false">
              <v:fill type="solid"/>
            </v:rect>
            <v:rect style="position:absolute;left:2157;top:1450;width:70;height:38" filled="false" stroked="true" strokeweight=".5pt" strokecolor="#000000">
              <v:stroke dashstyle="solid"/>
            </v:rect>
            <v:rect style="position:absolute;left:2302;top:1485;width:78;height:20" filled="true" fillcolor="#b3dabb" stroked="false">
              <v:fill type="solid"/>
            </v:rect>
            <v:rect style="position:absolute;left:2302;top:1485;width:78;height:20" filled="false" stroked="true" strokeweight=".5pt" strokecolor="#000000">
              <v:stroke dashstyle="solid"/>
            </v:rect>
            <v:rect style="position:absolute;left:2455;top:1450;width:68;height:20" filled="true" fillcolor="#b3dabb" stroked="false">
              <v:fill type="solid"/>
            </v:rect>
            <v:rect style="position:absolute;left:2455;top:1450;width:68;height:20" filled="false" stroked="true" strokeweight=".5pt" strokecolor="#000000">
              <v:stroke dashstyle="solid"/>
            </v:rect>
            <v:rect style="position:absolute;left:2597;top:1485;width:68;height:20" filled="true" fillcolor="#b3dabb" stroked="false">
              <v:fill type="solid"/>
            </v:rect>
            <v:rect style="position:absolute;left:2597;top:1485;width:68;height:20" filled="false" stroked="true" strokeweight=".5pt" strokecolor="#000000">
              <v:stroke dashstyle="solid"/>
            </v:rect>
            <v:rect style="position:absolute;left:2740;top:1467;width:68;height:20" filled="true" fillcolor="#b3dabb" stroked="false">
              <v:fill type="solid"/>
            </v:rect>
            <v:rect style="position:absolute;left:2740;top:1467;width:68;height:20" filled="false" stroked="true" strokeweight=".5pt" strokecolor="#000000">
              <v:stroke dashstyle="solid"/>
            </v:rect>
            <v:rect style="position:absolute;left:2886;top:1502;width:72;height:20" filled="true" fillcolor="#b3dabb" stroked="false">
              <v:fill type="solid"/>
            </v:rect>
            <v:rect style="position:absolute;left:2886;top:1502;width:72;height:20" filled="false" stroked="true" strokeweight=".5pt" strokecolor="#000000">
              <v:stroke dashstyle="solid"/>
            </v:rect>
            <v:rect style="position:absolute;left:3037;top:1502;width:68;height:20" filled="true" fillcolor="#b3dabb" stroked="false">
              <v:fill type="solid"/>
            </v:rect>
            <v:rect style="position:absolute;left:3037;top:1502;width:68;height:20" filled="false" stroked="true" strokeweight=".5pt" strokecolor="#000000">
              <v:stroke dashstyle="solid"/>
            </v:rect>
            <v:rect style="position:absolute;left:3180;top:1450;width:68;height:20" filled="true" fillcolor="#b3dabb" stroked="false">
              <v:fill type="solid"/>
            </v:rect>
            <v:rect style="position:absolute;left:3180;top:1450;width:68;height:20" filled="false" stroked="true" strokeweight=".5pt" strokecolor="#000000">
              <v:stroke dashstyle="solid"/>
            </v:rect>
            <v:rect style="position:absolute;left:3322;top:1430;width:68;height:23" filled="true" fillcolor="#b3dabb" stroked="false">
              <v:fill type="solid"/>
            </v:rect>
            <v:rect style="position:absolute;left:3322;top:1430;width:68;height:23" filled="false" stroked="true" strokeweight=".5pt" strokecolor="#000000">
              <v:stroke dashstyle="solid"/>
            </v:rect>
            <v:rect style="position:absolute;left:3617;top:1412;width:68;height:20" filled="true" fillcolor="#b3dabb" stroked="false">
              <v:fill type="solid"/>
            </v:rect>
            <v:rect style="position:absolute;left:3617;top:1412;width:68;height:20" filled="false" stroked="true" strokeweight=".5pt" strokecolor="#000000">
              <v:stroke dashstyle="solid"/>
            </v:rect>
            <v:rect style="position:absolute;left:995;top:1110;width:70;height:73" filled="true" fillcolor="#006caa" stroked="false">
              <v:fill type="solid"/>
            </v:rect>
            <v:rect style="position:absolute;left:995;top:1110;width:70;height:73" filled="false" stroked="true" strokeweight=".5pt" strokecolor="#000000">
              <v:stroke dashstyle="solid"/>
            </v:rect>
            <v:rect style="position:absolute;left:1141;top:1127;width:72;height:38" filled="true" fillcolor="#006caa" stroked="false">
              <v:fill type="solid"/>
            </v:rect>
            <v:rect style="position:absolute;left:1141;top:1127;width:72;height:38" filled="false" stroked="true" strokeweight=".5pt" strokecolor="#000000">
              <v:stroke dashstyle="solid"/>
            </v:rect>
            <v:rect style="position:absolute;left:1292;top:1377;width:68;height:20" filled="true" fillcolor="#006caa" stroked="false">
              <v:fill type="solid"/>
            </v:rect>
            <v:rect style="position:absolute;left:1292;top:1377;width:68;height:20" filled="false" stroked="true" strokeweight=".5pt" strokecolor="#000000">
              <v:stroke dashstyle="solid"/>
            </v:rect>
            <v:rect style="position:absolute;left:1435;top:1215;width:68;height:23" filled="true" fillcolor="#006caa" stroked="false">
              <v:fill type="solid"/>
            </v:rect>
            <v:rect style="position:absolute;left:1435;top:1215;width:68;height:23" filled="false" stroked="true" strokeweight=".5pt" strokecolor="#000000">
              <v:stroke dashstyle="solid"/>
            </v:rect>
            <v:rect style="position:absolute;left:1577;top:1252;width:68;height:55" filled="true" fillcolor="#006caa" stroked="false">
              <v:fill type="solid"/>
            </v:rect>
            <v:rect style="position:absolute;left:1577;top:1252;width:68;height:55" filled="false" stroked="true" strokeweight=".5pt" strokecolor="#000000">
              <v:stroke dashstyle="solid"/>
            </v:rect>
            <v:rect style="position:absolute;left:1724;top:1235;width:72;height:55" filled="true" fillcolor="#006caa" stroked="false">
              <v:fill type="solid"/>
            </v:rect>
            <v:rect style="position:absolute;left:1724;top:1235;width:72;height:55" filled="false" stroked="true" strokeweight=".5pt" strokecolor="#000000">
              <v:stroke dashstyle="solid"/>
            </v:rect>
            <v:rect style="position:absolute;left:1872;top:1287;width:70;height:93" filled="true" fillcolor="#006caa" stroked="false">
              <v:fill type="solid"/>
            </v:rect>
            <v:rect style="position:absolute;left:1872;top:1287;width:70;height:93" filled="false" stroked="true" strokeweight=".5pt" strokecolor="#000000">
              <v:stroke dashstyle="solid"/>
            </v:rect>
            <v:rect style="position:absolute;left:2015;top:1270;width:70;height:110" filled="true" fillcolor="#006caa" stroked="false">
              <v:fill type="solid"/>
            </v:rect>
            <v:rect style="position:absolute;left:2015;top:1270;width:70;height:110" filled="false" stroked="true" strokeweight=".5pt" strokecolor="#000000">
              <v:stroke dashstyle="solid"/>
            </v:rect>
            <v:rect style="position:absolute;left:2302;top:1502;width:78;height:58" filled="true" fillcolor="#006caa" stroked="false">
              <v:fill type="solid"/>
            </v:rect>
            <v:rect style="position:absolute;left:2302;top:1502;width:78;height:58" filled="false" stroked="true" strokeweight=".5pt" strokecolor="#000000">
              <v:stroke dashstyle="solid"/>
            </v:rect>
            <v:rect style="position:absolute;left:2455;top:1467;width:68;height:73" filled="true" fillcolor="#006caa" stroked="false">
              <v:fill type="solid"/>
            </v:rect>
            <v:rect style="position:absolute;left:2455;top:1467;width:68;height:73" filled="false" stroked="true" strokeweight=".5pt" strokecolor="#000000">
              <v:stroke dashstyle="solid"/>
            </v:rect>
            <v:rect style="position:absolute;left:2597;top:1502;width:68;height:75" filled="true" fillcolor="#006caa" stroked="false">
              <v:fill type="solid"/>
            </v:rect>
            <v:rect style="position:absolute;left:2597;top:1502;width:68;height:75" filled="false" stroked="true" strokeweight=".5pt" strokecolor="#000000">
              <v:stroke dashstyle="solid"/>
            </v:rect>
            <v:rect style="position:absolute;left:2740;top:1485;width:68;height:110" filled="true" fillcolor="#006caa" stroked="false">
              <v:fill type="solid"/>
            </v:rect>
            <v:rect style="position:absolute;left:2740;top:1485;width:68;height:110" filled="false" stroked="true" strokeweight=".5pt" strokecolor="#000000">
              <v:stroke dashstyle="solid"/>
            </v:rect>
            <v:rect style="position:absolute;left:2886;top:1520;width:72;height:110" filled="true" fillcolor="#006caa" stroked="false">
              <v:fill type="solid"/>
            </v:rect>
            <v:rect style="position:absolute;left:2886;top:1520;width:72;height:110" filled="false" stroked="true" strokeweight=".5pt" strokecolor="#000000">
              <v:stroke dashstyle="solid"/>
            </v:rect>
            <v:rect style="position:absolute;left:3037;top:1520;width:68;height:93" filled="true" fillcolor="#006caa" stroked="false">
              <v:fill type="solid"/>
            </v:rect>
            <v:rect style="position:absolute;left:3037;top:1520;width:68;height:93" filled="false" stroked="true" strokeweight=".5pt" strokecolor="#000000">
              <v:stroke dashstyle="solid"/>
            </v:rect>
            <v:rect style="position:absolute;left:3180;top:1467;width:68;height:110" filled="true" fillcolor="#006caa" stroked="false">
              <v:fill type="solid"/>
            </v:rect>
            <v:rect style="position:absolute;left:3180;top:1467;width:68;height:110" filled="false" stroked="true" strokeweight=".5pt" strokecolor="#000000">
              <v:stroke dashstyle="solid"/>
            </v:rect>
            <v:rect style="position:absolute;left:3322;top:1450;width:68;height:38" filled="true" fillcolor="#006caa" stroked="false">
              <v:fill type="solid"/>
            </v:rect>
            <v:rect style="position:absolute;left:3322;top:1450;width:68;height:38" filled="false" stroked="true" strokeweight=".5pt" strokecolor="#000000">
              <v:stroke dashstyle="solid"/>
            </v:rect>
            <v:rect style="position:absolute;left:3465;top:1322;width:78;height:58" filled="true" fillcolor="#006caa" stroked="false">
              <v:fill type="solid"/>
            </v:rect>
            <v:rect style="position:absolute;left:3465;top:1322;width:78;height:58" filled="false" stroked="true" strokeweight=".5pt" strokecolor="#000000">
              <v:stroke dashstyle="solid"/>
            </v:rect>
            <v:rect style="position:absolute;left:3617;top:1252;width:68;height:128" filled="true" fillcolor="#006caa" stroked="false">
              <v:fill type="solid"/>
            </v:rect>
            <v:rect style="position:absolute;left:3617;top:1252;width:68;height:128" filled="false" stroked="true" strokeweight=".5pt" strokecolor="#000000">
              <v:stroke dashstyle="solid"/>
            </v:rect>
            <v:rect style="position:absolute;left:3760;top:1162;width:68;height:218" filled="true" fillcolor="#006caa" stroked="false">
              <v:fill type="solid"/>
            </v:rect>
            <v:rect style="position:absolute;left:3760;top:1162;width:68;height:218" filled="false" stroked="true" strokeweight=".5pt" strokecolor="#000000">
              <v:stroke dashstyle="solid"/>
            </v:rect>
            <v:rect style="position:absolute;left:995;top:320;width:70;height:793" filled="true" fillcolor="#fdeecc" stroked="false">
              <v:fill type="solid"/>
            </v:rect>
            <v:rect style="position:absolute;left:995;top:320;width:70;height:793" filled="false" stroked="true" strokeweight=".5pt" strokecolor="#000000">
              <v:stroke dashstyle="solid"/>
            </v:rect>
            <v:rect style="position:absolute;left:1141;top:285;width:72;height:845" filled="true" fillcolor="#fdeecc" stroked="false">
              <v:fill type="solid"/>
            </v:rect>
            <v:rect style="position:absolute;left:1141;top:285;width:72;height:845" filled="false" stroked="true" strokeweight=".5pt" strokecolor="#000000">
              <v:stroke dashstyle="solid"/>
            </v:rect>
            <v:rect style="position:absolute;left:1292;top:410;width:68;height:755" filled="true" fillcolor="#fdeecc" stroked="false">
              <v:fill type="solid"/>
            </v:rect>
            <v:rect style="position:absolute;left:1292;top:410;width:68;height:755" filled="false" stroked="true" strokeweight=".5pt" strokecolor="#000000">
              <v:stroke dashstyle="solid"/>
            </v:rect>
            <v:rect style="position:absolute;left:1435;top:535;width:68;height:683" filled="true" fillcolor="#fdeecc" stroked="false">
              <v:fill type="solid"/>
            </v:rect>
            <v:rect style="position:absolute;left:1435;top:535;width:68;height:683" filled="false" stroked="true" strokeweight=".5pt" strokecolor="#000000">
              <v:stroke dashstyle="solid"/>
            </v:rect>
            <v:rect style="position:absolute;left:1577;top:912;width:68;height:343" filled="true" fillcolor="#fdeecc" stroked="false">
              <v:fill type="solid"/>
            </v:rect>
            <v:rect style="position:absolute;left:1577;top:912;width:68;height:343" filled="false" stroked="true" strokeweight=".5pt" strokecolor="#000000">
              <v:stroke dashstyle="solid"/>
            </v:rect>
            <v:rect style="position:absolute;left:1724;top:1072;width:72;height:165" filled="true" fillcolor="#fdeecc" stroked="false">
              <v:fill type="solid"/>
            </v:rect>
            <v:rect style="position:absolute;left:1724;top:1072;width:72;height:165" filled="false" stroked="true" strokeweight=".5pt" strokecolor="#000000">
              <v:stroke dashstyle="solid"/>
            </v:rect>
            <v:rect style="position:absolute;left:1872;top:1412;width:70;height:433" filled="true" fillcolor="#fdeecc" stroked="false">
              <v:fill type="solid"/>
            </v:rect>
            <v:rect style="position:absolute;left:1872;top:1412;width:70;height:433" filled="false" stroked="true" strokeweight=".5pt" strokecolor="#000000">
              <v:stroke dashstyle="solid"/>
            </v:rect>
            <v:rect style="position:absolute;left:2015;top:1412;width:70;height:523" filled="true" fillcolor="#fdeecc" stroked="false">
              <v:fill type="solid"/>
            </v:rect>
            <v:rect style="position:absolute;left:2015;top:1412;width:70;height:523" filled="false" stroked="true" strokeweight=".5pt" strokecolor="#000000">
              <v:stroke dashstyle="solid"/>
            </v:rect>
            <v:rect style="position:absolute;left:2157;top:1485;width:70;height:718" filled="true" fillcolor="#fdeecc" stroked="false">
              <v:fill type="solid"/>
            </v:rect>
            <v:rect style="position:absolute;left:2157;top:1485;width:70;height:718" filled="false" stroked="true" strokeweight=".5pt" strokecolor="#000000">
              <v:stroke dashstyle="solid"/>
            </v:rect>
            <v:rect style="position:absolute;left:2302;top:1557;width:78;height:985" filled="true" fillcolor="#fdeecc" stroked="false">
              <v:fill type="solid"/>
            </v:rect>
            <v:rect style="position:absolute;left:2302;top:1557;width:78;height:985" filled="false" stroked="true" strokeweight=".5pt" strokecolor="#000000">
              <v:stroke dashstyle="solid"/>
            </v:rect>
            <v:rect style="position:absolute;left:2455;top:1537;width:68;height:720" filled="true" fillcolor="#fdeecc" stroked="false">
              <v:fill type="solid"/>
            </v:rect>
            <v:rect style="position:absolute;left:2455;top:1537;width:68;height:720" filled="false" stroked="true" strokeweight=".5pt" strokecolor="#000000">
              <v:stroke dashstyle="solid"/>
            </v:rect>
            <v:rect style="position:absolute;left:2597;top:1575;width:68;height:735" filled="true" fillcolor="#fdeecc" stroked="false">
              <v:fill type="solid"/>
            </v:rect>
            <v:rect style="position:absolute;left:2597;top:1575;width:68;height:735" filled="false" stroked="true" strokeweight=".5pt" strokecolor="#000000">
              <v:stroke dashstyle="solid"/>
            </v:rect>
            <v:rect style="position:absolute;left:2740;top:1592;width:68;height:790" filled="true" fillcolor="#fdeecc" stroked="false">
              <v:fill type="solid"/>
            </v:rect>
            <v:rect style="position:absolute;left:2740;top:1592;width:68;height:790" filled="false" stroked="true" strokeweight=".5pt" strokecolor="#000000">
              <v:stroke dashstyle="solid"/>
            </v:rect>
            <v:rect style="position:absolute;left:2886;top:1627;width:72;height:700" filled="true" fillcolor="#fdeecc" stroked="false">
              <v:fill type="solid"/>
            </v:rect>
            <v:rect style="position:absolute;left:2886;top:1627;width:72;height:700" filled="false" stroked="true" strokeweight=".5pt" strokecolor="#000000">
              <v:stroke dashstyle="solid"/>
            </v:rect>
            <v:rect style="position:absolute;left:3037;top:1610;width:68;height:880" filled="true" fillcolor="#fdeecc" stroked="false">
              <v:fill type="solid"/>
            </v:rect>
            <v:rect style="position:absolute;left:3037;top:1610;width:68;height:880" filled="false" stroked="true" strokeweight=".5pt" strokecolor="#000000">
              <v:stroke dashstyle="solid"/>
            </v:rect>
            <v:rect style="position:absolute;left:3180;top:1575;width:68;height:915" filled="true" fillcolor="#fdeecc" stroked="false">
              <v:fill type="solid"/>
            </v:rect>
            <v:rect style="position:absolute;left:3180;top:1575;width:68;height:915" filled="false" stroked="true" strokeweight=".5pt" strokecolor="#000000">
              <v:stroke dashstyle="solid"/>
            </v:rect>
            <v:rect style="position:absolute;left:3322;top:1485;width:68;height:630" filled="true" fillcolor="#fdeecc" stroked="false">
              <v:fill type="solid"/>
            </v:rect>
            <v:rect style="position:absolute;left:3322;top:1485;width:68;height:630" filled="false" stroked="true" strokeweight=".5pt" strokecolor="#000000">
              <v:stroke dashstyle="solid"/>
            </v:rect>
            <v:rect style="position:absolute;left:3465;top:1412;width:78;height:558" filled="true" fillcolor="#fdeecc" stroked="false">
              <v:fill type="solid"/>
            </v:rect>
            <v:rect style="position:absolute;left:3465;top:1412;width:78;height:558" filled="false" stroked="true" strokeweight=".5pt" strokecolor="#000000">
              <v:stroke dashstyle="solid"/>
            </v:rect>
            <v:rect style="position:absolute;left:3617;top:1430;width:68;height:363" filled="true" fillcolor="#fdeecc" stroked="false">
              <v:fill type="solid"/>
            </v:rect>
            <v:rect style="position:absolute;left:3617;top:1430;width:68;height:363" filled="false" stroked="true" strokeweight=".5pt" strokecolor="#000000">
              <v:stroke dashstyle="solid"/>
            </v:rect>
            <v:rect style="position:absolute;left:3760;top:1430;width:68;height:290" filled="true" fillcolor="#fdeecc" stroked="false">
              <v:fill type="solid"/>
            </v:rect>
            <v:rect style="position:absolute;left:3760;top:1430;width:68;height:290" filled="false" stroked="true" strokeweight=".5pt" strokecolor="#000000">
              <v:stroke dashstyle="solid"/>
            </v:rect>
            <v:shape style="position:absolute;left:1040;top:267;width:2753;height:2273" coordorigin="1040,268" coordsize="2753,2273" path="m1040,303l1183,268m1183,268l1325,448m1325,448l1468,518m1468,518l1620,875m1620,875l1763,1055m1763,1055l1908,1718m1908,1718l2050,1790m2050,1790l2203,2200m2203,2200l2345,2540m2345,2540l2488,2255m2488,2255l2630,2325m2630,2325l2785,2380m2785,2380l2928,2325m2928,2325l3070,2505m3070,2505l3213,2523m3213,2523l3365,2113m3365,2113l3508,1915m3508,1915l3650,1683m3650,1683l3793,1520e" filled="false" stroked="true" strokeweight="1pt" strokecolor="#610e7a">
              <v:path arrowok="t"/>
              <v:stroke dashstyle="solid"/>
            </v:shape>
            <v:shape style="position:absolute;left:962;top:237;width:3071;height:2283" coordorigin="963,238" coordsize="3071,2283" path="m963,1378l3893,1380m3947,238l4033,238m3947,808l4033,808m3947,1379l4033,1379m3947,1949l4033,1949m3947,2520l4033,2520m3947,2235l4033,2235m3947,1094l4033,1094m3947,1664l4033,1664m3947,523l4033,523e" filled="false" stroked="true" strokeweight=".5pt" strokecolor="#000000">
              <v:path arrowok="t"/>
              <v:stroke dashstyle="solid"/>
            </v:shape>
            <w10:wrap type="none"/>
          </v:group>
        </w:pict>
      </w:r>
      <w:r>
        <w:rPr/>
        <w:pict>
          <v:line style="position:absolute;mso-position-horizontal-relative:page;mso-position-vertical-relative:paragraph;z-index:-22368256" from="197.332993pt,-2.383832pt" to="201.666993pt,-2.383832pt" stroked="true" strokeweight=".5pt" strokecolor="#000000">
            <v:stroke dashstyle="solid"/>
            <w10:wrap type="none"/>
          </v:line>
        </w:pict>
      </w:r>
      <w:r>
        <w:rPr>
          <w:sz w:val="12"/>
        </w:rPr>
        <w:t>8</w:t>
      </w:r>
    </w:p>
    <w:p>
      <w:pPr>
        <w:pStyle w:val="BodyText"/>
        <w:spacing w:before="10"/>
        <w:rPr>
          <w:sz w:val="12"/>
        </w:rPr>
      </w:pPr>
    </w:p>
    <w:p>
      <w:pPr>
        <w:spacing w:before="1"/>
        <w:ind w:left="0" w:right="38" w:firstLine="0"/>
        <w:jc w:val="right"/>
        <w:rPr>
          <w:sz w:val="12"/>
        </w:rPr>
      </w:pPr>
      <w:r>
        <w:rPr>
          <w:sz w:val="12"/>
        </w:rPr>
        <w:t>6</w:t>
      </w:r>
    </w:p>
    <w:p>
      <w:pPr>
        <w:pStyle w:val="BodyText"/>
        <w:spacing w:before="10"/>
        <w:rPr>
          <w:sz w:val="12"/>
        </w:rPr>
      </w:pPr>
    </w:p>
    <w:p>
      <w:pPr>
        <w:spacing w:before="0"/>
        <w:ind w:left="0" w:right="38" w:firstLine="0"/>
        <w:jc w:val="right"/>
        <w:rPr>
          <w:sz w:val="12"/>
        </w:rPr>
      </w:pPr>
      <w:r>
        <w:rPr>
          <w:sz w:val="12"/>
        </w:rPr>
        <w:t>4</w:t>
      </w:r>
    </w:p>
    <w:p>
      <w:pPr>
        <w:pStyle w:val="BodyText"/>
        <w:spacing w:before="10"/>
        <w:rPr>
          <w:sz w:val="12"/>
        </w:rPr>
      </w:pPr>
    </w:p>
    <w:p>
      <w:pPr>
        <w:spacing w:before="1"/>
        <w:ind w:left="0" w:right="38" w:firstLine="0"/>
        <w:jc w:val="right"/>
        <w:rPr>
          <w:sz w:val="12"/>
        </w:rPr>
      </w:pPr>
      <w:r>
        <w:rPr>
          <w:sz w:val="12"/>
        </w:rPr>
        <w:t>2</w:t>
      </w:r>
    </w:p>
    <w:p>
      <w:pPr>
        <w:pStyle w:val="Heading6"/>
        <w:spacing w:line="242" w:lineRule="auto" w:before="11"/>
        <w:ind w:left="350" w:right="202"/>
      </w:pPr>
      <w:r>
        <w:rPr/>
        <w:br w:type="column"/>
      </w:r>
      <w:r>
        <w:rPr/>
        <w:t>period. Together with the recent further appreciation of sterling, that means that by the end of the forecast period sterling import prices are a little lower than assumed in the February </w:t>
      </w:r>
      <w:r>
        <w:rPr>
          <w:i/>
        </w:rPr>
        <w:t>Report</w:t>
      </w:r>
      <w:r>
        <w:rPr/>
        <w:t>, despite the stronger profile for world export prices.</w:t>
      </w:r>
    </w:p>
    <w:p>
      <w:pPr>
        <w:spacing w:after="0" w:line="242" w:lineRule="auto"/>
        <w:sectPr>
          <w:type w:val="continuous"/>
          <w:pgSz w:w="11900" w:h="16840"/>
          <w:pgMar w:top="1220" w:bottom="280" w:left="640" w:right="620"/>
          <w:cols w:num="3" w:equalWidth="0">
            <w:col w:w="2499" w:space="40"/>
            <w:col w:w="1055" w:space="1015"/>
            <w:col w:w="6031"/>
          </w:cols>
        </w:sectPr>
      </w:pPr>
    </w:p>
    <w:p>
      <w:pPr>
        <w:pStyle w:val="BodyText"/>
        <w:spacing w:before="4"/>
        <w:rPr>
          <w:sz w:val="19"/>
        </w:rPr>
      </w:pPr>
    </w:p>
    <w:p>
      <w:pPr>
        <w:pStyle w:val="BodyText"/>
        <w:spacing w:line="20" w:lineRule="exact"/>
        <w:ind w:left="135"/>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7"/>
        <w:rPr>
          <w:sz w:val="19"/>
        </w:rPr>
      </w:pPr>
      <w:r>
        <w:rPr/>
        <w:pict>
          <v:shape style="position:absolute;margin-left:39.042pt;margin-top:13.515pt;width:4.350pt;height:.1pt;mso-position-horizontal-relative:page;mso-position-vertical-relative:paragraph;z-index:-15226368;mso-wrap-distance-left:0;mso-wrap-distance-right:0" coordorigin="781,270" coordsize="87,0" path="m781,270l867,270e" filled="false" stroked="true" strokeweight=".5pt" strokecolor="#000000">
            <v:path arrowok="t"/>
            <v:stroke dashstyle="solid"/>
            <w10:wrap type="topAndBottom"/>
          </v:shape>
        </w:pict>
      </w:r>
      <w:r>
        <w:rPr/>
        <w:pict>
          <v:shape style="position:absolute;margin-left:39.042pt;margin-top:27.778999pt;width:4.350pt;height:.1pt;mso-position-horizontal-relative:page;mso-position-vertical-relative:paragraph;z-index:-15225856;mso-wrap-distance-left:0;mso-wrap-distance-right:0" coordorigin="781,556" coordsize="87,0" path="m781,556l867,556e" filled="false" stroked="true" strokeweight=".5pt" strokecolor="#000000">
            <v:path arrowok="t"/>
            <v:stroke dashstyle="solid"/>
            <w10:wrap type="topAndBottom"/>
          </v:shape>
        </w:pict>
      </w:r>
      <w:r>
        <w:rPr/>
        <w:pict>
          <v:shape style="position:absolute;margin-left:39.042pt;margin-top:42.043999pt;width:4.350pt;height:.1pt;mso-position-horizontal-relative:page;mso-position-vertical-relative:paragraph;z-index:-15225344;mso-wrap-distance-left:0;mso-wrap-distance-right:0" coordorigin="781,841" coordsize="87,0" path="m781,841l867,841e" filled="false" stroked="true" strokeweight=".5pt" strokecolor="#000000">
            <v:path arrowok="t"/>
            <v:stroke dashstyle="solid"/>
            <w10:wrap type="topAndBottom"/>
          </v:shape>
        </w:pict>
      </w:r>
      <w:r>
        <w:rPr/>
        <w:pict>
          <v:shape style="position:absolute;margin-left:39.042pt;margin-top:56.307999pt;width:4.350pt;height:.1pt;mso-position-horizontal-relative:page;mso-position-vertical-relative:paragraph;z-index:-15224832;mso-wrap-distance-left:0;mso-wrap-distance-right:0" coordorigin="781,1126" coordsize="87,0" path="m781,1126l867,1126e" filled="false" stroked="true" strokeweight=".5pt" strokecolor="#000000">
            <v:path arrowok="t"/>
            <v:stroke dashstyle="solid"/>
            <w10:wrap type="topAndBottom"/>
          </v:shape>
        </w:pict>
      </w:r>
      <w:r>
        <w:rPr/>
        <w:pict>
          <v:shape style="position:absolute;margin-left:39.042pt;margin-top:70.572998pt;width:4.350pt;height:.1pt;mso-position-horizontal-relative:page;mso-position-vertical-relative:paragraph;z-index:-15224320;mso-wrap-distance-left:0;mso-wrap-distance-right:0" coordorigin="781,1411" coordsize="87,0" path="m781,1411l867,1411e" filled="false" stroked="true" strokeweight=".5pt" strokecolor="#000000">
            <v:path arrowok="t"/>
            <v:stroke dashstyle="solid"/>
            <w10:wrap type="topAndBottom"/>
          </v:shape>
        </w:pict>
      </w:r>
    </w:p>
    <w:p>
      <w:pPr>
        <w:pStyle w:val="BodyText"/>
      </w:pPr>
    </w:p>
    <w:p>
      <w:pPr>
        <w:pStyle w:val="BodyText"/>
      </w:pPr>
    </w:p>
    <w:p>
      <w:pPr>
        <w:pStyle w:val="BodyText"/>
      </w:pPr>
    </w:p>
    <w:p>
      <w:pPr>
        <w:pStyle w:val="BodyText"/>
      </w:pPr>
    </w:p>
    <w:p>
      <w:pPr>
        <w:spacing w:before="0"/>
        <w:ind w:left="490" w:right="0" w:firstLine="0"/>
        <w:jc w:val="left"/>
        <w:rPr>
          <w:sz w:val="12"/>
        </w:rPr>
      </w:pPr>
      <w:r>
        <w:rPr>
          <w:sz w:val="12"/>
        </w:rPr>
        <w:t>1995</w:t>
      </w:r>
    </w:p>
    <w:p>
      <w:pPr>
        <w:pStyle w:val="BodyText"/>
        <w:rPr>
          <w:sz w:val="12"/>
        </w:rPr>
      </w:pPr>
    </w:p>
    <w:p>
      <w:pPr>
        <w:pStyle w:val="BodyText"/>
        <w:spacing w:before="5"/>
        <w:rPr>
          <w:sz w:val="14"/>
        </w:rPr>
      </w:pPr>
    </w:p>
    <w:p>
      <w:pPr>
        <w:spacing w:before="0"/>
        <w:ind w:left="150" w:right="0" w:firstLine="0"/>
        <w:jc w:val="left"/>
        <w:rPr>
          <w:b/>
          <w:sz w:val="20"/>
        </w:rPr>
      </w:pPr>
      <w:r>
        <w:rPr>
          <w:b/>
          <w:color w:val="0092C7"/>
          <w:sz w:val="20"/>
        </w:rPr>
        <w:t>Chart </w:t>
      </w:r>
      <w:r>
        <w:rPr>
          <w:b/>
          <w:color w:val="0092C7"/>
          <w:spacing w:val="-6"/>
          <w:sz w:val="20"/>
        </w:rPr>
        <w:t>4.6</w:t>
      </w:r>
    </w:p>
    <w:p>
      <w:pPr>
        <w:spacing w:line="159" w:lineRule="exact" w:before="15"/>
        <w:ind w:left="2395" w:right="0" w:firstLine="0"/>
        <w:jc w:val="left"/>
        <w:rPr>
          <w:sz w:val="16"/>
        </w:rPr>
      </w:pPr>
      <w:r>
        <w:rPr/>
        <w:br w:type="column"/>
      </w:r>
      <w:r>
        <w:rPr>
          <w:sz w:val="16"/>
        </w:rPr>
        <w:t>+</w:t>
      </w:r>
    </w:p>
    <w:p>
      <w:pPr>
        <w:spacing w:line="139" w:lineRule="auto" w:before="4"/>
        <w:ind w:left="2399" w:right="0" w:firstLine="0"/>
        <w:jc w:val="left"/>
        <w:rPr>
          <w:sz w:val="12"/>
        </w:rPr>
      </w:pPr>
      <w:r>
        <w:rPr>
          <w:spacing w:val="6"/>
          <w:position w:val="-7"/>
          <w:sz w:val="16"/>
        </w:rPr>
        <w:t>_</w:t>
      </w:r>
      <w:r>
        <w:rPr>
          <w:spacing w:val="6"/>
          <w:sz w:val="12"/>
        </w:rPr>
        <w:t>0</w:t>
      </w:r>
    </w:p>
    <w:p>
      <w:pPr>
        <w:spacing w:before="108"/>
        <w:ind w:left="0" w:right="38" w:firstLine="0"/>
        <w:jc w:val="right"/>
        <w:rPr>
          <w:sz w:val="12"/>
        </w:rPr>
      </w:pPr>
      <w:r>
        <w:rPr>
          <w:sz w:val="12"/>
        </w:rPr>
        <w:t>2</w:t>
      </w:r>
    </w:p>
    <w:p>
      <w:pPr>
        <w:pStyle w:val="BodyText"/>
        <w:spacing w:before="10"/>
        <w:rPr>
          <w:sz w:val="12"/>
        </w:rPr>
      </w:pPr>
    </w:p>
    <w:p>
      <w:pPr>
        <w:spacing w:before="0"/>
        <w:ind w:left="0" w:right="38" w:firstLine="0"/>
        <w:jc w:val="right"/>
        <w:rPr>
          <w:sz w:val="12"/>
        </w:rPr>
      </w:pPr>
      <w:r>
        <w:rPr>
          <w:sz w:val="12"/>
        </w:rPr>
        <w:t>4</w:t>
      </w:r>
    </w:p>
    <w:p>
      <w:pPr>
        <w:pStyle w:val="BodyText"/>
        <w:spacing w:before="11"/>
        <w:rPr>
          <w:sz w:val="12"/>
        </w:rPr>
      </w:pPr>
    </w:p>
    <w:p>
      <w:pPr>
        <w:spacing w:before="0"/>
        <w:ind w:left="0" w:right="38" w:firstLine="0"/>
        <w:jc w:val="right"/>
        <w:rPr>
          <w:sz w:val="12"/>
        </w:rPr>
      </w:pPr>
      <w:r>
        <w:rPr>
          <w:sz w:val="12"/>
        </w:rPr>
        <w:t>6</w:t>
      </w:r>
    </w:p>
    <w:p>
      <w:pPr>
        <w:pStyle w:val="BodyText"/>
        <w:spacing w:before="10"/>
        <w:rPr>
          <w:sz w:val="12"/>
        </w:rPr>
      </w:pPr>
    </w:p>
    <w:p>
      <w:pPr>
        <w:spacing w:before="0"/>
        <w:ind w:left="0" w:right="38" w:firstLine="0"/>
        <w:jc w:val="right"/>
        <w:rPr>
          <w:sz w:val="12"/>
        </w:rPr>
      </w:pPr>
      <w:r>
        <w:rPr>
          <w:sz w:val="12"/>
        </w:rPr>
        <w:t>8</w:t>
      </w:r>
    </w:p>
    <w:p>
      <w:pPr>
        <w:pStyle w:val="BodyText"/>
        <w:spacing w:before="11"/>
        <w:rPr>
          <w:sz w:val="12"/>
        </w:rPr>
      </w:pPr>
    </w:p>
    <w:p>
      <w:pPr>
        <w:spacing w:line="119" w:lineRule="exact" w:before="0"/>
        <w:ind w:left="2431" w:right="0" w:firstLine="0"/>
        <w:jc w:val="left"/>
        <w:rPr>
          <w:sz w:val="12"/>
        </w:rPr>
      </w:pPr>
      <w:r>
        <w:rPr/>
        <w:pict>
          <v:line style="position:absolute;mso-position-horizontal-relative:page;mso-position-vertical-relative:paragraph;z-index:16242688" from="197.332993pt,3.73657pt" to="201.666993pt,3.73657pt" stroked="true" strokeweight=".5pt" strokecolor="#000000">
            <v:stroke dashstyle="solid"/>
            <w10:wrap type="none"/>
          </v:line>
        </w:pict>
      </w:r>
      <w:r>
        <w:rPr/>
        <w:pict>
          <v:shape style="position:absolute;margin-left:47.458pt;margin-top:-1.107430pt;width:146.1pt;height:4.8pt;mso-position-horizontal-relative:page;mso-position-vertical-relative:paragraph;z-index:16243712" coordorigin="949,-22" coordsize="2922,96" path="m949,74l3870,74m950,-22l950,74m1096,27l1096,74m1242,27l1242,74m1388,27l1388,74m1534,-22l1534,74m1680,27l1680,74m1826,27l1826,74m1972,27l1972,74m2118,-22l2118,74m2264,27l2264,74m2410,27l2410,74m2556,27l2556,74m2702,-22l2702,74m2848,27l2848,74m2994,27l2994,74m3140,27l3140,74m3286,-22l3286,74m3432,27l3432,74m3578,27l3578,74m3724,27l3724,74m3870,-22l3870,74e" filled="false" stroked="true" strokeweight=".5pt" strokecolor="#000000">
            <v:path arrowok="t"/>
            <v:stroke dashstyle="solid"/>
            <w10:wrap type="none"/>
          </v:shape>
        </w:pict>
      </w:r>
      <w:r>
        <w:rPr>
          <w:sz w:val="12"/>
        </w:rPr>
        <w:t>10</w:t>
      </w:r>
    </w:p>
    <w:p>
      <w:pPr>
        <w:tabs>
          <w:tab w:pos="710" w:val="left" w:leader="none"/>
          <w:tab w:pos="1292" w:val="left" w:leader="none"/>
          <w:tab w:pos="1874" w:val="left" w:leader="none"/>
        </w:tabs>
        <w:spacing w:line="119" w:lineRule="exact" w:before="0"/>
        <w:ind w:left="129" w:right="0" w:firstLine="0"/>
        <w:jc w:val="left"/>
        <w:rPr>
          <w:sz w:val="12"/>
        </w:rPr>
      </w:pPr>
      <w:r>
        <w:rPr>
          <w:sz w:val="12"/>
        </w:rPr>
        <w:t>96</w:t>
        <w:tab/>
        <w:t>97</w:t>
        <w:tab/>
        <w:t>98</w:t>
        <w:tab/>
        <w:t>99</w:t>
      </w:r>
    </w:p>
    <w:p>
      <w:pPr>
        <w:pStyle w:val="Heading3"/>
        <w:numPr>
          <w:ilvl w:val="1"/>
          <w:numId w:val="30"/>
        </w:numPr>
        <w:tabs>
          <w:tab w:pos="1308" w:val="left" w:leader="none"/>
          <w:tab w:pos="1309" w:val="left" w:leader="none"/>
        </w:tabs>
        <w:spacing w:line="240" w:lineRule="auto" w:before="156" w:after="0"/>
        <w:ind w:left="1308" w:right="0" w:hanging="1159"/>
        <w:jc w:val="left"/>
        <w:rPr>
          <w:color w:val="009391"/>
        </w:rPr>
      </w:pPr>
      <w:r>
        <w:rPr>
          <w:color w:val="009391"/>
          <w:spacing w:val="-1"/>
          <w:w w:val="99"/>
        </w:rPr>
        <w:br w:type="column"/>
      </w:r>
      <w:r>
        <w:rPr>
          <w:color w:val="009391"/>
        </w:rPr>
        <w:t>Costs and prices in</w:t>
      </w:r>
      <w:r>
        <w:rPr>
          <w:color w:val="009391"/>
          <w:spacing w:val="-14"/>
        </w:rPr>
        <w:t> </w:t>
      </w:r>
      <w:r>
        <w:rPr>
          <w:color w:val="009391"/>
        </w:rPr>
        <w:t>manufacturing</w:t>
      </w:r>
    </w:p>
    <w:p>
      <w:pPr>
        <w:pStyle w:val="BodyText"/>
        <w:spacing w:line="40" w:lineRule="exact"/>
        <w:ind w:left="130"/>
        <w:rPr>
          <w:sz w:val="4"/>
        </w:rPr>
      </w:pPr>
      <w:r>
        <w:rPr>
          <w:position w:val="0"/>
          <w:sz w:val="4"/>
        </w:rPr>
        <w:pict>
          <v:group style="width:274pt;height:2pt;mso-position-horizontal-relative:char;mso-position-vertical-relative:line" coordorigin="0,0" coordsize="5480,40">
            <v:line style="position:absolute" from="0,20" to="5480,20" stroked="true" strokeweight="2pt" strokecolor="#0092c7">
              <v:stroke dashstyle="solid"/>
            </v:line>
          </v:group>
        </w:pict>
      </w:r>
      <w:r>
        <w:rPr>
          <w:position w:val="0"/>
          <w:sz w:val="4"/>
        </w:rPr>
      </w:r>
    </w:p>
    <w:p>
      <w:pPr>
        <w:pStyle w:val="Heading6"/>
        <w:spacing w:line="242" w:lineRule="auto" w:before="235"/>
        <w:ind w:left="150" w:right="375"/>
      </w:pPr>
      <w:r>
        <w:rPr/>
        <w:t>Manufacturers’ input price inflation has increased since the February </w:t>
      </w:r>
      <w:r>
        <w:rPr>
          <w:i/>
        </w:rPr>
        <w:t>Report</w:t>
      </w:r>
      <w:r>
        <w:rPr/>
        <w:t>. The annual rate of inflation was 13.8% in March. That mainly reflects the direct effect of further increases in the price of oil. But </w:t>
      </w:r>
      <w:r>
        <w:rPr>
          <w:spacing w:val="-3"/>
        </w:rPr>
        <w:t>even </w:t>
      </w:r>
      <w:r>
        <w:rPr/>
        <w:t>after excluding oil from the index, input price inflation has risen (see Chart 4.6). That partly reflects the use</w:t>
      </w:r>
      <w:r>
        <w:rPr>
          <w:spacing w:val="15"/>
        </w:rPr>
        <w:t> </w:t>
      </w:r>
      <w:r>
        <w:rPr/>
        <w:t>of</w:t>
      </w:r>
    </w:p>
    <w:p>
      <w:pPr>
        <w:spacing w:after="0" w:line="242" w:lineRule="auto"/>
        <w:sectPr>
          <w:type w:val="continuous"/>
          <w:pgSz w:w="11900" w:h="16840"/>
          <w:pgMar w:top="1220" w:bottom="280" w:left="640" w:right="620"/>
          <w:cols w:num="3" w:equalWidth="0">
            <w:col w:w="961" w:space="40"/>
            <w:col w:w="2592" w:space="1217"/>
            <w:col w:w="5830"/>
          </w:cols>
        </w:sectPr>
      </w:pPr>
    </w:p>
    <w:p>
      <w:pPr>
        <w:spacing w:line="168" w:lineRule="exact" w:before="0"/>
        <w:ind w:left="150" w:right="0" w:firstLine="0"/>
        <w:jc w:val="left"/>
        <w:rPr>
          <w:b/>
          <w:sz w:val="20"/>
        </w:rPr>
      </w:pPr>
      <w:r>
        <w:rPr>
          <w:b/>
          <w:color w:val="0092C7"/>
          <w:sz w:val="20"/>
        </w:rPr>
        <w:t>Manufacturing input prices</w:t>
      </w:r>
    </w:p>
    <w:p>
      <w:pPr>
        <w:spacing w:line="254" w:lineRule="exact" w:before="8"/>
        <w:ind w:left="150" w:right="0" w:firstLine="0"/>
        <w:jc w:val="left"/>
        <w:rPr>
          <w:sz w:val="24"/>
        </w:rPr>
      </w:pPr>
      <w:r>
        <w:rPr/>
        <w:br w:type="column"/>
      </w:r>
      <w:r>
        <w:rPr>
          <w:sz w:val="24"/>
        </w:rPr>
        <w:t>oil in the production of other inputs: for example the</w:t>
      </w:r>
    </w:p>
    <w:p>
      <w:pPr>
        <w:spacing w:after="0" w:line="254" w:lineRule="exact"/>
        <w:jc w:val="left"/>
        <w:rPr>
          <w:sz w:val="24"/>
        </w:rPr>
        <w:sectPr>
          <w:type w:val="continuous"/>
          <w:pgSz w:w="11900" w:h="16840"/>
          <w:pgMar w:top="1220" w:bottom="280" w:left="640" w:right="620"/>
          <w:cols w:num="2" w:equalWidth="0">
            <w:col w:w="2557" w:space="2253"/>
            <w:col w:w="5830"/>
          </w:cols>
        </w:sectPr>
      </w:pPr>
    </w:p>
    <w:p>
      <w:pPr>
        <w:spacing w:line="228" w:lineRule="auto" w:before="0"/>
        <w:ind w:left="132" w:right="0" w:firstLine="0"/>
        <w:jc w:val="left"/>
        <w:rPr>
          <w:sz w:val="12"/>
        </w:rPr>
      </w:pPr>
      <w:r>
        <w:rPr/>
        <w:pict>
          <v:group style="position:absolute;margin-left:47.048pt;margin-top:8.108320pt;width:160pt;height:128.25pt;mso-position-horizontal-relative:page;mso-position-vertical-relative:paragraph;z-index:-22366720" coordorigin="941,162" coordsize="3200,2565">
            <v:shape style="position:absolute;left:1080;top:1776;width:1010;height:553" coordorigin="1080,1777" coordsize="1010,553" path="m1080,1777l1148,1829m1148,1829l1228,1919m1228,1919l1295,2099m1295,2099l1375,2329m1375,2329l1443,2149m1443,2149l1510,2137m1510,2137l1590,2072m1590,2072l1658,2009m1658,2009l1728,2087m1728,2087l1805,2124m1805,2124l1875,2099m1875,2099l1953,2149m1953,2149l2023,2227m2023,2227l2090,2189e" filled="false" stroked="true" strokeweight="1pt" strokecolor="#006caa">
              <v:path arrowok="t"/>
              <v:stroke dashstyle="solid"/>
            </v:shape>
            <v:line style="position:absolute" from="2080,2190" to="2180,2190" stroked="true" strokeweight="1.125pt" strokecolor="#006caa">
              <v:stroke dashstyle="solid"/>
            </v:line>
            <v:shape style="position:absolute;left:2170;top:2034;width:215;height:155" coordorigin="2170,2034" coordsize="215,155" path="m2170,2189l2238,2087m2238,2087l2305,2034m2305,2034l2385,2112e" filled="false" stroked="true" strokeweight="1pt" strokecolor="#006caa">
              <v:path arrowok="t"/>
              <v:stroke dashstyle="solid"/>
            </v:shape>
            <v:line style="position:absolute" from="2375,2113" to="2463,2113" stroked="true" strokeweight="1.125pt" strokecolor="#006caa">
              <v:stroke dashstyle="solid"/>
            </v:line>
            <v:shape style="position:absolute;left:2452;top:231;width:1455;height:2035" coordorigin="2453,232" coordsize="1455,2035" path="m2453,2112l2533,2202m2533,2202l2600,2239m2600,2239l2670,2267m2670,2267l2748,2124m2748,2124l2818,2137m2818,2137l2885,1957m2885,1957l2965,1919m2965,1919l3033,1724m3033,1724l3113,1482m3113,1482l3180,1609m3180,1609l3248,1469m3248,1469l3328,1159m3328,1159l3395,1057m3395,1057l3463,889m3463,889l3543,824m3543,824l3613,554m3613,554l3690,374m3690,374l3760,517m3760,517l3828,232m3828,232l3908,272e" filled="false" stroked="true" strokeweight="1pt" strokecolor="#006caa">
              <v:path arrowok="t"/>
              <v:stroke dashstyle="solid"/>
            </v:shape>
            <v:shape style="position:absolute;left:1080;top:1969;width:148;height:65" coordorigin="1080,1969" coordsize="148,65" path="m1080,1969l1148,1982m1148,1982l1228,2034e" filled="false" stroked="true" strokeweight="1pt" strokecolor="#acbc4a">
              <v:path arrowok="t"/>
              <v:stroke dashstyle="solid"/>
            </v:shape>
            <v:line style="position:absolute" from="1218,2035" to="1305,2035" stroked="true" strokeweight="1.125pt" strokecolor="#acbc4a">
              <v:stroke dashstyle="solid"/>
            </v:line>
            <v:shape style="position:absolute;left:1295;top:2034;width:148;height:65" coordorigin="1295,2034" coordsize="148,65" path="m1295,2034l1375,2099m1375,2099l1443,2047e" filled="false" stroked="true" strokeweight="1pt" strokecolor="#acbc4a">
              <v:path arrowok="t"/>
              <v:stroke dashstyle="solid"/>
            </v:shape>
            <v:line style="position:absolute" from="1433,2048" to="1520,2048" stroked="true" strokeweight="1.125pt" strokecolor="#acbc4a">
              <v:stroke dashstyle="solid"/>
            </v:line>
            <v:shape style="position:absolute;left:1510;top:1724;width:1238;height:323" coordorigin="1510,1724" coordsize="1238,323" path="m1510,2047l1590,1944m1590,1944l1658,1907m1658,1907l1728,1892m1728,1892l1805,1919m1805,1919l1875,1944m1875,1944l1953,1907m1953,1907l2023,1892m2023,1892l2090,1854m2090,1854l2170,1867m2170,1867l2238,1879m2238,1879l2305,1817m2305,1817l2385,1854m2385,1854l2453,1829m2453,1829l2533,1879m2533,1879l2600,1892m2600,1892l2670,1867m2670,1867l2748,1724e" filled="false" stroked="true" strokeweight="1pt" strokecolor="#acbc4a">
              <v:path arrowok="t"/>
              <v:stroke dashstyle="solid"/>
            </v:shape>
            <v:shape style="position:absolute;left:2737;top:1725;width:158;height:2" coordorigin="2738,1725" coordsize="158,0" path="m2738,1725l2828,1725m2808,1725l2895,1725e" filled="false" stroked="true" strokeweight="1.125pt" strokecolor="#acbc4a">
              <v:path arrowok="t"/>
              <v:stroke dashstyle="solid"/>
            </v:shape>
            <v:shape style="position:absolute;left:2885;top:1609;width:295;height:115" coordorigin="2885,1609" coordsize="295,115" path="m2885,1724l2965,1699m2965,1699l3033,1687m3033,1687l3113,1609m3113,1609l3180,1687e" filled="false" stroked="true" strokeweight="1pt" strokecolor="#acbc4a">
              <v:path arrowok="t"/>
              <v:stroke dashstyle="solid"/>
            </v:shape>
            <v:line style="position:absolute" from="3170,1688" to="3258,1688" stroked="true" strokeweight="1.125pt" strokecolor="#acbc4a">
              <v:stroke dashstyle="solid"/>
            </v:line>
            <v:shape style="position:absolute;left:3247;top:1326;width:365;height:360" coordorigin="3248,1327" coordsize="365,360" path="m3248,1687l3328,1622m3328,1622l3395,1544m3395,1544l3463,1429m3463,1429l3543,1377m3543,1377l3613,1327e" filled="false" stroked="true" strokeweight="1pt" strokecolor="#acbc4a">
              <v:path arrowok="t"/>
              <v:stroke dashstyle="solid"/>
            </v:shape>
            <v:line style="position:absolute" from="3602,1328" to="3700,1328" stroked="true" strokeweight="1.125pt" strokecolor="#acbc4a">
              <v:stroke dashstyle="solid"/>
            </v:line>
            <v:shape style="position:absolute;left:3690;top:1249;width:218;height:90" coordorigin="3690,1249" coordsize="218,90" path="m3690,1327l3760,1339m3760,1339l3827,1287m3827,1287l3907,1249e" filled="false" stroked="true" strokeweight="1pt" strokecolor="#acbc4a">
              <v:path arrowok="t"/>
              <v:stroke dashstyle="solid"/>
            </v:shape>
            <v:shape style="position:absolute;left:1080;top:231;width:2895;height:2485" coordorigin="1080,232" coordsize="2895,2485" path="m1080,2099l1148,2112m1148,2112l1228,2267m1228,2267l1295,2149m1295,2149l1375,2072m1375,2072l1443,2214m1443,2214l1510,2059m1510,2059l1590,2329m1590,2329l1658,2239m1658,2239l1728,2177m1728,2177l1805,2059m1805,2059l1875,1892m1875,1892l1953,1829m1953,1829l2023,2022m2023,2022l2090,1802m2090,1802l2170,1982m2170,1982l2238,2047m2238,2047l2305,2009m2305,2009l2385,1919m2385,1919l2453,2137m2453,2137l2533,2419m2533,2419l2600,2447m2600,2447l2670,2717m2670,2717l2748,2677m2748,2677l2818,2574m2818,2574l2885,2537m2885,2537l2965,2484m2965,2484l3033,2292m3033,2292l3113,2177m3113,2177l3180,2009m3180,2009l3248,2034m3248,2034l3328,1597m3328,1597l3395,1237m3395,1237l3463,1069m3463,1069l3543,992m3543,992l3613,864m3613,864l3690,927m3690,927l3760,824m3760,824l3828,697m3828,697l3908,567m3908,567l3975,232e" filled="false" stroked="true" strokeweight="1pt" strokecolor="#efa900">
              <v:path arrowok="t"/>
              <v:stroke dashstyle="solid"/>
            </v:shape>
            <v:shape style="position:absolute;left:940;top:167;width:3200;height:2474" coordorigin="941,167" coordsize="3200,2474" path="m941,580l1028,580m941,1817l1028,1817m941,2641l1028,2641m941,2229l1028,2229m941,168l1028,168m941,993l1028,993m4054,579l4141,579m4054,1403l4141,1403m4054,1815l4141,1815m4054,2640l4141,2640m4054,2227l4141,2227m4054,167l4141,167m4054,991l4141,991m2564,1168l2718,1624e" filled="false" stroked="true" strokeweight=".5pt" strokecolor="#000000">
              <v:path arrowok="t"/>
              <v:stroke dashstyle="solid"/>
            </v:shape>
            <v:shape style="position:absolute;left:2688;top:1600;width:49;height:89" coordorigin="2688,1601" coordsize="49,89" path="m2737,1601l2688,1615,2699,1628,2707,1639,2737,1689,2735,1680,2735,1670,2734,1657,2734,1644,2734,1632,2737,1601xe" filled="true" fillcolor="#000000" stroked="false">
              <v:path arrowok="t"/>
              <v:fill type="solid"/>
            </v:shape>
            <w10:wrap type="none"/>
          </v:group>
        </w:pict>
      </w:r>
      <w:r>
        <w:rPr>
          <w:position w:val="-7"/>
          <w:sz w:val="12"/>
        </w:rPr>
        <w:t>65 </w:t>
      </w:r>
      <w:r>
        <w:rPr>
          <w:sz w:val="12"/>
        </w:rPr>
        <w:t>Index</w:t>
      </w:r>
    </w:p>
    <w:p>
      <w:pPr>
        <w:spacing w:line="228" w:lineRule="auto" w:before="0"/>
        <w:ind w:left="132" w:right="0" w:firstLine="0"/>
        <w:jc w:val="left"/>
        <w:rPr>
          <w:sz w:val="12"/>
        </w:rPr>
      </w:pPr>
      <w:r>
        <w:rPr/>
        <w:br w:type="column"/>
      </w:r>
      <w:r>
        <w:rPr>
          <w:sz w:val="12"/>
        </w:rPr>
        <w:t>Percentage changes on a year earlier </w:t>
      </w:r>
      <w:r>
        <w:rPr>
          <w:position w:val="-7"/>
          <w:sz w:val="12"/>
        </w:rPr>
        <w:t>15</w:t>
      </w:r>
    </w:p>
    <w:p>
      <w:pPr>
        <w:spacing w:line="125" w:lineRule="exact" w:before="87"/>
        <w:ind w:left="424" w:right="0" w:firstLine="0"/>
        <w:jc w:val="left"/>
        <w:rPr>
          <w:sz w:val="12"/>
        </w:rPr>
      </w:pPr>
      <w:r>
        <w:rPr>
          <w:sz w:val="12"/>
        </w:rPr>
        <w:t>Input prices</w:t>
      </w:r>
    </w:p>
    <w:p>
      <w:pPr>
        <w:pStyle w:val="Heading6"/>
        <w:spacing w:line="280" w:lineRule="atLeast" w:before="22"/>
        <w:ind w:left="132"/>
      </w:pPr>
      <w:r>
        <w:rPr/>
        <w:br w:type="column"/>
      </w:r>
      <w:r>
        <w:rPr/>
        <w:t>prices of imported plastics rose by 15.6% in the year to March. And, consistent with the increase in commodity</w:t>
      </w:r>
    </w:p>
    <w:p>
      <w:pPr>
        <w:spacing w:after="0" w:line="280" w:lineRule="atLeast"/>
        <w:sectPr>
          <w:type w:val="continuous"/>
          <w:pgSz w:w="11900" w:h="16840"/>
          <w:pgMar w:top="1220" w:bottom="280" w:left="640" w:right="620"/>
          <w:cols w:num="3" w:equalWidth="0">
            <w:col w:w="615" w:space="989"/>
            <w:col w:w="2084" w:space="1140"/>
            <w:col w:w="5812"/>
          </w:cols>
        </w:sectPr>
      </w:pPr>
    </w:p>
    <w:p>
      <w:pPr>
        <w:spacing w:line="47" w:lineRule="exact" w:before="0"/>
        <w:ind w:left="132" w:right="0" w:firstLine="0"/>
        <w:jc w:val="left"/>
        <w:rPr>
          <w:sz w:val="12"/>
        </w:rPr>
      </w:pPr>
      <w:r>
        <w:rPr>
          <w:sz w:val="12"/>
        </w:rPr>
        <w:t>60</w:t>
      </w:r>
    </w:p>
    <w:p>
      <w:pPr>
        <w:pStyle w:val="BodyText"/>
        <w:rPr>
          <w:sz w:val="12"/>
        </w:rPr>
      </w:pPr>
    </w:p>
    <w:p>
      <w:pPr>
        <w:pStyle w:val="BodyText"/>
        <w:spacing w:before="9"/>
        <w:rPr>
          <w:sz w:val="11"/>
        </w:rPr>
      </w:pPr>
    </w:p>
    <w:p>
      <w:pPr>
        <w:spacing w:line="126" w:lineRule="exact" w:before="0"/>
        <w:ind w:left="132" w:right="0" w:firstLine="0"/>
        <w:jc w:val="left"/>
        <w:rPr>
          <w:sz w:val="12"/>
        </w:rPr>
      </w:pPr>
      <w:r>
        <w:rPr>
          <w:sz w:val="12"/>
        </w:rPr>
        <w:t>55</w:t>
      </w:r>
    </w:p>
    <w:p>
      <w:pPr>
        <w:spacing w:line="208" w:lineRule="auto" w:before="3"/>
        <w:ind w:left="841" w:right="0" w:hanging="60"/>
        <w:jc w:val="left"/>
        <w:rPr>
          <w:sz w:val="12"/>
        </w:rPr>
      </w:pPr>
      <w:r>
        <w:rPr>
          <w:sz w:val="12"/>
        </w:rPr>
        <w:t>Input prices excluding oil (right-hand scale)</w:t>
      </w:r>
    </w:p>
    <w:p>
      <w:pPr>
        <w:tabs>
          <w:tab w:pos="1595" w:val="right" w:leader="none"/>
        </w:tabs>
        <w:spacing w:line="-108" w:lineRule="auto" w:before="0"/>
        <w:ind w:left="66" w:right="0" w:firstLine="0"/>
        <w:jc w:val="left"/>
        <w:rPr>
          <w:sz w:val="12"/>
        </w:rPr>
      </w:pPr>
      <w:r>
        <w:rPr/>
        <w:br w:type="column"/>
      </w:r>
      <w:r>
        <w:rPr>
          <w:sz w:val="12"/>
        </w:rPr>
        <w:t>(right-hand scale)</w:t>
        <w:tab/>
      </w:r>
      <w:r>
        <w:rPr>
          <w:position w:val="-6"/>
          <w:sz w:val="12"/>
        </w:rPr>
        <w:t>10</w:t>
      </w:r>
    </w:p>
    <w:p>
      <w:pPr>
        <w:spacing w:before="311"/>
        <w:ind w:left="0" w:right="39" w:firstLine="0"/>
        <w:jc w:val="right"/>
        <w:rPr>
          <w:sz w:val="12"/>
        </w:rPr>
      </w:pPr>
      <w:r>
        <w:rPr>
          <w:sz w:val="12"/>
        </w:rPr>
        <w:t>5</w:t>
      </w:r>
    </w:p>
    <w:p>
      <w:pPr>
        <w:spacing w:before="76"/>
        <w:ind w:left="0" w:right="118" w:firstLine="0"/>
        <w:jc w:val="right"/>
        <w:rPr>
          <w:sz w:val="16"/>
        </w:rPr>
      </w:pPr>
      <w:r>
        <w:rPr>
          <w:w w:val="100"/>
          <w:sz w:val="16"/>
        </w:rPr>
        <w:t>+</w:t>
      </w:r>
    </w:p>
    <w:p>
      <w:pPr>
        <w:pStyle w:val="Heading6"/>
        <w:spacing w:line="280" w:lineRule="atLeast"/>
        <w:ind w:left="132" w:right="660"/>
        <w:jc w:val="both"/>
      </w:pPr>
      <w:r>
        <w:rPr/>
        <w:br w:type="column"/>
      </w:r>
      <w:r>
        <w:rPr/>
        <w:t>prices, imported metals prices in March were 14.7% higher than a year earlier. The CIPS manufacturing survey also indicates that input price pressures have</w:t>
      </w:r>
    </w:p>
    <w:p>
      <w:pPr>
        <w:spacing w:after="0" w:line="280" w:lineRule="atLeast"/>
        <w:jc w:val="both"/>
        <w:sectPr>
          <w:type w:val="continuous"/>
          <w:pgSz w:w="11900" w:h="16840"/>
          <w:pgMar w:top="1220" w:bottom="280" w:left="640" w:right="620"/>
          <w:cols w:num="3" w:equalWidth="0">
            <w:col w:w="2012" w:space="40"/>
            <w:col w:w="1636" w:space="1139"/>
            <w:col w:w="5813"/>
          </w:cols>
        </w:sectPr>
      </w:pPr>
    </w:p>
    <w:p>
      <w:pPr>
        <w:tabs>
          <w:tab w:pos="3339" w:val="left" w:leader="none"/>
        </w:tabs>
        <w:spacing w:line="7" w:lineRule="auto" w:before="0"/>
        <w:ind w:left="132" w:right="0" w:firstLine="0"/>
        <w:jc w:val="left"/>
        <w:rPr>
          <w:sz w:val="12"/>
        </w:rPr>
      </w:pPr>
      <w:r>
        <w:rPr>
          <w:sz w:val="12"/>
        </w:rPr>
        <w:t>50</w:t>
      </w:r>
      <w:r>
        <w:rPr>
          <w:sz w:val="12"/>
          <w:u w:val="single"/>
        </w:rPr>
        <w:t> </w:t>
        <w:tab/>
      </w:r>
      <w:r>
        <w:rPr>
          <w:position w:val="-10"/>
          <w:sz w:val="16"/>
        </w:rPr>
        <w:t>_</w:t>
      </w:r>
      <w:r>
        <w:rPr>
          <w:sz w:val="12"/>
        </w:rPr>
        <w:t>0</w:t>
      </w:r>
    </w:p>
    <w:p>
      <w:pPr>
        <w:pStyle w:val="BodyText"/>
        <w:spacing w:before="8"/>
        <w:rPr>
          <w:sz w:val="19"/>
        </w:rPr>
      </w:pPr>
    </w:p>
    <w:p>
      <w:pPr>
        <w:tabs>
          <w:tab w:pos="3585" w:val="left" w:leader="none"/>
        </w:tabs>
        <w:spacing w:before="0"/>
        <w:ind w:left="132" w:right="0" w:firstLine="0"/>
        <w:jc w:val="left"/>
        <w:rPr>
          <w:sz w:val="12"/>
        </w:rPr>
      </w:pPr>
      <w:r>
        <w:rPr>
          <w:sz w:val="12"/>
        </w:rPr>
        <w:t>45</w:t>
        <w:tab/>
        <w:t>5</w:t>
      </w:r>
    </w:p>
    <w:p>
      <w:pPr>
        <w:pStyle w:val="BodyText"/>
        <w:rPr>
          <w:sz w:val="12"/>
        </w:rPr>
      </w:pPr>
    </w:p>
    <w:p>
      <w:pPr>
        <w:pStyle w:val="BodyText"/>
        <w:spacing w:before="10"/>
        <w:rPr>
          <w:sz w:val="11"/>
        </w:rPr>
      </w:pPr>
    </w:p>
    <w:p>
      <w:pPr>
        <w:tabs>
          <w:tab w:pos="3527" w:val="left" w:leader="none"/>
        </w:tabs>
        <w:spacing w:before="0"/>
        <w:ind w:left="132" w:right="0" w:firstLine="0"/>
        <w:jc w:val="left"/>
        <w:rPr>
          <w:sz w:val="12"/>
        </w:rPr>
      </w:pPr>
      <w:r>
        <w:rPr>
          <w:sz w:val="12"/>
        </w:rPr>
        <w:t>40</w:t>
        <w:tab/>
        <w:t>10</w:t>
      </w:r>
    </w:p>
    <w:p>
      <w:pPr>
        <w:pStyle w:val="BodyText"/>
        <w:rPr>
          <w:sz w:val="12"/>
        </w:rPr>
      </w:pPr>
    </w:p>
    <w:p>
      <w:pPr>
        <w:pStyle w:val="BodyText"/>
        <w:spacing w:before="9"/>
        <w:rPr>
          <w:sz w:val="11"/>
        </w:rPr>
      </w:pPr>
    </w:p>
    <w:p>
      <w:pPr>
        <w:tabs>
          <w:tab w:pos="718" w:val="left" w:leader="none"/>
          <w:tab w:pos="3527" w:val="left" w:leader="none"/>
        </w:tabs>
        <w:spacing w:line="127" w:lineRule="exact" w:before="1"/>
        <w:ind w:left="132" w:right="0" w:firstLine="0"/>
        <w:jc w:val="left"/>
        <w:rPr>
          <w:sz w:val="12"/>
        </w:rPr>
      </w:pPr>
      <w:r>
        <w:rPr>
          <w:sz w:val="12"/>
        </w:rPr>
        <w:t>35</w:t>
        <w:tab/>
        <w:t>CIPS input price index (a)</w:t>
        <w:tab/>
        <w:t>15</w:t>
      </w:r>
    </w:p>
    <w:p>
      <w:pPr>
        <w:spacing w:line="127" w:lineRule="exact" w:before="0"/>
        <w:ind w:left="778" w:right="0" w:firstLine="0"/>
        <w:jc w:val="left"/>
        <w:rPr>
          <w:sz w:val="12"/>
        </w:rPr>
      </w:pPr>
      <w:r>
        <w:rPr>
          <w:sz w:val="12"/>
        </w:rPr>
        <w:t>(left-hand scale)</w:t>
      </w:r>
    </w:p>
    <w:p>
      <w:pPr>
        <w:pStyle w:val="BodyText"/>
        <w:spacing w:before="8"/>
        <w:rPr>
          <w:sz w:val="13"/>
        </w:rPr>
      </w:pPr>
    </w:p>
    <w:p>
      <w:pPr>
        <w:tabs>
          <w:tab w:pos="3527" w:val="left" w:leader="none"/>
        </w:tabs>
        <w:spacing w:line="131" w:lineRule="exact" w:before="0"/>
        <w:ind w:left="132" w:right="0" w:firstLine="0"/>
        <w:jc w:val="left"/>
        <w:rPr>
          <w:sz w:val="12"/>
        </w:rPr>
      </w:pPr>
      <w:r>
        <w:rPr/>
        <w:pict>
          <v:shape style="position:absolute;margin-left:54.039001pt;margin-top:-.09719pt;width:145pt;height:4.350pt;mso-position-horizontal-relative:page;mso-position-vertical-relative:paragraph;z-index:-22366208" coordorigin="1081,-2" coordsize="2900,87" path="m1081,85l3980,85m1082,-2l1082,85m1299,38l1299,85m1516,38l1516,85m1733,38l1733,85m1950,-2l1950,85m2167,38l2167,85m2384,38l2384,85m2601,38l2601,85m2819,-2l2819,85m3036,38l3036,85m3253,38l3253,85m3470,38l3470,85m3687,-2l3687,85m3904,38l3904,85e" filled="false" stroked="true" strokeweight=".5pt" strokecolor="#000000">
            <v:path arrowok="t"/>
            <v:stroke dashstyle="solid"/>
            <w10:wrap type="none"/>
          </v:shape>
        </w:pict>
      </w:r>
      <w:r>
        <w:rPr/>
        <w:pict>
          <v:line style="position:absolute;mso-position-horizontal-relative:page;mso-position-vertical-relative:paragraph;z-index:-22365696" from="202.707993pt,4.226810pt" to="207.041993pt,4.226810pt" stroked="true" strokeweight=".5pt" strokecolor="#000000">
            <v:stroke dashstyle="solid"/>
            <w10:wrap type="none"/>
          </v:line>
        </w:pict>
      </w:r>
      <w:r>
        <w:rPr>
          <w:sz w:val="12"/>
        </w:rPr>
        <w:t>30</w:t>
        <w:tab/>
        <w:t>20</w:t>
      </w:r>
    </w:p>
    <w:p>
      <w:pPr>
        <w:tabs>
          <w:tab w:pos="1696" w:val="left" w:leader="none"/>
          <w:tab w:pos="2559" w:val="left" w:leader="none"/>
          <w:tab w:pos="3167" w:val="left" w:leader="none"/>
        </w:tabs>
        <w:spacing w:line="131" w:lineRule="exact" w:before="0"/>
        <w:ind w:left="761" w:right="0" w:firstLine="0"/>
        <w:jc w:val="left"/>
        <w:rPr>
          <w:sz w:val="12"/>
        </w:rPr>
      </w:pPr>
      <w:r>
        <w:rPr>
          <w:sz w:val="12"/>
        </w:rPr>
        <w:t>1996</w:t>
        <w:tab/>
        <w:t>97</w:t>
        <w:tab/>
        <w:t>98</w:t>
        <w:tab/>
        <w:t>99</w:t>
      </w:r>
    </w:p>
    <w:p>
      <w:pPr>
        <w:spacing w:before="38"/>
        <w:ind w:left="150" w:right="0" w:firstLine="0"/>
        <w:jc w:val="left"/>
        <w:rPr>
          <w:sz w:val="12"/>
        </w:rPr>
      </w:pPr>
      <w:r>
        <w:rPr>
          <w:sz w:val="12"/>
        </w:rPr>
        <w:t>Sources: ONS and CIPS.</w:t>
      </w:r>
    </w:p>
    <w:p>
      <w:pPr>
        <w:pStyle w:val="BodyText"/>
        <w:spacing w:before="1"/>
        <w:rPr>
          <w:sz w:val="10"/>
        </w:rPr>
      </w:pPr>
    </w:p>
    <w:p>
      <w:pPr>
        <w:spacing w:line="208" w:lineRule="auto" w:before="0"/>
        <w:ind w:left="390" w:right="0" w:hanging="240"/>
        <w:jc w:val="left"/>
        <w:rPr>
          <w:sz w:val="12"/>
        </w:rPr>
      </w:pPr>
      <w:r>
        <w:rPr>
          <w:sz w:val="12"/>
        </w:rPr>
        <w:t>(a) Survey responses to question asking how prices compare with the same month a year ago. Readings above 50 suggest that prices are rising, readings below 50 indicate falling prices.</w:t>
      </w:r>
    </w:p>
    <w:p>
      <w:pPr>
        <w:pStyle w:val="Heading6"/>
        <w:spacing w:before="4"/>
        <w:ind w:left="132"/>
      </w:pPr>
      <w:r>
        <w:rPr/>
        <w:br w:type="column"/>
      </w:r>
      <w:r>
        <w:rPr/>
        <w:t>risen.</w:t>
      </w:r>
    </w:p>
    <w:p>
      <w:pPr>
        <w:pStyle w:val="BodyText"/>
        <w:spacing w:before="8"/>
        <w:rPr>
          <w:sz w:val="24"/>
        </w:rPr>
      </w:pPr>
    </w:p>
    <w:p>
      <w:pPr>
        <w:spacing w:line="242" w:lineRule="auto" w:before="0"/>
        <w:ind w:left="132" w:right="87" w:firstLine="0"/>
        <w:jc w:val="left"/>
        <w:rPr>
          <w:sz w:val="24"/>
        </w:rPr>
      </w:pPr>
      <w:r>
        <w:rPr>
          <w:sz w:val="24"/>
        </w:rPr>
        <w:t>During much of 1999, manufacturers’ unit labour costs declined as rapid productivity growth outpaced earnings growth. But output has fallen in recent months and earnings growth has picked up, putting upward pressure on unit labour costs. With the pick-up in input price inflation, manufacturers’ weighted overall costs are estimated to have risen by around 3.4% in the year to February (see Table 4.B).</w:t>
      </w:r>
    </w:p>
    <w:p>
      <w:pPr>
        <w:spacing w:after="0" w:line="242" w:lineRule="auto"/>
        <w:jc w:val="left"/>
        <w:rPr>
          <w:sz w:val="24"/>
        </w:rPr>
        <w:sectPr>
          <w:type w:val="continuous"/>
          <w:pgSz w:w="11900" w:h="16840"/>
          <w:pgMar w:top="1220" w:bottom="280" w:left="640" w:right="620"/>
          <w:cols w:num="2" w:equalWidth="0">
            <w:col w:w="3688" w:space="1140"/>
            <w:col w:w="5812"/>
          </w:cols>
        </w:sectPr>
      </w:pPr>
    </w:p>
    <w:p>
      <w:pPr>
        <w:pStyle w:val="BodyText"/>
        <w:rPr>
          <w:sz w:val="20"/>
        </w:rPr>
      </w:pPr>
    </w:p>
    <w:p>
      <w:pPr>
        <w:spacing w:after="0"/>
        <w:rPr>
          <w:sz w:val="20"/>
        </w:rPr>
        <w:sectPr>
          <w:pgSz w:w="11900" w:h="16840"/>
          <w:pgMar w:header="586" w:footer="597" w:top="780" w:bottom="780" w:left="640" w:right="620"/>
        </w:sectPr>
      </w:pPr>
    </w:p>
    <w:p>
      <w:pPr>
        <w:pStyle w:val="BodyText"/>
        <w:spacing w:before="3"/>
        <w:rPr>
          <w:sz w:val="20"/>
        </w:rPr>
      </w:pPr>
    </w:p>
    <w:p>
      <w:pPr>
        <w:spacing w:before="0"/>
        <w:ind w:left="171" w:right="0" w:firstLine="0"/>
        <w:jc w:val="left"/>
        <w:rPr>
          <w:b/>
          <w:sz w:val="20"/>
        </w:rPr>
      </w:pPr>
      <w:bookmarkStart w:name="Costs and prices in the service sector" w:id="68"/>
      <w:bookmarkEnd w:id="68"/>
      <w:r>
        <w:rPr/>
      </w:r>
      <w:bookmarkStart w:name="Retail prices" w:id="69"/>
      <w:bookmarkEnd w:id="69"/>
      <w:r>
        <w:rPr/>
      </w:r>
      <w:bookmarkStart w:name="_bookmark32" w:id="70"/>
      <w:bookmarkEnd w:id="70"/>
      <w:r>
        <w:rPr/>
      </w:r>
      <w:r>
        <w:rPr>
          <w:b/>
          <w:color w:val="0092C7"/>
          <w:sz w:val="20"/>
        </w:rPr>
        <w:t>Table 4.B</w:t>
      </w:r>
    </w:p>
    <w:p>
      <w:pPr>
        <w:spacing w:before="10"/>
        <w:ind w:left="171" w:right="0" w:firstLine="0"/>
        <w:jc w:val="left"/>
        <w:rPr>
          <w:b/>
          <w:sz w:val="20"/>
        </w:rPr>
      </w:pPr>
      <w:r>
        <w:rPr>
          <w:b/>
          <w:color w:val="0092C7"/>
          <w:sz w:val="20"/>
        </w:rPr>
        <w:t>Manufacturers’ costs and prices</w:t>
      </w:r>
    </w:p>
    <w:p>
      <w:pPr>
        <w:spacing w:before="106"/>
        <w:ind w:left="171" w:right="0" w:firstLine="0"/>
        <w:jc w:val="left"/>
        <w:rPr>
          <w:sz w:val="14"/>
        </w:rPr>
      </w:pPr>
      <w:r>
        <w:rPr>
          <w:sz w:val="14"/>
        </w:rPr>
        <w:t>Percentage changes on a year earlier</w:t>
      </w:r>
    </w:p>
    <w:p>
      <w:pPr>
        <w:tabs>
          <w:tab w:pos="3374" w:val="left" w:leader="none"/>
          <w:tab w:pos="4104" w:val="left" w:leader="none"/>
        </w:tabs>
        <w:spacing w:before="119"/>
        <w:ind w:left="1986" w:right="0" w:firstLine="0"/>
        <w:jc w:val="left"/>
        <w:rPr>
          <w:sz w:val="14"/>
        </w:rPr>
      </w:pPr>
      <w:r>
        <w:rPr>
          <w:sz w:val="14"/>
          <w:u w:val="single"/>
        </w:rPr>
        <w:t>1999</w:t>
        <w:tab/>
        <w:t>2000</w:t>
        <w:tab/>
      </w:r>
    </w:p>
    <w:p>
      <w:pPr>
        <w:spacing w:before="19"/>
        <w:ind w:left="1993" w:right="0" w:firstLine="0"/>
        <w:jc w:val="left"/>
        <w:rPr>
          <w:sz w:val="14"/>
        </w:rPr>
      </w:pPr>
      <w:r>
        <w:rPr>
          <w:sz w:val="14"/>
        </w:rPr>
        <w:t>Sept.    Oct.  Nov.   Dec.   Jan.   </w:t>
      </w:r>
      <w:r>
        <w:rPr>
          <w:spacing w:val="2"/>
          <w:sz w:val="14"/>
        </w:rPr>
        <w:t> </w:t>
      </w:r>
      <w:r>
        <w:rPr>
          <w:sz w:val="14"/>
        </w:rPr>
        <w:t>Feb.</w:t>
      </w:r>
    </w:p>
    <w:p>
      <w:pPr>
        <w:pStyle w:val="BodyText"/>
        <w:spacing w:line="20" w:lineRule="exact"/>
        <w:ind w:left="1998" w:right="-44"/>
        <w:rPr>
          <w:sz w:val="2"/>
        </w:rPr>
      </w:pPr>
      <w:r>
        <w:rPr>
          <w:sz w:val="2"/>
        </w:rPr>
        <w:pict>
          <v:group style="width:14.25pt;height:.15pt;mso-position-horizontal-relative:char;mso-position-vertical-relative:line" coordorigin="0,0" coordsize="285,3">
            <v:line style="position:absolute" from="0,1" to="285,1" stroked="true" strokeweight=".125pt" strokecolor="#000000">
              <v:stroke dashstyle="solid"/>
            </v:line>
          </v:group>
        </w:pict>
      </w:r>
      <w:r>
        <w:rPr>
          <w:sz w:val="2"/>
        </w:rPr>
      </w:r>
      <w:r>
        <w:rPr>
          <w:spacing w:val="64"/>
          <w:sz w:val="2"/>
        </w:rPr>
        <w:t> </w:t>
      </w:r>
      <w:r>
        <w:rPr>
          <w:spacing w:val="64"/>
          <w:sz w:val="2"/>
        </w:rPr>
        <w:pict>
          <v:group style="width:31.15pt;height:.15pt;mso-position-horizontal-relative:char;mso-position-vertical-relative:line" coordorigin="0,0" coordsize="623,3">
            <v:shape style="position:absolute;left:0;top:1;width:623;height:2" coordorigin="0,1" coordsize="623,0" path="m0,1l288,1m338,1l623,1e" filled="false" stroked="true" strokeweight=".125pt" strokecolor="#000000">
              <v:path arrowok="t"/>
              <v:stroke dashstyle="solid"/>
            </v:shape>
          </v:group>
        </w:pict>
      </w:r>
      <w:r>
        <w:rPr>
          <w:spacing w:val="64"/>
          <w:sz w:val="2"/>
        </w:rPr>
      </w:r>
      <w:r>
        <w:rPr>
          <w:spacing w:val="62"/>
          <w:sz w:val="2"/>
        </w:rPr>
        <w:t> </w:t>
      </w:r>
      <w:r>
        <w:rPr>
          <w:spacing w:val="62"/>
          <w:sz w:val="2"/>
        </w:rPr>
        <w:pict>
          <v:group style="width:14.25pt;height:.15pt;mso-position-horizontal-relative:char;mso-position-vertical-relative:line" coordorigin="0,0" coordsize="285,3">
            <v:line style="position:absolute" from="0,1" to="285,1" stroked="true" strokeweight=".125pt" strokecolor="#000000">
              <v:stroke dashstyle="solid"/>
            </v:line>
          </v:group>
        </w:pict>
      </w:r>
      <w:r>
        <w:rPr>
          <w:spacing w:val="62"/>
          <w:sz w:val="2"/>
        </w:rPr>
      </w:r>
      <w:r>
        <w:rPr>
          <w:spacing w:val="70"/>
          <w:sz w:val="2"/>
        </w:rPr>
        <w:t> </w:t>
      </w:r>
      <w:r>
        <w:rPr>
          <w:spacing w:val="70"/>
          <w:sz w:val="2"/>
        </w:rPr>
        <w:pict>
          <v:group style="width:32pt;height:.15pt;mso-position-horizontal-relative:char;mso-position-vertical-relative:line" coordorigin="0,0" coordsize="640,3">
            <v:shape style="position:absolute;left:0;top:1;width:640;height:2" coordorigin="0,1" coordsize="640,0" path="m0,1l285,1m355,1l640,1e" filled="false" stroked="true" strokeweight=".125pt" strokecolor="#000000">
              <v:path arrowok="t"/>
              <v:stroke dashstyle="solid"/>
            </v:shape>
          </v:group>
        </w:pict>
      </w:r>
      <w:r>
        <w:rPr>
          <w:spacing w:val="70"/>
          <w:sz w:val="2"/>
        </w:rPr>
      </w:r>
    </w:p>
    <w:p>
      <w:pPr>
        <w:tabs>
          <w:tab w:pos="2102" w:val="left" w:leader="none"/>
          <w:tab w:pos="3202" w:val="left" w:leader="none"/>
          <w:tab w:pos="3926" w:val="left" w:leader="none"/>
        </w:tabs>
        <w:spacing w:line="150" w:lineRule="exact" w:before="99"/>
        <w:ind w:left="171" w:right="0" w:firstLine="0"/>
        <w:jc w:val="left"/>
        <w:rPr>
          <w:sz w:val="14"/>
        </w:rPr>
      </w:pPr>
      <w:r>
        <w:rPr>
          <w:sz w:val="14"/>
        </w:rPr>
        <w:t>Weighted costs</w:t>
      </w:r>
      <w:r>
        <w:rPr>
          <w:spacing w:val="-1"/>
          <w:sz w:val="14"/>
        </w:rPr>
        <w:t> </w:t>
      </w:r>
      <w:r>
        <w:rPr>
          <w:sz w:val="12"/>
        </w:rPr>
        <w:t>(a)</w:t>
        <w:tab/>
      </w:r>
      <w:r>
        <w:rPr>
          <w:sz w:val="14"/>
        </w:rPr>
        <w:t>1.0    </w:t>
      </w:r>
      <w:r>
        <w:rPr>
          <w:spacing w:val="19"/>
          <w:sz w:val="14"/>
        </w:rPr>
        <w:t> </w:t>
      </w:r>
      <w:r>
        <w:rPr>
          <w:sz w:val="14"/>
        </w:rPr>
        <w:t>1.5    </w:t>
      </w:r>
      <w:r>
        <w:rPr>
          <w:spacing w:val="4"/>
          <w:sz w:val="14"/>
        </w:rPr>
        <w:t> </w:t>
      </w:r>
      <w:r>
        <w:rPr>
          <w:sz w:val="14"/>
        </w:rPr>
        <w:t>2.0</w:t>
        <w:tab/>
        <w:t>3.3   </w:t>
      </w:r>
      <w:r>
        <w:rPr>
          <w:spacing w:val="19"/>
          <w:sz w:val="14"/>
        </w:rPr>
        <w:t> </w:t>
      </w:r>
      <w:r>
        <w:rPr>
          <w:sz w:val="14"/>
        </w:rPr>
        <w:t>3.0</w:t>
        <w:tab/>
        <w:t>3.4</w:t>
      </w:r>
    </w:p>
    <w:p>
      <w:pPr>
        <w:tabs>
          <w:tab w:pos="2056" w:val="left" w:leader="none"/>
          <w:tab w:pos="3202" w:val="left" w:leader="none"/>
        </w:tabs>
        <w:spacing w:line="140" w:lineRule="exact" w:before="0"/>
        <w:ind w:left="241" w:right="0" w:firstLine="0"/>
        <w:jc w:val="left"/>
        <w:rPr>
          <w:sz w:val="14"/>
        </w:rPr>
      </w:pPr>
      <w:r>
        <w:rPr>
          <w:sz w:val="14"/>
        </w:rPr>
        <w:t>Unit labour</w:t>
      </w:r>
      <w:r>
        <w:rPr>
          <w:spacing w:val="-9"/>
          <w:sz w:val="14"/>
        </w:rPr>
        <w:t> </w:t>
      </w:r>
      <w:r>
        <w:rPr>
          <w:sz w:val="14"/>
        </w:rPr>
        <w:t>costs</w:t>
      </w:r>
      <w:r>
        <w:rPr>
          <w:spacing w:val="-4"/>
          <w:sz w:val="14"/>
        </w:rPr>
        <w:t> </w:t>
      </w:r>
      <w:r>
        <w:rPr>
          <w:sz w:val="14"/>
        </w:rPr>
        <w:t>(46.8%)</w:t>
        <w:tab/>
        <w:t>-1.5   </w:t>
      </w:r>
      <w:r>
        <w:rPr>
          <w:spacing w:val="3"/>
          <w:sz w:val="14"/>
        </w:rPr>
        <w:t> </w:t>
      </w:r>
      <w:r>
        <w:rPr>
          <w:sz w:val="14"/>
        </w:rPr>
        <w:t>-0.7  </w:t>
      </w:r>
      <w:r>
        <w:rPr>
          <w:spacing w:val="25"/>
          <w:sz w:val="14"/>
        </w:rPr>
        <w:t> </w:t>
      </w:r>
      <w:r>
        <w:rPr>
          <w:sz w:val="14"/>
        </w:rPr>
        <w:t>-1.2</w:t>
        <w:tab/>
        <w:t>0.3     0.6   </w:t>
      </w:r>
      <w:r>
        <w:rPr>
          <w:spacing w:val="4"/>
          <w:sz w:val="14"/>
        </w:rPr>
        <w:t> </w:t>
      </w:r>
      <w:r>
        <w:rPr>
          <w:sz w:val="14"/>
        </w:rPr>
        <w:t>-0.1</w:t>
      </w:r>
    </w:p>
    <w:p>
      <w:pPr>
        <w:spacing w:line="208" w:lineRule="auto" w:before="6"/>
        <w:ind w:left="241" w:right="408" w:firstLine="0"/>
        <w:jc w:val="left"/>
        <w:rPr>
          <w:sz w:val="14"/>
        </w:rPr>
      </w:pPr>
      <w:r>
        <w:rPr>
          <w:sz w:val="14"/>
        </w:rPr>
        <w:t>Materials and fuels (30.1%) </w:t>
      </w:r>
      <w:r>
        <w:rPr>
          <w:sz w:val="12"/>
        </w:rPr>
        <w:t>(b) </w:t>
      </w:r>
      <w:r>
        <w:rPr>
          <w:sz w:val="14"/>
        </w:rPr>
        <w:t>6.2 7.0  10.2  12.5  10.8  14.2 Imports of</w:t>
      </w:r>
      <w:r>
        <w:rPr>
          <w:spacing w:val="-3"/>
          <w:sz w:val="14"/>
        </w:rPr>
        <w:t> </w:t>
      </w:r>
      <w:r>
        <w:rPr>
          <w:sz w:val="14"/>
        </w:rPr>
        <w:t>finished</w:t>
      </w:r>
    </w:p>
    <w:p>
      <w:pPr>
        <w:tabs>
          <w:tab w:pos="2102" w:val="left" w:leader="none"/>
          <w:tab w:pos="3202" w:val="left" w:leader="none"/>
          <w:tab w:pos="3926" w:val="left" w:leader="none"/>
        </w:tabs>
        <w:spacing w:line="133" w:lineRule="exact" w:before="0"/>
        <w:ind w:left="311" w:right="0" w:firstLine="0"/>
        <w:jc w:val="left"/>
        <w:rPr>
          <w:sz w:val="14"/>
        </w:rPr>
      </w:pPr>
      <w:r>
        <w:rPr>
          <w:sz w:val="14"/>
        </w:rPr>
        <w:t>goods</w:t>
      </w:r>
      <w:r>
        <w:rPr>
          <w:spacing w:val="-2"/>
          <w:sz w:val="14"/>
        </w:rPr>
        <w:t> </w:t>
      </w:r>
      <w:r>
        <w:rPr>
          <w:sz w:val="14"/>
        </w:rPr>
        <w:t>(6.9%)</w:t>
        <w:tab/>
        <w:t>0.0   </w:t>
      </w:r>
      <w:r>
        <w:rPr>
          <w:spacing w:val="7"/>
          <w:sz w:val="14"/>
        </w:rPr>
        <w:t> </w:t>
      </w:r>
      <w:r>
        <w:rPr>
          <w:sz w:val="14"/>
        </w:rPr>
        <w:t>-1.1    </w:t>
      </w:r>
      <w:r>
        <w:rPr>
          <w:spacing w:val="4"/>
          <w:sz w:val="14"/>
        </w:rPr>
        <w:t> </w:t>
      </w:r>
      <w:r>
        <w:rPr>
          <w:sz w:val="14"/>
        </w:rPr>
        <w:t>0.0</w:t>
        <w:tab/>
        <w:t>0.0   </w:t>
      </w:r>
      <w:r>
        <w:rPr>
          <w:spacing w:val="19"/>
          <w:sz w:val="14"/>
        </w:rPr>
        <w:t> </w:t>
      </w:r>
      <w:r>
        <w:rPr>
          <w:sz w:val="14"/>
        </w:rPr>
        <w:t>0.0</w:t>
        <w:tab/>
        <w:t>0.0</w:t>
      </w:r>
    </w:p>
    <w:p>
      <w:pPr>
        <w:tabs>
          <w:tab w:pos="2102" w:val="left" w:leader="none"/>
          <w:tab w:pos="3202" w:val="left" w:leader="none"/>
          <w:tab w:pos="3926" w:val="left" w:leader="none"/>
        </w:tabs>
        <w:spacing w:line="140" w:lineRule="exact" w:before="0"/>
        <w:ind w:left="241" w:right="0" w:firstLine="0"/>
        <w:jc w:val="left"/>
        <w:rPr>
          <w:sz w:val="14"/>
        </w:rPr>
      </w:pPr>
      <w:r>
        <w:rPr>
          <w:sz w:val="14"/>
        </w:rPr>
        <w:t>Bought-in services (16.2%)</w:t>
        <w:tab/>
        <w:t>2.3    </w:t>
      </w:r>
      <w:r>
        <w:rPr>
          <w:spacing w:val="19"/>
          <w:sz w:val="14"/>
        </w:rPr>
        <w:t> </w:t>
      </w:r>
      <w:r>
        <w:rPr>
          <w:sz w:val="14"/>
        </w:rPr>
        <w:t>2.2    </w:t>
      </w:r>
      <w:r>
        <w:rPr>
          <w:spacing w:val="4"/>
          <w:sz w:val="14"/>
        </w:rPr>
        <w:t> </w:t>
      </w:r>
      <w:r>
        <w:rPr>
          <w:sz w:val="14"/>
        </w:rPr>
        <w:t>2.0</w:t>
        <w:tab/>
        <w:t>1.9   </w:t>
      </w:r>
      <w:r>
        <w:rPr>
          <w:spacing w:val="19"/>
          <w:sz w:val="14"/>
        </w:rPr>
        <w:t> </w:t>
      </w:r>
      <w:r>
        <w:rPr>
          <w:sz w:val="14"/>
        </w:rPr>
        <w:t>1.9</w:t>
        <w:tab/>
        <w:t>1.9</w:t>
      </w:r>
    </w:p>
    <w:p>
      <w:pPr>
        <w:tabs>
          <w:tab w:pos="3202" w:val="left" w:leader="none"/>
          <w:tab w:pos="3926" w:val="left" w:leader="none"/>
        </w:tabs>
        <w:spacing w:line="150" w:lineRule="exact" w:before="0"/>
        <w:ind w:left="171" w:right="0" w:firstLine="0"/>
        <w:jc w:val="left"/>
        <w:rPr>
          <w:sz w:val="14"/>
        </w:rPr>
      </w:pPr>
      <w:r>
        <w:rPr>
          <w:sz w:val="14"/>
        </w:rPr>
        <w:t>Output prices (excluding duties)    0.7   </w:t>
      </w:r>
      <w:r>
        <w:rPr>
          <w:spacing w:val="14"/>
          <w:sz w:val="14"/>
        </w:rPr>
        <w:t> </w:t>
      </w:r>
      <w:r>
        <w:rPr>
          <w:sz w:val="14"/>
        </w:rPr>
        <w:t>0.9   </w:t>
      </w:r>
      <w:r>
        <w:rPr>
          <w:spacing w:val="31"/>
          <w:sz w:val="14"/>
        </w:rPr>
        <w:t> </w:t>
      </w:r>
      <w:r>
        <w:rPr>
          <w:sz w:val="14"/>
        </w:rPr>
        <w:t>1.2</w:t>
        <w:tab/>
        <w:t>1.6   </w:t>
      </w:r>
      <w:r>
        <w:rPr>
          <w:spacing w:val="17"/>
          <w:sz w:val="14"/>
        </w:rPr>
        <w:t> </w:t>
      </w:r>
      <w:r>
        <w:rPr>
          <w:sz w:val="14"/>
        </w:rPr>
        <w:t>1.7</w:t>
        <w:tab/>
        <w:t>1.7</w:t>
      </w:r>
    </w:p>
    <w:p>
      <w:pPr>
        <w:spacing w:before="118"/>
        <w:ind w:left="171" w:right="0" w:firstLine="0"/>
        <w:jc w:val="left"/>
        <w:rPr>
          <w:sz w:val="12"/>
        </w:rPr>
      </w:pPr>
      <w:r>
        <w:rPr>
          <w:sz w:val="12"/>
        </w:rPr>
        <w:t>Sources: ONS and Bank of England.</w:t>
      </w:r>
    </w:p>
    <w:p>
      <w:pPr>
        <w:pStyle w:val="BodyText"/>
        <w:spacing w:before="1"/>
        <w:rPr>
          <w:sz w:val="10"/>
        </w:rPr>
      </w:pPr>
    </w:p>
    <w:p>
      <w:pPr>
        <w:pStyle w:val="ListParagraph"/>
        <w:numPr>
          <w:ilvl w:val="0"/>
          <w:numId w:val="31"/>
        </w:numPr>
        <w:tabs>
          <w:tab w:pos="412" w:val="left" w:leader="none"/>
        </w:tabs>
        <w:spacing w:line="208" w:lineRule="auto" w:before="1" w:after="0"/>
        <w:ind w:left="411" w:right="99" w:hanging="240"/>
        <w:jc w:val="left"/>
        <w:rPr>
          <w:sz w:val="12"/>
        </w:rPr>
      </w:pPr>
      <w:r>
        <w:rPr>
          <w:sz w:val="12"/>
        </w:rPr>
        <w:t>Percentages shown in brackets reflect weights of components, derived from 1989 input-output tables for the United Kingdom.</w:t>
      </w:r>
    </w:p>
    <w:p>
      <w:pPr>
        <w:pStyle w:val="ListParagraph"/>
        <w:numPr>
          <w:ilvl w:val="0"/>
          <w:numId w:val="31"/>
        </w:numPr>
        <w:tabs>
          <w:tab w:pos="412" w:val="left" w:leader="none"/>
        </w:tabs>
        <w:spacing w:line="123" w:lineRule="exact" w:before="0" w:after="0"/>
        <w:ind w:left="411" w:right="0" w:hanging="241"/>
        <w:jc w:val="left"/>
        <w:rPr>
          <w:sz w:val="12"/>
        </w:rPr>
      </w:pPr>
      <w:r>
        <w:rPr>
          <w:sz w:val="12"/>
        </w:rPr>
        <w:t>Includes imports of semi-finished</w:t>
      </w:r>
      <w:r>
        <w:rPr>
          <w:spacing w:val="-6"/>
          <w:sz w:val="12"/>
        </w:rPr>
        <w:t> </w:t>
      </w:r>
      <w:r>
        <w:rPr>
          <w:sz w:val="12"/>
        </w:rPr>
        <w:t>goods.</w:t>
      </w:r>
    </w:p>
    <w:p>
      <w:pPr>
        <w:pStyle w:val="BodyText"/>
        <w:rPr>
          <w:sz w:val="12"/>
        </w:rPr>
      </w:pPr>
    </w:p>
    <w:p>
      <w:pPr>
        <w:pStyle w:val="BodyText"/>
        <w:rPr>
          <w:sz w:val="12"/>
        </w:rPr>
      </w:pPr>
    </w:p>
    <w:p>
      <w:pPr>
        <w:pStyle w:val="BodyText"/>
        <w:rPr>
          <w:sz w:val="12"/>
        </w:rPr>
      </w:pPr>
    </w:p>
    <w:p>
      <w:pPr>
        <w:pStyle w:val="BodyText"/>
        <w:spacing w:before="2"/>
        <w:rPr>
          <w:sz w:val="16"/>
        </w:rPr>
      </w:pPr>
    </w:p>
    <w:p>
      <w:pPr>
        <w:spacing w:before="1"/>
        <w:ind w:left="172" w:right="0" w:firstLine="0"/>
        <w:jc w:val="left"/>
        <w:rPr>
          <w:b/>
          <w:sz w:val="20"/>
        </w:rPr>
      </w:pPr>
      <w:r>
        <w:rPr>
          <w:b/>
          <w:color w:val="0092C7"/>
          <w:sz w:val="20"/>
        </w:rPr>
        <w:t>Chart 4.7</w:t>
      </w:r>
    </w:p>
    <w:p>
      <w:pPr>
        <w:spacing w:line="249" w:lineRule="auto" w:before="10"/>
        <w:ind w:left="172" w:right="408" w:firstLine="0"/>
        <w:jc w:val="left"/>
        <w:rPr>
          <w:b/>
          <w:sz w:val="20"/>
        </w:rPr>
      </w:pPr>
      <w:r>
        <w:rPr>
          <w:b/>
          <w:color w:val="0092C7"/>
          <w:sz w:val="20"/>
        </w:rPr>
        <w:t>Manufacturing output price inflation and CBI average price expectations</w:t>
      </w:r>
    </w:p>
    <w:p>
      <w:pPr>
        <w:spacing w:line="242" w:lineRule="auto" w:before="217"/>
        <w:ind w:left="171" w:right="215" w:firstLine="0"/>
        <w:jc w:val="left"/>
        <w:rPr>
          <w:sz w:val="24"/>
        </w:rPr>
      </w:pPr>
      <w:r>
        <w:rPr/>
        <w:br w:type="column"/>
      </w:r>
      <w:r>
        <w:rPr>
          <w:sz w:val="24"/>
        </w:rPr>
        <w:t>Manufacturers have in general been unable to pass on this increase in costs to domestic output prices: excluding excise duties the annual rate of output price inflation has remained below 2%. Moreover, the CBI monthly industrial trends survey shows an increase in the balance of firms who expect to reduce their domestic output prices over the next four months (see Chart 4.7). That is likely to reflect competition from the declining sterling price of imported manufactured goods. For manufacturers as a whole, moderate output price inflation but increasing cost pressures suggest that domestic margins have continued to decline.</w:t>
      </w:r>
    </w:p>
    <w:p>
      <w:pPr>
        <w:pStyle w:val="BodyText"/>
        <w:spacing w:before="4"/>
        <w:rPr>
          <w:sz w:val="29"/>
        </w:rPr>
      </w:pPr>
    </w:p>
    <w:p>
      <w:pPr>
        <w:pStyle w:val="Heading3"/>
        <w:numPr>
          <w:ilvl w:val="1"/>
          <w:numId w:val="30"/>
        </w:numPr>
        <w:tabs>
          <w:tab w:pos="1069" w:val="left" w:leader="none"/>
          <w:tab w:pos="1070" w:val="left" w:leader="none"/>
        </w:tabs>
        <w:spacing w:line="240" w:lineRule="auto" w:before="0" w:after="0"/>
        <w:ind w:left="1069" w:right="0" w:hanging="899"/>
        <w:jc w:val="left"/>
        <w:rPr>
          <w:color w:val="009391"/>
        </w:rPr>
      </w:pPr>
      <w:r>
        <w:rPr>
          <w:color w:val="009391"/>
          <w:u w:val="thick" w:color="0092C7"/>
        </w:rPr>
        <w:t>Costs and prices in the service</w:t>
      </w:r>
      <w:r>
        <w:rPr>
          <w:color w:val="009391"/>
          <w:spacing w:val="-20"/>
          <w:u w:val="thick" w:color="0092C7"/>
        </w:rPr>
        <w:t> </w:t>
      </w:r>
      <w:r>
        <w:rPr>
          <w:color w:val="009391"/>
          <w:u w:val="thick" w:color="0092C7"/>
        </w:rPr>
        <w:t>sector</w:t>
      </w:r>
      <w:r>
        <w:rPr>
          <w:color w:val="009391"/>
          <w:spacing w:val="-11"/>
          <w:u w:val="thick" w:color="0092C7"/>
        </w:rPr>
        <w:t> </w:t>
      </w:r>
    </w:p>
    <w:p>
      <w:pPr>
        <w:pStyle w:val="BodyText"/>
        <w:rPr>
          <w:b/>
          <w:sz w:val="24"/>
        </w:rPr>
      </w:pPr>
    </w:p>
    <w:p>
      <w:pPr>
        <w:spacing w:line="164" w:lineRule="exact" w:before="0"/>
        <w:ind w:left="171" w:right="0" w:firstLine="0"/>
        <w:jc w:val="left"/>
        <w:rPr>
          <w:sz w:val="24"/>
        </w:rPr>
      </w:pPr>
      <w:r>
        <w:rPr>
          <w:sz w:val="24"/>
        </w:rPr>
        <w:t>Unit wage costs in the service sector are estimated to</w:t>
      </w:r>
    </w:p>
    <w:p>
      <w:pPr>
        <w:spacing w:after="0" w:line="164" w:lineRule="exact"/>
        <w:jc w:val="left"/>
        <w:rPr>
          <w:sz w:val="24"/>
        </w:rPr>
        <w:sectPr>
          <w:type w:val="continuous"/>
          <w:pgSz w:w="11900" w:h="16840"/>
          <w:pgMar w:top="1220" w:bottom="280" w:left="640" w:right="620"/>
          <w:cols w:num="2" w:equalWidth="0">
            <w:col w:w="4145" w:space="663"/>
            <w:col w:w="5832"/>
          </w:cols>
        </w:sectPr>
      </w:pPr>
    </w:p>
    <w:p>
      <w:pPr>
        <w:spacing w:line="115" w:lineRule="exact" w:before="0"/>
        <w:ind w:left="320" w:right="0" w:firstLine="0"/>
        <w:jc w:val="left"/>
        <w:rPr>
          <w:sz w:val="12"/>
        </w:rPr>
      </w:pPr>
      <w:r>
        <w:rPr>
          <w:sz w:val="12"/>
        </w:rPr>
        <w:t>Percentage balance</w:t>
      </w:r>
    </w:p>
    <w:p>
      <w:pPr>
        <w:spacing w:line="120" w:lineRule="exact" w:before="0"/>
        <w:ind w:left="157" w:right="0" w:firstLine="0"/>
        <w:jc w:val="left"/>
        <w:rPr>
          <w:sz w:val="12"/>
        </w:rPr>
      </w:pPr>
      <w:r>
        <w:rPr/>
        <w:pict>
          <v:line style="position:absolute;mso-position-horizontal-relative:page;mso-position-vertical-relative:paragraph;z-index:16251392" from="48.035999pt,2.932368pt" to="52.369999pt,2.932368pt" stroked="true" strokeweight=".5pt" strokecolor="#000000">
            <v:stroke dashstyle="solid"/>
            <w10:wrap type="none"/>
          </v:line>
        </w:pict>
      </w:r>
      <w:r>
        <w:rPr>
          <w:sz w:val="12"/>
        </w:rPr>
        <w:t>40</w:t>
      </w:r>
    </w:p>
    <w:p>
      <w:pPr>
        <w:pStyle w:val="BodyText"/>
        <w:rPr>
          <w:sz w:val="12"/>
        </w:rPr>
      </w:pPr>
    </w:p>
    <w:p>
      <w:pPr>
        <w:spacing w:before="80"/>
        <w:ind w:left="157" w:right="0" w:firstLine="0"/>
        <w:jc w:val="left"/>
        <w:rPr>
          <w:sz w:val="12"/>
        </w:rPr>
      </w:pPr>
      <w:r>
        <w:rPr/>
        <w:pict>
          <v:group style="position:absolute;margin-left:45.039272pt;margin-top:1.647941pt;width:167.45pt;height:113.5pt;mso-position-horizontal-relative:page;mso-position-vertical-relative:paragraph;z-index:16250368" coordorigin="901,33" coordsize="3349,2270">
            <v:line style="position:absolute" from="1113,1227" to="4006,1227" stroked="true" strokeweight=".5pt" strokecolor="#373737">
              <v:stroke dashstyle="solid"/>
            </v:line>
            <v:shape style="position:absolute;left:1127;top:785;width:340;height:828" coordorigin="1128,785" coordsize="340,828" path="m1128,1255l1160,1075m1160,1075l1183,1078m1183,1075l1218,965m1218,965l1240,785m1240,785l1263,1228m1263,1228l1298,1145m1298,1145l1320,1118m1320,1118l1355,1185m1355,1185l1378,1365m1378,1365l1413,1295m1413,1295l1435,1433m1435,1433l1468,1613e" filled="false" stroked="true" strokeweight="1pt" strokecolor="#0099d9">
              <v:path arrowok="t"/>
              <v:stroke dashstyle="solid"/>
            </v:shape>
            <v:line style="position:absolute" from="1479,1313" to="1479,1623" stroked="true" strokeweight="2.125pt" strokecolor="#0099d9">
              <v:stroke dashstyle="solid"/>
            </v:line>
            <v:shape style="position:absolute;left:1490;top:785;width:365;height:538" coordorigin="1490,785" coordsize="365,538" path="m1490,1323l1515,1255m1515,1255l1548,965m1548,965l1570,828m1570,828l1605,785m1605,785l1628,938m1628,938l1663,868m1663,868l1685,965m1685,965l1720,1118m1720,1118l1743,1185m1743,1185l1765,1323m1765,1323l1798,1255m1798,1255l1823,1258m1823,1255l1855,1048e" filled="false" stroked="true" strokeweight="1pt" strokecolor="#0099d9">
              <v:path arrowok="t"/>
              <v:stroke dashstyle="solid"/>
            </v:shape>
            <v:line style="position:absolute" from="1866,1038" to="1866,1265" stroked="true" strokeweight="2.125pt" strokecolor="#0099d9">
              <v:stroke dashstyle="solid"/>
            </v:line>
            <v:line style="position:absolute" from="1895,775" to="1895,1265" stroked="true" strokeweight="2.75pt" strokecolor="#0099d9">
              <v:stroke dashstyle="solid"/>
            </v:line>
            <v:line style="position:absolute" from="1924,775" to="1924,1128" stroked="true" strokeweight="2.125pt" strokecolor="#0099d9">
              <v:stroke dashstyle="solid"/>
            </v:line>
            <v:shape style="position:absolute;left:1935;top:440;width:273;height:815" coordorigin="1935,440" coordsize="273,815" path="m1935,1118l1958,1120m1958,1118l1993,1255m1993,1255l2015,1075m2015,1075l2050,785m2050,785l2073,788m2073,785l2105,690m2105,690l2130,693m2130,690l2163,510m2163,510l2185,440m2185,440l2208,443e" filled="false" stroked="true" strokeweight="1pt" strokecolor="#0099d9">
              <v:path arrowok="t"/>
              <v:stroke dashstyle="solid"/>
            </v:shape>
            <v:line style="position:absolute" from="2225,33" to="2225,450" stroked="true" strokeweight="2.75pt" strokecolor="#0099d9">
              <v:stroke dashstyle="solid"/>
            </v:line>
            <v:shape style="position:absolute;left:2242;top:42;width:58;height:220" coordorigin="2243,43" coordsize="58,220" path="m2243,43l2265,110m2265,110l2300,263e" filled="false" stroked="true" strokeweight="1pt" strokecolor="#0099d9">
              <v:path arrowok="t"/>
              <v:stroke dashstyle="solid"/>
            </v:shape>
            <v:line style="position:absolute" from="2311,253" to="2311,590" stroked="true" strokeweight="2.125pt" strokecolor="#0099d9">
              <v:stroke dashstyle="solid"/>
            </v:line>
            <v:shape style="position:absolute;left:2322;top:537;width:58;height:43" coordorigin="2323,538" coordsize="58,43" path="m2323,580l2358,538m2358,538l2380,580e" filled="false" stroked="true" strokeweight="1pt" strokecolor="#0099d9">
              <v:path arrowok="t"/>
              <v:stroke dashstyle="solid"/>
            </v:shape>
            <v:line style="position:absolute" from="2370,582" to="2423,582" stroked="true" strokeweight="1.125pt" strokecolor="#0099d9">
              <v:stroke dashstyle="solid"/>
            </v:line>
            <v:line style="position:absolute" from="2413,580" to="2438,758" stroked="true" strokeweight="1pt" strokecolor="#0099d9">
              <v:stroke dashstyle="solid"/>
            </v:line>
            <v:line style="position:absolute" from="2449,748" to="2449,975" stroked="true" strokeweight="2.125pt" strokecolor="#0099d9">
              <v:stroke dashstyle="solid"/>
            </v:line>
            <v:shape style="position:absolute;left:2460;top:690;width:58;height:275" coordorigin="2460,690" coordsize="58,275" path="m2460,965l2493,828m2493,828l2518,690e" filled="false" stroked="true" strokeweight="1pt" strokecolor="#0099d9">
              <v:path arrowok="t"/>
              <v:stroke dashstyle="solid"/>
            </v:shape>
            <v:line style="position:absolute" from="2508,692" to="2560,692" stroked="true" strokeweight="1.125pt" strokecolor="#0099d9">
              <v:stroke dashstyle="solid"/>
            </v:line>
            <v:shape style="position:absolute;left:2550;top:580;width:115;height:288" coordorigin="2550,580" coordsize="115,288" path="m2550,690l2573,580m2573,580l2608,718m2608,718l2630,758m2630,758l2665,868e" filled="false" stroked="true" strokeweight="1pt" strokecolor="#0099d9">
              <v:path arrowok="t"/>
              <v:stroke dashstyle="solid"/>
            </v:shape>
            <v:line style="position:absolute" from="2676,858" to="2676,1085" stroked="true" strokeweight="2.125pt" strokecolor="#0099d9">
              <v:stroke dashstyle="solid"/>
            </v:line>
            <v:shape style="position:absolute;left:2687;top:1007;width:80;height:248" coordorigin="2688,1008" coordsize="80,248" path="m2688,1075l2710,1008m2710,1008l2745,1255m2745,1255l2768,1228e" filled="false" stroked="true" strokeweight="1pt" strokecolor="#0099d9">
              <v:path arrowok="t"/>
              <v:stroke dashstyle="solid"/>
            </v:shape>
            <v:line style="position:absolute" from="2758,1229" to="2810,1229" stroked="true" strokeweight="1.125pt" strokecolor="#0099d9">
              <v:stroke dashstyle="solid"/>
            </v:line>
            <v:line style="position:absolute" from="2813,955" to="2813,1238" stroked="true" strokeweight="2.25pt" strokecolor="#0099d9">
              <v:stroke dashstyle="solid"/>
            </v:line>
            <v:shape style="position:absolute;left:2825;top:647;width:135;height:428" coordorigin="2825,648" coordsize="135,428" path="m2825,965l2858,938m2858,938l2880,785m2880,785l2915,648m2915,648l2938,1075m2938,1075l2960,895e" filled="false" stroked="true" strokeweight="1pt" strokecolor="#0099d9">
              <v:path arrowok="t"/>
              <v:stroke dashstyle="solid"/>
            </v:shape>
            <v:line style="position:absolute" from="2978,885" to="2978,1238" stroked="true" strokeweight="2.75pt" strokecolor="#0099d9">
              <v:stroke dashstyle="solid"/>
            </v:line>
            <v:shape style="position:absolute;left:2995;top:1075;width:80;height:248" coordorigin="2995,1075" coordsize="80,248" path="m2995,1228l3018,1075m3018,1075l3053,1255m3053,1255l3075,1323e" filled="false" stroked="true" strokeweight="1pt" strokecolor="#0099d9">
              <v:path arrowok="t"/>
              <v:stroke dashstyle="solid"/>
            </v:shape>
            <v:line style="position:absolute" from="3065,1324" to="3118,1324" stroked="true" strokeweight="1.125pt" strokecolor="#0099d9">
              <v:stroke dashstyle="solid"/>
            </v:line>
            <v:shape style="position:absolute;left:3107;top:1117;width:253;height:633" coordorigin="3108,1118" coordsize="253,633" path="m3108,1323l3133,1365m3133,1365l3165,1145m3165,1145l3188,1255m3188,1255l3210,1118m3210,1118l3245,1185m3245,1185l3268,1323m3268,1323l3303,1475m3303,1475l3325,1503m3325,1503l3360,1750e" filled="false" stroked="true" strokeweight="1pt" strokecolor="#0099d9">
              <v:path arrowok="t"/>
              <v:stroke dashstyle="solid"/>
            </v:shape>
            <v:shape style="position:absolute;left:3350;top:1740;width:65;height:270" coordorigin="3350,1740" coordsize="65,270" path="m3415,1740l3393,1740,3373,1740,3350,1740,3350,2010,3373,2010,3393,2010,3415,2010,3415,1740xe" filled="true" fillcolor="#0099d9" stroked="false">
              <v:path arrowok="t"/>
              <v:fill type="solid"/>
            </v:shape>
            <v:shape style="position:absolute;left:3405;top:1750;width:285;height:538" coordorigin="3405,1750" coordsize="285,538" path="m3405,1750l3440,1820m3440,1820l3463,1823m3463,1820l3495,1860m3495,1860l3518,2288m3518,2288l3553,2110m3553,2110l3575,1973m3575,1973l3610,2000m3610,2000l3633,1973m3633,1973l3655,1793m3655,1793l3690,1973e" filled="false" stroked="true" strokeweight="1pt" strokecolor="#0099d9">
              <v:path arrowok="t"/>
              <v:stroke dashstyle="solid"/>
            </v:shape>
            <v:line style="position:absolute" from="3701,1740" to="3701,1983" stroked="true" strokeweight="2.125pt" strokecolor="#0099d9">
              <v:stroke dashstyle="solid"/>
            </v:line>
            <v:shape style="position:absolute;left:3712;top:1365;width:193;height:538" coordorigin="3713,1365" coordsize="193,538" path="m3713,1750l3748,1903m3748,1903l3770,1750m3770,1750l3803,1683m3803,1683l3825,1573m3825,1573l3860,1433m3860,1433l3883,1503m3883,1503l3905,1365e" filled="false" stroked="true" strokeweight="1pt" strokecolor="#0099d9">
              <v:path arrowok="t"/>
              <v:stroke dashstyle="solid"/>
            </v:shape>
            <v:line style="position:absolute" from="3895,1367" to="3950,1367" stroked="true" strokeweight="1.125pt" strokecolor="#0099d9">
              <v:stroke dashstyle="solid"/>
            </v:line>
            <v:line style="position:absolute" from="3951,1355" to="3951,1623" stroked="true" strokeweight="2.125pt" strokecolor="#0099d9">
              <v:stroke dashstyle="solid"/>
            </v:line>
            <v:line style="position:absolute" from="3963,1613" to="3998,1683" stroked="true" strokeweight="1pt" strokecolor="#0099d9">
              <v:stroke dashstyle="solid"/>
            </v:line>
            <v:shape style="position:absolute;left:1127;top:717;width:193;height:83" coordorigin="1128,718" coordsize="193,83" path="m1128,773l1160,730m1160,730l1183,718m1183,718l1218,730m1218,730l1240,773m1240,773l1263,730m1263,730l1298,773m1298,773l1320,800e" filled="false" stroked="true" strokeweight="1pt" strokecolor="#f6bd61">
              <v:path arrowok="t"/>
              <v:stroke dashstyle="solid"/>
            </v:shape>
            <v:line style="position:absolute" from="1310,802" to="1365,802" stroked="true" strokeweight="1.125pt" strokecolor="#f6bd61">
              <v:stroke dashstyle="solid"/>
            </v:line>
            <v:shape style="position:absolute;left:1355;top:510;width:215;height:290" coordorigin="1355,510" coordsize="215,290" path="m1355,800l1378,758m1378,758l1413,703m1413,703l1435,663m1435,663l1468,608m1468,608l1490,565m1490,565l1515,525m1515,525l1548,510m1548,510l1570,513e" filled="false" stroked="true" strokeweight="1pt" strokecolor="#f6bd61">
              <v:path arrowok="t"/>
              <v:stroke dashstyle="solid"/>
            </v:shape>
            <v:line style="position:absolute" from="1560,512" to="1615,512" stroked="true" strokeweight="1.125pt" strokecolor="#f6bd61">
              <v:stroke dashstyle="solid"/>
            </v:line>
            <v:shape style="position:absolute;left:1605;top:455;width:718;height:440" coordorigin="1605,455" coordsize="718,440" path="m1605,510l1628,470m1628,470l1663,455m1663,455l1685,458m1685,455l1720,538m1720,538l1743,620m1743,620l1765,675m1765,675l1798,718m1798,718l1823,813m1823,813l1855,883m1855,883l1878,885m1878,883l1913,840m1913,840l1935,855m1935,855l1958,895m1958,895l1993,883m1993,883l2015,868m2015,868l2050,840m2050,840l2073,828m2073,828l2105,773m2105,773l2130,620m2130,620l2163,580m2163,580l2208,525m2208,525l2243,538m2243,538l2265,498m2265,498l2300,455m2300,455l2323,470e" filled="false" stroked="true" strokeweight="1pt" strokecolor="#f6bd61">
              <v:path arrowok="t"/>
              <v:stroke dashstyle="solid"/>
            </v:shape>
            <v:line style="position:absolute" from="2313,472" to="2368,472" stroked="true" strokeweight="1.125pt" strokecolor="#f6bd61">
              <v:stroke dashstyle="solid"/>
            </v:line>
            <v:shape style="position:absolute;left:2357;top:470;width:603;height:758" coordorigin="2358,470" coordsize="603,758" path="m2358,470l2380,473m2380,470l2413,510m2413,510l2438,470m2438,470l2460,620m2460,620l2493,648m2493,648l2518,663m2518,663l2550,675m2550,675l2573,730m2573,730l2608,813m2608,813l2630,868m2630,868l2665,895m2665,895l2688,883m2688,883l2710,923m2710,923l2745,895m2745,895l2768,993m2768,993l2800,1048m2800,1048l2825,1118m2825,1118l2858,1185m2858,1185l2880,1228m2880,1228l2915,1200m2915,1200l2938,1203m2938,1200l2960,1203e" filled="false" stroked="true" strokeweight="1pt" strokecolor="#f6bd61">
              <v:path arrowok="t"/>
              <v:stroke dashstyle="solid"/>
            </v:shape>
            <v:line style="position:absolute" from="2950,1202" to="3005,1202" stroked="true" strokeweight="1.125pt" strokecolor="#f6bd61">
              <v:stroke dashstyle="solid"/>
            </v:line>
            <v:line style="position:absolute" from="2995,1200" to="3018,1240" stroked="true" strokeweight="1pt" strokecolor="#f6bd61">
              <v:stroke dashstyle="solid"/>
            </v:line>
            <v:line style="position:absolute" from="3008,1242" to="3063,1242" stroked="true" strokeweight="1.125pt" strokecolor="#f6bd61">
              <v:stroke dashstyle="solid"/>
            </v:line>
            <v:line style="position:absolute" from="3053,1240" to="3075,1255" stroked="true" strokeweight="1pt" strokecolor="#f6bd61">
              <v:stroke dashstyle="solid"/>
            </v:line>
            <v:line style="position:absolute" from="3065,1257" to="3118,1257" stroked="true" strokeweight="1.125pt" strokecolor="#f6bd61">
              <v:stroke dashstyle="solid"/>
            </v:line>
            <v:shape style="position:absolute;left:3107;top:1240;width:468;height:153" coordorigin="3108,1240" coordsize="468,153" path="m3108,1255l3133,1295m3133,1295l3165,1255m3165,1255l3188,1240m3188,1240l3210,1255m3210,1255l3245,1268m3245,1268l3268,1255m3268,1255l3303,1240m3303,1240l3325,1295m3325,1295l3360,1338m3360,1338l3383,1365m3383,1365l3405,1378m3405,1378l3440,1393m3440,1393l3463,1378m3463,1378l3495,1323m3495,1323l3518,1310m3518,1310l3553,1268m3553,1268l3575,1270e" filled="false" stroked="true" strokeweight="1pt" strokecolor="#f6bd61">
              <v:path arrowok="t"/>
              <v:stroke dashstyle="solid"/>
            </v:shape>
            <v:line style="position:absolute" from="3565,1269" to="3620,1269" stroked="true" strokeweight="1.125pt" strokecolor="#f6bd61">
              <v:stroke dashstyle="solid"/>
            </v:line>
            <v:shape style="position:absolute;left:3610;top:910;width:250;height:358" coordorigin="3610,910" coordsize="250,358" path="m3610,1268l3633,1240m3633,1240l3655,1173m3655,1173l3690,1103m3690,1103l3713,1063m3713,1063l3748,1008m3748,1008l3770,938m3770,938l3803,923m3803,923l3825,925m3825,923l3860,910e" filled="false" stroked="true" strokeweight="1pt" strokecolor="#f6bd61">
              <v:path arrowok="t"/>
              <v:stroke dashstyle="solid"/>
            </v:shape>
            <v:shape style="position:absolute;left:960;top:156;width:3203;height:2142" coordorigin="961,157" coordsize="3203,2142" path="m961,157l1047,157m961,871l1047,871m961,1584l1047,1584m961,1941l1047,1941m961,2298l1047,2298m4077,157l4163,157m4077,513l4163,513m4077,870l4163,870m4077,1584l4163,1584m4077,1940l4163,1940m4077,2297l4163,2297m4077,1227l4163,1227m961,514l1047,514m3386,440l3639,1047e" filled="false" stroked="true" strokeweight=".5pt" strokecolor="#000000">
              <v:path arrowok="t"/>
              <v:stroke dashstyle="solid"/>
            </v:shape>
            <v:shape style="position:absolute;left:3609;top:1021;width:56;height:88" coordorigin="3610,1022" coordsize="56,88" path="m3656,1022l3610,1041,3622,1053,3630,1063,3665,1110,3663,1101,3661,1090,3659,1078,3658,1065,3657,1053,3656,1022xe" filled="true" fillcolor="#000000" stroked="false">
              <v:path arrowok="t"/>
              <v:fill type="solid"/>
            </v:shape>
            <v:line style="position:absolute" from="961,1227" to="1047,1227" stroked="true" strokeweight=".5pt" strokecolor="#000000">
              <v:stroke dashstyle="solid"/>
            </v:line>
            <v:shape style="position:absolute;left:2652;top:181;width:1224;height:254" type="#_x0000_t202" filled="false" stroked="false">
              <v:textbox inset="0,0,0,0">
                <w:txbxContent>
                  <w:p>
                    <w:pPr>
                      <w:spacing w:line="208" w:lineRule="auto" w:before="9"/>
                      <w:ind w:left="60" w:right="18" w:hanging="60"/>
                      <w:jc w:val="left"/>
                      <w:rPr>
                        <w:sz w:val="12"/>
                      </w:rPr>
                    </w:pPr>
                    <w:r>
                      <w:rPr>
                        <w:sz w:val="12"/>
                      </w:rPr>
                      <w:t>Output price inflation (a) (right-hand scale)</w:t>
                    </w:r>
                  </w:p>
                </w:txbxContent>
              </v:textbox>
              <w10:wrap type="none"/>
            </v:shape>
            <v:shape style="position:absolute;left:900;top:941;width:111;height:459" type="#_x0000_t202" filled="false" stroked="false">
              <v:textbox inset="0,0,0,0">
                <w:txbxContent>
                  <w:p>
                    <w:pPr>
                      <w:spacing w:line="177" w:lineRule="exact" w:before="0"/>
                      <w:ind w:left="0" w:right="0" w:firstLine="0"/>
                      <w:jc w:val="left"/>
                      <w:rPr>
                        <w:sz w:val="16"/>
                      </w:rPr>
                    </w:pPr>
                    <w:r>
                      <w:rPr>
                        <w:w w:val="100"/>
                        <w:sz w:val="16"/>
                      </w:rPr>
                      <w:t>+</w:t>
                    </w:r>
                  </w:p>
                  <w:p>
                    <w:pPr>
                      <w:spacing w:before="97"/>
                      <w:ind w:left="8" w:right="0" w:firstLine="0"/>
                      <w:jc w:val="left"/>
                      <w:rPr>
                        <w:sz w:val="16"/>
                      </w:rPr>
                    </w:pPr>
                    <w:r>
                      <w:rPr>
                        <w:sz w:val="16"/>
                      </w:rPr>
                      <w:t>_</w:t>
                    </w:r>
                  </w:p>
                </w:txbxContent>
              </v:textbox>
              <w10:wrap type="none"/>
            </v:shape>
            <v:shape style="position:absolute;left:4139;top:964;width:111;height:459" type="#_x0000_t202" filled="false" stroked="false">
              <v:textbox inset="0,0,0,0">
                <w:txbxContent>
                  <w:p>
                    <w:pPr>
                      <w:spacing w:line="177" w:lineRule="exact" w:before="0"/>
                      <w:ind w:left="0" w:right="0" w:firstLine="0"/>
                      <w:jc w:val="left"/>
                      <w:rPr>
                        <w:sz w:val="16"/>
                      </w:rPr>
                    </w:pPr>
                    <w:r>
                      <w:rPr>
                        <w:w w:val="100"/>
                        <w:sz w:val="16"/>
                      </w:rPr>
                      <w:t>+</w:t>
                    </w:r>
                  </w:p>
                  <w:p>
                    <w:pPr>
                      <w:spacing w:before="97"/>
                      <w:ind w:left="8" w:right="0" w:firstLine="0"/>
                      <w:jc w:val="left"/>
                      <w:rPr>
                        <w:sz w:val="16"/>
                      </w:rPr>
                    </w:pPr>
                    <w:r>
                      <w:rPr>
                        <w:sz w:val="16"/>
                      </w:rPr>
                      <w:t>_</w:t>
                    </w:r>
                  </w:p>
                </w:txbxContent>
              </v:textbox>
              <w10:wrap type="none"/>
            </v:shape>
            <v:shape style="position:absolute;left:1506;top:1559;width:1290;height:254" type="#_x0000_t202" filled="false" stroked="false">
              <v:textbox inset="0,0,0,0">
                <w:txbxContent>
                  <w:p>
                    <w:pPr>
                      <w:spacing w:line="208" w:lineRule="auto" w:before="9"/>
                      <w:ind w:left="60" w:right="18" w:hanging="60"/>
                      <w:jc w:val="left"/>
                      <w:rPr>
                        <w:sz w:val="12"/>
                      </w:rPr>
                    </w:pPr>
                    <w:r>
                      <w:rPr>
                        <w:sz w:val="12"/>
                      </w:rPr>
                      <w:t>CBI price expectations (b) (left-hand scale)</w:t>
                    </w:r>
                  </w:p>
                </w:txbxContent>
              </v:textbox>
              <w10:wrap type="none"/>
            </v:shape>
            <w10:wrap type="none"/>
          </v:group>
        </w:pict>
      </w:r>
      <w:r>
        <w:rPr>
          <w:sz w:val="12"/>
        </w:rPr>
        <w:t>30</w:t>
      </w:r>
    </w:p>
    <w:p>
      <w:pPr>
        <w:pStyle w:val="BodyText"/>
        <w:rPr>
          <w:sz w:val="12"/>
        </w:rPr>
      </w:pPr>
    </w:p>
    <w:p>
      <w:pPr>
        <w:spacing w:before="81"/>
        <w:ind w:left="157" w:right="0" w:firstLine="0"/>
        <w:jc w:val="left"/>
        <w:rPr>
          <w:sz w:val="12"/>
        </w:rPr>
      </w:pPr>
      <w:r>
        <w:rPr>
          <w:sz w:val="12"/>
        </w:rPr>
        <w:t>20</w:t>
      </w:r>
    </w:p>
    <w:p>
      <w:pPr>
        <w:pStyle w:val="BodyText"/>
        <w:rPr>
          <w:sz w:val="12"/>
        </w:rPr>
      </w:pPr>
    </w:p>
    <w:p>
      <w:pPr>
        <w:spacing w:before="80"/>
        <w:ind w:left="157" w:right="0" w:firstLine="0"/>
        <w:jc w:val="left"/>
        <w:rPr>
          <w:sz w:val="12"/>
        </w:rPr>
      </w:pPr>
      <w:r>
        <w:rPr>
          <w:sz w:val="12"/>
        </w:rPr>
        <w:t>10</w:t>
      </w:r>
    </w:p>
    <w:p>
      <w:pPr>
        <w:pStyle w:val="BodyText"/>
        <w:rPr>
          <w:sz w:val="12"/>
        </w:rPr>
      </w:pPr>
    </w:p>
    <w:p>
      <w:pPr>
        <w:spacing w:before="81"/>
        <w:ind w:left="217" w:right="0" w:firstLine="0"/>
        <w:jc w:val="left"/>
        <w:rPr>
          <w:sz w:val="12"/>
        </w:rPr>
      </w:pPr>
      <w:r>
        <w:rPr>
          <w:sz w:val="12"/>
        </w:rPr>
        <w:t>0</w:t>
      </w:r>
    </w:p>
    <w:p>
      <w:pPr>
        <w:pStyle w:val="BodyText"/>
        <w:rPr>
          <w:sz w:val="12"/>
        </w:rPr>
      </w:pPr>
    </w:p>
    <w:p>
      <w:pPr>
        <w:spacing w:before="81"/>
        <w:ind w:left="157" w:right="0" w:firstLine="0"/>
        <w:jc w:val="left"/>
        <w:rPr>
          <w:sz w:val="12"/>
        </w:rPr>
      </w:pPr>
      <w:r>
        <w:rPr>
          <w:sz w:val="12"/>
        </w:rPr>
        <w:t>10</w:t>
      </w:r>
    </w:p>
    <w:p>
      <w:pPr>
        <w:pStyle w:val="BodyText"/>
        <w:rPr>
          <w:sz w:val="12"/>
        </w:rPr>
      </w:pPr>
    </w:p>
    <w:p>
      <w:pPr>
        <w:spacing w:before="80"/>
        <w:ind w:left="157" w:right="0" w:firstLine="0"/>
        <w:jc w:val="left"/>
        <w:rPr>
          <w:sz w:val="12"/>
        </w:rPr>
      </w:pPr>
      <w:r>
        <w:rPr>
          <w:sz w:val="12"/>
        </w:rPr>
        <w:t>20</w:t>
      </w:r>
    </w:p>
    <w:p>
      <w:pPr>
        <w:pStyle w:val="BodyText"/>
        <w:rPr>
          <w:sz w:val="12"/>
        </w:rPr>
      </w:pPr>
    </w:p>
    <w:p>
      <w:pPr>
        <w:spacing w:before="81"/>
        <w:ind w:left="157" w:right="0" w:firstLine="0"/>
        <w:jc w:val="left"/>
        <w:rPr>
          <w:sz w:val="12"/>
        </w:rPr>
      </w:pPr>
      <w:r>
        <w:rPr>
          <w:sz w:val="12"/>
        </w:rPr>
        <w:t>30</w:t>
      </w:r>
    </w:p>
    <w:p>
      <w:pPr>
        <w:spacing w:line="115" w:lineRule="exact" w:before="0"/>
        <w:ind w:left="157" w:right="0" w:firstLine="0"/>
        <w:jc w:val="left"/>
        <w:rPr>
          <w:sz w:val="12"/>
        </w:rPr>
      </w:pPr>
      <w:r>
        <w:rPr/>
        <w:br w:type="column"/>
      </w:r>
      <w:r>
        <w:rPr>
          <w:sz w:val="12"/>
        </w:rPr>
        <w:t>Percentage change on a year earlier</w:t>
      </w:r>
    </w:p>
    <w:p>
      <w:pPr>
        <w:spacing w:line="120" w:lineRule="exact" w:before="0"/>
        <w:ind w:left="1914" w:right="0" w:firstLine="0"/>
        <w:jc w:val="left"/>
        <w:rPr>
          <w:sz w:val="12"/>
        </w:rPr>
      </w:pPr>
      <w:r>
        <w:rPr/>
        <w:pict>
          <v:line style="position:absolute;mso-position-horizontal-relative:page;mso-position-vertical-relative:paragraph;z-index:16251904" from="203.837997pt,2.904262pt" to="208.171997pt,2.904262pt" stroked="true" strokeweight=".5pt" strokecolor="#000000">
            <v:stroke dashstyle="solid"/>
            <w10:wrap type="none"/>
          </v:line>
        </w:pict>
      </w:r>
      <w:r>
        <w:rPr>
          <w:sz w:val="12"/>
        </w:rPr>
        <w:t>8</w:t>
      </w:r>
    </w:p>
    <w:p>
      <w:pPr>
        <w:pStyle w:val="BodyText"/>
        <w:rPr>
          <w:sz w:val="12"/>
        </w:rPr>
      </w:pPr>
    </w:p>
    <w:p>
      <w:pPr>
        <w:spacing w:before="80"/>
        <w:ind w:left="0" w:right="38" w:firstLine="0"/>
        <w:jc w:val="right"/>
        <w:rPr>
          <w:sz w:val="12"/>
        </w:rPr>
      </w:pPr>
      <w:r>
        <w:rPr>
          <w:sz w:val="12"/>
        </w:rPr>
        <w:t>6</w:t>
      </w:r>
    </w:p>
    <w:p>
      <w:pPr>
        <w:pStyle w:val="BodyText"/>
        <w:rPr>
          <w:sz w:val="12"/>
        </w:rPr>
      </w:pPr>
    </w:p>
    <w:p>
      <w:pPr>
        <w:spacing w:before="81"/>
        <w:ind w:left="0" w:right="38" w:firstLine="0"/>
        <w:jc w:val="right"/>
        <w:rPr>
          <w:sz w:val="12"/>
        </w:rPr>
      </w:pPr>
      <w:r>
        <w:rPr>
          <w:sz w:val="12"/>
        </w:rPr>
        <w:t>4</w:t>
      </w:r>
    </w:p>
    <w:p>
      <w:pPr>
        <w:pStyle w:val="BodyText"/>
        <w:rPr>
          <w:sz w:val="12"/>
        </w:rPr>
      </w:pPr>
    </w:p>
    <w:p>
      <w:pPr>
        <w:spacing w:before="80"/>
        <w:ind w:left="0" w:right="38" w:firstLine="0"/>
        <w:jc w:val="right"/>
        <w:rPr>
          <w:sz w:val="12"/>
        </w:rPr>
      </w:pPr>
      <w:r>
        <w:rPr>
          <w:sz w:val="12"/>
        </w:rPr>
        <w:t>2</w:t>
      </w:r>
    </w:p>
    <w:p>
      <w:pPr>
        <w:pStyle w:val="BodyText"/>
        <w:rPr>
          <w:sz w:val="12"/>
        </w:rPr>
      </w:pPr>
    </w:p>
    <w:p>
      <w:pPr>
        <w:spacing w:before="81"/>
        <w:ind w:left="0" w:right="38" w:firstLine="0"/>
        <w:jc w:val="right"/>
        <w:rPr>
          <w:sz w:val="12"/>
        </w:rPr>
      </w:pPr>
      <w:r>
        <w:rPr>
          <w:sz w:val="12"/>
        </w:rPr>
        <w:t>0</w:t>
      </w:r>
    </w:p>
    <w:p>
      <w:pPr>
        <w:pStyle w:val="BodyText"/>
        <w:rPr>
          <w:sz w:val="12"/>
        </w:rPr>
      </w:pPr>
    </w:p>
    <w:p>
      <w:pPr>
        <w:spacing w:before="81"/>
        <w:ind w:left="0" w:right="38" w:firstLine="0"/>
        <w:jc w:val="right"/>
        <w:rPr>
          <w:sz w:val="12"/>
        </w:rPr>
      </w:pPr>
      <w:r>
        <w:rPr>
          <w:sz w:val="12"/>
        </w:rPr>
        <w:t>2</w:t>
      </w:r>
    </w:p>
    <w:p>
      <w:pPr>
        <w:pStyle w:val="BodyText"/>
        <w:rPr>
          <w:sz w:val="12"/>
        </w:rPr>
      </w:pPr>
    </w:p>
    <w:p>
      <w:pPr>
        <w:spacing w:before="80"/>
        <w:ind w:left="0" w:right="38" w:firstLine="0"/>
        <w:jc w:val="right"/>
        <w:rPr>
          <w:sz w:val="12"/>
        </w:rPr>
      </w:pPr>
      <w:r>
        <w:rPr>
          <w:sz w:val="12"/>
        </w:rPr>
        <w:t>4</w:t>
      </w:r>
    </w:p>
    <w:p>
      <w:pPr>
        <w:pStyle w:val="BodyText"/>
        <w:rPr>
          <w:sz w:val="12"/>
        </w:rPr>
      </w:pPr>
    </w:p>
    <w:p>
      <w:pPr>
        <w:spacing w:before="81"/>
        <w:ind w:left="0" w:right="38" w:firstLine="0"/>
        <w:jc w:val="right"/>
        <w:rPr>
          <w:sz w:val="12"/>
        </w:rPr>
      </w:pPr>
      <w:r>
        <w:rPr>
          <w:sz w:val="12"/>
        </w:rPr>
        <w:t>6</w:t>
      </w:r>
    </w:p>
    <w:p>
      <w:pPr>
        <w:pStyle w:val="Heading6"/>
        <w:spacing w:line="242" w:lineRule="auto" w:before="116"/>
        <w:ind w:left="157" w:right="200"/>
      </w:pPr>
      <w:r>
        <w:rPr/>
        <w:br w:type="column"/>
      </w:r>
      <w:r>
        <w:rPr>
          <w:spacing w:val="-3"/>
        </w:rPr>
        <w:t>have </w:t>
      </w:r>
      <w:r>
        <w:rPr/>
        <w:t>risen by nearly 4% in the year to 1999 Q4, well above rates of increase in the manufacturing sector. The rate of increase slowed during 1999, as productivity growth picked up, but earnings growth rose sharply around the turn of the </w:t>
      </w:r>
      <w:r>
        <w:rPr>
          <w:spacing w:val="-4"/>
        </w:rPr>
        <w:t>year. </w:t>
      </w:r>
      <w:r>
        <w:rPr/>
        <w:t>And the CIPS survey has indicated an increase in service sector input cost pressures in 2000 Q1 (see </w:t>
      </w:r>
      <w:r>
        <w:rPr>
          <w:spacing w:val="-5"/>
        </w:rPr>
        <w:t>Table </w:t>
      </w:r>
      <w:r>
        <w:rPr/>
        <w:t>4.C), with rising staff costs cited as a reason. While firms continued to mention strong competition as a factor limiting</w:t>
      </w:r>
      <w:r>
        <w:rPr>
          <w:spacing w:val="-18"/>
        </w:rPr>
        <w:t> </w:t>
      </w:r>
      <w:r>
        <w:rPr/>
        <w:t>increases in prices charged, the survey indicated that</w:t>
      </w:r>
      <w:r>
        <w:rPr>
          <w:spacing w:val="-7"/>
        </w:rPr>
        <w:t> </w:t>
      </w:r>
      <w:r>
        <w:rPr/>
        <w:t>upward</w:t>
      </w:r>
    </w:p>
    <w:p>
      <w:pPr>
        <w:spacing w:after="0" w:line="242" w:lineRule="auto"/>
        <w:sectPr>
          <w:type w:val="continuous"/>
          <w:pgSz w:w="11900" w:h="16840"/>
          <w:pgMar w:top="1220" w:bottom="280" w:left="640" w:right="620"/>
          <w:cols w:num="3" w:equalWidth="0">
            <w:col w:w="1284" w:space="379"/>
            <w:col w:w="2015" w:space="1145"/>
            <w:col w:w="5817"/>
          </w:cols>
        </w:sectPr>
      </w:pPr>
    </w:p>
    <w:p>
      <w:pPr>
        <w:tabs>
          <w:tab w:pos="3577" w:val="left" w:leader="none"/>
        </w:tabs>
        <w:spacing w:line="119" w:lineRule="exact" w:before="46"/>
        <w:ind w:left="157" w:right="0" w:firstLine="0"/>
        <w:jc w:val="left"/>
        <w:rPr>
          <w:sz w:val="12"/>
        </w:rPr>
      </w:pPr>
      <w:r>
        <w:rPr/>
        <w:pict>
          <v:shape style="position:absolute;margin-left:48.035999pt;margin-top:.433555pt;width:152.3pt;height:5.8pt;mso-position-horizontal-relative:page;mso-position-vertical-relative:paragraph;z-index:-22360576" coordorigin="961,9" coordsize="3046,116" path="m1112,125l4006,125m1113,9l1113,125m1197,78l1197,125m1281,78l1281,125m1364,78l1364,125m961,124l1047,124m1448,9l1448,125m1532,78l1532,125m1615,78l1615,125m1699,78l1699,125m1783,9l1783,125m1867,78l1867,125m1950,78l1950,125m2034,78l2034,125m2118,9l2118,125m2201,78l2201,125m2285,78l2285,125m2369,78l2369,125m2453,9l2453,125m2536,78l2536,125m2620,78l2620,125m2704,78l2704,125m2787,9l2787,125m2871,78l2871,125m2955,78l2955,125m3038,78l3038,125m3122,9l3122,125m3206,78l3206,125m3290,78l3290,125m3373,78l3373,125m3457,9l3457,125m3541,78l3541,125m3624,78l3624,125m3708,78l3708,125m3792,9l3792,125m3876,78l3876,125m3959,78l3959,125e" filled="false" stroked="true" strokeweight=".5pt" strokecolor="#000000">
            <v:path arrowok="t"/>
            <v:stroke dashstyle="solid"/>
            <w10:wrap type="none"/>
          </v:shape>
        </w:pict>
      </w:r>
      <w:r>
        <w:rPr/>
        <w:pict>
          <v:line style="position:absolute;mso-position-horizontal-relative:page;mso-position-vertical-relative:paragraph;z-index:-22359040" from="203.837997pt,6.193555pt" to="208.171997pt,6.193555pt" stroked="true" strokeweight=".5pt" strokecolor="#000000">
            <v:stroke dashstyle="solid"/>
            <w10:wrap type="none"/>
          </v:line>
        </w:pict>
      </w:r>
      <w:r>
        <w:rPr>
          <w:sz w:val="12"/>
        </w:rPr>
        <w:t>40</w:t>
        <w:tab/>
        <w:t>8</w:t>
      </w:r>
    </w:p>
    <w:p>
      <w:pPr>
        <w:tabs>
          <w:tab w:pos="1257" w:val="left" w:leader="none"/>
          <w:tab w:pos="1595" w:val="left" w:leader="none"/>
          <w:tab w:pos="1932" w:val="left" w:leader="none"/>
          <w:tab w:pos="2270" w:val="left" w:leader="none"/>
          <w:tab w:pos="2608" w:val="left" w:leader="none"/>
          <w:tab w:pos="2945" w:val="left" w:leader="none"/>
        </w:tabs>
        <w:spacing w:line="119" w:lineRule="exact" w:before="0"/>
        <w:ind w:left="524" w:right="0" w:firstLine="0"/>
        <w:jc w:val="left"/>
        <w:rPr>
          <w:sz w:val="12"/>
        </w:rPr>
      </w:pPr>
      <w:r>
        <w:rPr>
          <w:sz w:val="12"/>
        </w:rPr>
        <w:t>1992    </w:t>
      </w:r>
      <w:r>
        <w:rPr>
          <w:spacing w:val="5"/>
          <w:sz w:val="12"/>
        </w:rPr>
        <w:t> </w:t>
      </w:r>
      <w:r>
        <w:rPr>
          <w:sz w:val="12"/>
        </w:rPr>
        <w:t>93</w:t>
        <w:tab/>
        <w:t>94</w:t>
        <w:tab/>
        <w:t>95</w:t>
        <w:tab/>
        <w:t>96</w:t>
        <w:tab/>
        <w:t>97</w:t>
        <w:tab/>
        <w:t>98</w:t>
        <w:tab/>
        <w:t>99</w:t>
      </w:r>
      <w:r>
        <w:rPr>
          <w:spacing w:val="11"/>
          <w:sz w:val="12"/>
        </w:rPr>
        <w:t> </w:t>
      </w:r>
      <w:r>
        <w:rPr>
          <w:sz w:val="12"/>
        </w:rPr>
        <w:t>2000</w:t>
      </w:r>
    </w:p>
    <w:p>
      <w:pPr>
        <w:spacing w:before="101"/>
        <w:ind w:left="172" w:right="0" w:firstLine="0"/>
        <w:jc w:val="left"/>
        <w:rPr>
          <w:sz w:val="12"/>
        </w:rPr>
      </w:pPr>
      <w:r>
        <w:rPr>
          <w:sz w:val="12"/>
        </w:rPr>
        <w:t>Sources: ONS and CBI.</w:t>
      </w:r>
    </w:p>
    <w:p>
      <w:pPr>
        <w:pStyle w:val="ListParagraph"/>
        <w:numPr>
          <w:ilvl w:val="0"/>
          <w:numId w:val="32"/>
        </w:numPr>
        <w:tabs>
          <w:tab w:pos="413" w:val="left" w:leader="none"/>
        </w:tabs>
        <w:spacing w:line="129" w:lineRule="exact" w:before="102" w:after="0"/>
        <w:ind w:left="412" w:right="0" w:hanging="241"/>
        <w:jc w:val="left"/>
        <w:rPr>
          <w:sz w:val="12"/>
        </w:rPr>
      </w:pPr>
      <w:r>
        <w:rPr>
          <w:sz w:val="12"/>
        </w:rPr>
        <w:t>Excluding excise duties.</w:t>
      </w:r>
    </w:p>
    <w:p>
      <w:pPr>
        <w:pStyle w:val="ListParagraph"/>
        <w:numPr>
          <w:ilvl w:val="0"/>
          <w:numId w:val="32"/>
        </w:numPr>
        <w:tabs>
          <w:tab w:pos="413" w:val="left" w:leader="none"/>
        </w:tabs>
        <w:spacing w:line="208" w:lineRule="auto" w:before="6" w:after="0"/>
        <w:ind w:left="412" w:right="702" w:hanging="240"/>
        <w:jc w:val="left"/>
        <w:rPr>
          <w:sz w:val="12"/>
        </w:rPr>
      </w:pPr>
      <w:r>
        <w:rPr>
          <w:sz w:val="12"/>
        </w:rPr>
        <w:t>Balance of manufacturers expecting to increase prices over the following four months minus those expecting to reduce prices, adjusted for seasonal variation. This series has been advanced by four</w:t>
      </w:r>
      <w:r>
        <w:rPr>
          <w:spacing w:val="-6"/>
          <w:sz w:val="12"/>
        </w:rPr>
        <w:t> </w:t>
      </w:r>
      <w:r>
        <w:rPr>
          <w:sz w:val="12"/>
        </w:rPr>
        <w:t>months,</w:t>
      </w:r>
      <w:r>
        <w:rPr>
          <w:spacing w:val="-5"/>
          <w:sz w:val="12"/>
        </w:rPr>
        <w:t> </w:t>
      </w:r>
      <w:r>
        <w:rPr>
          <w:sz w:val="12"/>
        </w:rPr>
        <w:t>as</w:t>
      </w:r>
      <w:r>
        <w:rPr>
          <w:spacing w:val="-5"/>
          <w:sz w:val="12"/>
        </w:rPr>
        <w:t> </w:t>
      </w:r>
      <w:r>
        <w:rPr>
          <w:sz w:val="12"/>
        </w:rPr>
        <w:t>it</w:t>
      </w:r>
      <w:r>
        <w:rPr>
          <w:spacing w:val="-5"/>
          <w:sz w:val="12"/>
        </w:rPr>
        <w:t> </w:t>
      </w:r>
      <w:r>
        <w:rPr>
          <w:sz w:val="12"/>
        </w:rPr>
        <w:t>relates</w:t>
      </w:r>
      <w:r>
        <w:rPr>
          <w:spacing w:val="-5"/>
          <w:sz w:val="12"/>
        </w:rPr>
        <w:t> </w:t>
      </w:r>
      <w:r>
        <w:rPr>
          <w:sz w:val="12"/>
        </w:rPr>
        <w:t>to</w:t>
      </w:r>
      <w:r>
        <w:rPr>
          <w:spacing w:val="-5"/>
          <w:sz w:val="12"/>
        </w:rPr>
        <w:t> </w:t>
      </w:r>
      <w:r>
        <w:rPr>
          <w:sz w:val="12"/>
        </w:rPr>
        <w:t>producers’</w:t>
      </w:r>
      <w:r>
        <w:rPr>
          <w:spacing w:val="-6"/>
          <w:sz w:val="12"/>
        </w:rPr>
        <w:t> </w:t>
      </w:r>
      <w:r>
        <w:rPr>
          <w:sz w:val="12"/>
        </w:rPr>
        <w:t>expectations</w:t>
      </w:r>
      <w:r>
        <w:rPr>
          <w:spacing w:val="-5"/>
          <w:sz w:val="12"/>
        </w:rPr>
        <w:t> </w:t>
      </w:r>
      <w:r>
        <w:rPr>
          <w:sz w:val="12"/>
        </w:rPr>
        <w:t>of</w:t>
      </w:r>
      <w:r>
        <w:rPr>
          <w:spacing w:val="-5"/>
          <w:sz w:val="12"/>
        </w:rPr>
        <w:t> </w:t>
      </w:r>
      <w:r>
        <w:rPr>
          <w:sz w:val="12"/>
        </w:rPr>
        <w:t>future</w:t>
      </w:r>
      <w:r>
        <w:rPr>
          <w:spacing w:val="-5"/>
          <w:sz w:val="12"/>
        </w:rPr>
        <w:t> </w:t>
      </w:r>
      <w:r>
        <w:rPr>
          <w:sz w:val="12"/>
        </w:rPr>
        <w:t>prices.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2"/>
        </w:rPr>
      </w:pPr>
    </w:p>
    <w:p>
      <w:pPr>
        <w:spacing w:before="0"/>
        <w:ind w:left="192" w:right="0" w:firstLine="0"/>
        <w:jc w:val="left"/>
        <w:rPr>
          <w:b/>
          <w:sz w:val="20"/>
        </w:rPr>
      </w:pPr>
      <w:r>
        <w:rPr>
          <w:b/>
          <w:color w:val="0092C7"/>
          <w:sz w:val="20"/>
        </w:rPr>
        <w:t>Table 4.C</w:t>
      </w:r>
    </w:p>
    <w:p>
      <w:pPr>
        <w:spacing w:before="10"/>
        <w:ind w:left="192" w:right="0" w:firstLine="0"/>
        <w:jc w:val="left"/>
        <w:rPr>
          <w:b/>
          <w:sz w:val="20"/>
        </w:rPr>
      </w:pPr>
      <w:r>
        <w:rPr>
          <w:b/>
          <w:color w:val="0092C7"/>
          <w:sz w:val="20"/>
        </w:rPr>
        <w:t>BCC and CIPS surveys of service sector prices</w:t>
      </w:r>
    </w:p>
    <w:p>
      <w:pPr>
        <w:tabs>
          <w:tab w:pos="3867" w:val="left" w:leader="none"/>
        </w:tabs>
        <w:spacing w:before="106"/>
        <w:ind w:left="1966" w:right="0" w:firstLine="0"/>
        <w:jc w:val="left"/>
        <w:rPr>
          <w:sz w:val="14"/>
        </w:rPr>
      </w:pPr>
      <w:r>
        <w:rPr>
          <w:sz w:val="14"/>
          <w:u w:val="single"/>
        </w:rPr>
        <w:t>1999</w:t>
        <w:tab/>
        <w:t> 2000</w:t>
      </w:r>
    </w:p>
    <w:p>
      <w:pPr>
        <w:tabs>
          <w:tab w:pos="2519" w:val="left" w:leader="none"/>
          <w:tab w:pos="3041" w:val="left" w:leader="none"/>
          <w:tab w:pos="3571" w:val="left" w:leader="none"/>
          <w:tab w:pos="4085" w:val="left" w:leader="none"/>
        </w:tabs>
        <w:spacing w:before="19"/>
        <w:ind w:left="1974" w:right="0" w:firstLine="0"/>
        <w:jc w:val="left"/>
        <w:rPr>
          <w:sz w:val="14"/>
        </w:rPr>
      </w:pPr>
      <w:r>
        <w:rPr>
          <w:sz w:val="14"/>
        </w:rPr>
        <w:t>Q1</w:t>
        <w:tab/>
        <w:t>Q2</w:t>
        <w:tab/>
        <w:t>Q3</w:t>
        <w:tab/>
        <w:t>Q4</w:t>
        <w:tab/>
        <w:t>Q1</w:t>
      </w:r>
    </w:p>
    <w:p>
      <w:pPr>
        <w:pStyle w:val="Heading6"/>
        <w:spacing w:line="242" w:lineRule="auto" w:before="12"/>
        <w:ind w:left="157" w:right="196"/>
      </w:pPr>
      <w:r>
        <w:rPr/>
        <w:br w:type="column"/>
      </w:r>
      <w:r>
        <w:rPr/>
        <w:t>pressure on output prices had also risen. The ONS is developing an official producer output price index for services, but at present data are only available for </w:t>
      </w:r>
      <w:r>
        <w:rPr>
          <w:spacing w:val="-3"/>
        </w:rPr>
        <w:t>certain </w:t>
      </w:r>
      <w:r>
        <w:rPr/>
        <w:t>sectors. Consistent with the CIPS </w:t>
      </w:r>
      <w:r>
        <w:rPr>
          <w:spacing w:val="-4"/>
        </w:rPr>
        <w:t>survey, </w:t>
      </w:r>
      <w:r>
        <w:rPr/>
        <w:t>which highlighted an increase in fuel costs, the ONS estimates that output price inflation in the freight road transport sector has increased, to reach 4.0% in 1999 Q4. The picture of service sector output prices rising more quickly is corroborated by the BCC </w:t>
      </w:r>
      <w:r>
        <w:rPr>
          <w:spacing w:val="-4"/>
        </w:rPr>
        <w:t>survey, </w:t>
      </w:r>
      <w:r>
        <w:rPr/>
        <w:t>which has shown a rising prices balance since 1999 Q2.</w:t>
      </w:r>
      <w:r>
        <w:rPr>
          <w:spacing w:val="56"/>
        </w:rPr>
        <w:t> </w:t>
      </w:r>
      <w:r>
        <w:rPr/>
        <w:t>Retail</w:t>
      </w:r>
    </w:p>
    <w:p>
      <w:pPr>
        <w:spacing w:after="0" w:line="242" w:lineRule="auto"/>
        <w:sectPr>
          <w:type w:val="continuous"/>
          <w:pgSz w:w="11900" w:h="16840"/>
          <w:pgMar w:top="1220" w:bottom="280" w:left="640" w:right="620"/>
          <w:cols w:num="2" w:equalWidth="0">
            <w:col w:w="4390" w:space="433"/>
            <w:col w:w="5817"/>
          </w:cols>
        </w:sectPr>
      </w:pPr>
    </w:p>
    <w:p>
      <w:pPr>
        <w:pStyle w:val="BodyText"/>
        <w:spacing w:before="9"/>
        <w:rPr>
          <w:sz w:val="3"/>
        </w:rPr>
      </w:pP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0"/>
        <w:gridCol w:w="285"/>
        <w:gridCol w:w="235"/>
        <w:gridCol w:w="285"/>
        <w:gridCol w:w="248"/>
        <w:gridCol w:w="285"/>
        <w:gridCol w:w="281"/>
        <w:gridCol w:w="286"/>
        <w:gridCol w:w="187"/>
        <w:gridCol w:w="292"/>
        <w:gridCol w:w="6151"/>
      </w:tblGrid>
      <w:tr>
        <w:trPr>
          <w:trHeight w:val="226" w:hRule="atLeast"/>
        </w:trPr>
        <w:tc>
          <w:tcPr>
            <w:tcW w:w="1830" w:type="dxa"/>
          </w:tcPr>
          <w:p>
            <w:pPr>
              <w:pStyle w:val="TableParagraph"/>
              <w:spacing w:line="133" w:lineRule="exact" w:before="72"/>
              <w:ind w:left="50"/>
              <w:rPr>
                <w:sz w:val="12"/>
              </w:rPr>
            </w:pPr>
            <w:r>
              <w:rPr>
                <w:sz w:val="14"/>
              </w:rPr>
              <w:t>BCC prices balance </w:t>
            </w:r>
            <w:r>
              <w:rPr>
                <w:sz w:val="12"/>
              </w:rPr>
              <w:t>(a)</w:t>
            </w:r>
          </w:p>
        </w:tc>
        <w:tc>
          <w:tcPr>
            <w:tcW w:w="285" w:type="dxa"/>
            <w:tcBorders>
              <w:top w:val="single" w:sz="2" w:space="0" w:color="000000"/>
            </w:tcBorders>
          </w:tcPr>
          <w:p>
            <w:pPr>
              <w:pStyle w:val="TableParagraph"/>
              <w:spacing w:line="133" w:lineRule="exact" w:before="72"/>
              <w:ind w:right="22"/>
              <w:jc w:val="right"/>
              <w:rPr>
                <w:sz w:val="14"/>
              </w:rPr>
            </w:pPr>
            <w:r>
              <w:rPr>
                <w:sz w:val="14"/>
              </w:rPr>
              <w:t>17</w:t>
            </w:r>
          </w:p>
        </w:tc>
        <w:tc>
          <w:tcPr>
            <w:tcW w:w="235" w:type="dxa"/>
          </w:tcPr>
          <w:p>
            <w:pPr>
              <w:pStyle w:val="TableParagraph"/>
              <w:spacing w:line="240" w:lineRule="auto"/>
              <w:rPr>
                <w:sz w:val="16"/>
              </w:rPr>
            </w:pPr>
          </w:p>
        </w:tc>
        <w:tc>
          <w:tcPr>
            <w:tcW w:w="285" w:type="dxa"/>
            <w:tcBorders>
              <w:top w:val="single" w:sz="2" w:space="0" w:color="000000"/>
            </w:tcBorders>
          </w:tcPr>
          <w:p>
            <w:pPr>
              <w:pStyle w:val="TableParagraph"/>
              <w:spacing w:line="133" w:lineRule="exact" w:before="72"/>
              <w:jc w:val="right"/>
              <w:rPr>
                <w:sz w:val="14"/>
              </w:rPr>
            </w:pPr>
            <w:r>
              <w:rPr>
                <w:sz w:val="14"/>
              </w:rPr>
              <w:t>11</w:t>
            </w:r>
          </w:p>
        </w:tc>
        <w:tc>
          <w:tcPr>
            <w:tcW w:w="248" w:type="dxa"/>
          </w:tcPr>
          <w:p>
            <w:pPr>
              <w:pStyle w:val="TableParagraph"/>
              <w:spacing w:line="240" w:lineRule="auto"/>
              <w:rPr>
                <w:sz w:val="16"/>
              </w:rPr>
            </w:pPr>
          </w:p>
        </w:tc>
        <w:tc>
          <w:tcPr>
            <w:tcW w:w="285" w:type="dxa"/>
            <w:tcBorders>
              <w:top w:val="single" w:sz="2" w:space="0" w:color="000000"/>
            </w:tcBorders>
          </w:tcPr>
          <w:p>
            <w:pPr>
              <w:pStyle w:val="TableParagraph"/>
              <w:spacing w:line="133" w:lineRule="exact" w:before="72"/>
              <w:ind w:left="137"/>
              <w:jc w:val="center"/>
              <w:rPr>
                <w:sz w:val="14"/>
              </w:rPr>
            </w:pPr>
            <w:r>
              <w:rPr>
                <w:sz w:val="14"/>
              </w:rPr>
              <w:t>22</w:t>
            </w:r>
          </w:p>
        </w:tc>
        <w:tc>
          <w:tcPr>
            <w:tcW w:w="281" w:type="dxa"/>
          </w:tcPr>
          <w:p>
            <w:pPr>
              <w:pStyle w:val="TableParagraph"/>
              <w:spacing w:line="240" w:lineRule="auto"/>
              <w:rPr>
                <w:sz w:val="16"/>
              </w:rPr>
            </w:pPr>
          </w:p>
        </w:tc>
        <w:tc>
          <w:tcPr>
            <w:tcW w:w="286" w:type="dxa"/>
            <w:tcBorders>
              <w:top w:val="single" w:sz="2" w:space="0" w:color="000000"/>
            </w:tcBorders>
          </w:tcPr>
          <w:p>
            <w:pPr>
              <w:pStyle w:val="TableParagraph"/>
              <w:spacing w:line="133" w:lineRule="exact" w:before="72"/>
              <w:ind w:left="-1" w:right="38"/>
              <w:jc w:val="right"/>
              <w:rPr>
                <w:sz w:val="14"/>
              </w:rPr>
            </w:pPr>
            <w:r>
              <w:rPr>
                <w:sz w:val="14"/>
              </w:rPr>
              <w:t>24</w:t>
            </w:r>
          </w:p>
        </w:tc>
        <w:tc>
          <w:tcPr>
            <w:tcW w:w="187" w:type="dxa"/>
          </w:tcPr>
          <w:p>
            <w:pPr>
              <w:pStyle w:val="TableParagraph"/>
              <w:spacing w:line="240" w:lineRule="auto"/>
              <w:rPr>
                <w:sz w:val="16"/>
              </w:rPr>
            </w:pPr>
          </w:p>
        </w:tc>
        <w:tc>
          <w:tcPr>
            <w:tcW w:w="292" w:type="dxa"/>
            <w:tcBorders>
              <w:top w:val="single" w:sz="2" w:space="0" w:color="000000"/>
            </w:tcBorders>
          </w:tcPr>
          <w:p>
            <w:pPr>
              <w:pStyle w:val="TableParagraph"/>
              <w:spacing w:line="133" w:lineRule="exact" w:before="72"/>
              <w:ind w:right="-15"/>
              <w:jc w:val="right"/>
              <w:rPr>
                <w:sz w:val="14"/>
              </w:rPr>
            </w:pPr>
            <w:r>
              <w:rPr>
                <w:sz w:val="14"/>
              </w:rPr>
              <w:t>26</w:t>
            </w:r>
          </w:p>
        </w:tc>
        <w:tc>
          <w:tcPr>
            <w:tcW w:w="6151" w:type="dxa"/>
          </w:tcPr>
          <w:p>
            <w:pPr>
              <w:pStyle w:val="TableParagraph"/>
              <w:spacing w:line="190" w:lineRule="exact"/>
              <w:ind w:left="623"/>
              <w:rPr>
                <w:sz w:val="24"/>
              </w:rPr>
            </w:pPr>
            <w:r>
              <w:rPr>
                <w:sz w:val="24"/>
              </w:rPr>
              <w:t>services prices are discussed below.</w:t>
            </w:r>
          </w:p>
        </w:tc>
      </w:tr>
      <w:tr>
        <w:trPr>
          <w:trHeight w:val="140" w:hRule="atLeast"/>
        </w:trPr>
        <w:tc>
          <w:tcPr>
            <w:tcW w:w="1830" w:type="dxa"/>
          </w:tcPr>
          <w:p>
            <w:pPr>
              <w:pStyle w:val="TableParagraph"/>
              <w:ind w:left="50"/>
              <w:rPr>
                <w:sz w:val="12"/>
              </w:rPr>
            </w:pPr>
            <w:r>
              <w:rPr>
                <w:sz w:val="14"/>
              </w:rPr>
              <w:t>CIPS input price index </w:t>
            </w:r>
            <w:r>
              <w:rPr>
                <w:sz w:val="12"/>
              </w:rPr>
              <w:t>(b)</w:t>
            </w:r>
          </w:p>
        </w:tc>
        <w:tc>
          <w:tcPr>
            <w:tcW w:w="285" w:type="dxa"/>
          </w:tcPr>
          <w:p>
            <w:pPr>
              <w:pStyle w:val="TableParagraph"/>
              <w:ind w:right="22"/>
              <w:jc w:val="right"/>
              <w:rPr>
                <w:sz w:val="14"/>
              </w:rPr>
            </w:pPr>
            <w:r>
              <w:rPr>
                <w:sz w:val="14"/>
              </w:rPr>
              <w:t>54.9</w:t>
            </w:r>
          </w:p>
        </w:tc>
        <w:tc>
          <w:tcPr>
            <w:tcW w:w="235" w:type="dxa"/>
          </w:tcPr>
          <w:p>
            <w:pPr>
              <w:pStyle w:val="TableParagraph"/>
              <w:spacing w:line="240" w:lineRule="auto"/>
              <w:rPr>
                <w:sz w:val="8"/>
              </w:rPr>
            </w:pPr>
          </w:p>
        </w:tc>
        <w:tc>
          <w:tcPr>
            <w:tcW w:w="285" w:type="dxa"/>
          </w:tcPr>
          <w:p>
            <w:pPr>
              <w:pStyle w:val="TableParagraph"/>
              <w:jc w:val="right"/>
              <w:rPr>
                <w:sz w:val="14"/>
              </w:rPr>
            </w:pPr>
            <w:r>
              <w:rPr>
                <w:sz w:val="14"/>
              </w:rPr>
              <w:t>55.5</w:t>
            </w:r>
          </w:p>
        </w:tc>
        <w:tc>
          <w:tcPr>
            <w:tcW w:w="248" w:type="dxa"/>
          </w:tcPr>
          <w:p>
            <w:pPr>
              <w:pStyle w:val="TableParagraph"/>
              <w:spacing w:line="240" w:lineRule="auto"/>
              <w:rPr>
                <w:sz w:val="8"/>
              </w:rPr>
            </w:pPr>
          </w:p>
        </w:tc>
        <w:tc>
          <w:tcPr>
            <w:tcW w:w="285" w:type="dxa"/>
          </w:tcPr>
          <w:p>
            <w:pPr>
              <w:pStyle w:val="TableParagraph"/>
              <w:ind w:left="32"/>
              <w:jc w:val="center"/>
              <w:rPr>
                <w:sz w:val="14"/>
              </w:rPr>
            </w:pPr>
            <w:r>
              <w:rPr>
                <w:sz w:val="14"/>
              </w:rPr>
              <w:t>54.5</w:t>
            </w:r>
          </w:p>
        </w:tc>
        <w:tc>
          <w:tcPr>
            <w:tcW w:w="281" w:type="dxa"/>
          </w:tcPr>
          <w:p>
            <w:pPr>
              <w:pStyle w:val="TableParagraph"/>
              <w:spacing w:line="240" w:lineRule="auto"/>
              <w:rPr>
                <w:sz w:val="8"/>
              </w:rPr>
            </w:pPr>
          </w:p>
        </w:tc>
        <w:tc>
          <w:tcPr>
            <w:tcW w:w="286" w:type="dxa"/>
          </w:tcPr>
          <w:p>
            <w:pPr>
              <w:pStyle w:val="TableParagraph"/>
              <w:ind w:left="-1" w:right="38"/>
              <w:jc w:val="right"/>
              <w:rPr>
                <w:sz w:val="14"/>
              </w:rPr>
            </w:pPr>
            <w:r>
              <w:rPr>
                <w:sz w:val="14"/>
              </w:rPr>
              <w:t>57.9</w:t>
            </w:r>
          </w:p>
        </w:tc>
        <w:tc>
          <w:tcPr>
            <w:tcW w:w="187" w:type="dxa"/>
          </w:tcPr>
          <w:p>
            <w:pPr>
              <w:pStyle w:val="TableParagraph"/>
              <w:spacing w:line="240" w:lineRule="auto"/>
              <w:rPr>
                <w:sz w:val="8"/>
              </w:rPr>
            </w:pPr>
          </w:p>
        </w:tc>
        <w:tc>
          <w:tcPr>
            <w:tcW w:w="292" w:type="dxa"/>
          </w:tcPr>
          <w:p>
            <w:pPr>
              <w:pStyle w:val="TableParagraph"/>
              <w:ind w:right="-15"/>
              <w:jc w:val="right"/>
              <w:rPr>
                <w:sz w:val="14"/>
              </w:rPr>
            </w:pPr>
            <w:r>
              <w:rPr>
                <w:sz w:val="14"/>
              </w:rPr>
              <w:t>58.9</w:t>
            </w:r>
          </w:p>
        </w:tc>
        <w:tc>
          <w:tcPr>
            <w:tcW w:w="6151" w:type="dxa"/>
          </w:tcPr>
          <w:p>
            <w:pPr>
              <w:pStyle w:val="TableParagraph"/>
              <w:spacing w:line="240" w:lineRule="auto"/>
              <w:rPr>
                <w:sz w:val="8"/>
              </w:rPr>
            </w:pPr>
          </w:p>
        </w:tc>
      </w:tr>
      <w:tr>
        <w:trPr>
          <w:trHeight w:val="472" w:hRule="atLeast"/>
        </w:trPr>
        <w:tc>
          <w:tcPr>
            <w:tcW w:w="1830" w:type="dxa"/>
          </w:tcPr>
          <w:p>
            <w:pPr>
              <w:pStyle w:val="TableParagraph"/>
              <w:spacing w:line="148" w:lineRule="exact"/>
              <w:ind w:left="50"/>
              <w:rPr>
                <w:sz w:val="14"/>
              </w:rPr>
            </w:pPr>
            <w:r>
              <w:rPr>
                <w:sz w:val="14"/>
              </w:rPr>
              <w:t>CIPS selling price index</w:t>
            </w:r>
          </w:p>
          <w:p>
            <w:pPr>
              <w:pStyle w:val="TableParagraph"/>
              <w:spacing w:line="240" w:lineRule="auto" w:before="117"/>
              <w:ind w:left="50"/>
              <w:rPr>
                <w:sz w:val="12"/>
              </w:rPr>
            </w:pPr>
            <w:r>
              <w:rPr>
                <w:sz w:val="12"/>
              </w:rPr>
              <w:t>Sources: CIPS and BCC.</w:t>
            </w:r>
          </w:p>
        </w:tc>
        <w:tc>
          <w:tcPr>
            <w:tcW w:w="285" w:type="dxa"/>
          </w:tcPr>
          <w:p>
            <w:pPr>
              <w:pStyle w:val="TableParagraph"/>
              <w:spacing w:line="148" w:lineRule="exact"/>
              <w:ind w:right="22"/>
              <w:jc w:val="right"/>
              <w:rPr>
                <w:sz w:val="14"/>
              </w:rPr>
            </w:pPr>
            <w:r>
              <w:rPr>
                <w:sz w:val="14"/>
              </w:rPr>
              <w:t>49.7</w:t>
            </w:r>
          </w:p>
        </w:tc>
        <w:tc>
          <w:tcPr>
            <w:tcW w:w="235" w:type="dxa"/>
          </w:tcPr>
          <w:p>
            <w:pPr>
              <w:pStyle w:val="TableParagraph"/>
              <w:spacing w:line="240" w:lineRule="auto"/>
              <w:rPr>
                <w:sz w:val="18"/>
              </w:rPr>
            </w:pPr>
          </w:p>
        </w:tc>
        <w:tc>
          <w:tcPr>
            <w:tcW w:w="285" w:type="dxa"/>
          </w:tcPr>
          <w:p>
            <w:pPr>
              <w:pStyle w:val="TableParagraph"/>
              <w:spacing w:line="148" w:lineRule="exact"/>
              <w:jc w:val="right"/>
              <w:rPr>
                <w:sz w:val="14"/>
              </w:rPr>
            </w:pPr>
            <w:r>
              <w:rPr>
                <w:sz w:val="14"/>
              </w:rPr>
              <w:t>50.9</w:t>
            </w:r>
          </w:p>
        </w:tc>
        <w:tc>
          <w:tcPr>
            <w:tcW w:w="248" w:type="dxa"/>
          </w:tcPr>
          <w:p>
            <w:pPr>
              <w:pStyle w:val="TableParagraph"/>
              <w:spacing w:line="240" w:lineRule="auto"/>
              <w:rPr>
                <w:sz w:val="18"/>
              </w:rPr>
            </w:pPr>
          </w:p>
        </w:tc>
        <w:tc>
          <w:tcPr>
            <w:tcW w:w="285" w:type="dxa"/>
          </w:tcPr>
          <w:p>
            <w:pPr>
              <w:pStyle w:val="TableParagraph"/>
              <w:spacing w:line="148" w:lineRule="exact"/>
              <w:ind w:left="32"/>
              <w:jc w:val="center"/>
              <w:rPr>
                <w:sz w:val="14"/>
              </w:rPr>
            </w:pPr>
            <w:r>
              <w:rPr>
                <w:sz w:val="14"/>
              </w:rPr>
              <w:t>49.2</w:t>
            </w:r>
          </w:p>
        </w:tc>
        <w:tc>
          <w:tcPr>
            <w:tcW w:w="281" w:type="dxa"/>
          </w:tcPr>
          <w:p>
            <w:pPr>
              <w:pStyle w:val="TableParagraph"/>
              <w:spacing w:line="240" w:lineRule="auto"/>
              <w:rPr>
                <w:sz w:val="18"/>
              </w:rPr>
            </w:pPr>
          </w:p>
        </w:tc>
        <w:tc>
          <w:tcPr>
            <w:tcW w:w="286" w:type="dxa"/>
          </w:tcPr>
          <w:p>
            <w:pPr>
              <w:pStyle w:val="TableParagraph"/>
              <w:spacing w:line="148" w:lineRule="exact"/>
              <w:ind w:left="-1" w:right="39"/>
              <w:jc w:val="right"/>
              <w:rPr>
                <w:sz w:val="14"/>
              </w:rPr>
            </w:pPr>
            <w:r>
              <w:rPr>
                <w:spacing w:val="-1"/>
                <w:sz w:val="14"/>
              </w:rPr>
              <w:t>52.3</w:t>
            </w:r>
          </w:p>
        </w:tc>
        <w:tc>
          <w:tcPr>
            <w:tcW w:w="187" w:type="dxa"/>
          </w:tcPr>
          <w:p>
            <w:pPr>
              <w:pStyle w:val="TableParagraph"/>
              <w:spacing w:line="240" w:lineRule="auto"/>
              <w:rPr>
                <w:sz w:val="18"/>
              </w:rPr>
            </w:pPr>
          </w:p>
        </w:tc>
        <w:tc>
          <w:tcPr>
            <w:tcW w:w="292" w:type="dxa"/>
          </w:tcPr>
          <w:p>
            <w:pPr>
              <w:pStyle w:val="TableParagraph"/>
              <w:spacing w:line="148" w:lineRule="exact"/>
              <w:ind w:right="-15"/>
              <w:jc w:val="right"/>
              <w:rPr>
                <w:sz w:val="14"/>
              </w:rPr>
            </w:pPr>
            <w:r>
              <w:rPr>
                <w:sz w:val="14"/>
              </w:rPr>
              <w:t>53.3</w:t>
            </w:r>
          </w:p>
        </w:tc>
        <w:tc>
          <w:tcPr>
            <w:tcW w:w="6151" w:type="dxa"/>
          </w:tcPr>
          <w:p>
            <w:pPr>
              <w:pStyle w:val="TableParagraph"/>
              <w:tabs>
                <w:tab w:pos="4403" w:val="left" w:leader="none"/>
              </w:tabs>
              <w:spacing w:line="302" w:lineRule="exact" w:before="150"/>
              <w:ind w:left="623"/>
              <w:rPr>
                <w:b/>
                <w:sz w:val="28"/>
              </w:rPr>
            </w:pPr>
            <w:r>
              <w:rPr>
                <w:b/>
                <w:color w:val="009391"/>
                <w:sz w:val="28"/>
                <w:u w:val="thick" w:color="0092C7"/>
              </w:rPr>
              <w:t>4.5</w:t>
              <w:tab/>
              <w:t>Retail prices</w:t>
            </w:r>
            <w:r>
              <w:rPr>
                <w:b/>
                <w:color w:val="009391"/>
                <w:spacing w:val="-11"/>
                <w:sz w:val="28"/>
                <w:u w:val="thick" w:color="0092C7"/>
              </w:rPr>
              <w:t> </w:t>
            </w:r>
          </w:p>
        </w:tc>
      </w:tr>
    </w:tbl>
    <w:p>
      <w:pPr>
        <w:spacing w:after="0" w:line="302" w:lineRule="exact"/>
        <w:rPr>
          <w:sz w:val="28"/>
        </w:rPr>
        <w:sectPr>
          <w:type w:val="continuous"/>
          <w:pgSz w:w="11900" w:h="16840"/>
          <w:pgMar w:top="1220" w:bottom="280" w:left="640" w:right="620"/>
        </w:sectPr>
      </w:pPr>
    </w:p>
    <w:p>
      <w:pPr>
        <w:pStyle w:val="ListParagraph"/>
        <w:numPr>
          <w:ilvl w:val="0"/>
          <w:numId w:val="33"/>
        </w:numPr>
        <w:tabs>
          <w:tab w:pos="433" w:val="left" w:leader="none"/>
        </w:tabs>
        <w:spacing w:line="208" w:lineRule="auto" w:before="48" w:after="0"/>
        <w:ind w:left="432" w:right="38" w:hanging="240"/>
        <w:jc w:val="left"/>
        <w:rPr>
          <w:sz w:val="12"/>
        </w:rPr>
      </w:pPr>
      <w:r>
        <w:rPr>
          <w:sz w:val="12"/>
        </w:rPr>
        <w:t>Percentage balance of responses to the question: ‘Over the next three months, do you expect the price of your services to increase/remain the</w:t>
      </w:r>
      <w:r>
        <w:rPr>
          <w:spacing w:val="12"/>
          <w:sz w:val="12"/>
        </w:rPr>
        <w:t> </w:t>
      </w:r>
      <w:r>
        <w:rPr>
          <w:spacing w:val="-2"/>
          <w:sz w:val="12"/>
        </w:rPr>
        <w:t>same/decrease’.</w:t>
      </w:r>
    </w:p>
    <w:p>
      <w:pPr>
        <w:pStyle w:val="ListParagraph"/>
        <w:numPr>
          <w:ilvl w:val="0"/>
          <w:numId w:val="33"/>
        </w:numPr>
        <w:tabs>
          <w:tab w:pos="433" w:val="left" w:leader="none"/>
        </w:tabs>
        <w:spacing w:line="208" w:lineRule="auto" w:before="0" w:after="0"/>
        <w:ind w:left="432" w:right="81" w:hanging="240"/>
        <w:jc w:val="left"/>
        <w:rPr>
          <w:sz w:val="12"/>
        </w:rPr>
      </w:pPr>
      <w:r>
        <w:rPr>
          <w:sz w:val="12"/>
        </w:rPr>
        <w:t>A reading above 50 suggests rising prices, a reading below 50 suggests falling prices. The CIPS survey is monthly, and the quarterly values shown are averages over the relevant three months.</w:t>
      </w:r>
    </w:p>
    <w:p>
      <w:pPr>
        <w:pStyle w:val="BodyText"/>
        <w:rPr>
          <w:sz w:val="24"/>
        </w:rPr>
      </w:pPr>
      <w:r>
        <w:rPr/>
        <w:br w:type="column"/>
      </w:r>
      <w:r>
        <w:rPr>
          <w:sz w:val="24"/>
        </w:rPr>
      </w:r>
    </w:p>
    <w:p>
      <w:pPr>
        <w:pStyle w:val="Heading6"/>
        <w:spacing w:line="242" w:lineRule="auto"/>
        <w:ind w:left="192" w:right="203"/>
      </w:pPr>
      <w:r>
        <w:rPr/>
        <w:t>The rate of retail price inflation excluding mortgage interest payments (RPIX) was 2.1% in 2000 Q1, broadly in line with the February </w:t>
      </w:r>
      <w:r>
        <w:rPr>
          <w:i/>
        </w:rPr>
        <w:t>Inflation Report </w:t>
      </w:r>
      <w:r>
        <w:rPr/>
        <w:t>projection. In March, annual RPIX inflation was 2.0%, compared with 2.2% in the previous month (see Chart 4.8).  That decline reflected last </w:t>
      </w:r>
      <w:r>
        <w:rPr>
          <w:spacing w:val="-3"/>
        </w:rPr>
        <w:t>year’s </w:t>
      </w:r>
      <w:r>
        <w:rPr/>
        <w:t>increase in tobacco and petrol duties dropping out of the annual calculation: RPIY inflation, which excludes mortgage interest payments</w:t>
      </w:r>
      <w:r>
        <w:rPr>
          <w:spacing w:val="-6"/>
        </w:rPr>
        <w:t> </w:t>
      </w:r>
      <w:r>
        <w:rPr/>
        <w:t>and</w:t>
      </w:r>
      <w:r>
        <w:rPr>
          <w:spacing w:val="-5"/>
        </w:rPr>
        <w:t> </w:t>
      </w:r>
      <w:r>
        <w:rPr/>
        <w:t>indirect</w:t>
      </w:r>
      <w:r>
        <w:rPr>
          <w:spacing w:val="-5"/>
        </w:rPr>
        <w:t> </w:t>
      </w:r>
      <w:r>
        <w:rPr/>
        <w:t>taxes,</w:t>
      </w:r>
      <w:r>
        <w:rPr>
          <w:spacing w:val="-5"/>
        </w:rPr>
        <w:t> </w:t>
      </w:r>
      <w:r>
        <w:rPr/>
        <w:t>rose</w:t>
      </w:r>
      <w:r>
        <w:rPr>
          <w:spacing w:val="-5"/>
        </w:rPr>
        <w:t> </w:t>
      </w:r>
      <w:r>
        <w:rPr/>
        <w:t>to</w:t>
      </w:r>
      <w:r>
        <w:rPr>
          <w:spacing w:val="-5"/>
        </w:rPr>
        <w:t> </w:t>
      </w:r>
      <w:r>
        <w:rPr/>
        <w:t>2.1%</w:t>
      </w:r>
      <w:r>
        <w:rPr>
          <w:spacing w:val="-5"/>
        </w:rPr>
        <w:t> </w:t>
      </w:r>
      <w:r>
        <w:rPr/>
        <w:t>in</w:t>
      </w:r>
      <w:r>
        <w:rPr>
          <w:spacing w:val="-5"/>
        </w:rPr>
        <w:t> </w:t>
      </w:r>
      <w:r>
        <w:rPr/>
        <w:t>March</w:t>
      </w:r>
      <w:r>
        <w:rPr>
          <w:spacing w:val="-5"/>
        </w:rPr>
        <w:t> </w:t>
      </w:r>
      <w:r>
        <w:rPr/>
        <w:t>from 1.8% in </w:t>
      </w:r>
      <w:r>
        <w:rPr>
          <w:spacing w:val="-3"/>
        </w:rPr>
        <w:t>February. </w:t>
      </w:r>
      <w:r>
        <w:rPr/>
        <w:t>All-items RPI inflation rose to</w:t>
      </w:r>
      <w:r>
        <w:rPr>
          <w:spacing w:val="-21"/>
        </w:rPr>
        <w:t> </w:t>
      </w:r>
      <w:r>
        <w:rPr/>
        <w:t>2.6%</w:t>
      </w:r>
    </w:p>
    <w:p>
      <w:pPr>
        <w:spacing w:after="0" w:line="242" w:lineRule="auto"/>
        <w:sectPr>
          <w:type w:val="continuous"/>
          <w:pgSz w:w="11900" w:h="16840"/>
          <w:pgMar w:top="1220" w:bottom="280" w:left="640" w:right="620"/>
          <w:cols w:num="2" w:equalWidth="0">
            <w:col w:w="4272" w:space="516"/>
            <w:col w:w="5852"/>
          </w:cols>
        </w:sectPr>
      </w:pPr>
    </w:p>
    <w:p>
      <w:pPr>
        <w:pStyle w:val="BodyText"/>
        <w:rPr>
          <w:sz w:val="20"/>
        </w:rPr>
      </w:pPr>
    </w:p>
    <w:p>
      <w:pPr>
        <w:spacing w:after="0"/>
        <w:rPr>
          <w:sz w:val="20"/>
        </w:rPr>
        <w:sectPr>
          <w:headerReference w:type="default" r:id="rId160"/>
          <w:headerReference w:type="even" r:id="rId161"/>
          <w:footerReference w:type="default" r:id="rId162"/>
          <w:footerReference w:type="even" r:id="rId163"/>
          <w:pgSz w:w="11900" w:h="16840"/>
          <w:pgMar w:header="586" w:footer="617" w:top="780" w:bottom="800" w:left="640" w:right="620"/>
          <w:pgNumType w:start="37"/>
        </w:sectPr>
      </w:pPr>
    </w:p>
    <w:p>
      <w:pPr>
        <w:pStyle w:val="BodyText"/>
        <w:spacing w:before="2"/>
        <w:rPr>
          <w:sz w:val="20"/>
        </w:rPr>
      </w:pPr>
    </w:p>
    <w:p>
      <w:pPr>
        <w:spacing w:before="0"/>
        <w:ind w:left="157" w:right="0" w:firstLine="0"/>
        <w:jc w:val="left"/>
        <w:rPr>
          <w:b/>
          <w:sz w:val="20"/>
        </w:rPr>
      </w:pPr>
      <w:r>
        <w:rPr>
          <w:b/>
          <w:color w:val="0092C7"/>
          <w:sz w:val="20"/>
        </w:rPr>
        <w:t>Chart 4.8</w:t>
      </w:r>
    </w:p>
    <w:p>
      <w:pPr>
        <w:spacing w:before="10"/>
        <w:ind w:left="157" w:right="0" w:firstLine="0"/>
        <w:jc w:val="left"/>
        <w:rPr>
          <w:b/>
          <w:sz w:val="20"/>
        </w:rPr>
      </w:pPr>
      <w:r>
        <w:rPr>
          <w:b/>
          <w:color w:val="0092C7"/>
          <w:sz w:val="20"/>
        </w:rPr>
        <w:t>Retail price inflation</w:t>
      </w:r>
    </w:p>
    <w:p>
      <w:pPr>
        <w:spacing w:before="77"/>
        <w:ind w:left="1585" w:right="0" w:firstLine="0"/>
        <w:jc w:val="left"/>
        <w:rPr>
          <w:sz w:val="12"/>
        </w:rPr>
      </w:pPr>
      <w:r>
        <w:rPr/>
        <w:drawing>
          <wp:anchor distT="0" distB="0" distL="0" distR="0" allowOverlap="1" layoutInCell="1" locked="0" behindDoc="0" simplePos="0" relativeHeight="16259584">
            <wp:simplePos x="0" y="0"/>
            <wp:positionH relativeFrom="page">
              <wp:posOffset>496417</wp:posOffset>
            </wp:positionH>
            <wp:positionV relativeFrom="paragraph">
              <wp:posOffset>148867</wp:posOffset>
            </wp:positionV>
            <wp:extent cx="55041" cy="6350"/>
            <wp:effectExtent l="0" t="0" r="0" b="0"/>
            <wp:wrapNone/>
            <wp:docPr id="443" name="image20.png"/>
            <wp:cNvGraphicFramePr>
              <a:graphicFrameLocks noChangeAspect="1"/>
            </wp:cNvGraphicFramePr>
            <a:graphic>
              <a:graphicData uri="http://schemas.openxmlformats.org/drawingml/2006/picture">
                <pic:pic>
                  <pic:nvPicPr>
                    <pic:cNvPr id="444" name="image20.png"/>
                    <pic:cNvPicPr/>
                  </pic:nvPicPr>
                  <pic:blipFill>
                    <a:blip r:embed="rId51"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1" simplePos="0" relativeHeight="480966144">
            <wp:simplePos x="0" y="0"/>
            <wp:positionH relativeFrom="page">
              <wp:posOffset>2469159</wp:posOffset>
            </wp:positionH>
            <wp:positionV relativeFrom="paragraph">
              <wp:posOffset>148867</wp:posOffset>
            </wp:positionV>
            <wp:extent cx="55029" cy="6350"/>
            <wp:effectExtent l="0" t="0" r="0" b="0"/>
            <wp:wrapNone/>
            <wp:docPr id="445" name="image20.png"/>
            <wp:cNvGraphicFramePr>
              <a:graphicFrameLocks noChangeAspect="1"/>
            </wp:cNvGraphicFramePr>
            <a:graphic>
              <a:graphicData uri="http://schemas.openxmlformats.org/drawingml/2006/picture">
                <pic:pic>
                  <pic:nvPicPr>
                    <pic:cNvPr id="446" name="image20.png"/>
                    <pic:cNvPicPr/>
                  </pic:nvPicPr>
                  <pic:blipFill>
                    <a:blip r:embed="rId51" cstate="print"/>
                    <a:stretch>
                      <a:fillRect/>
                    </a:stretch>
                  </pic:blipFill>
                  <pic:spPr>
                    <a:xfrm>
                      <a:off x="0" y="0"/>
                      <a:ext cx="55029" cy="6350"/>
                    </a:xfrm>
                    <a:prstGeom prst="rect">
                      <a:avLst/>
                    </a:prstGeom>
                  </pic:spPr>
                </pic:pic>
              </a:graphicData>
            </a:graphic>
          </wp:anchor>
        </w:drawing>
      </w:r>
      <w:r>
        <w:rPr>
          <w:sz w:val="12"/>
        </w:rPr>
        <w:t>Percentage changes on a year earlier</w:t>
      </w:r>
      <w:r>
        <w:rPr>
          <w:spacing w:val="16"/>
          <w:sz w:val="12"/>
        </w:rPr>
        <w:t> </w:t>
      </w:r>
      <w:r>
        <w:rPr>
          <w:position w:val="-7"/>
          <w:sz w:val="12"/>
        </w:rPr>
        <w:t>4.5</w:t>
      </w:r>
    </w:p>
    <w:p>
      <w:pPr>
        <w:spacing w:before="185"/>
        <w:ind w:left="0" w:right="208" w:firstLine="0"/>
        <w:jc w:val="right"/>
        <w:rPr>
          <w:sz w:val="12"/>
        </w:rPr>
      </w:pPr>
      <w:r>
        <w:rPr/>
        <w:pict>
          <v:group style="position:absolute;margin-left:47.588001pt;margin-top:6.267143pt;width:151.2pt;height:102.7pt;mso-position-horizontal-relative:page;mso-position-vertical-relative:paragraph;z-index:16254464" coordorigin="952,125" coordsize="3024,2054">
            <v:shape style="position:absolute;left:951;top:125;width:3024;height:2054" type="#_x0000_t75" stroked="false">
              <v:imagedata r:id="rId164" o:title=""/>
            </v:shape>
            <v:shape style="position:absolute;left:2626;top:152;width:207;height:133" type="#_x0000_t202" filled="false" stroked="false">
              <v:textbox inset="0,0,0,0">
                <w:txbxContent>
                  <w:p>
                    <w:pPr>
                      <w:spacing w:line="133" w:lineRule="exact" w:before="0"/>
                      <w:ind w:left="0" w:right="0" w:firstLine="0"/>
                      <w:jc w:val="left"/>
                      <w:rPr>
                        <w:sz w:val="12"/>
                      </w:rPr>
                    </w:pPr>
                    <w:r>
                      <w:rPr>
                        <w:sz w:val="12"/>
                      </w:rPr>
                      <w:t>RPI</w:t>
                    </w:r>
                  </w:p>
                </w:txbxContent>
              </v:textbox>
              <w10:wrap type="none"/>
            </v:shape>
            <v:shape style="position:absolute;left:2220;top:792;width:294;height:133" type="#_x0000_t202" filled="false" stroked="false">
              <v:textbox inset="0,0,0,0">
                <w:txbxContent>
                  <w:p>
                    <w:pPr>
                      <w:spacing w:line="133" w:lineRule="exact" w:before="0"/>
                      <w:ind w:left="0" w:right="0" w:firstLine="0"/>
                      <w:jc w:val="left"/>
                      <w:rPr>
                        <w:sz w:val="12"/>
                      </w:rPr>
                    </w:pPr>
                    <w:r>
                      <w:rPr>
                        <w:sz w:val="12"/>
                      </w:rPr>
                      <w:t>RPIX</w:t>
                    </w:r>
                  </w:p>
                </w:txbxContent>
              </v:textbox>
              <w10:wrap type="none"/>
            </v:shape>
            <v:shape style="position:absolute;left:2530;top:1580;width:294;height:133" type="#_x0000_t202" filled="false" stroked="false">
              <v:textbox inset="0,0,0,0">
                <w:txbxContent>
                  <w:p>
                    <w:pPr>
                      <w:spacing w:line="133" w:lineRule="exact" w:before="0"/>
                      <w:ind w:left="0" w:right="0" w:firstLine="0"/>
                      <w:jc w:val="left"/>
                      <w:rPr>
                        <w:sz w:val="12"/>
                      </w:rPr>
                    </w:pPr>
                    <w:r>
                      <w:rPr>
                        <w:sz w:val="12"/>
                      </w:rPr>
                      <w:t>RPIY</w:t>
                    </w:r>
                  </w:p>
                </w:txbxContent>
              </v:textbox>
              <w10:wrap type="none"/>
            </v:shape>
            <w10:wrap type="none"/>
          </v:group>
        </w:pict>
      </w:r>
      <w:r>
        <w:rPr/>
        <w:drawing>
          <wp:anchor distT="0" distB="0" distL="0" distR="0" allowOverlap="1" layoutInCell="1" locked="0" behindDoc="0" simplePos="0" relativeHeight="16254976">
            <wp:simplePos x="0" y="0"/>
            <wp:positionH relativeFrom="page">
              <wp:posOffset>496417</wp:posOffset>
            </wp:positionH>
            <wp:positionV relativeFrom="paragraph">
              <wp:posOffset>163615</wp:posOffset>
            </wp:positionV>
            <wp:extent cx="55041" cy="6350"/>
            <wp:effectExtent l="0" t="0" r="0" b="0"/>
            <wp:wrapNone/>
            <wp:docPr id="447" name="image20.png"/>
            <wp:cNvGraphicFramePr>
              <a:graphicFrameLocks noChangeAspect="1"/>
            </wp:cNvGraphicFramePr>
            <a:graphic>
              <a:graphicData uri="http://schemas.openxmlformats.org/drawingml/2006/picture">
                <pic:pic>
                  <pic:nvPicPr>
                    <pic:cNvPr id="448" name="image20.png"/>
                    <pic:cNvPicPr/>
                  </pic:nvPicPr>
                  <pic:blipFill>
                    <a:blip r:embed="rId51" cstate="print"/>
                    <a:stretch>
                      <a:fillRect/>
                    </a:stretch>
                  </pic:blipFill>
                  <pic:spPr>
                    <a:xfrm>
                      <a:off x="0" y="0"/>
                      <a:ext cx="55041" cy="6350"/>
                    </a:xfrm>
                    <a:prstGeom prst="rect">
                      <a:avLst/>
                    </a:prstGeom>
                  </pic:spPr>
                </pic:pic>
              </a:graphicData>
            </a:graphic>
          </wp:anchor>
        </w:drawing>
      </w:r>
      <w:r>
        <w:rPr>
          <w:sz w:val="12"/>
        </w:rPr>
        <w:t>4.0</w:t>
      </w:r>
    </w:p>
    <w:p>
      <w:pPr>
        <w:pStyle w:val="BodyText"/>
        <w:spacing w:before="9"/>
        <w:rPr>
          <w:sz w:val="15"/>
        </w:rPr>
      </w:pPr>
    </w:p>
    <w:p>
      <w:pPr>
        <w:spacing w:before="0"/>
        <w:ind w:left="0" w:right="208" w:firstLine="0"/>
        <w:jc w:val="right"/>
        <w:rPr>
          <w:sz w:val="12"/>
        </w:rPr>
      </w:pPr>
      <w:r>
        <w:rPr/>
        <w:drawing>
          <wp:anchor distT="0" distB="0" distL="0" distR="0" allowOverlap="1" layoutInCell="1" locked="0" behindDoc="0" simplePos="0" relativeHeight="16255488">
            <wp:simplePos x="0" y="0"/>
            <wp:positionH relativeFrom="page">
              <wp:posOffset>496417</wp:posOffset>
            </wp:positionH>
            <wp:positionV relativeFrom="paragraph">
              <wp:posOffset>45770</wp:posOffset>
            </wp:positionV>
            <wp:extent cx="55041" cy="6350"/>
            <wp:effectExtent l="0" t="0" r="0" b="0"/>
            <wp:wrapNone/>
            <wp:docPr id="449" name="image20.png"/>
            <wp:cNvGraphicFramePr>
              <a:graphicFrameLocks noChangeAspect="1"/>
            </wp:cNvGraphicFramePr>
            <a:graphic>
              <a:graphicData uri="http://schemas.openxmlformats.org/drawingml/2006/picture">
                <pic:pic>
                  <pic:nvPicPr>
                    <pic:cNvPr id="450" name="image20.png"/>
                    <pic:cNvPicPr/>
                  </pic:nvPicPr>
                  <pic:blipFill>
                    <a:blip r:embed="rId51" cstate="print"/>
                    <a:stretch>
                      <a:fillRect/>
                    </a:stretch>
                  </pic:blipFill>
                  <pic:spPr>
                    <a:xfrm>
                      <a:off x="0" y="0"/>
                      <a:ext cx="55041" cy="6350"/>
                    </a:xfrm>
                    <a:prstGeom prst="rect">
                      <a:avLst/>
                    </a:prstGeom>
                  </pic:spPr>
                </pic:pic>
              </a:graphicData>
            </a:graphic>
          </wp:anchor>
        </w:drawing>
      </w:r>
      <w:r>
        <w:rPr>
          <w:sz w:val="12"/>
        </w:rPr>
        <w:t>3.5</w:t>
      </w:r>
    </w:p>
    <w:p>
      <w:pPr>
        <w:pStyle w:val="BodyText"/>
        <w:spacing w:before="8"/>
        <w:rPr>
          <w:sz w:val="15"/>
        </w:rPr>
      </w:pPr>
    </w:p>
    <w:p>
      <w:pPr>
        <w:spacing w:before="1"/>
        <w:ind w:left="0" w:right="208" w:firstLine="0"/>
        <w:jc w:val="right"/>
        <w:rPr>
          <w:sz w:val="12"/>
        </w:rPr>
      </w:pPr>
      <w:r>
        <w:rPr/>
        <w:drawing>
          <wp:anchor distT="0" distB="0" distL="0" distR="0" allowOverlap="1" layoutInCell="1" locked="0" behindDoc="0" simplePos="0" relativeHeight="16256000">
            <wp:simplePos x="0" y="0"/>
            <wp:positionH relativeFrom="page">
              <wp:posOffset>496417</wp:posOffset>
            </wp:positionH>
            <wp:positionV relativeFrom="paragraph">
              <wp:posOffset>46021</wp:posOffset>
            </wp:positionV>
            <wp:extent cx="55041" cy="6350"/>
            <wp:effectExtent l="0" t="0" r="0" b="0"/>
            <wp:wrapNone/>
            <wp:docPr id="451" name="image21.png"/>
            <wp:cNvGraphicFramePr>
              <a:graphicFrameLocks noChangeAspect="1"/>
            </wp:cNvGraphicFramePr>
            <a:graphic>
              <a:graphicData uri="http://schemas.openxmlformats.org/drawingml/2006/picture">
                <pic:pic>
                  <pic:nvPicPr>
                    <pic:cNvPr id="452" name="image21.png"/>
                    <pic:cNvPicPr/>
                  </pic:nvPicPr>
                  <pic:blipFill>
                    <a:blip r:embed="rId52" cstate="print"/>
                    <a:stretch>
                      <a:fillRect/>
                    </a:stretch>
                  </pic:blipFill>
                  <pic:spPr>
                    <a:xfrm>
                      <a:off x="0" y="0"/>
                      <a:ext cx="55041" cy="6350"/>
                    </a:xfrm>
                    <a:prstGeom prst="rect">
                      <a:avLst/>
                    </a:prstGeom>
                  </pic:spPr>
                </pic:pic>
              </a:graphicData>
            </a:graphic>
          </wp:anchor>
        </w:drawing>
      </w:r>
      <w:r>
        <w:rPr>
          <w:sz w:val="12"/>
        </w:rPr>
        <w:t>3.0</w:t>
      </w:r>
    </w:p>
    <w:p>
      <w:pPr>
        <w:pStyle w:val="BodyText"/>
        <w:spacing w:before="8"/>
        <w:rPr>
          <w:sz w:val="15"/>
        </w:rPr>
      </w:pPr>
    </w:p>
    <w:p>
      <w:pPr>
        <w:spacing w:before="0"/>
        <w:ind w:left="0" w:right="208" w:firstLine="0"/>
        <w:jc w:val="right"/>
        <w:rPr>
          <w:sz w:val="12"/>
        </w:rPr>
      </w:pPr>
      <w:r>
        <w:rPr/>
        <w:drawing>
          <wp:anchor distT="0" distB="0" distL="0" distR="0" allowOverlap="1" layoutInCell="1" locked="0" behindDoc="0" simplePos="0" relativeHeight="16256512">
            <wp:simplePos x="0" y="0"/>
            <wp:positionH relativeFrom="page">
              <wp:posOffset>496417</wp:posOffset>
            </wp:positionH>
            <wp:positionV relativeFrom="paragraph">
              <wp:posOffset>45003</wp:posOffset>
            </wp:positionV>
            <wp:extent cx="55041" cy="6350"/>
            <wp:effectExtent l="0" t="0" r="0" b="0"/>
            <wp:wrapNone/>
            <wp:docPr id="453" name="image20.png"/>
            <wp:cNvGraphicFramePr>
              <a:graphicFrameLocks noChangeAspect="1"/>
            </wp:cNvGraphicFramePr>
            <a:graphic>
              <a:graphicData uri="http://schemas.openxmlformats.org/drawingml/2006/picture">
                <pic:pic>
                  <pic:nvPicPr>
                    <pic:cNvPr id="454" name="image20.png"/>
                    <pic:cNvPicPr/>
                  </pic:nvPicPr>
                  <pic:blipFill>
                    <a:blip r:embed="rId51" cstate="print"/>
                    <a:stretch>
                      <a:fillRect/>
                    </a:stretch>
                  </pic:blipFill>
                  <pic:spPr>
                    <a:xfrm>
                      <a:off x="0" y="0"/>
                      <a:ext cx="55041" cy="6350"/>
                    </a:xfrm>
                    <a:prstGeom prst="rect">
                      <a:avLst/>
                    </a:prstGeom>
                  </pic:spPr>
                </pic:pic>
              </a:graphicData>
            </a:graphic>
          </wp:anchor>
        </w:drawing>
      </w:r>
      <w:r>
        <w:rPr>
          <w:sz w:val="12"/>
        </w:rPr>
        <w:t>2.5</w:t>
      </w:r>
    </w:p>
    <w:p>
      <w:pPr>
        <w:pStyle w:val="BodyText"/>
        <w:spacing w:before="9"/>
        <w:rPr>
          <w:sz w:val="15"/>
        </w:rPr>
      </w:pPr>
    </w:p>
    <w:p>
      <w:pPr>
        <w:spacing w:before="0"/>
        <w:ind w:left="0" w:right="208" w:firstLine="0"/>
        <w:jc w:val="right"/>
        <w:rPr>
          <w:sz w:val="12"/>
        </w:rPr>
      </w:pPr>
      <w:r>
        <w:rPr/>
        <w:drawing>
          <wp:anchor distT="0" distB="0" distL="0" distR="0" allowOverlap="1" layoutInCell="1" locked="0" behindDoc="0" simplePos="0" relativeHeight="16257024">
            <wp:simplePos x="0" y="0"/>
            <wp:positionH relativeFrom="page">
              <wp:posOffset>496417</wp:posOffset>
            </wp:positionH>
            <wp:positionV relativeFrom="paragraph">
              <wp:posOffset>44619</wp:posOffset>
            </wp:positionV>
            <wp:extent cx="55041" cy="6350"/>
            <wp:effectExtent l="0" t="0" r="0" b="0"/>
            <wp:wrapNone/>
            <wp:docPr id="455" name="image21.png"/>
            <wp:cNvGraphicFramePr>
              <a:graphicFrameLocks noChangeAspect="1"/>
            </wp:cNvGraphicFramePr>
            <a:graphic>
              <a:graphicData uri="http://schemas.openxmlformats.org/drawingml/2006/picture">
                <pic:pic>
                  <pic:nvPicPr>
                    <pic:cNvPr id="456" name="image21.png"/>
                    <pic:cNvPicPr/>
                  </pic:nvPicPr>
                  <pic:blipFill>
                    <a:blip r:embed="rId52" cstate="print"/>
                    <a:stretch>
                      <a:fillRect/>
                    </a:stretch>
                  </pic:blipFill>
                  <pic:spPr>
                    <a:xfrm>
                      <a:off x="0" y="0"/>
                      <a:ext cx="55041" cy="6350"/>
                    </a:xfrm>
                    <a:prstGeom prst="rect">
                      <a:avLst/>
                    </a:prstGeom>
                  </pic:spPr>
                </pic:pic>
              </a:graphicData>
            </a:graphic>
          </wp:anchor>
        </w:drawing>
      </w:r>
      <w:r>
        <w:rPr>
          <w:sz w:val="12"/>
        </w:rPr>
        <w:t>2.0</w:t>
      </w:r>
    </w:p>
    <w:p>
      <w:pPr>
        <w:pStyle w:val="BodyText"/>
        <w:spacing w:before="8"/>
        <w:rPr>
          <w:sz w:val="15"/>
        </w:rPr>
      </w:pPr>
    </w:p>
    <w:p>
      <w:pPr>
        <w:spacing w:before="1"/>
        <w:ind w:left="0" w:right="208" w:firstLine="0"/>
        <w:jc w:val="right"/>
        <w:rPr>
          <w:sz w:val="12"/>
        </w:rPr>
      </w:pPr>
      <w:r>
        <w:rPr/>
        <w:drawing>
          <wp:anchor distT="0" distB="0" distL="0" distR="0" allowOverlap="1" layoutInCell="1" locked="0" behindDoc="0" simplePos="0" relativeHeight="16257536">
            <wp:simplePos x="0" y="0"/>
            <wp:positionH relativeFrom="page">
              <wp:posOffset>496417</wp:posOffset>
            </wp:positionH>
            <wp:positionV relativeFrom="paragraph">
              <wp:posOffset>44871</wp:posOffset>
            </wp:positionV>
            <wp:extent cx="55041" cy="6350"/>
            <wp:effectExtent l="0" t="0" r="0" b="0"/>
            <wp:wrapNone/>
            <wp:docPr id="457" name="image20.png"/>
            <wp:cNvGraphicFramePr>
              <a:graphicFrameLocks noChangeAspect="1"/>
            </wp:cNvGraphicFramePr>
            <a:graphic>
              <a:graphicData uri="http://schemas.openxmlformats.org/drawingml/2006/picture">
                <pic:pic>
                  <pic:nvPicPr>
                    <pic:cNvPr id="458" name="image20.png"/>
                    <pic:cNvPicPr/>
                  </pic:nvPicPr>
                  <pic:blipFill>
                    <a:blip r:embed="rId51" cstate="print"/>
                    <a:stretch>
                      <a:fillRect/>
                    </a:stretch>
                  </pic:blipFill>
                  <pic:spPr>
                    <a:xfrm>
                      <a:off x="0" y="0"/>
                      <a:ext cx="55041" cy="6350"/>
                    </a:xfrm>
                    <a:prstGeom prst="rect">
                      <a:avLst/>
                    </a:prstGeom>
                  </pic:spPr>
                </pic:pic>
              </a:graphicData>
            </a:graphic>
          </wp:anchor>
        </w:drawing>
      </w:r>
      <w:r>
        <w:rPr>
          <w:sz w:val="12"/>
        </w:rPr>
        <w:t>1.5</w:t>
      </w:r>
    </w:p>
    <w:p>
      <w:pPr>
        <w:pStyle w:val="BodyText"/>
        <w:spacing w:before="8"/>
        <w:rPr>
          <w:sz w:val="15"/>
        </w:rPr>
      </w:pPr>
    </w:p>
    <w:p>
      <w:pPr>
        <w:spacing w:before="0"/>
        <w:ind w:left="0" w:right="208" w:firstLine="0"/>
        <w:jc w:val="right"/>
        <w:rPr>
          <w:sz w:val="12"/>
        </w:rPr>
      </w:pPr>
      <w:r>
        <w:rPr/>
        <w:drawing>
          <wp:anchor distT="0" distB="0" distL="0" distR="0" allowOverlap="1" layoutInCell="1" locked="0" behindDoc="0" simplePos="0" relativeHeight="16258560">
            <wp:simplePos x="0" y="0"/>
            <wp:positionH relativeFrom="page">
              <wp:posOffset>496417</wp:posOffset>
            </wp:positionH>
            <wp:positionV relativeFrom="paragraph">
              <wp:posOffset>43864</wp:posOffset>
            </wp:positionV>
            <wp:extent cx="55041" cy="6350"/>
            <wp:effectExtent l="0" t="0" r="0" b="0"/>
            <wp:wrapNone/>
            <wp:docPr id="459" name="image21.png"/>
            <wp:cNvGraphicFramePr>
              <a:graphicFrameLocks noChangeAspect="1"/>
            </wp:cNvGraphicFramePr>
            <a:graphic>
              <a:graphicData uri="http://schemas.openxmlformats.org/drawingml/2006/picture">
                <pic:pic>
                  <pic:nvPicPr>
                    <pic:cNvPr id="460" name="image21.png"/>
                    <pic:cNvPicPr/>
                  </pic:nvPicPr>
                  <pic:blipFill>
                    <a:blip r:embed="rId52" cstate="print"/>
                    <a:stretch>
                      <a:fillRect/>
                    </a:stretch>
                  </pic:blipFill>
                  <pic:spPr>
                    <a:xfrm>
                      <a:off x="0" y="0"/>
                      <a:ext cx="55041" cy="6350"/>
                    </a:xfrm>
                    <a:prstGeom prst="rect">
                      <a:avLst/>
                    </a:prstGeom>
                  </pic:spPr>
                </pic:pic>
              </a:graphicData>
            </a:graphic>
          </wp:anchor>
        </w:drawing>
      </w:r>
      <w:r>
        <w:rPr>
          <w:sz w:val="12"/>
        </w:rPr>
        <w:t>1.0</w:t>
      </w:r>
    </w:p>
    <w:p>
      <w:pPr>
        <w:pStyle w:val="BodyText"/>
        <w:spacing w:before="9"/>
        <w:rPr>
          <w:sz w:val="15"/>
        </w:rPr>
      </w:pPr>
    </w:p>
    <w:p>
      <w:pPr>
        <w:spacing w:before="0"/>
        <w:ind w:left="0" w:right="208" w:firstLine="0"/>
        <w:jc w:val="right"/>
        <w:rPr>
          <w:sz w:val="12"/>
        </w:rPr>
      </w:pPr>
      <w:r>
        <w:rPr/>
        <w:drawing>
          <wp:anchor distT="0" distB="0" distL="0" distR="0" allowOverlap="1" layoutInCell="1" locked="0" behindDoc="0" simplePos="0" relativeHeight="16258048">
            <wp:simplePos x="0" y="0"/>
            <wp:positionH relativeFrom="page">
              <wp:posOffset>496417</wp:posOffset>
            </wp:positionH>
            <wp:positionV relativeFrom="paragraph">
              <wp:posOffset>43481</wp:posOffset>
            </wp:positionV>
            <wp:extent cx="55041" cy="6350"/>
            <wp:effectExtent l="0" t="0" r="0" b="0"/>
            <wp:wrapNone/>
            <wp:docPr id="461" name="image20.png"/>
            <wp:cNvGraphicFramePr>
              <a:graphicFrameLocks noChangeAspect="1"/>
            </wp:cNvGraphicFramePr>
            <a:graphic>
              <a:graphicData uri="http://schemas.openxmlformats.org/drawingml/2006/picture">
                <pic:pic>
                  <pic:nvPicPr>
                    <pic:cNvPr id="462" name="image20.png"/>
                    <pic:cNvPicPr/>
                  </pic:nvPicPr>
                  <pic:blipFill>
                    <a:blip r:embed="rId51"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260608">
            <wp:simplePos x="0" y="0"/>
            <wp:positionH relativeFrom="page">
              <wp:posOffset>2469159</wp:posOffset>
            </wp:positionH>
            <wp:positionV relativeFrom="paragraph">
              <wp:posOffset>43481</wp:posOffset>
            </wp:positionV>
            <wp:extent cx="55029" cy="6350"/>
            <wp:effectExtent l="0" t="0" r="0" b="0"/>
            <wp:wrapNone/>
            <wp:docPr id="463" name="image20.png"/>
            <wp:cNvGraphicFramePr>
              <a:graphicFrameLocks noChangeAspect="1"/>
            </wp:cNvGraphicFramePr>
            <a:graphic>
              <a:graphicData uri="http://schemas.openxmlformats.org/drawingml/2006/picture">
                <pic:pic>
                  <pic:nvPicPr>
                    <pic:cNvPr id="464" name="image20.png"/>
                    <pic:cNvPicPr/>
                  </pic:nvPicPr>
                  <pic:blipFill>
                    <a:blip r:embed="rId51" cstate="print"/>
                    <a:stretch>
                      <a:fillRect/>
                    </a:stretch>
                  </pic:blipFill>
                  <pic:spPr>
                    <a:xfrm>
                      <a:off x="0" y="0"/>
                      <a:ext cx="55029" cy="6350"/>
                    </a:xfrm>
                    <a:prstGeom prst="rect">
                      <a:avLst/>
                    </a:prstGeom>
                  </pic:spPr>
                </pic:pic>
              </a:graphicData>
            </a:graphic>
          </wp:anchor>
        </w:drawing>
      </w:r>
      <w:r>
        <w:rPr>
          <w:sz w:val="12"/>
        </w:rPr>
        <w:t>0.5</w:t>
      </w:r>
    </w:p>
    <w:p>
      <w:pPr>
        <w:pStyle w:val="BodyText"/>
        <w:spacing w:before="9"/>
        <w:rPr>
          <w:sz w:val="15"/>
        </w:rPr>
      </w:pPr>
    </w:p>
    <w:p>
      <w:pPr>
        <w:spacing w:line="127" w:lineRule="exact" w:before="0"/>
        <w:ind w:left="3381" w:right="0" w:firstLine="0"/>
        <w:jc w:val="left"/>
        <w:rPr>
          <w:sz w:val="12"/>
        </w:rPr>
      </w:pPr>
      <w:r>
        <w:rPr/>
        <w:drawing>
          <wp:anchor distT="0" distB="0" distL="0" distR="0" allowOverlap="1" layoutInCell="1" locked="0" behindDoc="0" simplePos="0" relativeHeight="16259072">
            <wp:simplePos x="0" y="0"/>
            <wp:positionH relativeFrom="page">
              <wp:posOffset>496417</wp:posOffset>
            </wp:positionH>
            <wp:positionV relativeFrom="paragraph">
              <wp:posOffset>43098</wp:posOffset>
            </wp:positionV>
            <wp:extent cx="55041" cy="6350"/>
            <wp:effectExtent l="0" t="0" r="0" b="0"/>
            <wp:wrapNone/>
            <wp:docPr id="465" name="image21.png"/>
            <wp:cNvGraphicFramePr>
              <a:graphicFrameLocks noChangeAspect="1"/>
            </wp:cNvGraphicFramePr>
            <a:graphic>
              <a:graphicData uri="http://schemas.openxmlformats.org/drawingml/2006/picture">
                <pic:pic>
                  <pic:nvPicPr>
                    <pic:cNvPr id="466" name="image21.png"/>
                    <pic:cNvPicPr/>
                  </pic:nvPicPr>
                  <pic:blipFill>
                    <a:blip r:embed="rId52"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260096">
            <wp:simplePos x="0" y="0"/>
            <wp:positionH relativeFrom="page">
              <wp:posOffset>607377</wp:posOffset>
            </wp:positionH>
            <wp:positionV relativeFrom="paragraph">
              <wp:posOffset>-6787</wp:posOffset>
            </wp:positionV>
            <wp:extent cx="1916811" cy="56235"/>
            <wp:effectExtent l="0" t="0" r="0" b="0"/>
            <wp:wrapNone/>
            <wp:docPr id="467" name="image83.png"/>
            <wp:cNvGraphicFramePr>
              <a:graphicFrameLocks noChangeAspect="1"/>
            </wp:cNvGraphicFramePr>
            <a:graphic>
              <a:graphicData uri="http://schemas.openxmlformats.org/drawingml/2006/picture">
                <pic:pic>
                  <pic:nvPicPr>
                    <pic:cNvPr id="468" name="image83.png"/>
                    <pic:cNvPicPr/>
                  </pic:nvPicPr>
                  <pic:blipFill>
                    <a:blip r:embed="rId165" cstate="print"/>
                    <a:stretch>
                      <a:fillRect/>
                    </a:stretch>
                  </pic:blipFill>
                  <pic:spPr>
                    <a:xfrm>
                      <a:off x="0" y="0"/>
                      <a:ext cx="1916811" cy="56235"/>
                    </a:xfrm>
                    <a:prstGeom prst="rect">
                      <a:avLst/>
                    </a:prstGeom>
                  </pic:spPr>
                </pic:pic>
              </a:graphicData>
            </a:graphic>
          </wp:anchor>
        </w:drawing>
      </w:r>
      <w:r>
        <w:rPr>
          <w:sz w:val="12"/>
        </w:rPr>
        <w:t>0.0</w:t>
      </w:r>
    </w:p>
    <w:p>
      <w:pPr>
        <w:tabs>
          <w:tab w:pos="863" w:val="left" w:leader="none"/>
          <w:tab w:pos="1564" w:val="left" w:leader="none"/>
          <w:tab w:pos="2263" w:val="left" w:leader="none"/>
          <w:tab w:pos="2632" w:val="left" w:leader="none"/>
        </w:tabs>
        <w:spacing w:line="127" w:lineRule="exact" w:before="0"/>
        <w:ind w:left="103" w:right="0" w:firstLine="0"/>
        <w:jc w:val="center"/>
        <w:rPr>
          <w:sz w:val="12"/>
        </w:rPr>
      </w:pPr>
      <w:r>
        <w:rPr>
          <w:sz w:val="12"/>
        </w:rPr>
        <w:t>1996</w:t>
        <w:tab/>
        <w:t>97</w:t>
        <w:tab/>
        <w:t>98</w:t>
        <w:tab/>
        <w:t>99</w:t>
        <w:tab/>
        <w:t>2000</w:t>
      </w:r>
    </w:p>
    <w:p>
      <w:pPr>
        <w:pStyle w:val="BodyText"/>
        <w:spacing w:before="6"/>
        <w:rPr>
          <w:sz w:val="10"/>
        </w:rPr>
      </w:pPr>
    </w:p>
    <w:p>
      <w:pPr>
        <w:spacing w:line="129" w:lineRule="exact" w:before="0"/>
        <w:ind w:left="157" w:right="0" w:firstLine="0"/>
        <w:jc w:val="left"/>
        <w:rPr>
          <w:sz w:val="12"/>
        </w:rPr>
      </w:pPr>
      <w:r>
        <w:rPr>
          <w:sz w:val="12"/>
        </w:rPr>
        <w:t>RPIX = Retail price index excluding mortgage interest payments.</w:t>
      </w:r>
    </w:p>
    <w:p>
      <w:pPr>
        <w:spacing w:line="129" w:lineRule="exact" w:before="0"/>
        <w:ind w:left="157" w:right="0" w:firstLine="0"/>
        <w:jc w:val="left"/>
        <w:rPr>
          <w:sz w:val="12"/>
        </w:rPr>
      </w:pPr>
      <w:r>
        <w:rPr>
          <w:sz w:val="12"/>
        </w:rPr>
        <w:t>RPIY = RPIX excluding VAT, local authorities’ taxes and excise duties.</w:t>
      </w:r>
    </w:p>
    <w:p>
      <w:pPr>
        <w:pStyle w:val="BodyText"/>
        <w:rPr>
          <w:sz w:val="12"/>
        </w:rPr>
      </w:pPr>
    </w:p>
    <w:p>
      <w:pPr>
        <w:pStyle w:val="BodyText"/>
        <w:rPr>
          <w:sz w:val="12"/>
        </w:rPr>
      </w:pPr>
    </w:p>
    <w:p>
      <w:pPr>
        <w:pStyle w:val="BodyText"/>
        <w:spacing w:before="7"/>
        <w:rPr>
          <w:sz w:val="17"/>
        </w:rPr>
      </w:pPr>
    </w:p>
    <w:p>
      <w:pPr>
        <w:spacing w:before="0"/>
        <w:ind w:left="167" w:right="0" w:firstLine="0"/>
        <w:jc w:val="left"/>
        <w:rPr>
          <w:b/>
          <w:sz w:val="20"/>
        </w:rPr>
      </w:pPr>
      <w:r>
        <w:rPr>
          <w:b/>
          <w:color w:val="0092C7"/>
          <w:sz w:val="20"/>
        </w:rPr>
        <w:t>Chart 4.9</w:t>
      </w:r>
    </w:p>
    <w:p>
      <w:pPr>
        <w:spacing w:before="10"/>
        <w:ind w:left="167" w:right="0" w:firstLine="0"/>
        <w:jc w:val="left"/>
        <w:rPr>
          <w:b/>
          <w:sz w:val="20"/>
        </w:rPr>
      </w:pPr>
      <w:r>
        <w:rPr>
          <w:b/>
          <w:color w:val="0092C7"/>
          <w:sz w:val="20"/>
        </w:rPr>
        <w:t>Goods and services price inflation</w:t>
      </w:r>
    </w:p>
    <w:p>
      <w:pPr>
        <w:tabs>
          <w:tab w:pos="2381" w:val="left" w:leader="none"/>
        </w:tabs>
        <w:spacing w:line="114" w:lineRule="exact" w:before="64"/>
        <w:ind w:left="7" w:right="0" w:firstLine="0"/>
        <w:jc w:val="center"/>
        <w:rPr>
          <w:sz w:val="12"/>
        </w:rPr>
      </w:pPr>
      <w:r>
        <w:rPr>
          <w:sz w:val="12"/>
        </w:rPr>
        <w:t>Percentage points</w:t>
        <w:tab/>
        <w:t>Index 1990 = 100</w:t>
      </w:r>
    </w:p>
    <w:p>
      <w:pPr>
        <w:tabs>
          <w:tab w:pos="3522" w:val="left" w:leader="none"/>
        </w:tabs>
        <w:spacing w:line="134" w:lineRule="exact" w:before="0"/>
        <w:ind w:left="155" w:right="0" w:firstLine="0"/>
        <w:jc w:val="left"/>
        <w:rPr>
          <w:sz w:val="12"/>
        </w:rPr>
      </w:pPr>
      <w:r>
        <w:rPr/>
        <w:pict>
          <v:group style="position:absolute;margin-left:53.630001pt;margin-top:4.229032pt;width:144.65pt;height:133.6pt;mso-position-horizontal-relative:page;mso-position-vertical-relative:paragraph;z-index:-22348800" coordorigin="1073,85" coordsize="2893,2672">
            <v:shape style="position:absolute;left:1072;top:123;width:2893;height:2633" type="#_x0000_t75" stroked="false">
              <v:imagedata r:id="rId166" o:title=""/>
            </v:shape>
            <v:shape style="position:absolute;left:2011;top:84;width:1427;height:374" type="#_x0000_t202" filled="false" stroked="false">
              <v:textbox inset="0,0,0,0">
                <w:txbxContent>
                  <w:p>
                    <w:pPr>
                      <w:spacing w:line="208" w:lineRule="auto" w:before="9"/>
                      <w:ind w:left="60" w:right="18" w:hanging="60"/>
                      <w:jc w:val="left"/>
                      <w:rPr>
                        <w:sz w:val="12"/>
                      </w:rPr>
                    </w:pPr>
                    <w:r>
                      <w:rPr>
                        <w:sz w:val="12"/>
                      </w:rPr>
                      <w:t>Differential between services and goods price inflation (left-hand scale)</w:t>
                    </w:r>
                  </w:p>
                </w:txbxContent>
              </v:textbox>
              <w10:wrap type="none"/>
            </v:shape>
            <v:shape style="position:absolute;left:1324;top:2220;width:930;height:374" type="#_x0000_t202" filled="false" stroked="false">
              <v:textbox inset="0,0,0,0">
                <w:txbxContent>
                  <w:p>
                    <w:pPr>
                      <w:spacing w:line="208" w:lineRule="auto" w:before="9"/>
                      <w:ind w:left="60" w:right="18" w:hanging="60"/>
                      <w:jc w:val="left"/>
                      <w:rPr>
                        <w:sz w:val="12"/>
                      </w:rPr>
                    </w:pPr>
                    <w:r>
                      <w:rPr>
                        <w:sz w:val="12"/>
                      </w:rPr>
                      <w:t>Sterling effective exchange rate (right-hand scale)</w:t>
                    </w:r>
                  </w:p>
                </w:txbxContent>
              </v:textbox>
              <w10:wrap type="none"/>
            </v:shape>
            <w10:wrap type="none"/>
          </v:group>
        </w:pict>
      </w:r>
      <w:r>
        <w:rPr/>
        <w:drawing>
          <wp:anchor distT="0" distB="0" distL="0" distR="0" allowOverlap="1" layoutInCell="1" locked="0" behindDoc="1" simplePos="0" relativeHeight="480968192">
            <wp:simplePos x="0" y="0"/>
            <wp:positionH relativeFrom="page">
              <wp:posOffset>573151</wp:posOffset>
            </wp:positionH>
            <wp:positionV relativeFrom="paragraph">
              <wp:posOffset>39243</wp:posOffset>
            </wp:positionV>
            <wp:extent cx="55029" cy="6350"/>
            <wp:effectExtent l="0" t="0" r="0" b="0"/>
            <wp:wrapNone/>
            <wp:docPr id="469" name="image20.png"/>
            <wp:cNvGraphicFramePr>
              <a:graphicFrameLocks noChangeAspect="1"/>
            </wp:cNvGraphicFramePr>
            <a:graphic>
              <a:graphicData uri="http://schemas.openxmlformats.org/drawingml/2006/picture">
                <pic:pic>
                  <pic:nvPicPr>
                    <pic:cNvPr id="470" name="image20.png"/>
                    <pic:cNvPicPr/>
                  </pic:nvPicPr>
                  <pic:blipFill>
                    <a:blip r:embed="rId5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972288">
            <wp:simplePos x="0" y="0"/>
            <wp:positionH relativeFrom="page">
              <wp:posOffset>2565996</wp:posOffset>
            </wp:positionH>
            <wp:positionV relativeFrom="paragraph">
              <wp:posOffset>35471</wp:posOffset>
            </wp:positionV>
            <wp:extent cx="55029" cy="6350"/>
            <wp:effectExtent l="0" t="0" r="0" b="0"/>
            <wp:wrapNone/>
            <wp:docPr id="471" name="image19.png"/>
            <wp:cNvGraphicFramePr>
              <a:graphicFrameLocks noChangeAspect="1"/>
            </wp:cNvGraphicFramePr>
            <a:graphic>
              <a:graphicData uri="http://schemas.openxmlformats.org/drawingml/2006/picture">
                <pic:pic>
                  <pic:nvPicPr>
                    <pic:cNvPr id="472" name="image19.png"/>
                    <pic:cNvPicPr/>
                  </pic:nvPicPr>
                  <pic:blipFill>
                    <a:blip r:embed="rId50" cstate="print"/>
                    <a:stretch>
                      <a:fillRect/>
                    </a:stretch>
                  </pic:blipFill>
                  <pic:spPr>
                    <a:xfrm>
                      <a:off x="0" y="0"/>
                      <a:ext cx="55029" cy="6350"/>
                    </a:xfrm>
                    <a:prstGeom prst="rect">
                      <a:avLst/>
                    </a:prstGeom>
                  </pic:spPr>
                </pic:pic>
              </a:graphicData>
            </a:graphic>
          </wp:anchor>
        </w:drawing>
      </w:r>
      <w:r>
        <w:rPr>
          <w:position w:val="2"/>
          <w:sz w:val="12"/>
        </w:rPr>
        <w:t>5</w:t>
        <w:tab/>
      </w:r>
      <w:r>
        <w:rPr>
          <w:sz w:val="12"/>
        </w:rPr>
        <w:t>115</w:t>
      </w:r>
    </w:p>
    <w:p>
      <w:pPr>
        <w:pStyle w:val="BodyText"/>
        <w:rPr>
          <w:sz w:val="14"/>
        </w:rPr>
      </w:pPr>
    </w:p>
    <w:p>
      <w:pPr>
        <w:tabs>
          <w:tab w:pos="3522" w:val="left" w:leader="none"/>
        </w:tabs>
        <w:spacing w:before="93"/>
        <w:ind w:left="155" w:right="0" w:firstLine="0"/>
        <w:jc w:val="left"/>
        <w:rPr>
          <w:sz w:val="12"/>
        </w:rPr>
      </w:pPr>
      <w:r>
        <w:rPr/>
        <w:drawing>
          <wp:anchor distT="0" distB="0" distL="0" distR="0" allowOverlap="1" layoutInCell="1" locked="0" behindDoc="1" simplePos="0" relativeHeight="480968704">
            <wp:simplePos x="0" y="0"/>
            <wp:positionH relativeFrom="page">
              <wp:posOffset>573151</wp:posOffset>
            </wp:positionH>
            <wp:positionV relativeFrom="paragraph">
              <wp:posOffset>114042</wp:posOffset>
            </wp:positionV>
            <wp:extent cx="55029" cy="6350"/>
            <wp:effectExtent l="0" t="0" r="0" b="0"/>
            <wp:wrapNone/>
            <wp:docPr id="473" name="image21.png"/>
            <wp:cNvGraphicFramePr>
              <a:graphicFrameLocks noChangeAspect="1"/>
            </wp:cNvGraphicFramePr>
            <a:graphic>
              <a:graphicData uri="http://schemas.openxmlformats.org/drawingml/2006/picture">
                <pic:pic>
                  <pic:nvPicPr>
                    <pic:cNvPr id="474" name="image21.png"/>
                    <pic:cNvPicPr/>
                  </pic:nvPicPr>
                  <pic:blipFill>
                    <a:blip r:embed="rId52"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972800">
            <wp:simplePos x="0" y="0"/>
            <wp:positionH relativeFrom="page">
              <wp:posOffset>2565996</wp:posOffset>
            </wp:positionH>
            <wp:positionV relativeFrom="paragraph">
              <wp:posOffset>110270</wp:posOffset>
            </wp:positionV>
            <wp:extent cx="55029" cy="6350"/>
            <wp:effectExtent l="0" t="0" r="0" b="0"/>
            <wp:wrapNone/>
            <wp:docPr id="475" name="image19.png"/>
            <wp:cNvGraphicFramePr>
              <a:graphicFrameLocks noChangeAspect="1"/>
            </wp:cNvGraphicFramePr>
            <a:graphic>
              <a:graphicData uri="http://schemas.openxmlformats.org/drawingml/2006/picture">
                <pic:pic>
                  <pic:nvPicPr>
                    <pic:cNvPr id="476" name="image19.png"/>
                    <pic:cNvPicPr/>
                  </pic:nvPicPr>
                  <pic:blipFill>
                    <a:blip r:embed="rId50" cstate="print"/>
                    <a:stretch>
                      <a:fillRect/>
                    </a:stretch>
                  </pic:blipFill>
                  <pic:spPr>
                    <a:xfrm>
                      <a:off x="0" y="0"/>
                      <a:ext cx="55029" cy="6350"/>
                    </a:xfrm>
                    <a:prstGeom prst="rect">
                      <a:avLst/>
                    </a:prstGeom>
                  </pic:spPr>
                </pic:pic>
              </a:graphicData>
            </a:graphic>
          </wp:anchor>
        </w:drawing>
      </w:r>
      <w:r>
        <w:rPr>
          <w:position w:val="2"/>
          <w:sz w:val="12"/>
        </w:rPr>
        <w:t>4</w:t>
        <w:tab/>
      </w:r>
      <w:r>
        <w:rPr>
          <w:sz w:val="12"/>
        </w:rPr>
        <w:t>110</w:t>
      </w:r>
    </w:p>
    <w:p>
      <w:pPr>
        <w:pStyle w:val="BodyText"/>
        <w:rPr>
          <w:sz w:val="14"/>
        </w:rPr>
      </w:pPr>
    </w:p>
    <w:p>
      <w:pPr>
        <w:tabs>
          <w:tab w:pos="3522" w:val="left" w:leader="none"/>
        </w:tabs>
        <w:spacing w:before="94"/>
        <w:ind w:left="155" w:right="0" w:firstLine="0"/>
        <w:jc w:val="left"/>
        <w:rPr>
          <w:sz w:val="12"/>
        </w:rPr>
      </w:pPr>
      <w:r>
        <w:rPr/>
        <w:drawing>
          <wp:anchor distT="0" distB="0" distL="0" distR="0" allowOverlap="1" layoutInCell="1" locked="0" behindDoc="1" simplePos="0" relativeHeight="480969216">
            <wp:simplePos x="0" y="0"/>
            <wp:positionH relativeFrom="page">
              <wp:posOffset>573151</wp:posOffset>
            </wp:positionH>
            <wp:positionV relativeFrom="paragraph">
              <wp:posOffset>115445</wp:posOffset>
            </wp:positionV>
            <wp:extent cx="55029" cy="6350"/>
            <wp:effectExtent l="0" t="0" r="0" b="0"/>
            <wp:wrapNone/>
            <wp:docPr id="477" name="image21.png"/>
            <wp:cNvGraphicFramePr>
              <a:graphicFrameLocks noChangeAspect="1"/>
            </wp:cNvGraphicFramePr>
            <a:graphic>
              <a:graphicData uri="http://schemas.openxmlformats.org/drawingml/2006/picture">
                <pic:pic>
                  <pic:nvPicPr>
                    <pic:cNvPr id="478" name="image21.png"/>
                    <pic:cNvPicPr/>
                  </pic:nvPicPr>
                  <pic:blipFill>
                    <a:blip r:embed="rId52"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973312">
            <wp:simplePos x="0" y="0"/>
            <wp:positionH relativeFrom="page">
              <wp:posOffset>2565996</wp:posOffset>
            </wp:positionH>
            <wp:positionV relativeFrom="paragraph">
              <wp:posOffset>111673</wp:posOffset>
            </wp:positionV>
            <wp:extent cx="55029" cy="6350"/>
            <wp:effectExtent l="0" t="0" r="0" b="0"/>
            <wp:wrapNone/>
            <wp:docPr id="479" name="image15.png"/>
            <wp:cNvGraphicFramePr>
              <a:graphicFrameLocks noChangeAspect="1"/>
            </wp:cNvGraphicFramePr>
            <a:graphic>
              <a:graphicData uri="http://schemas.openxmlformats.org/drawingml/2006/picture">
                <pic:pic>
                  <pic:nvPicPr>
                    <pic:cNvPr id="480" name="image15.png"/>
                    <pic:cNvPicPr/>
                  </pic:nvPicPr>
                  <pic:blipFill>
                    <a:blip r:embed="rId46" cstate="print"/>
                    <a:stretch>
                      <a:fillRect/>
                    </a:stretch>
                  </pic:blipFill>
                  <pic:spPr>
                    <a:xfrm>
                      <a:off x="0" y="0"/>
                      <a:ext cx="55029" cy="6350"/>
                    </a:xfrm>
                    <a:prstGeom prst="rect">
                      <a:avLst/>
                    </a:prstGeom>
                  </pic:spPr>
                </pic:pic>
              </a:graphicData>
            </a:graphic>
          </wp:anchor>
        </w:drawing>
      </w:r>
      <w:r>
        <w:rPr>
          <w:position w:val="2"/>
          <w:sz w:val="12"/>
        </w:rPr>
        <w:t>3</w:t>
        <w:tab/>
      </w:r>
      <w:r>
        <w:rPr>
          <w:sz w:val="12"/>
        </w:rPr>
        <w:t>105</w:t>
      </w:r>
    </w:p>
    <w:p>
      <w:pPr>
        <w:pStyle w:val="BodyText"/>
        <w:rPr>
          <w:sz w:val="14"/>
        </w:rPr>
      </w:pPr>
    </w:p>
    <w:p>
      <w:pPr>
        <w:tabs>
          <w:tab w:pos="3522" w:val="left" w:leader="none"/>
        </w:tabs>
        <w:spacing w:before="93"/>
        <w:ind w:left="155" w:right="0" w:firstLine="0"/>
        <w:jc w:val="left"/>
        <w:rPr>
          <w:sz w:val="12"/>
        </w:rPr>
      </w:pPr>
      <w:r>
        <w:rPr/>
        <w:drawing>
          <wp:anchor distT="0" distB="0" distL="0" distR="0" allowOverlap="1" layoutInCell="1" locked="0" behindDoc="1" simplePos="0" relativeHeight="480969728">
            <wp:simplePos x="0" y="0"/>
            <wp:positionH relativeFrom="page">
              <wp:posOffset>573151</wp:posOffset>
            </wp:positionH>
            <wp:positionV relativeFrom="paragraph">
              <wp:posOffset>115577</wp:posOffset>
            </wp:positionV>
            <wp:extent cx="55029" cy="6350"/>
            <wp:effectExtent l="0" t="0" r="0" b="0"/>
            <wp:wrapNone/>
            <wp:docPr id="481" name="image21.png"/>
            <wp:cNvGraphicFramePr>
              <a:graphicFrameLocks noChangeAspect="1"/>
            </wp:cNvGraphicFramePr>
            <a:graphic>
              <a:graphicData uri="http://schemas.openxmlformats.org/drawingml/2006/picture">
                <pic:pic>
                  <pic:nvPicPr>
                    <pic:cNvPr id="482" name="image21.png"/>
                    <pic:cNvPicPr/>
                  </pic:nvPicPr>
                  <pic:blipFill>
                    <a:blip r:embed="rId52"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973824">
            <wp:simplePos x="0" y="0"/>
            <wp:positionH relativeFrom="page">
              <wp:posOffset>2565996</wp:posOffset>
            </wp:positionH>
            <wp:positionV relativeFrom="paragraph">
              <wp:posOffset>111805</wp:posOffset>
            </wp:positionV>
            <wp:extent cx="55029" cy="6350"/>
            <wp:effectExtent l="0" t="0" r="0" b="0"/>
            <wp:wrapNone/>
            <wp:docPr id="483" name="image15.png"/>
            <wp:cNvGraphicFramePr>
              <a:graphicFrameLocks noChangeAspect="1"/>
            </wp:cNvGraphicFramePr>
            <a:graphic>
              <a:graphicData uri="http://schemas.openxmlformats.org/drawingml/2006/picture">
                <pic:pic>
                  <pic:nvPicPr>
                    <pic:cNvPr id="484" name="image15.png"/>
                    <pic:cNvPicPr/>
                  </pic:nvPicPr>
                  <pic:blipFill>
                    <a:blip r:embed="rId46" cstate="print"/>
                    <a:stretch>
                      <a:fillRect/>
                    </a:stretch>
                  </pic:blipFill>
                  <pic:spPr>
                    <a:xfrm>
                      <a:off x="0" y="0"/>
                      <a:ext cx="55029" cy="6350"/>
                    </a:xfrm>
                    <a:prstGeom prst="rect">
                      <a:avLst/>
                    </a:prstGeom>
                  </pic:spPr>
                </pic:pic>
              </a:graphicData>
            </a:graphic>
          </wp:anchor>
        </w:drawing>
      </w:r>
      <w:r>
        <w:rPr>
          <w:position w:val="2"/>
          <w:sz w:val="12"/>
        </w:rPr>
        <w:t>2</w:t>
        <w:tab/>
      </w:r>
      <w:r>
        <w:rPr>
          <w:sz w:val="12"/>
        </w:rPr>
        <w:t>100</w:t>
      </w:r>
    </w:p>
    <w:p>
      <w:pPr>
        <w:pStyle w:val="BodyText"/>
        <w:rPr>
          <w:sz w:val="14"/>
        </w:rPr>
      </w:pPr>
    </w:p>
    <w:p>
      <w:pPr>
        <w:tabs>
          <w:tab w:pos="3582" w:val="left" w:leader="none"/>
        </w:tabs>
        <w:spacing w:before="93"/>
        <w:ind w:left="155" w:right="0" w:firstLine="0"/>
        <w:jc w:val="left"/>
        <w:rPr>
          <w:sz w:val="12"/>
        </w:rPr>
      </w:pPr>
      <w:r>
        <w:rPr/>
        <w:drawing>
          <wp:anchor distT="0" distB="0" distL="0" distR="0" allowOverlap="1" layoutInCell="1" locked="0" behindDoc="1" simplePos="0" relativeHeight="480970240">
            <wp:simplePos x="0" y="0"/>
            <wp:positionH relativeFrom="page">
              <wp:posOffset>573151</wp:posOffset>
            </wp:positionH>
            <wp:positionV relativeFrom="paragraph">
              <wp:posOffset>116352</wp:posOffset>
            </wp:positionV>
            <wp:extent cx="55029" cy="6350"/>
            <wp:effectExtent l="0" t="0" r="0" b="0"/>
            <wp:wrapNone/>
            <wp:docPr id="485" name="image20.png"/>
            <wp:cNvGraphicFramePr>
              <a:graphicFrameLocks noChangeAspect="1"/>
            </wp:cNvGraphicFramePr>
            <a:graphic>
              <a:graphicData uri="http://schemas.openxmlformats.org/drawingml/2006/picture">
                <pic:pic>
                  <pic:nvPicPr>
                    <pic:cNvPr id="486" name="image20.png"/>
                    <pic:cNvPicPr/>
                  </pic:nvPicPr>
                  <pic:blipFill>
                    <a:blip r:embed="rId5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974336">
            <wp:simplePos x="0" y="0"/>
            <wp:positionH relativeFrom="page">
              <wp:posOffset>2565996</wp:posOffset>
            </wp:positionH>
            <wp:positionV relativeFrom="paragraph">
              <wp:posOffset>112580</wp:posOffset>
            </wp:positionV>
            <wp:extent cx="55029" cy="6350"/>
            <wp:effectExtent l="0" t="0" r="0" b="0"/>
            <wp:wrapNone/>
            <wp:docPr id="487" name="image15.png"/>
            <wp:cNvGraphicFramePr>
              <a:graphicFrameLocks noChangeAspect="1"/>
            </wp:cNvGraphicFramePr>
            <a:graphic>
              <a:graphicData uri="http://schemas.openxmlformats.org/drawingml/2006/picture">
                <pic:pic>
                  <pic:nvPicPr>
                    <pic:cNvPr id="488" name="image15.png"/>
                    <pic:cNvPicPr/>
                  </pic:nvPicPr>
                  <pic:blipFill>
                    <a:blip r:embed="rId46" cstate="print"/>
                    <a:stretch>
                      <a:fillRect/>
                    </a:stretch>
                  </pic:blipFill>
                  <pic:spPr>
                    <a:xfrm>
                      <a:off x="0" y="0"/>
                      <a:ext cx="55029" cy="6350"/>
                    </a:xfrm>
                    <a:prstGeom prst="rect">
                      <a:avLst/>
                    </a:prstGeom>
                  </pic:spPr>
                </pic:pic>
              </a:graphicData>
            </a:graphic>
          </wp:anchor>
        </w:drawing>
      </w:r>
      <w:r>
        <w:rPr>
          <w:position w:val="2"/>
          <w:sz w:val="12"/>
        </w:rPr>
        <w:t>1</w:t>
        <w:tab/>
      </w:r>
      <w:r>
        <w:rPr>
          <w:sz w:val="12"/>
        </w:rPr>
        <w:t>95</w:t>
      </w:r>
    </w:p>
    <w:p>
      <w:pPr>
        <w:spacing w:before="49"/>
        <w:ind w:left="176" w:right="0" w:firstLine="0"/>
        <w:jc w:val="left"/>
        <w:rPr>
          <w:sz w:val="16"/>
        </w:rPr>
      </w:pPr>
      <w:r>
        <w:rPr>
          <w:w w:val="100"/>
          <w:sz w:val="16"/>
        </w:rPr>
        <w:t>+</w:t>
      </w:r>
    </w:p>
    <w:p>
      <w:pPr>
        <w:tabs>
          <w:tab w:pos="3582" w:val="left" w:leader="none"/>
        </w:tabs>
        <w:spacing w:line="133" w:lineRule="exact" w:before="21"/>
        <w:ind w:left="155" w:right="0" w:firstLine="0"/>
        <w:jc w:val="left"/>
        <w:rPr>
          <w:sz w:val="12"/>
        </w:rPr>
      </w:pPr>
      <w:r>
        <w:rPr/>
        <w:drawing>
          <wp:anchor distT="0" distB="0" distL="0" distR="0" allowOverlap="1" layoutInCell="1" locked="0" behindDoc="1" simplePos="0" relativeHeight="480971264">
            <wp:simplePos x="0" y="0"/>
            <wp:positionH relativeFrom="page">
              <wp:posOffset>573151</wp:posOffset>
            </wp:positionH>
            <wp:positionV relativeFrom="paragraph">
              <wp:posOffset>71406</wp:posOffset>
            </wp:positionV>
            <wp:extent cx="55029" cy="6350"/>
            <wp:effectExtent l="0" t="0" r="0" b="0"/>
            <wp:wrapNone/>
            <wp:docPr id="489" name="image20.png"/>
            <wp:cNvGraphicFramePr>
              <a:graphicFrameLocks noChangeAspect="1"/>
            </wp:cNvGraphicFramePr>
            <a:graphic>
              <a:graphicData uri="http://schemas.openxmlformats.org/drawingml/2006/picture">
                <pic:pic>
                  <pic:nvPicPr>
                    <pic:cNvPr id="490" name="image20.png"/>
                    <pic:cNvPicPr/>
                  </pic:nvPicPr>
                  <pic:blipFill>
                    <a:blip r:embed="rId5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975360">
            <wp:simplePos x="0" y="0"/>
            <wp:positionH relativeFrom="page">
              <wp:posOffset>2565996</wp:posOffset>
            </wp:positionH>
            <wp:positionV relativeFrom="paragraph">
              <wp:posOffset>71406</wp:posOffset>
            </wp:positionV>
            <wp:extent cx="55029" cy="6350"/>
            <wp:effectExtent l="0" t="0" r="0" b="0"/>
            <wp:wrapNone/>
            <wp:docPr id="491" name="image15.png"/>
            <wp:cNvGraphicFramePr>
              <a:graphicFrameLocks noChangeAspect="1"/>
            </wp:cNvGraphicFramePr>
            <a:graphic>
              <a:graphicData uri="http://schemas.openxmlformats.org/drawingml/2006/picture">
                <pic:pic>
                  <pic:nvPicPr>
                    <pic:cNvPr id="492" name="image15.png"/>
                    <pic:cNvPicPr/>
                  </pic:nvPicPr>
                  <pic:blipFill>
                    <a:blip r:embed="rId46" cstate="print"/>
                    <a:stretch>
                      <a:fillRect/>
                    </a:stretch>
                  </pic:blipFill>
                  <pic:spPr>
                    <a:xfrm>
                      <a:off x="0" y="0"/>
                      <a:ext cx="55029" cy="6350"/>
                    </a:xfrm>
                    <a:prstGeom prst="rect">
                      <a:avLst/>
                    </a:prstGeom>
                  </pic:spPr>
                </pic:pic>
              </a:graphicData>
            </a:graphic>
          </wp:anchor>
        </w:drawing>
      </w:r>
      <w:r>
        <w:rPr>
          <w:position w:val="2"/>
          <w:sz w:val="12"/>
        </w:rPr>
        <w:t>0</w:t>
        <w:tab/>
      </w:r>
      <w:r>
        <w:rPr>
          <w:sz w:val="12"/>
        </w:rPr>
        <w:t>90</w:t>
      </w:r>
    </w:p>
    <w:p>
      <w:pPr>
        <w:spacing w:line="159" w:lineRule="exact" w:before="0"/>
        <w:ind w:left="181" w:right="0" w:firstLine="0"/>
        <w:jc w:val="left"/>
        <w:rPr>
          <w:sz w:val="16"/>
        </w:rPr>
      </w:pPr>
      <w:r>
        <w:rPr>
          <w:sz w:val="16"/>
        </w:rPr>
        <w:t>_</w:t>
      </w:r>
    </w:p>
    <w:p>
      <w:pPr>
        <w:tabs>
          <w:tab w:pos="3582" w:val="left" w:leader="none"/>
        </w:tabs>
        <w:spacing w:before="120"/>
        <w:ind w:left="155" w:right="0" w:firstLine="0"/>
        <w:jc w:val="left"/>
        <w:rPr>
          <w:sz w:val="12"/>
        </w:rPr>
      </w:pPr>
      <w:r>
        <w:rPr/>
        <w:drawing>
          <wp:anchor distT="0" distB="0" distL="0" distR="0" allowOverlap="1" layoutInCell="1" locked="0" behindDoc="1" simplePos="0" relativeHeight="480970752">
            <wp:simplePos x="0" y="0"/>
            <wp:positionH relativeFrom="page">
              <wp:posOffset>573151</wp:posOffset>
            </wp:positionH>
            <wp:positionV relativeFrom="paragraph">
              <wp:posOffset>135058</wp:posOffset>
            </wp:positionV>
            <wp:extent cx="55029" cy="6350"/>
            <wp:effectExtent l="0" t="0" r="0" b="0"/>
            <wp:wrapNone/>
            <wp:docPr id="493" name="image20.png"/>
            <wp:cNvGraphicFramePr>
              <a:graphicFrameLocks noChangeAspect="1"/>
            </wp:cNvGraphicFramePr>
            <a:graphic>
              <a:graphicData uri="http://schemas.openxmlformats.org/drawingml/2006/picture">
                <pic:pic>
                  <pic:nvPicPr>
                    <pic:cNvPr id="494" name="image20.png"/>
                    <pic:cNvPicPr/>
                  </pic:nvPicPr>
                  <pic:blipFill>
                    <a:blip r:embed="rId5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974848">
            <wp:simplePos x="0" y="0"/>
            <wp:positionH relativeFrom="page">
              <wp:posOffset>2565996</wp:posOffset>
            </wp:positionH>
            <wp:positionV relativeFrom="paragraph">
              <wp:posOffset>131286</wp:posOffset>
            </wp:positionV>
            <wp:extent cx="55029" cy="6350"/>
            <wp:effectExtent l="0" t="0" r="0" b="0"/>
            <wp:wrapNone/>
            <wp:docPr id="495" name="image15.png"/>
            <wp:cNvGraphicFramePr>
              <a:graphicFrameLocks noChangeAspect="1"/>
            </wp:cNvGraphicFramePr>
            <a:graphic>
              <a:graphicData uri="http://schemas.openxmlformats.org/drawingml/2006/picture">
                <pic:pic>
                  <pic:nvPicPr>
                    <pic:cNvPr id="496" name="image15.png"/>
                    <pic:cNvPicPr/>
                  </pic:nvPicPr>
                  <pic:blipFill>
                    <a:blip r:embed="rId46" cstate="print"/>
                    <a:stretch>
                      <a:fillRect/>
                    </a:stretch>
                  </pic:blipFill>
                  <pic:spPr>
                    <a:xfrm>
                      <a:off x="0" y="0"/>
                      <a:ext cx="55029" cy="6350"/>
                    </a:xfrm>
                    <a:prstGeom prst="rect">
                      <a:avLst/>
                    </a:prstGeom>
                  </pic:spPr>
                </pic:pic>
              </a:graphicData>
            </a:graphic>
          </wp:anchor>
        </w:drawing>
      </w:r>
      <w:r>
        <w:rPr>
          <w:position w:val="2"/>
          <w:sz w:val="12"/>
        </w:rPr>
        <w:t>1</w:t>
        <w:tab/>
      </w:r>
      <w:r>
        <w:rPr>
          <w:sz w:val="12"/>
        </w:rPr>
        <w:t>85</w:t>
      </w:r>
    </w:p>
    <w:p>
      <w:pPr>
        <w:pStyle w:val="BodyText"/>
        <w:rPr>
          <w:sz w:val="14"/>
        </w:rPr>
      </w:pPr>
    </w:p>
    <w:p>
      <w:pPr>
        <w:tabs>
          <w:tab w:pos="3542" w:val="left" w:leader="none"/>
        </w:tabs>
        <w:spacing w:line="134" w:lineRule="exact" w:before="93"/>
        <w:ind w:left="115" w:right="0" w:firstLine="0"/>
        <w:jc w:val="center"/>
        <w:rPr>
          <w:sz w:val="12"/>
        </w:rPr>
      </w:pPr>
      <w:r>
        <w:rPr/>
        <w:drawing>
          <wp:anchor distT="0" distB="0" distL="0" distR="0" allowOverlap="1" layoutInCell="1" locked="0" behindDoc="1" simplePos="0" relativeHeight="480971776">
            <wp:simplePos x="0" y="0"/>
            <wp:positionH relativeFrom="page">
              <wp:posOffset>573151</wp:posOffset>
            </wp:positionH>
            <wp:positionV relativeFrom="paragraph">
              <wp:posOffset>118688</wp:posOffset>
            </wp:positionV>
            <wp:extent cx="55029" cy="6350"/>
            <wp:effectExtent l="0" t="0" r="0" b="0"/>
            <wp:wrapNone/>
            <wp:docPr id="497" name="image20.png"/>
            <wp:cNvGraphicFramePr>
              <a:graphicFrameLocks noChangeAspect="1"/>
            </wp:cNvGraphicFramePr>
            <a:graphic>
              <a:graphicData uri="http://schemas.openxmlformats.org/drawingml/2006/picture">
                <pic:pic>
                  <pic:nvPicPr>
                    <pic:cNvPr id="498" name="image20.png"/>
                    <pic:cNvPicPr/>
                  </pic:nvPicPr>
                  <pic:blipFill>
                    <a:blip r:embed="rId51"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975872">
            <wp:simplePos x="0" y="0"/>
            <wp:positionH relativeFrom="page">
              <wp:posOffset>2565996</wp:posOffset>
            </wp:positionH>
            <wp:positionV relativeFrom="paragraph">
              <wp:posOffset>114916</wp:posOffset>
            </wp:positionV>
            <wp:extent cx="55029" cy="6350"/>
            <wp:effectExtent l="0" t="0" r="0" b="0"/>
            <wp:wrapNone/>
            <wp:docPr id="499" name="image15.png"/>
            <wp:cNvGraphicFramePr>
              <a:graphicFrameLocks noChangeAspect="1"/>
            </wp:cNvGraphicFramePr>
            <a:graphic>
              <a:graphicData uri="http://schemas.openxmlformats.org/drawingml/2006/picture">
                <pic:pic>
                  <pic:nvPicPr>
                    <pic:cNvPr id="500" name="image15.png"/>
                    <pic:cNvPicPr/>
                  </pic:nvPicPr>
                  <pic:blipFill>
                    <a:blip r:embed="rId46"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1" simplePos="0" relativeHeight="480976384">
            <wp:simplePos x="0" y="0"/>
            <wp:positionH relativeFrom="page">
              <wp:posOffset>678446</wp:posOffset>
            </wp:positionH>
            <wp:positionV relativeFrom="paragraph">
              <wp:posOffset>75559</wp:posOffset>
            </wp:positionV>
            <wp:extent cx="1836750" cy="45770"/>
            <wp:effectExtent l="0" t="0" r="0" b="0"/>
            <wp:wrapNone/>
            <wp:docPr id="501" name="image85.png"/>
            <wp:cNvGraphicFramePr>
              <a:graphicFrameLocks noChangeAspect="1"/>
            </wp:cNvGraphicFramePr>
            <a:graphic>
              <a:graphicData uri="http://schemas.openxmlformats.org/drawingml/2006/picture">
                <pic:pic>
                  <pic:nvPicPr>
                    <pic:cNvPr id="502" name="image85.png"/>
                    <pic:cNvPicPr/>
                  </pic:nvPicPr>
                  <pic:blipFill>
                    <a:blip r:embed="rId167" cstate="print"/>
                    <a:stretch>
                      <a:fillRect/>
                    </a:stretch>
                  </pic:blipFill>
                  <pic:spPr>
                    <a:xfrm>
                      <a:off x="0" y="0"/>
                      <a:ext cx="1836750" cy="45770"/>
                    </a:xfrm>
                    <a:prstGeom prst="rect">
                      <a:avLst/>
                    </a:prstGeom>
                  </pic:spPr>
                </pic:pic>
              </a:graphicData>
            </a:graphic>
          </wp:anchor>
        </w:drawing>
      </w:r>
      <w:r>
        <w:rPr>
          <w:position w:val="2"/>
          <w:sz w:val="12"/>
        </w:rPr>
        <w:t>2</w:t>
        <w:tab/>
      </w:r>
      <w:r>
        <w:rPr>
          <w:sz w:val="12"/>
        </w:rPr>
        <w:t>80</w:t>
      </w:r>
    </w:p>
    <w:p>
      <w:pPr>
        <w:spacing w:line="114" w:lineRule="exact" w:before="0"/>
        <w:ind w:left="158" w:right="0" w:firstLine="0"/>
        <w:jc w:val="center"/>
        <w:rPr>
          <w:sz w:val="12"/>
        </w:rPr>
      </w:pPr>
      <w:r>
        <w:rPr>
          <w:sz w:val="12"/>
        </w:rPr>
        <w:t>1988 89 90 91 92 93 94 95 96 97 98 99 2000</w:t>
      </w:r>
    </w:p>
    <w:p>
      <w:pPr>
        <w:pStyle w:val="BodyText"/>
        <w:rPr>
          <w:sz w:val="12"/>
        </w:rPr>
      </w:pPr>
    </w:p>
    <w:p>
      <w:pPr>
        <w:pStyle w:val="BodyText"/>
        <w:rPr>
          <w:sz w:val="12"/>
        </w:rPr>
      </w:pPr>
    </w:p>
    <w:p>
      <w:pPr>
        <w:pStyle w:val="BodyText"/>
        <w:rPr>
          <w:sz w:val="12"/>
        </w:rPr>
      </w:pPr>
    </w:p>
    <w:p>
      <w:pPr>
        <w:pStyle w:val="BodyText"/>
        <w:spacing w:before="2"/>
        <w:rPr>
          <w:sz w:val="17"/>
        </w:rPr>
      </w:pPr>
    </w:p>
    <w:p>
      <w:pPr>
        <w:spacing w:before="0"/>
        <w:ind w:left="142" w:right="0" w:firstLine="0"/>
        <w:jc w:val="left"/>
        <w:rPr>
          <w:b/>
          <w:sz w:val="20"/>
        </w:rPr>
      </w:pPr>
      <w:r>
        <w:rPr>
          <w:b/>
          <w:color w:val="0092C7"/>
          <w:sz w:val="20"/>
        </w:rPr>
        <w:t>Chart 4.10</w:t>
      </w:r>
    </w:p>
    <w:p>
      <w:pPr>
        <w:spacing w:line="249" w:lineRule="auto" w:before="10"/>
        <w:ind w:left="142" w:right="275" w:firstLine="0"/>
        <w:jc w:val="left"/>
        <w:rPr>
          <w:sz w:val="12"/>
        </w:rPr>
      </w:pPr>
      <w:r>
        <w:rPr>
          <w:b/>
          <w:color w:val="0092C7"/>
          <w:sz w:val="20"/>
        </w:rPr>
        <w:t>Relative price of household and leisure goods</w:t>
      </w:r>
      <w:r>
        <w:rPr>
          <w:position w:val="4"/>
          <w:sz w:val="12"/>
        </w:rPr>
        <w:t>(a)</w:t>
      </w:r>
    </w:p>
    <w:p>
      <w:pPr>
        <w:spacing w:before="55"/>
        <w:ind w:left="2776" w:right="0" w:firstLine="0"/>
        <w:jc w:val="left"/>
        <w:rPr>
          <w:sz w:val="12"/>
        </w:rPr>
      </w:pPr>
      <w:r>
        <w:rPr/>
        <w:drawing>
          <wp:anchor distT="0" distB="0" distL="0" distR="0" allowOverlap="1" layoutInCell="1" locked="0" behindDoc="0" simplePos="0" relativeHeight="16273408">
            <wp:simplePos x="0" y="0"/>
            <wp:positionH relativeFrom="page">
              <wp:posOffset>485305</wp:posOffset>
            </wp:positionH>
            <wp:positionV relativeFrom="paragraph">
              <wp:posOffset>124603</wp:posOffset>
            </wp:positionV>
            <wp:extent cx="55041" cy="6350"/>
            <wp:effectExtent l="0" t="0" r="0" b="0"/>
            <wp:wrapNone/>
            <wp:docPr id="503" name="image15.png"/>
            <wp:cNvGraphicFramePr>
              <a:graphicFrameLocks noChangeAspect="1"/>
            </wp:cNvGraphicFramePr>
            <a:graphic>
              <a:graphicData uri="http://schemas.openxmlformats.org/drawingml/2006/picture">
                <pic:pic>
                  <pic:nvPicPr>
                    <pic:cNvPr id="504" name="image15.png"/>
                    <pic:cNvPicPr/>
                  </pic:nvPicPr>
                  <pic:blipFill>
                    <a:blip r:embed="rId46" cstate="print"/>
                    <a:stretch>
                      <a:fillRect/>
                    </a:stretch>
                  </pic:blipFill>
                  <pic:spPr>
                    <a:xfrm>
                      <a:off x="0" y="0"/>
                      <a:ext cx="55041" cy="6350"/>
                    </a:xfrm>
                    <a:prstGeom prst="rect">
                      <a:avLst/>
                    </a:prstGeom>
                  </pic:spPr>
                </pic:pic>
              </a:graphicData>
            </a:graphic>
          </wp:anchor>
        </w:drawing>
      </w:r>
      <w:r>
        <w:rPr>
          <w:sz w:val="12"/>
        </w:rPr>
        <w:t>1987 = 10</w:t>
      </w:r>
      <w:r>
        <w:rPr>
          <w:sz w:val="12"/>
          <w:u w:val="single"/>
        </w:rPr>
        <w:t>0</w:t>
      </w:r>
      <w:r>
        <w:rPr>
          <w:spacing w:val="12"/>
          <w:sz w:val="12"/>
        </w:rPr>
        <w:t> </w:t>
      </w:r>
      <w:r>
        <w:rPr>
          <w:position w:val="-8"/>
          <w:sz w:val="12"/>
        </w:rPr>
        <w:t>110</w:t>
      </w:r>
    </w:p>
    <w:p>
      <w:pPr>
        <w:pStyle w:val="BodyText"/>
        <w:rPr>
          <w:sz w:val="22"/>
        </w:rPr>
      </w:pPr>
    </w:p>
    <w:p>
      <w:pPr>
        <w:pStyle w:val="BodyText"/>
        <w:spacing w:before="10"/>
        <w:rPr>
          <w:sz w:val="28"/>
        </w:rPr>
      </w:pPr>
    </w:p>
    <w:p>
      <w:pPr>
        <w:spacing w:before="1"/>
        <w:ind w:left="0" w:right="193" w:firstLine="0"/>
        <w:jc w:val="right"/>
        <w:rPr>
          <w:sz w:val="12"/>
        </w:rPr>
      </w:pPr>
      <w:r>
        <w:rPr/>
        <w:pict>
          <v:group style="position:absolute;margin-left:38.213001pt;margin-top:-1.97324pt;width:152.450pt;height:96.65pt;mso-position-horizontal-relative:page;mso-position-vertical-relative:paragraph;z-index:16272896" coordorigin="764,-39" coordsize="3049,1933">
            <v:shape style="position:absolute;left:764;top:-40;width:3049;height:1933" type="#_x0000_t75" stroked="false">
              <v:imagedata r:id="rId168" o:title=""/>
            </v:shape>
            <v:shape style="position:absolute;left:2014;top:70;width:857;height:134" type="#_x0000_t202" filled="false" stroked="false">
              <v:textbox inset="0,0,0,0">
                <w:txbxContent>
                  <w:p>
                    <w:pPr>
                      <w:spacing w:line="133" w:lineRule="exact" w:before="0"/>
                      <w:ind w:left="0" w:right="0" w:firstLine="0"/>
                      <w:jc w:val="left"/>
                      <w:rPr>
                        <w:sz w:val="12"/>
                      </w:rPr>
                    </w:pPr>
                    <w:r>
                      <w:rPr>
                        <w:sz w:val="12"/>
                      </w:rPr>
                      <w:t>Household goods</w:t>
                    </w:r>
                  </w:p>
                </w:txbxContent>
              </v:textbox>
              <w10:wrap type="none"/>
            </v:shape>
            <v:shape style="position:absolute;left:1974;top:876;width:697;height:134" type="#_x0000_t202" filled="false" stroked="false">
              <v:textbox inset="0,0,0,0">
                <w:txbxContent>
                  <w:p>
                    <w:pPr>
                      <w:spacing w:line="133" w:lineRule="exact" w:before="0"/>
                      <w:ind w:left="0" w:right="0" w:firstLine="0"/>
                      <w:jc w:val="left"/>
                      <w:rPr>
                        <w:sz w:val="12"/>
                      </w:rPr>
                    </w:pPr>
                    <w:r>
                      <w:rPr>
                        <w:sz w:val="12"/>
                      </w:rPr>
                      <w:t>Leisure goods</w:t>
                    </w:r>
                  </w:p>
                </w:txbxContent>
              </v:textbox>
              <w10:wrap type="none"/>
            </v:shape>
            <w10:wrap type="none"/>
          </v:group>
        </w:pict>
      </w:r>
      <w:r>
        <w:rPr/>
        <w:drawing>
          <wp:anchor distT="0" distB="0" distL="0" distR="0" allowOverlap="1" layoutInCell="1" locked="0" behindDoc="0" simplePos="0" relativeHeight="16274432">
            <wp:simplePos x="0" y="0"/>
            <wp:positionH relativeFrom="page">
              <wp:posOffset>2472334</wp:posOffset>
            </wp:positionH>
            <wp:positionV relativeFrom="paragraph">
              <wp:posOffset>46910</wp:posOffset>
            </wp:positionV>
            <wp:extent cx="55029" cy="6350"/>
            <wp:effectExtent l="0" t="0" r="0" b="0"/>
            <wp:wrapNone/>
            <wp:docPr id="505" name="image21.png"/>
            <wp:cNvGraphicFramePr>
              <a:graphicFrameLocks noChangeAspect="1"/>
            </wp:cNvGraphicFramePr>
            <a:graphic>
              <a:graphicData uri="http://schemas.openxmlformats.org/drawingml/2006/picture">
                <pic:pic>
                  <pic:nvPicPr>
                    <pic:cNvPr id="506" name="image21.png"/>
                    <pic:cNvPicPr/>
                  </pic:nvPicPr>
                  <pic:blipFill>
                    <a:blip r:embed="rId52" cstate="print"/>
                    <a:stretch>
                      <a:fillRect/>
                    </a:stretch>
                  </pic:blipFill>
                  <pic:spPr>
                    <a:xfrm>
                      <a:off x="0" y="0"/>
                      <a:ext cx="55029" cy="6350"/>
                    </a:xfrm>
                    <a:prstGeom prst="rect">
                      <a:avLst/>
                    </a:prstGeom>
                  </pic:spPr>
                </pic:pic>
              </a:graphicData>
            </a:graphic>
          </wp:anchor>
        </w:drawing>
      </w:r>
      <w:r>
        <w:rPr>
          <w:sz w:val="12"/>
        </w:rPr>
        <w:t>100</w:t>
      </w:r>
    </w:p>
    <w:p>
      <w:pPr>
        <w:pStyle w:val="BodyText"/>
        <w:rPr>
          <w:sz w:val="12"/>
        </w:rPr>
      </w:pPr>
    </w:p>
    <w:p>
      <w:pPr>
        <w:pStyle w:val="BodyText"/>
        <w:rPr>
          <w:sz w:val="12"/>
        </w:rPr>
      </w:pPr>
    </w:p>
    <w:p>
      <w:pPr>
        <w:pStyle w:val="BodyText"/>
        <w:rPr>
          <w:sz w:val="12"/>
        </w:rPr>
      </w:pPr>
    </w:p>
    <w:p>
      <w:pPr>
        <w:pStyle w:val="BodyText"/>
        <w:rPr>
          <w:sz w:val="14"/>
        </w:rPr>
      </w:pPr>
    </w:p>
    <w:p>
      <w:pPr>
        <w:spacing w:before="0"/>
        <w:ind w:left="0" w:right="193" w:firstLine="0"/>
        <w:jc w:val="right"/>
        <w:rPr>
          <w:sz w:val="12"/>
        </w:rPr>
      </w:pPr>
      <w:r>
        <w:rPr/>
        <w:drawing>
          <wp:anchor distT="0" distB="0" distL="0" distR="0" allowOverlap="1" layoutInCell="1" locked="0" behindDoc="0" simplePos="0" relativeHeight="16274944">
            <wp:simplePos x="0" y="0"/>
            <wp:positionH relativeFrom="page">
              <wp:posOffset>2472334</wp:posOffset>
            </wp:positionH>
            <wp:positionV relativeFrom="paragraph">
              <wp:posOffset>45943</wp:posOffset>
            </wp:positionV>
            <wp:extent cx="55029" cy="6350"/>
            <wp:effectExtent l="0" t="0" r="0" b="0"/>
            <wp:wrapNone/>
            <wp:docPr id="507" name="image20.png"/>
            <wp:cNvGraphicFramePr>
              <a:graphicFrameLocks noChangeAspect="1"/>
            </wp:cNvGraphicFramePr>
            <a:graphic>
              <a:graphicData uri="http://schemas.openxmlformats.org/drawingml/2006/picture">
                <pic:pic>
                  <pic:nvPicPr>
                    <pic:cNvPr id="508" name="image20.png"/>
                    <pic:cNvPicPr/>
                  </pic:nvPicPr>
                  <pic:blipFill>
                    <a:blip r:embed="rId51" cstate="print"/>
                    <a:stretch>
                      <a:fillRect/>
                    </a:stretch>
                  </pic:blipFill>
                  <pic:spPr>
                    <a:xfrm>
                      <a:off x="0" y="0"/>
                      <a:ext cx="55029" cy="6350"/>
                    </a:xfrm>
                    <a:prstGeom prst="rect">
                      <a:avLst/>
                    </a:prstGeom>
                  </pic:spPr>
                </pic:pic>
              </a:graphicData>
            </a:graphic>
          </wp:anchor>
        </w:drawing>
      </w:r>
      <w:r>
        <w:rPr>
          <w:sz w:val="12"/>
        </w:rPr>
        <w:t>90</w:t>
      </w:r>
    </w:p>
    <w:p>
      <w:pPr>
        <w:pStyle w:val="BodyText"/>
        <w:rPr>
          <w:sz w:val="12"/>
        </w:rPr>
      </w:pPr>
    </w:p>
    <w:p>
      <w:pPr>
        <w:pStyle w:val="BodyText"/>
        <w:rPr>
          <w:sz w:val="12"/>
        </w:rPr>
      </w:pPr>
    </w:p>
    <w:p>
      <w:pPr>
        <w:pStyle w:val="BodyText"/>
        <w:rPr>
          <w:sz w:val="12"/>
        </w:rPr>
      </w:pPr>
    </w:p>
    <w:p>
      <w:pPr>
        <w:pStyle w:val="BodyText"/>
        <w:spacing w:before="11"/>
        <w:rPr>
          <w:sz w:val="14"/>
        </w:rPr>
      </w:pPr>
    </w:p>
    <w:p>
      <w:pPr>
        <w:spacing w:before="0"/>
        <w:ind w:left="0" w:right="193" w:firstLine="0"/>
        <w:jc w:val="right"/>
        <w:rPr>
          <w:sz w:val="12"/>
        </w:rPr>
      </w:pPr>
      <w:r>
        <w:rPr/>
        <w:drawing>
          <wp:anchor distT="0" distB="0" distL="0" distR="0" allowOverlap="1" layoutInCell="1" locked="0" behindDoc="0" simplePos="0" relativeHeight="16275456">
            <wp:simplePos x="0" y="0"/>
            <wp:positionH relativeFrom="page">
              <wp:posOffset>2472334</wp:posOffset>
            </wp:positionH>
            <wp:positionV relativeFrom="paragraph">
              <wp:posOffset>44419</wp:posOffset>
            </wp:positionV>
            <wp:extent cx="55029" cy="6350"/>
            <wp:effectExtent l="0" t="0" r="0" b="0"/>
            <wp:wrapNone/>
            <wp:docPr id="509" name="image20.png"/>
            <wp:cNvGraphicFramePr>
              <a:graphicFrameLocks noChangeAspect="1"/>
            </wp:cNvGraphicFramePr>
            <a:graphic>
              <a:graphicData uri="http://schemas.openxmlformats.org/drawingml/2006/picture">
                <pic:pic>
                  <pic:nvPicPr>
                    <pic:cNvPr id="510" name="image20.png"/>
                    <pic:cNvPicPr/>
                  </pic:nvPicPr>
                  <pic:blipFill>
                    <a:blip r:embed="rId51" cstate="print"/>
                    <a:stretch>
                      <a:fillRect/>
                    </a:stretch>
                  </pic:blipFill>
                  <pic:spPr>
                    <a:xfrm>
                      <a:off x="0" y="0"/>
                      <a:ext cx="55029" cy="6350"/>
                    </a:xfrm>
                    <a:prstGeom prst="rect">
                      <a:avLst/>
                    </a:prstGeom>
                  </pic:spPr>
                </pic:pic>
              </a:graphicData>
            </a:graphic>
          </wp:anchor>
        </w:drawing>
      </w:r>
      <w:r>
        <w:rPr>
          <w:sz w:val="12"/>
        </w:rPr>
        <w:t>80</w:t>
      </w:r>
    </w:p>
    <w:p>
      <w:pPr>
        <w:pStyle w:val="BodyText"/>
        <w:rPr>
          <w:sz w:val="12"/>
        </w:rPr>
      </w:pPr>
    </w:p>
    <w:p>
      <w:pPr>
        <w:pStyle w:val="BodyText"/>
        <w:rPr>
          <w:sz w:val="12"/>
        </w:rPr>
      </w:pPr>
    </w:p>
    <w:p>
      <w:pPr>
        <w:pStyle w:val="BodyText"/>
        <w:rPr>
          <w:sz w:val="12"/>
        </w:rPr>
      </w:pPr>
    </w:p>
    <w:p>
      <w:pPr>
        <w:pStyle w:val="BodyText"/>
        <w:spacing w:before="3"/>
        <w:rPr>
          <w:sz w:val="14"/>
        </w:rPr>
      </w:pPr>
    </w:p>
    <w:p>
      <w:pPr>
        <w:spacing w:line="121" w:lineRule="exact" w:before="1"/>
        <w:ind w:left="3426" w:right="0" w:firstLine="0"/>
        <w:jc w:val="left"/>
        <w:rPr>
          <w:sz w:val="12"/>
        </w:rPr>
      </w:pPr>
      <w:r>
        <w:rPr/>
        <w:drawing>
          <wp:anchor distT="0" distB="0" distL="0" distR="0" allowOverlap="1" layoutInCell="1" locked="0" behindDoc="0" simplePos="0" relativeHeight="16273920">
            <wp:simplePos x="0" y="0"/>
            <wp:positionH relativeFrom="page">
              <wp:posOffset>485305</wp:posOffset>
            </wp:positionH>
            <wp:positionV relativeFrom="paragraph">
              <wp:posOffset>11653</wp:posOffset>
            </wp:positionV>
            <wp:extent cx="1935162" cy="33870"/>
            <wp:effectExtent l="0" t="0" r="0" b="0"/>
            <wp:wrapNone/>
            <wp:docPr id="511" name="image87.png"/>
            <wp:cNvGraphicFramePr>
              <a:graphicFrameLocks noChangeAspect="1"/>
            </wp:cNvGraphicFramePr>
            <a:graphic>
              <a:graphicData uri="http://schemas.openxmlformats.org/drawingml/2006/picture">
                <pic:pic>
                  <pic:nvPicPr>
                    <pic:cNvPr id="512" name="image87.png"/>
                    <pic:cNvPicPr/>
                  </pic:nvPicPr>
                  <pic:blipFill>
                    <a:blip r:embed="rId169" cstate="print"/>
                    <a:stretch>
                      <a:fillRect/>
                    </a:stretch>
                  </pic:blipFill>
                  <pic:spPr>
                    <a:xfrm>
                      <a:off x="0" y="0"/>
                      <a:ext cx="1935162" cy="33870"/>
                    </a:xfrm>
                    <a:prstGeom prst="rect">
                      <a:avLst/>
                    </a:prstGeom>
                  </pic:spPr>
                </pic:pic>
              </a:graphicData>
            </a:graphic>
          </wp:anchor>
        </w:drawing>
      </w:r>
      <w:r>
        <w:rPr/>
        <w:drawing>
          <wp:anchor distT="0" distB="0" distL="0" distR="0" allowOverlap="1" layoutInCell="1" locked="0" behindDoc="0" simplePos="0" relativeHeight="16275968">
            <wp:simplePos x="0" y="0"/>
            <wp:positionH relativeFrom="page">
              <wp:posOffset>2472334</wp:posOffset>
            </wp:positionH>
            <wp:positionV relativeFrom="paragraph">
              <wp:posOffset>38640</wp:posOffset>
            </wp:positionV>
            <wp:extent cx="55029" cy="6350"/>
            <wp:effectExtent l="0" t="0" r="0" b="0"/>
            <wp:wrapNone/>
            <wp:docPr id="513" name="image20.png"/>
            <wp:cNvGraphicFramePr>
              <a:graphicFrameLocks noChangeAspect="1"/>
            </wp:cNvGraphicFramePr>
            <a:graphic>
              <a:graphicData uri="http://schemas.openxmlformats.org/drawingml/2006/picture">
                <pic:pic>
                  <pic:nvPicPr>
                    <pic:cNvPr id="514" name="image20.png"/>
                    <pic:cNvPicPr/>
                  </pic:nvPicPr>
                  <pic:blipFill>
                    <a:blip r:embed="rId51" cstate="print"/>
                    <a:stretch>
                      <a:fillRect/>
                    </a:stretch>
                  </pic:blipFill>
                  <pic:spPr>
                    <a:xfrm>
                      <a:off x="0" y="0"/>
                      <a:ext cx="55029" cy="6350"/>
                    </a:xfrm>
                    <a:prstGeom prst="rect">
                      <a:avLst/>
                    </a:prstGeom>
                  </pic:spPr>
                </pic:pic>
              </a:graphicData>
            </a:graphic>
          </wp:anchor>
        </w:drawing>
      </w:r>
      <w:r>
        <w:rPr>
          <w:sz w:val="12"/>
        </w:rPr>
        <w:t>70</w:t>
      </w:r>
    </w:p>
    <w:p>
      <w:pPr>
        <w:tabs>
          <w:tab w:pos="669" w:val="left" w:leader="none"/>
          <w:tab w:pos="1099" w:val="left" w:leader="none"/>
          <w:tab w:pos="1541" w:val="left" w:leader="none"/>
          <w:tab w:pos="1984" w:val="left" w:leader="none"/>
          <w:tab w:pos="2424" w:val="left" w:leader="none"/>
          <w:tab w:pos="2856" w:val="left" w:leader="none"/>
        </w:tabs>
        <w:spacing w:line="121" w:lineRule="exact" w:before="0"/>
        <w:ind w:left="226" w:right="0" w:firstLine="0"/>
        <w:jc w:val="left"/>
        <w:rPr>
          <w:sz w:val="12"/>
        </w:rPr>
      </w:pPr>
      <w:r>
        <w:rPr>
          <w:sz w:val="12"/>
        </w:rPr>
        <w:t>1987</w:t>
        <w:tab/>
        <w:t>89</w:t>
        <w:tab/>
        <w:t>91</w:t>
        <w:tab/>
        <w:t>93</w:t>
        <w:tab/>
        <w:t>95</w:t>
        <w:tab/>
        <w:t>97</w:t>
        <w:tab/>
        <w:t>99</w:t>
      </w:r>
    </w:p>
    <w:p>
      <w:pPr>
        <w:spacing w:before="64"/>
        <w:ind w:left="142" w:right="0" w:firstLine="0"/>
        <w:jc w:val="left"/>
        <w:rPr>
          <w:sz w:val="12"/>
        </w:rPr>
      </w:pPr>
      <w:r>
        <w:rPr>
          <w:sz w:val="12"/>
        </w:rPr>
        <w:t>(a) Prices relative to all RPIX goods prices.</w:t>
      </w:r>
    </w:p>
    <w:p>
      <w:pPr>
        <w:pStyle w:val="Heading6"/>
        <w:spacing w:line="242" w:lineRule="auto" w:before="217"/>
        <w:ind w:left="124" w:right="203"/>
      </w:pPr>
      <w:r>
        <w:rPr/>
        <w:br w:type="column"/>
      </w:r>
      <w:r>
        <w:rPr/>
        <w:t>in March, as mortgage rates increased relative to a year earlier.</w:t>
      </w:r>
    </w:p>
    <w:p>
      <w:pPr>
        <w:pStyle w:val="BodyText"/>
        <w:spacing w:before="6"/>
        <w:rPr>
          <w:sz w:val="24"/>
        </w:rPr>
      </w:pPr>
    </w:p>
    <w:p>
      <w:pPr>
        <w:spacing w:line="242" w:lineRule="auto" w:before="1"/>
        <w:ind w:left="124" w:right="250" w:firstLine="0"/>
        <w:jc w:val="both"/>
        <w:rPr>
          <w:sz w:val="24"/>
        </w:rPr>
      </w:pPr>
      <w:r>
        <w:rPr>
          <w:sz w:val="24"/>
        </w:rPr>
        <w:t>While RPIX inflation has remained relatively </w:t>
      </w:r>
      <w:r>
        <w:rPr>
          <w:spacing w:val="-3"/>
          <w:sz w:val="24"/>
        </w:rPr>
        <w:t>steady, </w:t>
      </w:r>
      <w:r>
        <w:rPr>
          <w:spacing w:val="-6"/>
          <w:sz w:val="24"/>
        </w:rPr>
        <w:t>the </w:t>
      </w:r>
      <w:r>
        <w:rPr>
          <w:sz w:val="24"/>
        </w:rPr>
        <w:t>gap between retail goods and services price inflation has widened further: the differential in 2000 Q1 was</w:t>
      </w:r>
    </w:p>
    <w:p>
      <w:pPr>
        <w:pStyle w:val="ListParagraph"/>
        <w:numPr>
          <w:ilvl w:val="1"/>
          <w:numId w:val="34"/>
        </w:numPr>
        <w:tabs>
          <w:tab w:pos="485" w:val="left" w:leader="none"/>
        </w:tabs>
        <w:spacing w:line="242" w:lineRule="auto" w:before="3" w:after="0"/>
        <w:ind w:left="124" w:right="219" w:firstLine="0"/>
        <w:jc w:val="left"/>
        <w:rPr>
          <w:sz w:val="24"/>
        </w:rPr>
      </w:pPr>
      <w:r>
        <w:rPr>
          <w:sz w:val="24"/>
        </w:rPr>
        <w:t>percentage points. On average the prices of services tend to rise more quickly than the prices of goods. That is</w:t>
      </w:r>
      <w:r>
        <w:rPr>
          <w:spacing w:val="-8"/>
          <w:sz w:val="24"/>
        </w:rPr>
        <w:t> </w:t>
      </w:r>
      <w:r>
        <w:rPr>
          <w:sz w:val="24"/>
        </w:rPr>
        <w:t>because</w:t>
      </w:r>
      <w:r>
        <w:rPr>
          <w:spacing w:val="-7"/>
          <w:sz w:val="24"/>
        </w:rPr>
        <w:t> </w:t>
      </w:r>
      <w:r>
        <w:rPr>
          <w:sz w:val="24"/>
        </w:rPr>
        <w:t>productivity</w:t>
      </w:r>
      <w:r>
        <w:rPr>
          <w:spacing w:val="-7"/>
          <w:sz w:val="24"/>
        </w:rPr>
        <w:t> </w:t>
      </w:r>
      <w:r>
        <w:rPr>
          <w:sz w:val="24"/>
        </w:rPr>
        <w:t>growth</w:t>
      </w:r>
      <w:r>
        <w:rPr>
          <w:spacing w:val="-7"/>
          <w:sz w:val="24"/>
        </w:rPr>
        <w:t> </w:t>
      </w:r>
      <w:r>
        <w:rPr>
          <w:sz w:val="24"/>
        </w:rPr>
        <w:t>is</w:t>
      </w:r>
      <w:r>
        <w:rPr>
          <w:spacing w:val="-7"/>
          <w:sz w:val="24"/>
        </w:rPr>
        <w:t> </w:t>
      </w:r>
      <w:r>
        <w:rPr>
          <w:sz w:val="24"/>
        </w:rPr>
        <w:t>lower</w:t>
      </w:r>
      <w:r>
        <w:rPr>
          <w:spacing w:val="-8"/>
          <w:sz w:val="24"/>
        </w:rPr>
        <w:t> </w:t>
      </w:r>
      <w:r>
        <w:rPr>
          <w:sz w:val="24"/>
        </w:rPr>
        <w:t>on</w:t>
      </w:r>
      <w:r>
        <w:rPr>
          <w:spacing w:val="-7"/>
          <w:sz w:val="24"/>
        </w:rPr>
        <w:t> </w:t>
      </w:r>
      <w:r>
        <w:rPr>
          <w:sz w:val="24"/>
        </w:rPr>
        <w:t>average</w:t>
      </w:r>
      <w:r>
        <w:rPr>
          <w:spacing w:val="-7"/>
          <w:sz w:val="24"/>
        </w:rPr>
        <w:t> </w:t>
      </w:r>
      <w:r>
        <w:rPr>
          <w:sz w:val="24"/>
        </w:rPr>
        <w:t>in</w:t>
      </w:r>
      <w:r>
        <w:rPr>
          <w:spacing w:val="-7"/>
          <w:sz w:val="24"/>
        </w:rPr>
        <w:t> </w:t>
      </w:r>
      <w:r>
        <w:rPr>
          <w:sz w:val="24"/>
        </w:rPr>
        <w:t>the service </w:t>
      </w:r>
      <w:r>
        <w:rPr>
          <w:spacing w:val="-3"/>
          <w:sz w:val="24"/>
        </w:rPr>
        <w:t>sector. </w:t>
      </w:r>
      <w:r>
        <w:rPr>
          <w:sz w:val="24"/>
        </w:rPr>
        <w:t>The average gap between the inflation rates for retail goods and services </w:t>
      </w:r>
      <w:r>
        <w:rPr>
          <w:spacing w:val="-3"/>
          <w:sz w:val="24"/>
        </w:rPr>
        <w:t>over </w:t>
      </w:r>
      <w:r>
        <w:rPr>
          <w:sz w:val="24"/>
        </w:rPr>
        <w:t>the past ten years has been around 2 percentage points. A similar gap is evident in other major economies. The differential is currently much larger than this historical average. That may in part reflect the recent appreciation of the exchange rate, because the goods sector is more exposed to international competition (see Chart 4.9). But it may also indicate an increase in the degree of competition in the goods sector relative to the services sector, over and above that caused by the</w:t>
      </w:r>
      <w:r>
        <w:rPr>
          <w:spacing w:val="-2"/>
          <w:sz w:val="24"/>
        </w:rPr>
        <w:t> </w:t>
      </w:r>
      <w:r>
        <w:rPr>
          <w:sz w:val="24"/>
        </w:rPr>
        <w:t>appreciation.</w:t>
      </w:r>
    </w:p>
    <w:p>
      <w:pPr>
        <w:pStyle w:val="BodyText"/>
        <w:spacing w:before="11"/>
        <w:rPr>
          <w:sz w:val="25"/>
        </w:rPr>
      </w:pPr>
    </w:p>
    <w:p>
      <w:pPr>
        <w:spacing w:line="242" w:lineRule="auto" w:before="0"/>
        <w:ind w:left="124" w:right="203" w:firstLine="0"/>
        <w:jc w:val="left"/>
        <w:rPr>
          <w:sz w:val="24"/>
        </w:rPr>
      </w:pPr>
      <w:r>
        <w:rPr>
          <w:sz w:val="24"/>
        </w:rPr>
        <w:t>Retail goods prices fell by 0.1% in the year to 2000 Q1; excluding petrol they fell by 1.5%. The anticipation of greater competition in </w:t>
      </w:r>
      <w:r>
        <w:rPr>
          <w:spacing w:val="-3"/>
          <w:sz w:val="24"/>
        </w:rPr>
        <w:t>new </w:t>
      </w:r>
      <w:r>
        <w:rPr>
          <w:sz w:val="24"/>
        </w:rPr>
        <w:t>car retailing has led to a sharp decline in used-car prices relative to a year ago, and that sector continues to make the largest </w:t>
      </w:r>
      <w:r>
        <w:rPr>
          <w:spacing w:val="-3"/>
          <w:sz w:val="24"/>
        </w:rPr>
        <w:t>negative </w:t>
      </w:r>
      <w:r>
        <w:rPr>
          <w:sz w:val="24"/>
        </w:rPr>
        <w:t>contribution to RPIX inflation (-0.3 percentage points in March). Used car prices </w:t>
      </w:r>
      <w:r>
        <w:rPr>
          <w:spacing w:val="-3"/>
          <w:sz w:val="24"/>
        </w:rPr>
        <w:t>have </w:t>
      </w:r>
      <w:r>
        <w:rPr>
          <w:sz w:val="24"/>
        </w:rPr>
        <w:t>recovered by 1.9% since December, although future developments in car prices will be affected in part by the consequences of the Competition Commission’s report into new car retailing. Retail goods prices in other sectors may </w:t>
      </w:r>
      <w:r>
        <w:rPr>
          <w:spacing w:val="-3"/>
          <w:sz w:val="24"/>
        </w:rPr>
        <w:t>have </w:t>
      </w:r>
      <w:r>
        <w:rPr>
          <w:sz w:val="24"/>
        </w:rPr>
        <w:t>been affected by increased use of the Internet. Prices quoted on the Internet were included in the RPI sample for the first time in February: the ONS incorporated quotes on two leisure goods, books and toys, which were judged more likely than other goods to be bought on the Internet. But the weight attached to Internet prices is currently less than half a part per thousand. Prices charged by traditional retailers may </w:t>
      </w:r>
      <w:r>
        <w:rPr>
          <w:spacing w:val="-3"/>
          <w:sz w:val="24"/>
        </w:rPr>
        <w:t>have </w:t>
      </w:r>
      <w:r>
        <w:rPr>
          <w:sz w:val="24"/>
        </w:rPr>
        <w:t>been affected by competition with Internet retailers. That might be expected to lead to a decline in the relative price of those goods most likely to be bought on the Internet, for example household and leisure goods. But Chart 4.10 shows that recent movements in their relative prices</w:t>
      </w:r>
      <w:r>
        <w:rPr>
          <w:spacing w:val="-19"/>
          <w:sz w:val="24"/>
        </w:rPr>
        <w:t> </w:t>
      </w:r>
      <w:r>
        <w:rPr>
          <w:spacing w:val="-7"/>
          <w:sz w:val="24"/>
        </w:rPr>
        <w:t>have </w:t>
      </w:r>
      <w:r>
        <w:rPr>
          <w:sz w:val="24"/>
        </w:rPr>
        <w:t>continued well-established</w:t>
      </w:r>
      <w:r>
        <w:rPr>
          <w:spacing w:val="-4"/>
          <w:sz w:val="24"/>
        </w:rPr>
        <w:t> </w:t>
      </w:r>
      <w:r>
        <w:rPr>
          <w:sz w:val="24"/>
        </w:rPr>
        <w:t>trends.</w:t>
      </w:r>
    </w:p>
    <w:p>
      <w:pPr>
        <w:pStyle w:val="BodyText"/>
        <w:spacing w:before="1"/>
        <w:rPr>
          <w:sz w:val="27"/>
        </w:rPr>
      </w:pPr>
    </w:p>
    <w:p>
      <w:pPr>
        <w:spacing w:line="242" w:lineRule="auto" w:before="0"/>
        <w:ind w:left="124" w:right="203" w:firstLine="0"/>
        <w:jc w:val="left"/>
        <w:rPr>
          <w:sz w:val="24"/>
        </w:rPr>
      </w:pPr>
      <w:r>
        <w:rPr>
          <w:sz w:val="24"/>
        </w:rPr>
        <w:t>Reports from the Bank’s regional Agents continue to suggest that retail margins are falling. And the February </w:t>
      </w:r>
      <w:r>
        <w:rPr>
          <w:i/>
          <w:sz w:val="24"/>
        </w:rPr>
        <w:t>Report </w:t>
      </w:r>
      <w:r>
        <w:rPr>
          <w:sz w:val="24"/>
        </w:rPr>
        <w:t>noted that general retailers’ relative share prices had fallen sharply, a trend that has continued in recent</w:t>
      </w:r>
    </w:p>
    <w:p>
      <w:pPr>
        <w:spacing w:after="0" w:line="242" w:lineRule="auto"/>
        <w:jc w:val="left"/>
        <w:rPr>
          <w:sz w:val="24"/>
        </w:rPr>
        <w:sectPr>
          <w:type w:val="continuous"/>
          <w:pgSz w:w="11900" w:h="16840"/>
          <w:pgMar w:top="1220" w:bottom="280" w:left="640" w:right="620"/>
          <w:cols w:num="2" w:equalWidth="0">
            <w:col w:w="3743" w:space="1093"/>
            <w:col w:w="5804"/>
          </w:cols>
        </w:sectPr>
      </w:pPr>
    </w:p>
    <w:p>
      <w:pPr>
        <w:pStyle w:val="BodyText"/>
        <w:spacing w:before="9"/>
        <w:rPr>
          <w:sz w:val="29"/>
        </w:rPr>
      </w:pPr>
    </w:p>
    <w:p>
      <w:pPr>
        <w:spacing w:before="88"/>
        <w:ind w:left="1975" w:right="2023" w:firstLine="0"/>
        <w:jc w:val="center"/>
        <w:rPr>
          <w:b/>
          <w:sz w:val="28"/>
        </w:rPr>
      </w:pPr>
      <w:r>
        <w:rPr/>
        <w:pict>
          <v:group style="position:absolute;margin-left:38.650002pt;margin-top:-16.079679pt;width:516.7pt;height:497.65pt;mso-position-horizontal-relative:page;mso-position-vertical-relative:paragraph;z-index:-22334976" coordorigin="773,-322" coordsize="10334,9953">
            <v:shape style="position:absolute;left:792;top:-302;width:10295;height:9913" coordorigin="793,-302" coordsize="10295,9913" path="m11087,-302l5961,-302,5919,-302,793,-302,793,4635,793,4674,793,9611,5919,9611,5961,9611,11087,9611,11087,-302xe" filled="true" fillcolor="#d7e8e7" stroked="false">
              <v:path arrowok="t"/>
              <v:fill type="solid"/>
            </v:shape>
            <v:shape style="position:absolute;left:872;top:-226;width:10135;height:9761" coordorigin="872,-226" coordsize="10135,9761" path="m5940,-226l872,4655,5940,9535,11007,4655,5940,-226xe" filled="true" fillcolor="#d9e8e7" stroked="false">
              <v:path arrowok="t"/>
              <v:fill type="solid"/>
            </v:shape>
            <v:shape style="position:absolute;left:971;top:-131;width:9937;height:9570" coordorigin="972,-130" coordsize="9937,9570" path="m5940,-130l972,4655,5940,9439,10908,4655,5940,-130xe" filled="true" fillcolor="#dae9e8" stroked="false">
              <v:path arrowok="t"/>
              <v:fill type="solid"/>
            </v:shape>
            <v:shape style="position:absolute;left:1071;top:-35;width:9738;height:9379" coordorigin="1071,-34" coordsize="9738,9379" path="m5940,-34l1071,4655,5940,9344,10809,4655,5940,-34xe" filled="true" fillcolor="#daeae8" stroked="false">
              <v:path arrowok="t"/>
              <v:fill type="solid"/>
            </v:shape>
            <v:shape style="position:absolute;left:1170;top:61;width:9539;height:9187" coordorigin="1171,61" coordsize="9539,9187" path="m5940,61l1171,4655,5940,9248,10709,4655,5940,61xe" filled="true" fillcolor="#dbeae8" stroked="false">
              <v:path arrowok="t"/>
              <v:fill type="solid"/>
            </v:shape>
            <v:shape style="position:absolute;left:1269;top:157;width:9341;height:8996" coordorigin="1270,157" coordsize="9341,8996" path="m5940,157l1270,4655,5940,9152,10610,4655,5940,157xe" filled="true" fillcolor="#dcebe9" stroked="false">
              <v:path arrowok="t"/>
              <v:fill type="solid"/>
            </v:shape>
            <v:shape style="position:absolute;left:1369;top:252;width:9142;height:8804" coordorigin="1369,253" coordsize="9142,8804" path="m5940,253l1369,4655,5940,9057,10511,4655,5940,253xe" filled="true" fillcolor="#ddebe9" stroked="false">
              <v:path arrowok="t"/>
              <v:fill type="solid"/>
            </v:shape>
            <v:shape style="position:absolute;left:1468;top:348;width:8943;height:8613" coordorigin="1469,348" coordsize="8943,8613" path="m5940,348l1469,4655,5940,8961,10411,4655,5940,348xe" filled="true" fillcolor="#ddebea" stroked="false">
              <v:path arrowok="t"/>
              <v:fill type="solid"/>
            </v:shape>
            <v:shape style="position:absolute;left:1567;top:444;width:8744;height:8422" coordorigin="1568,444" coordsize="8744,8422" path="m5940,444l1568,4655,5940,8865,10312,4655,5940,444xe" filled="true" fillcolor="#dfebea" stroked="false">
              <v:path arrowok="t"/>
              <v:fill type="solid"/>
            </v:shape>
            <v:shape style="position:absolute;left:1667;top:539;width:8546;height:8230" coordorigin="1667,540" coordsize="8546,8230" path="m10213,4655l5940,540,1667,4655,5940,8770,10213,4655xe" filled="true" fillcolor="#dfeceb" stroked="false">
              <v:path arrowok="t"/>
              <v:fill type="solid"/>
            </v:shape>
            <v:shape style="position:absolute;left:1866;top:731;width:8148;height:7847" coordorigin="1866,731" coordsize="8148,7847" path="m5940,731l1866,4655,5940,8578,10014,4655,5940,731xe" filled="true" fillcolor="#e0eceb" stroked="false">
              <v:path arrowok="t"/>
              <v:fill type="solid"/>
            </v:shape>
            <v:shape style="position:absolute;left:1965;top:826;width:7949;height:7656" coordorigin="1965,827" coordsize="7949,7656" path="m5940,827l1965,4655,5940,8482,9914,4655,5940,827xe" filled="true" fillcolor="#e0edeb" stroked="false">
              <v:path arrowok="t"/>
              <v:fill type="solid"/>
            </v:shape>
            <v:shape style="position:absolute;left:2064;top:922;width:7751;height:7465" coordorigin="2065,923" coordsize="7751,7465" path="m5940,923l2065,4655,5940,8387,9815,4655,5940,923xe" filled="true" fillcolor="#e1edeb" stroked="false">
              <v:path arrowok="t"/>
              <v:fill type="solid"/>
            </v:shape>
            <v:shape style="position:absolute;left:2164;top:1018;width:7552;height:7273" coordorigin="2164,1018" coordsize="7552,7273" path="m5940,1018l2164,4655,5940,8291,9716,4655,5940,1018xe" filled="true" fillcolor="#e2edec" stroked="false">
              <v:path arrowok="t"/>
              <v:fill type="solid"/>
            </v:shape>
            <v:shape style="position:absolute;left:2263;top:1113;width:7353;height:7082" coordorigin="2264,1114" coordsize="7353,7082" path="m5940,1114l2264,4655,5940,8195,9616,4655,5940,1114xe" filled="true" fillcolor="#e3eeec" stroked="false">
              <v:path arrowok="t"/>
              <v:fill type="solid"/>
            </v:shape>
            <v:shape style="position:absolute;left:2362;top:1209;width:7155;height:6891" coordorigin="2363,1210" coordsize="7155,6891" path="m5940,1210l2363,4655,5940,8100,9517,4655,5940,1210xe" filled="true" fillcolor="#e4efed" stroked="false">
              <v:path arrowok="t"/>
              <v:fill type="solid"/>
            </v:shape>
            <v:shape style="position:absolute;left:2462;top:1305;width:6956;height:6699" coordorigin="2462,1305" coordsize="6956,6699" path="m5940,1305l2462,4655,5940,8004,9418,4655,5940,1305xe" filled="true" fillcolor="#e6efed" stroked="false">
              <v:path arrowok="t"/>
              <v:fill type="solid"/>
            </v:shape>
            <v:shape style="position:absolute;left:2561;top:1401;width:6757;height:6508" coordorigin="2562,1401" coordsize="6757,6508" path="m5940,1401l2562,4655,5940,7908,9318,4655,5940,1401xe" filled="true" fillcolor="#e6efee" stroked="false">
              <v:path arrowok="t"/>
              <v:fill type="solid"/>
            </v:shape>
            <v:shape style="position:absolute;left:2660;top:1496;width:6558;height:6316" coordorigin="2661,1497" coordsize="6558,6316" path="m5940,1497l2661,4655,5940,7813,9219,4655,5940,1497xe" filled="true" fillcolor="#e7f0ee" stroked="false">
              <v:path arrowok="t"/>
              <v:fill type="solid"/>
            </v:shape>
            <v:shape style="position:absolute;left:2760;top:1592;width:6360;height:6125" coordorigin="2760,1592" coordsize="6360,6125" path="m9120,4655l5940,1592,2760,4655,5940,7717,9120,4655xe" filled="true" fillcolor="#e8f0ee" stroked="false">
              <v:path arrowok="t"/>
              <v:fill type="solid"/>
            </v:shape>
            <v:shape style="position:absolute;left:2959;top:1783;width:5962;height:5742" coordorigin="2959,1784" coordsize="5962,5742" path="m5940,1784l2959,4655,5940,7526,8921,4655,5940,1784xe" filled="true" fillcolor="#eaf1f0" stroked="false">
              <v:path arrowok="t"/>
              <v:fill type="solid"/>
            </v:shape>
            <v:shape style="position:absolute;left:3058;top:1879;width:5764;height:5551" coordorigin="3058,1880" coordsize="5764,5551" path="m8821,4655l5940,1880,3058,4655,5940,7430,8821,4655xe" filled="true" fillcolor="#ebf3f0" stroked="false">
              <v:path arrowok="t"/>
              <v:fill type="solid"/>
            </v:shape>
            <v:shape style="position:absolute;left:3257;top:2070;width:5366;height:5168" coordorigin="3257,2071" coordsize="5366,5168" path="m5940,2071l3257,4655,5940,7238,8623,4655,5940,2071xe" filled="true" fillcolor="#ebf4f1" stroked="false">
              <v:path arrowok="t"/>
              <v:fill type="solid"/>
            </v:shape>
            <v:shape style="position:absolute;left:3356;top:2166;width:5167;height:4977" coordorigin="3357,2167" coordsize="5167,4977" path="m5940,2167l3357,4655,5940,7143,8523,4655,5940,2167xe" filled="true" fillcolor="#ecf4f1" stroked="false">
              <v:path arrowok="t"/>
              <v:fill type="solid"/>
            </v:shape>
            <v:shape style="position:absolute;left:3455;top:2262;width:4969;height:4785" coordorigin="3456,2262" coordsize="4969,4785" path="m5940,2262l3456,4655,5940,7047,8424,4655,5940,2262xe" filled="true" fillcolor="#ecf4f3" stroked="false">
              <v:path arrowok="t"/>
              <v:fill type="solid"/>
            </v:shape>
            <v:shape style="position:absolute;left:3555;top:2357;width:4770;height:4594" coordorigin="3555,2358" coordsize="4770,4594" path="m5940,2358l3555,4655,5940,6951,8325,4655,5940,2358xe" filled="true" fillcolor="#edf5f3" stroked="false">
              <v:path arrowok="t"/>
              <v:fill type="solid"/>
            </v:shape>
            <v:shape style="position:absolute;left:3654;top:2453;width:4571;height:4402" coordorigin="3655,2454" coordsize="4571,4402" path="m5940,2454l3655,4655,5940,6856,8225,4655,5940,2454xe" filled="true" fillcolor="#eef5f4" stroked="false">
              <v:path arrowok="t"/>
              <v:fill type="solid"/>
            </v:shape>
            <v:shape style="position:absolute;left:3753;top:2549;width:4372;height:4211" coordorigin="3754,2549" coordsize="4372,4211" path="m5940,2549l3754,4655,5940,6760,8126,4655,5940,2549xe" filled="true" fillcolor="#eff6f4" stroked="false">
              <v:path arrowok="t"/>
              <v:fill type="solid"/>
            </v:shape>
            <v:shape style="position:absolute;left:3853;top:2645;width:4174;height:4020" coordorigin="3853,2645" coordsize="4174,4020" path="m5940,2645l3853,4655,5940,6664,8027,4655,5940,2645xe" filled="true" fillcolor="#eff6f5" stroked="false">
              <v:path arrowok="t"/>
              <v:fill type="solid"/>
            </v:shape>
            <v:shape style="position:absolute;left:3952;top:2740;width:3975;height:3828" coordorigin="3953,2741" coordsize="3975,3828" path="m5940,2741l3953,4655,5940,6569,7927,4655,5940,2741xe" filled="true" fillcolor="#f0f7f6" stroked="false">
              <v:path arrowok="t"/>
              <v:fill type="solid"/>
            </v:shape>
            <v:shape style="position:absolute;left:4052;top:2836;width:3776;height:3637" coordorigin="4052,2836" coordsize="3776,3637" path="m7828,4655l5940,2836,4052,4655,5940,6473,7828,4655xe" filled="true" fillcolor="#f1f7f6" stroked="false">
              <v:path arrowok="t"/>
              <v:fill type="solid"/>
            </v:shape>
            <v:shape style="position:absolute;left:4250;top:3027;width:3379;height:3254" coordorigin="4251,3028" coordsize="3379,3254" path="m5940,3028l4251,4655,5940,6281,7629,4655,5940,3028xe" filled="true" fillcolor="#f4f8f7" stroked="false">
              <v:path arrowok="t"/>
              <v:fill type="solid"/>
            </v:shape>
            <v:shape style="position:absolute;left:4350;top:3123;width:3180;height:3063" coordorigin="4350,3124" coordsize="3180,3063" path="m5940,3124l4350,4655,5940,6186,7530,4655,5940,3124xe" filled="true" fillcolor="#f4f8f8" stroked="false">
              <v:path arrowok="t"/>
              <v:fill type="solid"/>
            </v:shape>
            <v:shape style="position:absolute;left:4449;top:3219;width:2981;height:2871" coordorigin="4449,3219" coordsize="2981,2871" path="m5940,3219l4449,4655,5940,6090,7430,4655,5940,3219xe" filled="true" fillcolor="#f5f8f8" stroked="false">
              <v:path arrowok="t"/>
              <v:fill type="solid"/>
            </v:shape>
            <v:shape style="position:absolute;left:4548;top:3314;width:2783;height:2680" coordorigin="4549,3315" coordsize="2783,2680" path="m7331,4655l5940,3315,4549,4655,5940,5994,7331,4655xe" filled="true" fillcolor="#f6f8f8" stroked="false">
              <v:path arrowok="t"/>
              <v:fill type="solid"/>
            </v:shape>
            <v:shape style="position:absolute;left:4747;top:3506;width:2385;height:2297" coordorigin="4748,3506" coordsize="2385,2297" path="m5940,3506l4748,4655,5940,5803,7132,4655,5940,3506xe" filled="true" fillcolor="#f7f9f8" stroked="false">
              <v:path arrowok="t"/>
              <v:fill type="solid"/>
            </v:shape>
            <v:shape style="position:absolute;left:4846;top:3602;width:2186;height:2106" coordorigin="4847,3602" coordsize="2186,2106" path="m5940,3602l4847,4655,5940,5707,7033,4655,5940,3602xe" filled="true" fillcolor="#f8f9f8" stroked="false">
              <v:path arrowok="t"/>
              <v:fill type="solid"/>
            </v:shape>
            <v:shape style="position:absolute;left:4946;top:3697;width:1988;height:1914" coordorigin="4946,3698" coordsize="1988,1914" path="m5940,3698l4946,4655,5940,5612,6934,4655,5940,3698xe" filled="true" fillcolor="#f8fafa" stroked="false">
              <v:path arrowok="t"/>
              <v:fill type="solid"/>
            </v:shape>
            <v:shape style="position:absolute;left:5045;top:3793;width:1789;height:1723" coordorigin="5046,3793" coordsize="1789,1723" path="m5940,3793l5046,4655,5940,5516,6834,4655,5940,3793xe" filled="true" fillcolor="#f8fbfa" stroked="false">
              <v:path arrowok="t"/>
              <v:fill type="solid"/>
            </v:shape>
            <v:shape style="position:absolute;left:5145;top:3889;width:1590;height:1532" coordorigin="5145,3889" coordsize="1590,1532" path="m5940,3889l5145,4655,5940,5420,6735,4655,5940,3889xe" filled="true" fillcolor="#f9fbfa" stroked="false">
              <v:path arrowok="t"/>
              <v:fill type="solid"/>
            </v:shape>
            <v:shape style="position:absolute;left:5244;top:3984;width:1392;height:1340" coordorigin="5244,3985" coordsize="1392,1340" path="m5940,3985l5244,4655,5940,5325,6635,4655,5940,3985xe" filled="true" fillcolor="#fafbfb" stroked="false">
              <v:path arrowok="t"/>
              <v:fill type="solid"/>
            </v:shape>
            <v:shape style="position:absolute;left:5343;top:4080;width:1193;height:1149" coordorigin="5344,4081" coordsize="1193,1149" path="m5940,4081l5344,4655,5940,5229,6536,4655,5940,4081xe" filled="true" fillcolor="#fafcfb" stroked="false">
              <v:path arrowok="t"/>
              <v:fill type="solid"/>
            </v:shape>
            <v:shape style="position:absolute;left:5443;top:4176;width:994;height:957" coordorigin="5443,4176" coordsize="994,957" path="m5940,4176l5443,4655,5940,5133,6437,4655,5940,4176xe" filled="true" fillcolor="#fbfcfc" stroked="false">
              <v:path arrowok="t"/>
              <v:fill type="solid"/>
            </v:shape>
            <v:shape style="position:absolute;left:5542;top:4271;width:795;height:766" coordorigin="5542,4272" coordsize="795,766" path="m5940,4272l5542,4655,5940,5037,6337,4655,5940,4272xe" filled="true" fillcolor="#fcfdfd" stroked="false">
              <v:path arrowok="t"/>
              <v:fill type="solid"/>
            </v:shape>
            <v:shape style="position:absolute;left:5641;top:4367;width:597;height:575" coordorigin="5642,4368" coordsize="597,575" path="m5940,4368l5642,4655,5940,4942,6238,4655,5940,4368xe" filled="true" fillcolor="#fdfdfd" stroked="false">
              <v:path arrowok="t"/>
              <v:fill type="solid"/>
            </v:shape>
            <v:shape style="position:absolute;left:5741;top:4463;width:398;height:383" type="#_x0000_t75" stroked="false">
              <v:imagedata r:id="rId170" o:title=""/>
            </v:shape>
            <v:rect style="position:absolute;left:783;top:-312;width:10314;height:9933" filled="false" stroked="true" strokeweight="1pt" strokecolor="#009391">
              <v:stroke dashstyle="solid"/>
            </v:rect>
            <v:rect style="position:absolute;left:6165;top:795;width:4680;height:4255" filled="true" fillcolor="#ffffff" stroked="false">
              <v:fill type="solid"/>
            </v:rect>
            <v:rect style="position:absolute;left:6341;top:2957;width:50;height:23" filled="true" fillcolor="#0099d9" stroked="false">
              <v:fill type="solid"/>
            </v:rect>
            <v:shape style="position:absolute;left:6381;top:2912;width:55;height:58" coordorigin="6381,2912" coordsize="55,58" path="m6381,2967l6394,2970m6394,2967l6424,2912m6424,2912l6436,2915e" filled="false" stroked="true" strokeweight="1pt" strokecolor="#0099d9">
              <v:path arrowok="t"/>
              <v:stroke dashstyle="solid"/>
            </v:shape>
            <v:line style="position:absolute" from="6426,2914" to="6476,2914" stroked="true" strokeweight="1.125pt" strokecolor="#0099d9">
              <v:stroke dashstyle="solid"/>
            </v:line>
            <v:line style="position:absolute" from="6466,2912" to="6479,2915" stroked="true" strokeweight="1pt" strokecolor="#0099d9">
              <v:stroke dashstyle="solid"/>
            </v:line>
            <v:shape style="position:absolute;left:6468;top:2913;width:80;height:2" coordorigin="6469,2914" coordsize="80,0" path="m6469,2914l6521,2914m6501,2914l6549,2914e" filled="false" stroked="true" strokeweight="1.125pt" strokecolor="#0099d9">
              <v:path arrowok="t"/>
              <v:stroke dashstyle="solid"/>
            </v:shape>
            <v:shape style="position:absolute;left:6538;top:2894;width:58;height:38" coordorigin="6539,2895" coordsize="58,38" path="m6539,2912l6554,2932m6554,2932l6581,2895m6581,2895l6596,2897e" filled="false" stroked="true" strokeweight="1pt" strokecolor="#0099d9">
              <v:path arrowok="t"/>
              <v:stroke dashstyle="solid"/>
            </v:shape>
            <v:line style="position:absolute" from="6586,2896" to="6634,2896" stroked="true" strokeweight="1.125pt" strokecolor="#0099d9">
              <v:stroke dashstyle="solid"/>
            </v:line>
            <v:line style="position:absolute" from="6624,2895" to="6639,2912" stroked="true" strokeweight="1pt" strokecolor="#0099d9">
              <v:stroke dashstyle="solid"/>
            </v:line>
            <v:line style="position:absolute" from="6629,2914" to="6676,2914" stroked="true" strokeweight="1.125pt" strokecolor="#0099d9">
              <v:stroke dashstyle="solid"/>
            </v:line>
            <v:shape style="position:absolute;left:6666;top:2819;width:200;height:93" coordorigin="6666,2820" coordsize="200,93" path="m6666,2912l6694,2820m6694,2820l6709,2822m6709,2820l6736,2840m6736,2840l6754,2842m6754,2840l6781,2857m6781,2857l6796,2860m6796,2857l6824,2875m6824,2875l6854,2895m6854,2895l6866,2897e" filled="false" stroked="true" strokeweight="1pt" strokecolor="#0099d9">
              <v:path arrowok="t"/>
              <v:stroke dashstyle="solid"/>
            </v:shape>
            <v:line style="position:absolute" from="6856,2896" to="6904,2896" stroked="true" strokeweight="1.125pt" strokecolor="#0099d9">
              <v:stroke dashstyle="solid"/>
            </v:line>
            <v:shape style="position:absolute;left:6893;top:2894;width:43;height:18" coordorigin="6894,2895" coordsize="43,18" path="m6894,2895l6909,2897m6909,2895l6936,2912e" filled="false" stroked="true" strokeweight="1pt" strokecolor="#0099d9">
              <v:path arrowok="t"/>
              <v:stroke dashstyle="solid"/>
            </v:shape>
            <v:line style="position:absolute" from="6944,2680" to="6944,2922" stroked="true" strokeweight="1.75pt" strokecolor="#0099d9">
              <v:stroke dashstyle="solid"/>
            </v:line>
            <v:line style="position:absolute" from="6951,2690" to="6979,2747" stroked="true" strokeweight="1pt" strokecolor="#0099d9">
              <v:stroke dashstyle="solid"/>
            </v:line>
            <v:line style="position:absolute" from="6969,2749" to="7021,2749" stroked="true" strokeweight="1.125pt" strokecolor="#0099d9">
              <v:stroke dashstyle="solid"/>
            </v:line>
            <v:shape style="position:absolute;left:7011;top:2747;width:200;height:93" coordorigin="7011,2747" coordsize="200,93" path="m7011,2747l7024,2750m7024,2747l7054,2765m7054,2765l7066,2782m7066,2782l7096,2802m7096,2802l7109,2805m7109,2802l7139,2820m7139,2820l7166,2802m7166,2802l7184,2820m7184,2820l7211,2840e" filled="false" stroked="true" strokeweight="1pt" strokecolor="#0099d9">
              <v:path arrowok="t"/>
              <v:stroke dashstyle="solid"/>
            </v:shape>
            <v:line style="position:absolute" from="7219,2662" to="7219,2850" stroked="true" strokeweight="1.75pt" strokecolor="#0099d9">
              <v:stroke dashstyle="solid"/>
            </v:line>
            <v:shape style="position:absolute;left:7226;top:2672;width:43;height:20" coordorigin="7226,2672" coordsize="43,20" path="m7226,2672l7254,2690m7254,2690l7269,2692e" filled="false" stroked="true" strokeweight="1pt" strokecolor="#0099d9">
              <v:path arrowok="t"/>
              <v:stroke dashstyle="solid"/>
            </v:shape>
            <v:line style="position:absolute" from="7259,2691" to="7306,2691" stroked="true" strokeweight="1.125pt" strokecolor="#0099d9">
              <v:stroke dashstyle="solid"/>
            </v:line>
            <v:shape style="position:absolute;left:7296;top:2689;width:85;height:60" coordorigin="7296,2690" coordsize="85,60" path="m7296,2690l7311,2710m7311,2710l7339,2727m7339,2727l7366,2747m7366,2747l7381,2750e" filled="false" stroked="true" strokeweight="1pt" strokecolor="#0099d9">
              <v:path arrowok="t"/>
              <v:stroke dashstyle="solid"/>
            </v:shape>
            <v:line style="position:absolute" from="7371,2749" to="7421,2749" stroked="true" strokeweight="1.125pt" strokecolor="#0099d9">
              <v:stroke dashstyle="solid"/>
            </v:line>
            <v:line style="position:absolute" from="7411,2747" to="7426,2750" stroked="true" strokeweight="1pt" strokecolor="#0099d9">
              <v:stroke dashstyle="solid"/>
            </v:line>
            <v:line style="position:absolute" from="7416,2749" to="7464,2749" stroked="true" strokeweight="1.125pt" strokecolor="#0099d9">
              <v:stroke dashstyle="solid"/>
            </v:line>
            <v:line style="position:absolute" from="7454,2747" to="7469,2765" stroked="true" strokeweight="1pt" strokecolor="#0099d9">
              <v:stroke dashstyle="solid"/>
            </v:line>
            <v:line style="position:absolute" from="7483,2460" to="7483,2775" stroked="true" strokeweight="2.375pt" strokecolor="#0099d9">
              <v:stroke dashstyle="solid"/>
            </v:line>
            <v:shape style="position:absolute;left:7496;top:2469;width:43;height:20" coordorigin="7496,2470" coordsize="43,20" path="m7496,2470l7526,2487m7526,2487l7539,2490e" filled="false" stroked="true" strokeweight="1pt" strokecolor="#0099d9">
              <v:path arrowok="t"/>
              <v:stroke dashstyle="solid"/>
            </v:shape>
            <v:line style="position:absolute" from="7529,2489" to="7579,2489" stroked="true" strokeweight="1.125pt" strokecolor="#0099d9">
              <v:stroke dashstyle="solid"/>
            </v:line>
            <v:shape style="position:absolute;left:7568;top:2487;width:58;height:20" coordorigin="7569,2487" coordsize="58,20" path="m7569,2487l7581,2490m7581,2487l7614,2505m7614,2505l7626,2507e" filled="false" stroked="true" strokeweight="1pt" strokecolor="#0099d9">
              <v:path arrowok="t"/>
              <v:stroke dashstyle="solid"/>
            </v:shape>
            <v:line style="position:absolute" from="7616,2506" to="7666,2506" stroked="true" strokeweight="1.125pt" strokecolor="#0099d9">
              <v:stroke dashstyle="solid"/>
            </v:line>
            <v:shape style="position:absolute;left:7656;top:2357;width:128;height:170" coordorigin="7656,2357" coordsize="128,170" path="m7656,2505l7684,2525m7684,2525l7699,2505m7699,2505l7726,2525m7726,2525l7741,2527m7741,2525l7769,2357m7769,2357l7784,2360e" filled="false" stroked="true" strokeweight="1pt" strokecolor="#0099d9">
              <v:path arrowok="t"/>
              <v:stroke dashstyle="solid"/>
            </v:shape>
            <v:shape style="position:absolute;left:7773;top:2358;width:78;height:2" coordorigin="7774,2359" coordsize="78,0" path="m7774,2359l7821,2359m7801,2359l7851,2359e" filled="false" stroked="true" strokeweight="1.125pt" strokecolor="#0099d9">
              <v:path arrowok="t"/>
              <v:stroke dashstyle="solid"/>
            </v:shape>
            <v:shape style="position:absolute;left:7841;top:2357;width:58;height:23" coordorigin="7841,2357" coordsize="58,23" path="m7841,2357l7856,2360m7856,2357l7884,2377m7884,2377l7899,2380e" filled="false" stroked="true" strokeweight="1pt" strokecolor="#0099d9">
              <v:path arrowok="t"/>
              <v:stroke dashstyle="solid"/>
            </v:shape>
            <v:line style="position:absolute" from="7889,2379" to="7936,2379" stroked="true" strokeweight="1.125pt" strokecolor="#0099d9">
              <v:stroke dashstyle="solid"/>
            </v:line>
            <v:shape style="position:absolute;left:7926;top:2209;width:130;height:168" coordorigin="7926,2210" coordsize="130,168" path="m7926,2377l7941,2357m7941,2357l7969,2340m7969,2340l7999,2357m7999,2357l8011,2360m8011,2357l8044,2210m8044,2210l8056,2212e" filled="false" stroked="true" strokeweight="1pt" strokecolor="#0099d9">
              <v:path arrowok="t"/>
              <v:stroke dashstyle="solid"/>
            </v:shape>
            <v:line style="position:absolute" from="8046,2211" to="8096,2211" stroked="true" strokeweight="1.125pt" strokecolor="#0099d9">
              <v:stroke dashstyle="solid"/>
            </v:line>
            <v:line style="position:absolute" from="8086,2210" to="8099,2212" stroked="true" strokeweight="1pt" strokecolor="#0099d9">
              <v:stroke dashstyle="solid"/>
            </v:line>
            <v:line style="position:absolute" from="8089,2211" to="8139,2211" stroked="true" strokeweight="1.125pt" strokecolor="#0099d9">
              <v:stroke dashstyle="solid"/>
            </v:line>
            <v:shape style="position:absolute;left:8128;top:2209;width:43;height:20" coordorigin="8129,2210" coordsize="43,20" path="m8129,2210l8156,2227m8156,2227l8171,2230e" filled="false" stroked="true" strokeweight="1pt" strokecolor="#0099d9">
              <v:path arrowok="t"/>
              <v:stroke dashstyle="solid"/>
            </v:shape>
            <v:line style="position:absolute" from="8161,2229" to="8209,2229" stroked="true" strokeweight="1.125pt" strokecolor="#0099d9">
              <v:stroke dashstyle="solid"/>
            </v:line>
            <v:shape style="position:absolute;left:8198;top:2209;width:60;height:20" coordorigin="8199,2210" coordsize="60,20" path="m8199,2227l8214,2230m8214,2227l8244,2210m8244,2210l8259,2227e" filled="false" stroked="true" strokeweight="1pt" strokecolor="#0099d9">
              <v:path arrowok="t"/>
              <v:stroke dashstyle="solid"/>
            </v:shape>
            <v:line style="position:absolute" from="8249,2229" to="8296,2229" stroked="true" strokeweight="1.125pt" strokecolor="#0099d9">
              <v:stroke dashstyle="solid"/>
            </v:line>
            <v:shape style="position:absolute;left:8286;top:2099;width:43;height:128" coordorigin="8286,2100" coordsize="43,128" path="m8286,2227l8314,2100m8314,2100l8329,2117e" filled="false" stroked="true" strokeweight="1pt" strokecolor="#0099d9">
              <v:path arrowok="t"/>
              <v:stroke dashstyle="solid"/>
            </v:shape>
            <v:line style="position:absolute" from="8319,2119" to="8366,2119" stroked="true" strokeweight="1.125pt" strokecolor="#0099d9">
              <v:stroke dashstyle="solid"/>
            </v:line>
            <v:shape style="position:absolute;left:8356;top:2099;width:58;height:20" coordorigin="8356,2100" coordsize="58,20" path="m8356,2117l8371,2100m8371,2100l8399,2117m8399,2117l8414,2120e" filled="false" stroked="true" strokeweight="1pt" strokecolor="#0099d9">
              <v:path arrowok="t"/>
              <v:stroke dashstyle="solid"/>
            </v:shape>
            <v:shape style="position:absolute;left:8403;top:2118;width:75;height:2" coordorigin="8404,2119" coordsize="75,0" path="m8404,2119l8451,2119m8431,2119l8479,2119e" filled="false" stroked="true" strokeweight="1.125pt" strokecolor="#0099d9">
              <v:path arrowok="t"/>
              <v:stroke dashstyle="solid"/>
            </v:shape>
            <v:line style="position:absolute" from="8469,2117" to="8486,2137" stroked="true" strokeweight="1pt" strokecolor="#0099d9">
              <v:stroke dashstyle="solid"/>
            </v:line>
            <v:line style="position:absolute" from="8476,2139" to="8524,2139" stroked="true" strokeweight="1.125pt" strokecolor="#0099d9">
              <v:stroke dashstyle="solid"/>
            </v:line>
            <v:line style="position:absolute" from="8514,2137" to="8529,2155" stroked="true" strokeweight="1pt" strokecolor="#0099d9">
              <v:stroke dashstyle="solid"/>
            </v:line>
            <v:line style="position:absolute" from="8519,2156" to="8566,2156" stroked="true" strokeweight="1.125pt" strokecolor="#0099d9">
              <v:stroke dashstyle="solid"/>
            </v:line>
            <v:line style="position:absolute" from="8564,2015" to="8564,2165" stroked="true" strokeweight="1.75pt" strokecolor="#0099d9">
              <v:stroke dashstyle="solid"/>
            </v:line>
            <v:shape style="position:absolute;left:8571;top:2024;width:258;height:75" coordorigin="8571,2025" coordsize="258,75" path="m8571,2025l8599,2045m8599,2045l8629,2062m8629,2062l8641,2045m8641,2045l8674,2062m8674,2062l8684,2080m8684,2080l8716,2062m8716,2062l8729,2065m8729,2062l8759,2080m8759,2080l8786,2062m8786,2062l8801,2080m8801,2080l8829,2100e" filled="false" stroked="true" strokeweight="1pt" strokecolor="#0099d9">
              <v:path arrowok="t"/>
              <v:stroke dashstyle="solid"/>
            </v:shape>
            <v:line style="position:absolute" from="8836,1960" to="8836,2110" stroked="true" strokeweight="1.75pt" strokecolor="#0099d9">
              <v:stroke dashstyle="solid"/>
            </v:line>
            <v:shape style="position:absolute;left:8843;top:1969;width:115;height:38" coordorigin="8844,1970" coordsize="115,38" path="m8844,1970l8871,1987m8871,1987l8889,1990m8889,1987l8916,1970m8916,1970l8944,1987m8944,1987l8959,2007e" filled="false" stroked="true" strokeweight="1pt" strokecolor="#0099d9">
              <v:path arrowok="t"/>
              <v:stroke dashstyle="solid"/>
            </v:shape>
            <v:line style="position:absolute" from="8949,2009" to="8996,2009" stroked="true" strokeweight="1.125pt" strokecolor="#0099d9">
              <v:stroke dashstyle="solid"/>
            </v:line>
            <v:line style="position:absolute" from="8986,2007" to="9001,2010" stroked="true" strokeweight="1pt" strokecolor="#0099d9">
              <v:stroke dashstyle="solid"/>
            </v:line>
            <v:line style="position:absolute" from="8991,2009" to="9039,2009" stroked="true" strokeweight="1.125pt" strokecolor="#0099d9">
              <v:stroke dashstyle="solid"/>
            </v:line>
            <v:shape style="position:absolute;left:9028;top:1932;width:130;height:95" coordorigin="9029,1932" coordsize="130,95" path="m9029,2007l9044,2010m9044,2007l9071,2025m9071,2025l9086,2027m9086,2025l9114,1932m9114,1932l9146,1952m9146,1952l9159,1955e" filled="false" stroked="true" strokeweight="1pt" strokecolor="#0099d9">
              <v:path arrowok="t"/>
              <v:stroke dashstyle="solid"/>
            </v:shape>
            <v:line style="position:absolute" from="9149,1954" to="9199,1954" stroked="true" strokeweight="1.125pt" strokecolor="#0099d9">
              <v:stroke dashstyle="solid"/>
            </v:line>
            <v:shape style="position:absolute;left:9188;top:1952;width:55;height:38" coordorigin="9189,1952" coordsize="55,38" path="m9189,1952l9201,1970m9201,1970l9231,1987m9231,1987l9244,1990e" filled="false" stroked="true" strokeweight="1pt" strokecolor="#0099d9">
              <v:path arrowok="t"/>
              <v:stroke dashstyle="solid"/>
            </v:shape>
            <v:shape style="position:absolute;left:9233;top:1988;width:78;height:2" coordorigin="9234,1989" coordsize="78,0" path="m9234,1989l9284,1989m9264,1989l9311,1989e" filled="false" stroked="true" strokeweight="1.125pt" strokecolor="#0099d9">
              <v:path arrowok="t"/>
              <v:stroke dashstyle="solid"/>
            </v:shape>
            <v:shape style="position:absolute;left:9301;top:1877;width:103;height:133" coordorigin="9301,1877" coordsize="103,133" path="m9301,1987l9319,1990m9319,1987l9346,2007m9346,2007l9361,2010m9361,2007l9389,1877m9389,1877l9404,1895e" filled="false" stroked="true" strokeweight="1pt" strokecolor="#0099d9">
              <v:path arrowok="t"/>
              <v:stroke dashstyle="solid"/>
            </v:shape>
            <v:shape style="position:absolute;left:9393;top:1896;width:75;height:2" coordorigin="9394,1896" coordsize="75,0" path="m9394,1896l9441,1896m9421,1896l9469,1896e" filled="false" stroked="true" strokeweight="1.125pt" strokecolor="#0099d9">
              <v:path arrowok="t"/>
              <v:stroke dashstyle="solid"/>
            </v:shape>
            <v:shape style="position:absolute;left:9458;top:1894;width:58;height:23" coordorigin="9459,1895" coordsize="58,23" path="m9459,1895l9474,1897m9474,1895l9501,1915m9501,1915l9516,1917e" filled="false" stroked="true" strokeweight="1pt" strokecolor="#0099d9">
              <v:path arrowok="t"/>
              <v:stroke dashstyle="solid"/>
            </v:shape>
            <v:line style="position:absolute" from="9506,1916" to="9554,1916" stroked="true" strokeweight="1.125pt" strokecolor="#0099d9">
              <v:stroke dashstyle="solid"/>
            </v:line>
            <v:shape style="position:absolute;left:9543;top:1894;width:45;height:23" coordorigin="9544,1895" coordsize="45,23" path="m9544,1915l9561,1917m9561,1915l9589,1895e" filled="false" stroked="true" strokeweight="1pt" strokecolor="#0099d9">
              <v:path arrowok="t"/>
              <v:stroke dashstyle="solid"/>
            </v:shape>
            <v:line style="position:absolute" from="9579,1896" to="9629,1896" stroked="true" strokeweight="1.125pt" strokecolor="#0099d9">
              <v:stroke dashstyle="solid"/>
            </v:line>
            <v:shape style="position:absolute;left:9618;top:1822;width:55;height:93" coordorigin="9619,1822" coordsize="55,93" path="m9619,1895l9631,1915m9631,1915l9661,1822m9661,1822l9674,1825e" filled="false" stroked="true" strokeweight="1pt" strokecolor="#0099d9">
              <v:path arrowok="t"/>
              <v:stroke dashstyle="solid"/>
            </v:shape>
            <v:line style="position:absolute" from="9664,1824" to="9711,1824" stroked="true" strokeweight="1.125pt" strokecolor="#0099d9">
              <v:stroke dashstyle="solid"/>
            </v:line>
            <v:line style="position:absolute" from="9701,1822" to="9716,1825" stroked="true" strokeweight="1pt" strokecolor="#0099d9">
              <v:stroke dashstyle="solid"/>
            </v:line>
            <v:shape style="position:absolute;left:9706;top:1823;width:78;height:2" coordorigin="9706,1824" coordsize="78,0" path="m9706,1824l9754,1824m9734,1824l9784,1824e" filled="false" stroked="true" strokeweight="1.125pt" strokecolor="#0099d9">
              <v:path arrowok="t"/>
              <v:stroke dashstyle="solid"/>
            </v:shape>
            <v:line style="position:absolute" from="9774,1822" to="9786,1840" stroked="true" strokeweight="1pt" strokecolor="#0099d9">
              <v:stroke dashstyle="solid"/>
            </v:line>
            <v:line style="position:absolute" from="9776,1841" to="9829,1841" stroked="true" strokeweight="1.125pt" strokecolor="#0099d9">
              <v:stroke dashstyle="solid"/>
            </v:line>
            <v:line style="position:absolute" from="9819,1840" to="9831,1842" stroked="true" strokeweight="1pt" strokecolor="#0099d9">
              <v:stroke dashstyle="solid"/>
            </v:line>
            <v:line style="position:absolute" from="9821,1841" to="9871,1841" stroked="true" strokeweight="1.125pt" strokecolor="#0099d9">
              <v:stroke dashstyle="solid"/>
            </v:line>
            <v:line style="position:absolute" from="9861,1840" to="9874,1860" stroked="true" strokeweight="1pt" strokecolor="#0099d9">
              <v:stroke dashstyle="solid"/>
            </v:line>
            <v:line style="position:absolute" from="9864,1861" to="9914,1861" stroked="true" strokeweight="1.125pt" strokecolor="#0099d9">
              <v:stroke dashstyle="solid"/>
            </v:line>
            <v:rect style="position:absolute;left:6341;top:2957;width:50;height:23" filled="true" fillcolor="#a64991" stroked="false">
              <v:fill type="solid"/>
            </v:rect>
            <v:shape style="position:absolute;left:6381;top:2967;width:55;height:23" coordorigin="6381,2967" coordsize="55,23" path="m6381,2967l6394,2970m6394,2967l6424,2987m6424,2987l6436,2990e" filled="false" stroked="true" strokeweight="1pt" strokecolor="#a64991">
              <v:path arrowok="t"/>
              <v:stroke dashstyle="solid"/>
            </v:shape>
            <v:rect style="position:absolute;left:6426;top:2977;width:53;height:23" filled="true" fillcolor="#a64991" stroked="false">
              <v:fill type="solid"/>
            </v:rect>
            <v:shape style="position:absolute;left:6468;top:2987;width:85;height:93" coordorigin="6469,2987" coordsize="85,93" path="m6469,2987l6481,3005m6481,3005l6511,3025m6511,3025l6539,3060m6539,3060l6554,3080e" filled="false" stroked="true" strokeweight="1pt" strokecolor="#a64991">
              <v:path arrowok="t"/>
              <v:stroke dashstyle="solid"/>
            </v:shape>
            <v:line style="position:absolute" from="6544,3081" to="6591,3081" stroked="true" strokeweight="1.125pt" strokecolor="#a64991">
              <v:stroke dashstyle="solid"/>
            </v:line>
            <v:line style="position:absolute" from="6581,3080" to="6596,3082" stroked="true" strokeweight="1pt" strokecolor="#a64991">
              <v:stroke dashstyle="solid"/>
            </v:line>
            <v:line style="position:absolute" from="6586,3081" to="6634,3081" stroked="true" strokeweight="1.125pt" strokecolor="#a64991">
              <v:stroke dashstyle="solid"/>
            </v:line>
            <v:line style="position:absolute" from="6624,3080" to="6639,3097" stroked="true" strokeweight="1pt" strokecolor="#a64991">
              <v:stroke dashstyle="solid"/>
            </v:line>
            <v:shape style="position:absolute;left:6628;top:3098;width:78;height:2" coordorigin="6629,3099" coordsize="78,0" path="m6629,3099l6679,3099m6659,3099l6706,3099e" filled="false" stroked="true" strokeweight="1.125pt" strokecolor="#a64991">
              <v:path arrowok="t"/>
              <v:stroke dashstyle="solid"/>
            </v:shape>
            <v:shape style="position:absolute;left:6696;top:3042;width:100;height:55" coordorigin="6696,3042" coordsize="100,55" path="m6696,3097l6711,3080m6711,3080l6739,3060m6739,3060l6754,3042m6754,3042l6781,3060m6781,3060l6796,3080e" filled="false" stroked="true" strokeweight="1pt" strokecolor="#a64991">
              <v:path arrowok="t"/>
              <v:stroke dashstyle="solid"/>
            </v:shape>
            <v:line style="position:absolute" from="6786,3081" to="6834,3081" stroked="true" strokeweight="1.125pt" strokecolor="#a64991">
              <v:stroke dashstyle="solid"/>
            </v:line>
            <v:shape style="position:absolute;left:6823;top:3079;width:43;height:20" coordorigin="6824,3080" coordsize="43,20" path="m6824,3080l6854,3097m6854,3097l6866,3100e" filled="false" stroked="true" strokeweight="1pt" strokecolor="#a64991">
              <v:path arrowok="t"/>
              <v:stroke dashstyle="solid"/>
            </v:shape>
            <v:line style="position:absolute" from="6856,3099" to="6904,3099" stroked="true" strokeweight="1.125pt" strokecolor="#a64991">
              <v:stroke dashstyle="solid"/>
            </v:line>
            <v:line style="position:absolute" from="6894,3097" to="6911,3117" stroked="true" strokeweight="1pt" strokecolor="#a64991">
              <v:stroke dashstyle="solid"/>
            </v:line>
            <v:line style="position:absolute" from="6901,3119" to="6949,3119" stroked="true" strokeweight="1.125pt" strokecolor="#a64991">
              <v:stroke dashstyle="solid"/>
            </v:line>
            <v:line style="position:absolute" from="6939,3117" to="6954,3135" stroked="true" strokeweight="1pt" strokecolor="#a64991">
              <v:stroke dashstyle="solid"/>
            </v:line>
            <v:line style="position:absolute" from="6944,3136" to="6991,3136" stroked="true" strokeweight="1.125pt" strokecolor="#a64991">
              <v:stroke dashstyle="solid"/>
            </v:line>
            <v:shape style="position:absolute;left:6981;top:3117;width:43;height:18" coordorigin="6981,3117" coordsize="43,18" path="m6981,3135l7011,3117m7011,3117l7024,3120e" filled="false" stroked="true" strokeweight="1pt" strokecolor="#a64991">
              <v:path arrowok="t"/>
              <v:stroke dashstyle="solid"/>
            </v:shape>
            <v:line style="position:absolute" from="7014,3119" to="7064,3119" stroked="true" strokeweight="1.125pt" strokecolor="#a64991">
              <v:stroke dashstyle="solid"/>
            </v:line>
            <v:line style="position:absolute" from="7054,3117" to="7066,3135" stroked="true" strokeweight="1pt" strokecolor="#a64991">
              <v:stroke dashstyle="solid"/>
            </v:line>
            <v:line style="position:absolute" from="7056,3136" to="7106,3136" stroked="true" strokeweight="1.125pt" strokecolor="#a64991">
              <v:stroke dashstyle="solid"/>
            </v:line>
            <v:line style="position:absolute" from="7096,3135" to="7109,3152" stroked="true" strokeweight="1pt" strokecolor="#a64991">
              <v:stroke dashstyle="solid"/>
            </v:line>
            <v:line style="position:absolute" from="7099,3154" to="7151,3154" stroked="true" strokeweight="1.125pt" strokecolor="#a64991">
              <v:stroke dashstyle="solid"/>
            </v:line>
            <v:shape style="position:absolute;left:7141;top:3152;width:43;height:23" coordorigin="7141,3152" coordsize="43,23" path="m7141,3152l7169,3172m7169,3172l7184,3175e" filled="false" stroked="true" strokeweight="1pt" strokecolor="#a64991">
              <v:path arrowok="t"/>
              <v:stroke dashstyle="solid"/>
            </v:shape>
            <v:line style="position:absolute" from="7174,3174" to="7221,3174" stroked="true" strokeweight="1.125pt" strokecolor="#a64991">
              <v:stroke dashstyle="solid"/>
            </v:line>
            <v:shape style="position:absolute;left:7211;top:3152;width:58;height:23" coordorigin="7211,3152" coordsize="58,23" path="m7211,3172l7226,3175m7226,3172l7254,3152m7254,3152l7269,3155e" filled="false" stroked="true" strokeweight="1pt" strokecolor="#a64991">
              <v:path arrowok="t"/>
              <v:stroke dashstyle="solid"/>
            </v:shape>
            <v:line style="position:absolute" from="7259,3154" to="7306,3154" stroked="true" strokeweight="1.125pt" strokecolor="#a64991">
              <v:stroke dashstyle="solid"/>
            </v:line>
            <v:shape style="position:absolute;left:7296;top:3152;width:130;height:38" coordorigin="7296,3152" coordsize="130,38" path="m7296,3152l7311,3155m7311,3152l7339,3172m7339,3172l7369,3190m7369,3190l7384,3172m7384,3172l7411,3152m7411,3152l7426,3155e" filled="false" stroked="true" strokeweight="1pt" strokecolor="#a64991">
              <v:path arrowok="t"/>
              <v:stroke dashstyle="solid"/>
            </v:shape>
            <v:line style="position:absolute" from="7416,3154" to="7464,3154" stroked="true" strokeweight="1.125pt" strokecolor="#a64991">
              <v:stroke dashstyle="solid"/>
            </v:line>
            <v:shape style="position:absolute;left:7453;top:3134;width:173;height:38" coordorigin="7454,3135" coordsize="173,38" path="m7454,3152l7469,3155m7469,3152l7496,3172m7496,3172l7526,3152m7526,3152l7539,3155m7539,3152l7571,3135m7571,3135l7581,3137m7581,3135l7614,3152m7614,3152l7626,3155e" filled="false" stroked="true" strokeweight="1pt" strokecolor="#a64991">
              <v:path arrowok="t"/>
              <v:stroke dashstyle="solid"/>
            </v:shape>
            <v:shape style="position:absolute;left:7616;top:3153;width:78;height:2" coordorigin="7616,3154" coordsize="78,0" path="m7616,3154l7666,3154m7646,3154l7694,3154e" filled="false" stroked="true" strokeweight="1.125pt" strokecolor="#a64991">
              <v:path arrowok="t"/>
              <v:stroke dashstyle="solid"/>
            </v:shape>
            <v:shape style="position:absolute;left:7683;top:3152;width:103;height:40" coordorigin="7684,3152" coordsize="103,40" path="m7684,3152l7699,3155m7699,3152l7726,3172m7726,3172l7741,3175m7741,3172l7769,3190m7769,3190l7786,3192e" filled="false" stroked="true" strokeweight="1pt" strokecolor="#a64991">
              <v:path arrowok="t"/>
              <v:stroke dashstyle="solid"/>
            </v:shape>
            <v:shape style="position:absolute;left:7776;top:3191;width:75;height:2" coordorigin="7776,3191" coordsize="75,0" path="m7776,3191l7824,3191m7804,3191l7851,3191e" filled="false" stroked="true" strokeweight="1.125pt" strokecolor="#a64991">
              <v:path arrowok="t"/>
              <v:stroke dashstyle="solid"/>
            </v:shape>
            <v:shape style="position:absolute;left:7841;top:3189;width:58;height:55" coordorigin="7841,3190" coordsize="58,55" path="m7841,3190l7856,3210m7856,3210l7884,3227m7884,3227l7899,3245e" filled="false" stroked="true" strokeweight="1pt" strokecolor="#a64991">
              <v:path arrowok="t"/>
              <v:stroke dashstyle="solid"/>
            </v:shape>
            <v:line style="position:absolute" from="7889,3246" to="7936,3246" stroked="true" strokeweight="1.125pt" strokecolor="#a64991">
              <v:stroke dashstyle="solid"/>
            </v:line>
            <v:shape style="position:absolute;left:7926;top:3244;width:130;height:40" coordorigin="7926,3245" coordsize="130,40" path="m7926,3245l7941,3265m7941,3265l7969,3245m7969,3245l8001,3265m8001,3265l8011,3267m8011,3265l8044,3282m8044,3282l8056,3285e" filled="false" stroked="true" strokeweight="1pt" strokecolor="#a64991">
              <v:path arrowok="t"/>
              <v:stroke dashstyle="solid"/>
            </v:shape>
            <v:line style="position:absolute" from="8046,3284" to="8096,3284" stroked="true" strokeweight="1.125pt" strokecolor="#a64991">
              <v:stroke dashstyle="solid"/>
            </v:line>
            <v:line style="position:absolute" from="8086,3282" to="8099,3285" stroked="true" strokeweight="1pt" strokecolor="#a64991">
              <v:stroke dashstyle="solid"/>
            </v:line>
            <v:shape style="position:absolute;left:8088;top:3283;width:78;height:2" coordorigin="8089,3284" coordsize="78,0" path="m8089,3284l8139,3284m8119,3284l8166,3284e" filled="false" stroked="true" strokeweight="1.125pt" strokecolor="#a64991">
              <v:path arrowok="t"/>
              <v:stroke dashstyle="solid"/>
            </v:shape>
            <v:line style="position:absolute" from="8156,3282" to="8171,3285" stroked="true" strokeweight="1pt" strokecolor="#a64991">
              <v:stroke dashstyle="solid"/>
            </v:line>
            <v:line style="position:absolute" from="8161,3284" to="8209,3284" stroked="true" strokeweight="1.125pt" strokecolor="#a64991">
              <v:stroke dashstyle="solid"/>
            </v:line>
            <v:line style="position:absolute" from="8199,3282" to="8216,3285" stroked="true" strokeweight="1pt" strokecolor="#a64991">
              <v:stroke dashstyle="solid"/>
            </v:line>
            <v:line style="position:absolute" from="8206,3284" to="8254,3284" stroked="true" strokeweight="1.125pt" strokecolor="#a64991">
              <v:stroke dashstyle="solid"/>
            </v:line>
            <v:shape style="position:absolute;left:8243;top:3209;width:85;height:93" coordorigin="8244,3210" coordsize="85,93" path="m8244,3282l8259,3285m8259,3282l8286,3302m8286,3302l8314,3210m8314,3210l8329,3212e" filled="false" stroked="true" strokeweight="1pt" strokecolor="#a64991">
              <v:path arrowok="t"/>
              <v:stroke dashstyle="solid"/>
            </v:shape>
            <v:line style="position:absolute" from="8319,3211" to="8366,3211" stroked="true" strokeweight="1.125pt" strokecolor="#a64991">
              <v:stroke dashstyle="solid"/>
            </v:line>
            <v:line style="position:absolute" from="8356,3210" to="8371,3212" stroked="true" strokeweight="1pt" strokecolor="#a64991">
              <v:stroke dashstyle="solid"/>
            </v:line>
            <v:line style="position:absolute" from="8361,3211" to="8409,3211" stroked="true" strokeweight="1.125pt" strokecolor="#a64991">
              <v:stroke dashstyle="solid"/>
            </v:line>
            <v:line style="position:absolute" from="8399,3210" to="8414,3212" stroked="true" strokeweight="1pt" strokecolor="#a64991">
              <v:stroke dashstyle="solid"/>
            </v:line>
            <v:shape style="position:absolute;left:8403;top:3211;width:75;height:2" coordorigin="8404,3211" coordsize="75,0" path="m8404,3211l8451,3211m8431,3211l8479,3211e" filled="false" stroked="true" strokeweight="1.125pt" strokecolor="#a64991">
              <v:path arrowok="t"/>
              <v:stroke dashstyle="solid"/>
            </v:shape>
            <v:line style="position:absolute" from="8469,3210" to="8486,3227" stroked="true" strokeweight="1pt" strokecolor="#a64991">
              <v:stroke dashstyle="solid"/>
            </v:line>
            <v:line style="position:absolute" from="8476,3229" to="8524,3229" stroked="true" strokeweight="1.125pt" strokecolor="#a64991">
              <v:stroke dashstyle="solid"/>
            </v:line>
            <v:line style="position:absolute" from="8514,3227" to="8529,3230" stroked="true" strokeweight="1pt" strokecolor="#a64991">
              <v:stroke dashstyle="solid"/>
            </v:line>
            <v:line style="position:absolute" from="8519,3229" to="8566,3229" stroked="true" strokeweight="1.125pt" strokecolor="#a64991">
              <v:stroke dashstyle="solid"/>
            </v:line>
            <v:line style="position:absolute" from="8556,3227" to="8571,3230" stroked="true" strokeweight="1pt" strokecolor="#a64991">
              <v:stroke dashstyle="solid"/>
            </v:line>
            <v:shape style="position:absolute;left:8561;top:3228;width:78;height:2" coordorigin="8561,3229" coordsize="78,0" path="m8561,3229l8609,3229m8589,3229l8639,3229e" filled="false" stroked="true" strokeweight="1.125pt" strokecolor="#a64991">
              <v:path arrowok="t"/>
              <v:stroke dashstyle="solid"/>
            </v:shape>
            <v:shape style="position:absolute;left:8628;top:3227;width:130;height:20" coordorigin="8629,3227" coordsize="130,20" path="m8629,3227l8641,3230m8641,3227l8674,3245m8674,3245l8684,3247m8684,3245l8716,3227m8716,3227l8729,3230m8729,3227l8759,3245e" filled="false" stroked="true" strokeweight="1pt" strokecolor="#a64991">
              <v:path arrowok="t"/>
              <v:stroke dashstyle="solid"/>
            </v:shape>
            <v:line style="position:absolute" from="8749,3246" to="8796,3246" stroked="true" strokeweight="1.125pt" strokecolor="#a64991">
              <v:stroke dashstyle="solid"/>
            </v:line>
            <v:line style="position:absolute" from="8786,3245" to="8801,3247" stroked="true" strokeweight="1pt" strokecolor="#a64991">
              <v:stroke dashstyle="solid"/>
            </v:line>
            <v:line style="position:absolute" from="8791,3246" to="8839,3246" stroked="true" strokeweight="1.125pt" strokecolor="#a64991">
              <v:stroke dashstyle="solid"/>
            </v:line>
            <v:line style="position:absolute" from="8829,3245" to="8844,3265" stroked="true" strokeweight="1pt" strokecolor="#a64991">
              <v:stroke dashstyle="solid"/>
            </v:line>
            <v:line style="position:absolute" from="8834,3266" to="8881,3266" stroked="true" strokeweight="1.125pt" strokecolor="#a64991">
              <v:stroke dashstyle="solid"/>
            </v:line>
            <v:line style="position:absolute" from="8871,3265" to="8886,3267" stroked="true" strokeweight="1pt" strokecolor="#a64991">
              <v:stroke dashstyle="solid"/>
            </v:line>
            <v:shape style="position:absolute;left:8876;top:3266;width:78;height:2" coordorigin="8876,3266" coordsize="78,0" path="m8876,3266l8926,3266m8906,3266l8954,3266e" filled="false" stroked="true" strokeweight="1.125pt" strokecolor="#a64991">
              <v:path arrowok="t"/>
              <v:stroke dashstyle="solid"/>
            </v:shape>
            <v:line style="position:absolute" from="8944,3265" to="8959,3267" stroked="true" strokeweight="1pt" strokecolor="#a64991">
              <v:stroke dashstyle="solid"/>
            </v:line>
            <v:line style="position:absolute" from="8949,3266" to="8996,3266" stroked="true" strokeweight="1.125pt" strokecolor="#a64991">
              <v:stroke dashstyle="solid"/>
            </v:line>
            <v:shape style="position:absolute;left:8986;top:3264;width:58;height:20" coordorigin="8986,3265" coordsize="58,20" path="m8986,3265l9001,3267m9001,3265l9029,3282m9029,3282l9044,3285e" filled="false" stroked="true" strokeweight="1pt" strokecolor="#a64991">
              <v:path arrowok="t"/>
              <v:stroke dashstyle="solid"/>
            </v:shape>
            <v:line style="position:absolute" from="9034,3284" to="9081,3284" stroked="true" strokeweight="1.125pt" strokecolor="#a64991">
              <v:stroke dashstyle="solid"/>
            </v:line>
            <v:shape style="position:absolute;left:9071;top:3282;width:43;height:20" coordorigin="9071,3282" coordsize="43,20" path="m9071,3282l9086,3285m9086,3282l9114,3302e" filled="false" stroked="true" strokeweight="1pt" strokecolor="#a64991">
              <v:path arrowok="t"/>
              <v:stroke dashstyle="solid"/>
            </v:shape>
            <v:line style="position:absolute" from="9104,3304" to="9156,3304" stroked="true" strokeweight="1.125pt" strokecolor="#a64991">
              <v:stroke dashstyle="solid"/>
            </v:line>
            <v:line style="position:absolute" from="9146,3302" to="9159,3305" stroked="true" strokeweight="1pt" strokecolor="#a64991">
              <v:stroke dashstyle="solid"/>
            </v:line>
            <v:line style="position:absolute" from="9149,3304" to="9199,3304" stroked="true" strokeweight="1.125pt" strokecolor="#a64991">
              <v:stroke dashstyle="solid"/>
            </v:line>
            <v:shape style="position:absolute;left:9188;top:3302;width:55;height:58" coordorigin="9189,3302" coordsize="55,58" path="m9189,3302l9201,3320m9201,3320l9231,3357m9231,3357l9244,3360e" filled="false" stroked="true" strokeweight="1pt" strokecolor="#a64991">
              <v:path arrowok="t"/>
              <v:stroke dashstyle="solid"/>
            </v:shape>
            <v:shape style="position:absolute;left:9233;top:3358;width:78;height:2" coordorigin="9234,3359" coordsize="78,0" path="m9234,3359l9284,3359m9264,3359l9311,3359e" filled="false" stroked="true" strokeweight="1.125pt" strokecolor="#a64991">
              <v:path arrowok="t"/>
              <v:stroke dashstyle="solid"/>
            </v:shape>
            <v:line style="position:absolute" from="9301,3357" to="9316,3375" stroked="true" strokeweight="1pt" strokecolor="#a64991">
              <v:stroke dashstyle="solid"/>
            </v:line>
            <v:line style="position:absolute" from="9306,3376" to="9354,3376" stroked="true" strokeweight="1.125pt" strokecolor="#a64991">
              <v:stroke dashstyle="solid"/>
            </v:line>
            <v:shape style="position:absolute;left:9343;top:3374;width:60;height:23" coordorigin="9344,3375" coordsize="60,23" path="m9344,3375l9361,3377m9361,3375l9389,3395m9389,3395l9404,3397e" filled="false" stroked="true" strokeweight="1pt" strokecolor="#a64991">
              <v:path arrowok="t"/>
              <v:stroke dashstyle="solid"/>
            </v:shape>
            <v:shape style="position:absolute;left:9393;top:3396;width:75;height:2" coordorigin="9394,3396" coordsize="75,0" path="m9394,3396l9441,3396m9421,3396l9469,3396e" filled="false" stroked="true" strokeweight="1.125pt" strokecolor="#a64991">
              <v:path arrowok="t"/>
              <v:stroke dashstyle="solid"/>
            </v:shape>
            <v:line style="position:absolute" from="9459,3395" to="9474,3412" stroked="true" strokeweight="1pt" strokecolor="#a64991">
              <v:stroke dashstyle="solid"/>
            </v:line>
            <v:line style="position:absolute" from="9464,3414" to="9511,3414" stroked="true" strokeweight="1.125pt" strokecolor="#a64991">
              <v:stroke dashstyle="solid"/>
            </v:line>
            <v:line style="position:absolute" from="9501,3412" to="9516,3415" stroked="true" strokeweight="1pt" strokecolor="#a64991">
              <v:stroke dashstyle="solid"/>
            </v:line>
            <v:line style="position:absolute" from="9506,3414" to="9554,3414" stroked="true" strokeweight="1.125pt" strokecolor="#a64991">
              <v:stroke dashstyle="solid"/>
            </v:line>
            <v:shape style="position:absolute;left:9543;top:3394;width:130;height:38" coordorigin="9544,3395" coordsize="130,38" path="m9544,3412l9559,3415m9559,3412l9586,3395m9586,3395l9619,3412m9619,3412l9631,3395m9631,3395l9661,3430m9661,3430l9674,3432e" filled="false" stroked="true" strokeweight="1pt" strokecolor="#a64991">
              <v:path arrowok="t"/>
              <v:stroke dashstyle="solid"/>
            </v:shape>
            <v:line style="position:absolute" from="9664,3431" to="9711,3431" stroked="true" strokeweight="1.125pt" strokecolor="#a64991">
              <v:stroke dashstyle="solid"/>
            </v:line>
            <v:line style="position:absolute" from="9701,3430" to="9716,3432" stroked="true" strokeweight="1pt" strokecolor="#a64991">
              <v:stroke dashstyle="solid"/>
            </v:line>
            <v:shape style="position:absolute;left:9706;top:3431;width:78;height:2" coordorigin="9706,3431" coordsize="78,0" path="m9706,3431l9754,3431m9734,3431l9784,3431e" filled="false" stroked="true" strokeweight="1.125pt" strokecolor="#a64991">
              <v:path arrowok="t"/>
              <v:stroke dashstyle="solid"/>
            </v:shape>
            <v:line style="position:absolute" from="9774,3430" to="9786,3432" stroked="true" strokeweight="1pt" strokecolor="#a64991">
              <v:stroke dashstyle="solid"/>
            </v:line>
            <v:line style="position:absolute" from="9776,3431" to="9829,3431" stroked="true" strokeweight="1.125pt" strokecolor="#a64991">
              <v:stroke dashstyle="solid"/>
            </v:line>
            <v:line style="position:absolute" from="9819,3430" to="9831,3432" stroked="true" strokeweight="1pt" strokecolor="#a64991">
              <v:stroke dashstyle="solid"/>
            </v:line>
            <v:line style="position:absolute" from="9821,3431" to="9871,3431" stroked="true" strokeweight="1.125pt" strokecolor="#a64991">
              <v:stroke dashstyle="solid"/>
            </v:line>
            <v:shape style="position:absolute;left:9861;top:3429;width:43;height:20" coordorigin="9861,3430" coordsize="43,20" path="m9861,3430l9874,3432m9874,3430l9904,3450e" filled="false" stroked="true" strokeweight="1pt" strokecolor="#a64991">
              <v:path arrowok="t"/>
              <v:stroke dashstyle="solid"/>
            </v:shape>
            <v:rect style="position:absolute;left:6341;top:2957;width:50;height:23" filled="true" fillcolor="#f6bd61" stroked="false">
              <v:fill type="solid"/>
            </v:rect>
            <v:shape style="position:absolute;left:6381;top:2967;width:55;height:23" coordorigin="6381,2967" coordsize="55,23" path="m6381,2967l6394,2970m6394,2967l6424,2987m6424,2987l6436,2990e" filled="false" stroked="true" strokeweight="1pt" strokecolor="#f6bd61">
              <v:path arrowok="t"/>
              <v:stroke dashstyle="solid"/>
            </v:shape>
            <v:rect style="position:absolute;left:6426;top:2977;width:53;height:23" filled="true" fillcolor="#f6bd61" stroked="false">
              <v:fill type="solid"/>
            </v:rect>
            <v:shape style="position:absolute;left:6468;top:2987;width:43;height:18" coordorigin="6469,2987" coordsize="43,18" path="m6469,2987l6481,2990m6481,2987l6511,3005e" filled="false" stroked="true" strokeweight="1pt" strokecolor="#f6bd61">
              <v:path arrowok="t"/>
              <v:stroke dashstyle="solid"/>
            </v:shape>
            <v:line style="position:absolute" from="6501,3006" to="6549,3006" stroked="true" strokeweight="1.125pt" strokecolor="#f6bd61">
              <v:stroke dashstyle="solid"/>
            </v:line>
            <v:shape style="position:absolute;left:6538;top:3004;width:58;height:23" coordorigin="6539,3005" coordsize="58,23" path="m6539,3005l6554,3007m6554,3005l6581,3025m6581,3025l6596,3027e" filled="false" stroked="true" strokeweight="1pt" strokecolor="#f6bd61">
              <v:path arrowok="t"/>
              <v:stroke dashstyle="solid"/>
            </v:shape>
            <v:line style="position:absolute" from="6586,3026" to="6634,3026" stroked="true" strokeweight="1.125pt" strokecolor="#f6bd61">
              <v:stroke dashstyle="solid"/>
            </v:line>
            <v:line style="position:absolute" from="6624,3025" to="6639,3027" stroked="true" strokeweight="1pt" strokecolor="#f6bd61">
              <v:stroke dashstyle="solid"/>
            </v:line>
            <v:shape style="position:absolute;left:6628;top:3026;width:78;height:2" coordorigin="6629,3026" coordsize="78,0" path="m6629,3026l6679,3026m6659,3026l6706,3026e" filled="false" stroked="true" strokeweight="1.125pt" strokecolor="#f6bd61">
              <v:path arrowok="t"/>
              <v:stroke dashstyle="solid"/>
            </v:shape>
            <v:shape style="position:absolute;left:6696;top:2932;width:128;height:93" coordorigin="6696,2932" coordsize="128,93" path="m6696,3025l6711,2987m6711,2987l6739,2950m6739,2950l6754,2932m6754,2932l6781,2950m6781,2950l6796,2967m6796,2967l6824,2987e" filled="false" stroked="true" strokeweight="1pt" strokecolor="#f6bd61">
              <v:path arrowok="t"/>
              <v:stroke dashstyle="solid"/>
            </v:shape>
            <v:line style="position:absolute" from="6814,2989" to="6864,2989" stroked="true" strokeweight="1.125pt" strokecolor="#f6bd61">
              <v:stroke dashstyle="solid"/>
            </v:line>
            <v:shape style="position:absolute;left:6853;top:2967;width:170;height:60" coordorigin="6854,2967" coordsize="170,60" path="m6854,2987l6866,2990m6866,2987l6894,3005m6894,3005l6911,3007m6911,3005l6939,3025m6939,3025l6954,3027m6954,3025l6981,3005m6981,3005l7011,2987m7011,2987l7024,2967e" filled="false" stroked="true" strokeweight="1pt" strokecolor="#f6bd61">
              <v:path arrowok="t"/>
              <v:stroke dashstyle="solid"/>
            </v:shape>
            <v:line style="position:absolute" from="7014,2969" to="7064,2969" stroked="true" strokeweight="1.125pt" strokecolor="#f6bd61">
              <v:stroke dashstyle="solid"/>
            </v:line>
            <v:line style="position:absolute" from="7054,2967" to="7066,2987" stroked="true" strokeweight="1pt" strokecolor="#f6bd61">
              <v:stroke dashstyle="solid"/>
            </v:line>
            <v:line style="position:absolute" from="7056,2989" to="7106,2989" stroked="true" strokeweight="1.125pt" strokecolor="#f6bd61">
              <v:stroke dashstyle="solid"/>
            </v:line>
            <v:line style="position:absolute" from="7096,2987" to="7109,3005" stroked="true" strokeweight="1pt" strokecolor="#f6bd61">
              <v:stroke dashstyle="solid"/>
            </v:line>
            <v:line style="position:absolute" from="7099,3006" to="7149,3006" stroked="true" strokeweight="1.125pt" strokecolor="#f6bd61">
              <v:stroke dashstyle="solid"/>
            </v:line>
            <v:shape style="position:absolute;left:7138;top:2967;width:243;height:113" coordorigin="7139,2967" coordsize="243,113" path="m7139,3005l7166,3025m7166,3025l7184,3027m7184,3025l7211,3042m7211,3042l7226,3080m7226,3080l7254,3025m7254,3025l7269,3005m7269,3005l7296,2967m7296,2967l7311,2987m7311,2987l7339,3005m7339,3005l7366,3025m7366,3025l7381,3005e" filled="false" stroked="true" strokeweight="1pt" strokecolor="#f6bd61">
              <v:path arrowok="t"/>
              <v:stroke dashstyle="solid"/>
            </v:shape>
            <v:line style="position:absolute" from="7371,3006" to="7421,3006" stroked="true" strokeweight="1.125pt" strokecolor="#f6bd61">
              <v:stroke dashstyle="solid"/>
            </v:line>
            <v:line style="position:absolute" from="7411,3005" to="7426,3025" stroked="true" strokeweight="1pt" strokecolor="#f6bd61">
              <v:stroke dashstyle="solid"/>
            </v:line>
            <v:line style="position:absolute" from="7416,3026" to="7464,3026" stroked="true" strokeweight="1.125pt" strokecolor="#f6bd61">
              <v:stroke dashstyle="solid"/>
            </v:line>
            <v:line style="position:absolute" from="7454,3025" to="7469,3027" stroked="true" strokeweight="1pt" strokecolor="#f6bd61">
              <v:stroke dashstyle="solid"/>
            </v:line>
            <v:line style="position:absolute" from="7459,3026" to="7506,3026" stroked="true" strokeweight="1.125pt" strokecolor="#f6bd61">
              <v:stroke dashstyle="solid"/>
            </v:line>
            <v:shape style="position:absolute;left:7496;top:2894;width:130;height:130" coordorigin="7496,2895" coordsize="130,130" path="m7496,3025l7526,2967m7526,2967l7539,2932m7539,2932l7569,2895m7569,2895l7581,2897m7581,2895l7614,2912m7614,2912l7626,2915e" filled="false" stroked="true" strokeweight="1pt" strokecolor="#f6bd61">
              <v:path arrowok="t"/>
              <v:stroke dashstyle="solid"/>
            </v:shape>
            <v:shape style="position:absolute;left:7616;top:2913;width:78;height:2" coordorigin="7616,2914" coordsize="78,0" path="m7616,2914l7666,2914m7646,2914l7694,2914e" filled="false" stroked="true" strokeweight="1.125pt" strokecolor="#f6bd61">
              <v:path arrowok="t"/>
              <v:stroke dashstyle="solid"/>
            </v:shape>
            <v:shape style="position:absolute;left:7683;top:2912;width:173;height:40" coordorigin="7684,2912" coordsize="173,40" path="m7684,2912l7699,2915m7699,2912l7726,2932m7726,2932l7741,2935m7741,2932l7769,2950m7769,2950l7784,2952m7784,2950l7811,2932m7811,2932l7841,2912m7841,2912l7856,2932e" filled="false" stroked="true" strokeweight="1pt" strokecolor="#f6bd61">
              <v:path arrowok="t"/>
              <v:stroke dashstyle="solid"/>
            </v:shape>
            <v:line style="position:absolute" from="7846,2934" to="7894,2934" stroked="true" strokeweight="1.125pt" strokecolor="#f6bd61">
              <v:stroke dashstyle="solid"/>
            </v:line>
            <v:line style="position:absolute" from="7884,2932" to="7899,2935" stroked="true" strokeweight="1pt" strokecolor="#f6bd61">
              <v:stroke dashstyle="solid"/>
            </v:line>
            <v:line style="position:absolute" from="7889,2934" to="7936,2934" stroked="true" strokeweight="1.125pt" strokecolor="#f6bd61">
              <v:stroke dashstyle="solid"/>
            </v:line>
            <v:shape style="position:absolute;left:7926;top:2912;width:43;height:23" coordorigin="7926,2912" coordsize="43,23" path="m7926,2932l7941,2935m7941,2932l7969,2912e" filled="false" stroked="true" strokeweight="1pt" strokecolor="#f6bd61">
              <v:path arrowok="t"/>
              <v:stroke dashstyle="solid"/>
            </v:shape>
            <v:line style="position:absolute" from="7959,2914" to="8009,2914" stroked="true" strokeweight="1.125pt" strokecolor="#f6bd61">
              <v:stroke dashstyle="solid"/>
            </v:line>
            <v:shape style="position:absolute;left:7998;top:2912;width:58;height:55" coordorigin="7999,2912" coordsize="58,55" path="m7999,2912l8011,2932m8011,2932l8044,2950m8044,2950l8056,2967e" filled="false" stroked="true" strokeweight="1pt" strokecolor="#f6bd61">
              <v:path arrowok="t"/>
              <v:stroke dashstyle="solid"/>
            </v:shape>
            <v:line style="position:absolute" from="8046,2969" to="8096,2969" stroked="true" strokeweight="1.125pt" strokecolor="#f6bd61">
              <v:stroke dashstyle="solid"/>
            </v:line>
            <v:shape style="position:absolute;left:8086;top:2967;width:43;height:20" coordorigin="8086,2967" coordsize="43,20" path="m8086,2967l8099,2970m8099,2967l8129,2987e" filled="false" stroked="true" strokeweight="1pt" strokecolor="#f6bd61">
              <v:path arrowok="t"/>
              <v:stroke dashstyle="solid"/>
            </v:shape>
            <v:line style="position:absolute" from="8119,2989" to="8166,2989" stroked="true" strokeweight="1.125pt" strokecolor="#f6bd61">
              <v:stroke dashstyle="solid"/>
            </v:line>
            <v:line style="position:absolute" from="8156,2987" to="8171,2990" stroked="true" strokeweight="1pt" strokecolor="#f6bd61">
              <v:stroke dashstyle="solid"/>
            </v:line>
            <v:line style="position:absolute" from="8161,2989" to="8209,2989" stroked="true" strokeweight="1.125pt" strokecolor="#f6bd61">
              <v:stroke dashstyle="solid"/>
            </v:line>
            <v:line style="position:absolute" from="8199,2987" to="8214,2990" stroked="true" strokeweight="1pt" strokecolor="#f6bd61">
              <v:stroke dashstyle="solid"/>
            </v:line>
            <v:line style="position:absolute" from="8204,2989" to="8254,2989" stroked="true" strokeweight="1.125pt" strokecolor="#f6bd61">
              <v:stroke dashstyle="solid"/>
            </v:line>
            <v:shape style="position:absolute;left:8243;top:2912;width:85;height:113" coordorigin="8244,2912" coordsize="85,113" path="m8244,2987l8259,3005m8259,3005l8286,3025m8286,3025l8314,2912m8314,2912l8329,2932e" filled="false" stroked="true" strokeweight="1pt" strokecolor="#f6bd61">
              <v:path arrowok="t"/>
              <v:stroke dashstyle="solid"/>
            </v:shape>
            <v:line style="position:absolute" from="8319,2934" to="8366,2934" stroked="true" strokeweight="1.125pt" strokecolor="#f6bd61">
              <v:stroke dashstyle="solid"/>
            </v:line>
            <v:line style="position:absolute" from="8356,2932" to="8371,2912" stroked="true" strokeweight="1pt" strokecolor="#f6bd61">
              <v:stroke dashstyle="solid"/>
            </v:line>
            <v:line style="position:absolute" from="8361,2914" to="8409,2914" stroked="true" strokeweight="1.125pt" strokecolor="#f6bd61">
              <v:stroke dashstyle="solid"/>
            </v:line>
            <v:line style="position:absolute" from="8399,2912" to="8414,2932" stroked="true" strokeweight="1pt" strokecolor="#f6bd61">
              <v:stroke dashstyle="solid"/>
            </v:line>
            <v:shape style="position:absolute;left:8403;top:2933;width:75;height:2" coordorigin="8404,2934" coordsize="75,0" path="m8404,2934l8451,2934m8431,2934l8479,2934e" filled="false" stroked="true" strokeweight="1.125pt" strokecolor="#f6bd61">
              <v:path arrowok="t"/>
              <v:stroke dashstyle="solid"/>
            </v:shape>
            <v:line style="position:absolute" from="8469,2932" to="8486,2950" stroked="true" strokeweight="1pt" strokecolor="#f6bd61">
              <v:stroke dashstyle="solid"/>
            </v:line>
            <v:line style="position:absolute" from="8476,2951" to="8524,2951" stroked="true" strokeweight="1.125pt" strokecolor="#f6bd61">
              <v:stroke dashstyle="solid"/>
            </v:line>
            <v:shape style="position:absolute;left:8513;top:2949;width:58;height:38" coordorigin="8514,2950" coordsize="58,38" path="m8514,2950l8529,2952m8529,2950l8556,2967m8556,2967l8571,2987e" filled="false" stroked="true" strokeweight="1pt" strokecolor="#f6bd61">
              <v:path arrowok="t"/>
              <v:stroke dashstyle="solid"/>
            </v:shape>
            <v:shape style="position:absolute;left:8561;top:2988;width:78;height:2" coordorigin="8561,2989" coordsize="78,0" path="m8561,2989l8609,2989m8589,2989l8639,2989e" filled="false" stroked="true" strokeweight="1.125pt" strokecolor="#f6bd61">
              <v:path arrowok="t"/>
              <v:stroke dashstyle="solid"/>
            </v:shape>
            <v:line style="position:absolute" from="8629,2987" to="8641,2990" stroked="true" strokeweight="1pt" strokecolor="#f6bd61">
              <v:stroke dashstyle="solid"/>
            </v:line>
            <v:line style="position:absolute" from="8631,2989" to="8684,2989" stroked="true" strokeweight="1.125pt" strokecolor="#f6bd61">
              <v:stroke dashstyle="solid"/>
            </v:line>
            <v:shape style="position:absolute;left:8673;top:2987;width:128;height:18" coordorigin="8674,2987" coordsize="128,18" path="m8674,2987l8684,3005m8684,3005l8716,2987m8716,2987l8729,2990m8729,2987l8759,3005m8759,3005l8786,2987m8786,2987l8801,3005e" filled="false" stroked="true" strokeweight="1pt" strokecolor="#f6bd61">
              <v:path arrowok="t"/>
              <v:stroke dashstyle="solid"/>
            </v:shape>
            <v:line style="position:absolute" from="8791,3006" to="8839,3006" stroked="true" strokeweight="1.125pt" strokecolor="#f6bd61">
              <v:stroke dashstyle="solid"/>
            </v:line>
            <v:line style="position:absolute" from="8829,3005" to="8844,3025" stroked="true" strokeweight="1pt" strokecolor="#f6bd61">
              <v:stroke dashstyle="solid"/>
            </v:line>
            <v:line style="position:absolute" from="8834,3026" to="8881,3026" stroked="true" strokeweight="1.125pt" strokecolor="#f6bd61">
              <v:stroke dashstyle="solid"/>
            </v:line>
            <v:line style="position:absolute" from="8871,3025" to="8889,3005" stroked="true" strokeweight="1pt" strokecolor="#f6bd61">
              <v:stroke dashstyle="solid"/>
            </v:line>
            <v:line style="position:absolute" from="8879,3006" to="8926,3006" stroked="true" strokeweight="1.125pt" strokecolor="#f6bd61">
              <v:stroke dashstyle="solid"/>
            </v:line>
            <v:shape style="position:absolute;left:8916;top:3004;width:43;height:38" coordorigin="8916,3005" coordsize="43,38" path="m8916,3005l8944,3025m8944,3025l8959,3042e" filled="false" stroked="true" strokeweight="1pt" strokecolor="#f6bd61">
              <v:path arrowok="t"/>
              <v:stroke dashstyle="solid"/>
            </v:shape>
            <v:line style="position:absolute" from="8949,3044" to="8996,3044" stroked="true" strokeweight="1.125pt" strokecolor="#f6bd61">
              <v:stroke dashstyle="solid"/>
            </v:line>
            <v:shape style="position:absolute;left:8986;top:3042;width:173;height:93" coordorigin="8986,3042" coordsize="173,93" path="m8986,3042l9001,3060m9001,3060l9029,3080m9029,3080l9044,3097m9044,3097l9071,3080m9071,3080l9086,3082m9086,3080l9114,3097m9114,3097l9146,3117m9146,3117l9159,3135e" filled="false" stroked="true" strokeweight="1pt" strokecolor="#f6bd61">
              <v:path arrowok="t"/>
              <v:stroke dashstyle="solid"/>
            </v:shape>
            <v:line style="position:absolute" from="9149,3136" to="9199,3136" stroked="true" strokeweight="1.125pt" strokecolor="#f6bd61">
              <v:stroke dashstyle="solid"/>
            </v:line>
            <v:shape style="position:absolute;left:9188;top:3134;width:55;height:75" coordorigin="9189,3135" coordsize="55,75" path="m9189,3135l9201,3152m9201,3152l9231,3190m9231,3190l9244,3210e" filled="false" stroked="true" strokeweight="1pt" strokecolor="#f6bd61">
              <v:path arrowok="t"/>
              <v:stroke dashstyle="solid"/>
            </v:shape>
            <v:line style="position:absolute" from="9234,3211" to="9284,3211" stroked="true" strokeweight="1.125pt" strokecolor="#f6bd61">
              <v:stroke dashstyle="solid"/>
            </v:line>
            <v:shape style="position:absolute;left:9273;top:3209;width:45;height:20" coordorigin="9274,3210" coordsize="45,20" path="m9274,3210l9301,3227m9301,3227l9319,3230e" filled="false" stroked="true" strokeweight="1pt" strokecolor="#f6bd61">
              <v:path arrowok="t"/>
              <v:stroke dashstyle="solid"/>
            </v:shape>
            <v:line style="position:absolute" from="9309,3229" to="9356,3229" stroked="true" strokeweight="1.125pt" strokecolor="#f6bd61">
              <v:stroke dashstyle="solid"/>
            </v:line>
            <v:shape style="position:absolute;left:9346;top:3209;width:85;height:55" coordorigin="9346,3210" coordsize="85,55" path="m9346,3227l9361,3210m9361,3210l9389,3227m9389,3227l9404,3245m9404,3245l9431,3265e" filled="false" stroked="true" strokeweight="1pt" strokecolor="#f6bd61">
              <v:path arrowok="t"/>
              <v:stroke dashstyle="solid"/>
            </v:shape>
            <v:line style="position:absolute" from="9421,3266" to="9469,3266" stroked="true" strokeweight="1.125pt" strokecolor="#f6bd61">
              <v:stroke dashstyle="solid"/>
            </v:line>
            <v:shape style="position:absolute;left:9458;top:3264;width:58;height:20" coordorigin="9459,3265" coordsize="58,20" path="m9459,3265l9474,3267m9474,3265l9501,3282m9501,3282l9516,3285e" filled="false" stroked="true" strokeweight="1pt" strokecolor="#f6bd61">
              <v:path arrowok="t"/>
              <v:stroke dashstyle="solid"/>
            </v:shape>
            <v:line style="position:absolute" from="9506,3284" to="9554,3284" stroked="true" strokeweight="1.125pt" strokecolor="#f6bd61">
              <v:stroke dashstyle="solid"/>
            </v:line>
            <v:shape style="position:absolute;left:9543;top:3264;width:45;height:20" coordorigin="9544,3265" coordsize="45,20" path="m9544,3282l9561,3285m9561,3282l9589,3265e" filled="false" stroked="true" strokeweight="1pt" strokecolor="#f6bd61">
              <v:path arrowok="t"/>
              <v:stroke dashstyle="solid"/>
            </v:shape>
            <v:line style="position:absolute" from="9579,3266" to="9629,3266" stroked="true" strokeweight="1.125pt" strokecolor="#f6bd61">
              <v:stroke dashstyle="solid"/>
            </v:line>
            <v:line style="position:absolute" from="9619,3265" to="9631,3282" stroked="true" strokeweight="1pt" strokecolor="#f6bd61">
              <v:stroke dashstyle="solid"/>
            </v:line>
            <v:line style="position:absolute" from="9621,3284" to="9671,3284" stroked="true" strokeweight="1.125pt" strokecolor="#f6bd61">
              <v:stroke dashstyle="solid"/>
            </v:line>
            <v:line style="position:absolute" from="9661,3282" to="9674,3285" stroked="true" strokeweight="1pt" strokecolor="#f6bd61">
              <v:stroke dashstyle="solid"/>
            </v:line>
            <v:line style="position:absolute" from="9664,3284" to="9711,3284" stroked="true" strokeweight="1.125pt" strokecolor="#f6bd61">
              <v:stroke dashstyle="solid"/>
            </v:line>
            <v:shape style="position:absolute;left:9701;top:3282;width:43;height:20" coordorigin="9701,3282" coordsize="43,20" path="m9701,3282l9716,3285m9716,3282l9744,3302e" filled="false" stroked="true" strokeweight="1pt" strokecolor="#f6bd61">
              <v:path arrowok="t"/>
              <v:stroke dashstyle="solid"/>
            </v:shape>
            <v:line style="position:absolute" from="9734,3304" to="9786,3304" stroked="true" strokeweight="1.125pt" strokecolor="#f6bd61">
              <v:stroke dashstyle="solid"/>
            </v:line>
            <v:line style="position:absolute" from="9776,3302" to="9789,3305" stroked="true" strokeweight="1pt" strokecolor="#f6bd61">
              <v:stroke dashstyle="solid"/>
            </v:line>
            <v:line style="position:absolute" from="9779,3304" to="9829,3304" stroked="true" strokeweight="1.125pt" strokecolor="#f6bd61">
              <v:stroke dashstyle="solid"/>
            </v:line>
            <v:line style="position:absolute" from="9819,3302" to="9831,3305" stroked="true" strokeweight="1pt" strokecolor="#f6bd61">
              <v:stroke dashstyle="solid"/>
            </v:line>
            <v:line style="position:absolute" from="9821,3304" to="9871,3304" stroked="true" strokeweight="1.125pt" strokecolor="#f6bd61">
              <v:stroke dashstyle="solid"/>
            </v:line>
            <v:shape style="position:absolute;left:9861;top:3302;width:43;height:18" coordorigin="9861,3302" coordsize="43,18" path="m9861,3302l9874,3305m9874,3302l9904,3320e" filled="false" stroked="true" strokeweight="1pt" strokecolor="#f6bd61">
              <v:path arrowok="t"/>
              <v:stroke dashstyle="solid"/>
            </v:shape>
            <v:shape style="position:absolute;left:6183;top:1697;width:3866;height:2869" coordorigin="6183,1697" coordsize="3866,2869" path="m6183,2016l6270,2016m6183,2334l6270,2334m6183,2653l6270,2653m6183,2971l6270,2971m6183,3290l6270,3290m6183,3608l6270,3608m6183,4246l6270,4246m6183,3927l6270,3927m6183,4564l6270,4564m6183,1697l6270,1697m9962,2017l10049,2017m9962,2335l10049,2335m9962,2654l10049,2654m9962,2972l10049,2972m9962,3291l10049,3291m9962,3609l10049,3609m9962,4247l10049,4247m9962,3928l10049,3928m9962,4565l10049,4565m9962,1698l10049,1698m6344,4565l9906,4565m6341,4498l6341,4565m6612,4498l6612,4565m7154,4498l7154,4565m7696,4498l7696,4565m8237,4498l8237,4565m8779,4498l8779,4565m9050,4498l9050,4565m9321,4498l9321,4565m9592,4498l9592,4565m9863,4498l9863,4565m6883,4498l6883,4565m7425,4498l7425,4565m7967,4498l7967,4565m8508,4498l8508,4565e" filled="false" stroked="true" strokeweight=".5pt" strokecolor="#000000">
              <v:path arrowok="t"/>
              <v:stroke dashstyle="solid"/>
            </v:shape>
            <w10:wrap type="none"/>
          </v:group>
        </w:pict>
      </w:r>
      <w:bookmarkStart w:name="Utility prices" w:id="71"/>
      <w:bookmarkEnd w:id="71"/>
      <w:r>
        <w:rPr/>
      </w:r>
      <w:bookmarkStart w:name="_bookmark33" w:id="72"/>
      <w:bookmarkEnd w:id="72"/>
      <w:r>
        <w:rPr/>
      </w:r>
      <w:bookmarkStart w:name="_bookmark34" w:id="73"/>
      <w:bookmarkEnd w:id="73"/>
      <w:r>
        <w:rPr/>
      </w:r>
      <w:r>
        <w:rPr>
          <w:b/>
          <w:color w:val="009391"/>
          <w:sz w:val="28"/>
        </w:rPr>
        <w:t>Utility prices</w:t>
      </w:r>
    </w:p>
    <w:p>
      <w:pPr>
        <w:pStyle w:val="BodyText"/>
        <w:spacing w:before="9"/>
        <w:rPr>
          <w:b/>
          <w:sz w:val="22"/>
        </w:rPr>
      </w:pPr>
    </w:p>
    <w:p>
      <w:pPr>
        <w:spacing w:after="0"/>
        <w:rPr>
          <w:sz w:val="22"/>
        </w:rPr>
        <w:sectPr>
          <w:pgSz w:w="11900" w:h="16840"/>
          <w:pgMar w:header="586" w:footer="597" w:top="780" w:bottom="780" w:left="640" w:right="620"/>
        </w:sectPr>
      </w:pPr>
    </w:p>
    <w:p>
      <w:pPr>
        <w:pStyle w:val="Heading9"/>
        <w:spacing w:line="254" w:lineRule="auto" w:before="96"/>
        <w:ind w:right="78"/>
      </w:pPr>
      <w:r>
        <w:rPr/>
        <w:t>The gas, </w:t>
      </w:r>
      <w:r>
        <w:rPr>
          <w:spacing w:val="-3"/>
        </w:rPr>
        <w:t>water,  </w:t>
      </w:r>
      <w:r>
        <w:rPr/>
        <w:t>and electricity services were privatised in 1986, 1989, and 1990 respectively. Domestic consumers were then in the situation of being provided services by private monopolies. So</w:t>
      </w:r>
      <w:r>
        <w:rPr>
          <w:spacing w:val="33"/>
        </w:rPr>
        <w:t> </w:t>
      </w:r>
      <w:r>
        <w:rPr>
          <w:spacing w:val="-7"/>
        </w:rPr>
        <w:t>to</w:t>
      </w:r>
    </w:p>
    <w:p>
      <w:pPr>
        <w:spacing w:before="97"/>
        <w:ind w:left="392" w:right="0" w:firstLine="0"/>
        <w:jc w:val="left"/>
        <w:rPr>
          <w:b/>
          <w:sz w:val="20"/>
        </w:rPr>
      </w:pPr>
      <w:r>
        <w:rPr/>
        <w:br w:type="column"/>
      </w:r>
      <w:r>
        <w:rPr>
          <w:b/>
          <w:color w:val="0092C7"/>
          <w:sz w:val="20"/>
        </w:rPr>
        <w:t>Chart A</w:t>
      </w:r>
    </w:p>
    <w:p>
      <w:pPr>
        <w:spacing w:line="249" w:lineRule="auto" w:before="10"/>
        <w:ind w:left="392" w:right="1120" w:firstLine="0"/>
        <w:jc w:val="left"/>
        <w:rPr>
          <w:sz w:val="12"/>
        </w:rPr>
      </w:pPr>
      <w:r>
        <w:rPr>
          <w:b/>
          <w:color w:val="0092C7"/>
          <w:sz w:val="20"/>
        </w:rPr>
        <w:t>Relative prices of services provided by utilities to domestic consumers</w:t>
      </w:r>
      <w:r>
        <w:rPr>
          <w:position w:val="4"/>
          <w:sz w:val="12"/>
        </w:rPr>
        <w:t>(a)</w:t>
      </w:r>
    </w:p>
    <w:p>
      <w:pPr>
        <w:spacing w:before="45"/>
        <w:ind w:left="3488" w:right="0" w:firstLine="0"/>
        <w:jc w:val="left"/>
        <w:rPr>
          <w:sz w:val="12"/>
        </w:rPr>
      </w:pPr>
      <w:r>
        <w:rPr>
          <w:sz w:val="12"/>
        </w:rPr>
        <w:t>Jan. 1987 = 100 </w:t>
      </w:r>
      <w:r>
        <w:rPr>
          <w:position w:val="-7"/>
          <w:sz w:val="12"/>
        </w:rPr>
        <w:t>180</w:t>
      </w:r>
    </w:p>
    <w:p>
      <w:pPr>
        <w:spacing w:after="0"/>
        <w:jc w:val="left"/>
        <w:rPr>
          <w:sz w:val="12"/>
        </w:rPr>
        <w:sectPr>
          <w:type w:val="continuous"/>
          <w:pgSz w:w="11900" w:h="16840"/>
          <w:pgMar w:top="1220" w:bottom="280" w:left="640" w:right="620"/>
          <w:cols w:num="2" w:equalWidth="0">
            <w:col w:w="5048" w:space="105"/>
            <w:col w:w="5487"/>
          </w:cols>
        </w:sectPr>
      </w:pPr>
    </w:p>
    <w:p>
      <w:pPr>
        <w:pStyle w:val="Heading9"/>
        <w:spacing w:line="254" w:lineRule="auto"/>
        <w:ind w:right="82"/>
      </w:pPr>
      <w:r>
        <w:rPr/>
        <w:t>protect consumers and provide incentives for </w:t>
      </w:r>
      <w:r>
        <w:rPr>
          <w:spacing w:val="-4"/>
        </w:rPr>
        <w:t>efficiency,  </w:t>
      </w:r>
      <w:r>
        <w:rPr/>
        <w:t>systems of regulation were</w:t>
      </w:r>
      <w:r>
        <w:rPr>
          <w:spacing w:val="30"/>
        </w:rPr>
        <w:t> </w:t>
      </w:r>
      <w:r>
        <w:rPr/>
        <w:t>introduced.</w:t>
      </w:r>
    </w:p>
    <w:p>
      <w:pPr>
        <w:pStyle w:val="BodyText"/>
        <w:spacing w:before="7"/>
        <w:rPr>
          <w:sz w:val="21"/>
        </w:rPr>
      </w:pPr>
    </w:p>
    <w:p>
      <w:pPr>
        <w:spacing w:line="254" w:lineRule="auto" w:before="1"/>
        <w:ind w:left="393" w:right="82" w:firstLine="0"/>
        <w:jc w:val="left"/>
        <w:rPr>
          <w:sz w:val="21"/>
        </w:rPr>
      </w:pPr>
      <w:r>
        <w:rPr>
          <w:sz w:val="21"/>
        </w:rPr>
        <w:t>These systems of regulation restrict the revenue that the company can make or the prices that can be charged. The transmission of electricity across the National Grid, the distribution of electricity by Public Electricity Suppliers and the transportation of gas by Transco are all subject to revenue control. Revenue controls restrict the rate of annual increase in </w:t>
      </w:r>
      <w:r>
        <w:rPr>
          <w:spacing w:val="-4"/>
          <w:sz w:val="21"/>
        </w:rPr>
        <w:t>revenue. </w:t>
      </w:r>
      <w:r>
        <w:rPr>
          <w:sz w:val="21"/>
        </w:rPr>
        <w:t>In general revenues </w:t>
      </w:r>
      <w:r>
        <w:rPr>
          <w:spacing w:val="-3"/>
          <w:sz w:val="21"/>
        </w:rPr>
        <w:t>have </w:t>
      </w:r>
      <w:r>
        <w:rPr>
          <w:sz w:val="21"/>
        </w:rPr>
        <w:t>been required to fall relative to the RPI. Where they </w:t>
      </w:r>
      <w:r>
        <w:rPr>
          <w:spacing w:val="-3"/>
          <w:sz w:val="21"/>
        </w:rPr>
        <w:t>have </w:t>
      </w:r>
      <w:r>
        <w:rPr>
          <w:sz w:val="21"/>
        </w:rPr>
        <w:t>been allowed to</w:t>
      </w:r>
      <w:r>
        <w:rPr>
          <w:spacing w:val="6"/>
          <w:sz w:val="21"/>
        </w:rPr>
        <w:t> </w:t>
      </w:r>
      <w:r>
        <w:rPr>
          <w:sz w:val="21"/>
        </w:rPr>
        <w:t>rise</w:t>
      </w:r>
    </w:p>
    <w:p>
      <w:pPr>
        <w:spacing w:before="107"/>
        <w:ind w:left="2471" w:right="0" w:firstLine="0"/>
        <w:jc w:val="left"/>
        <w:rPr>
          <w:sz w:val="12"/>
        </w:rPr>
      </w:pPr>
      <w:r>
        <w:rPr/>
        <w:br w:type="column"/>
      </w:r>
      <w:r>
        <w:rPr>
          <w:sz w:val="12"/>
        </w:rPr>
        <w:t>Water</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6"/>
        </w:rPr>
      </w:pPr>
    </w:p>
    <w:p>
      <w:pPr>
        <w:spacing w:before="0"/>
        <w:ind w:left="0" w:right="790" w:firstLine="0"/>
        <w:jc w:val="right"/>
        <w:rPr>
          <w:sz w:val="12"/>
        </w:rPr>
      </w:pPr>
      <w:r>
        <w:rPr>
          <w:sz w:val="12"/>
        </w:rPr>
        <w:t>Electricity</w:t>
      </w:r>
    </w:p>
    <w:p>
      <w:pPr>
        <w:pStyle w:val="BodyText"/>
        <w:rPr>
          <w:sz w:val="12"/>
        </w:rPr>
      </w:pPr>
    </w:p>
    <w:p>
      <w:pPr>
        <w:pStyle w:val="BodyText"/>
        <w:rPr>
          <w:sz w:val="12"/>
        </w:rPr>
      </w:pPr>
    </w:p>
    <w:p>
      <w:pPr>
        <w:pStyle w:val="BodyText"/>
        <w:spacing w:before="5"/>
        <w:rPr>
          <w:sz w:val="10"/>
        </w:rPr>
      </w:pPr>
    </w:p>
    <w:p>
      <w:pPr>
        <w:spacing w:before="0"/>
        <w:ind w:left="2494" w:right="0" w:firstLine="0"/>
        <w:jc w:val="left"/>
        <w:rPr>
          <w:sz w:val="12"/>
        </w:rPr>
      </w:pPr>
      <w:r>
        <w:rPr>
          <w:sz w:val="12"/>
        </w:rPr>
        <w:t>Gas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5"/>
        </w:rPr>
      </w:pPr>
    </w:p>
    <w:p>
      <w:pPr>
        <w:tabs>
          <w:tab w:pos="1171" w:val="left" w:leader="none"/>
          <w:tab w:pos="1709" w:val="left" w:leader="none"/>
          <w:tab w:pos="2247" w:val="left" w:leader="none"/>
          <w:tab w:pos="2785" w:val="left" w:leader="none"/>
          <w:tab w:pos="3323" w:val="left" w:leader="none"/>
          <w:tab w:pos="3861" w:val="left" w:leader="none"/>
        </w:tabs>
        <w:spacing w:before="0"/>
        <w:ind w:left="557" w:right="0" w:firstLine="0"/>
        <w:jc w:val="left"/>
        <w:rPr>
          <w:sz w:val="12"/>
        </w:rPr>
      </w:pPr>
      <w:r>
        <w:rPr>
          <w:sz w:val="12"/>
        </w:rPr>
        <w:t>1987</w:t>
        <w:tab/>
        <w:t>89</w:t>
        <w:tab/>
        <w:t>91</w:t>
        <w:tab/>
        <w:t>93</w:t>
        <w:tab/>
        <w:t>95</w:t>
        <w:tab/>
        <w:t>97</w:t>
        <w:tab/>
      </w:r>
      <w:r>
        <w:rPr>
          <w:spacing w:val="-10"/>
          <w:sz w:val="12"/>
        </w:rPr>
        <w:t>99</w:t>
      </w:r>
    </w:p>
    <w:p>
      <w:pPr>
        <w:pStyle w:val="ListParagraph"/>
        <w:numPr>
          <w:ilvl w:val="2"/>
          <w:numId w:val="34"/>
        </w:numPr>
        <w:tabs>
          <w:tab w:pos="663" w:val="left" w:leader="none"/>
        </w:tabs>
        <w:spacing w:line="68" w:lineRule="exact" w:before="56" w:after="0"/>
        <w:ind w:left="663" w:right="0" w:hanging="271"/>
        <w:jc w:val="left"/>
        <w:rPr>
          <w:sz w:val="12"/>
        </w:rPr>
      </w:pPr>
      <w:r>
        <w:rPr>
          <w:sz w:val="12"/>
        </w:rPr>
        <w:t>Components of the retail price index relative to the aggregate.</w:t>
      </w:r>
    </w:p>
    <w:p>
      <w:pPr>
        <w:pStyle w:val="BodyText"/>
        <w:spacing w:before="3"/>
        <w:rPr>
          <w:sz w:val="12"/>
        </w:rPr>
      </w:pPr>
      <w:r>
        <w:rPr/>
        <w:br w:type="column"/>
      </w:r>
      <w:r>
        <w:rPr>
          <w:sz w:val="12"/>
        </w:rPr>
      </w:r>
    </w:p>
    <w:p>
      <w:pPr>
        <w:spacing w:before="0"/>
        <w:ind w:left="0" w:right="1015" w:firstLine="0"/>
        <w:jc w:val="right"/>
        <w:rPr>
          <w:sz w:val="12"/>
        </w:rPr>
      </w:pPr>
      <w:r>
        <w:rPr>
          <w:sz w:val="12"/>
        </w:rPr>
        <w:t>160</w:t>
      </w:r>
    </w:p>
    <w:p>
      <w:pPr>
        <w:pStyle w:val="BodyText"/>
        <w:spacing w:before="8"/>
        <w:rPr>
          <w:sz w:val="15"/>
        </w:rPr>
      </w:pPr>
    </w:p>
    <w:p>
      <w:pPr>
        <w:spacing w:before="1"/>
        <w:ind w:left="0" w:right="1015" w:firstLine="0"/>
        <w:jc w:val="right"/>
        <w:rPr>
          <w:sz w:val="12"/>
        </w:rPr>
      </w:pPr>
      <w:r>
        <w:rPr>
          <w:sz w:val="12"/>
        </w:rPr>
        <w:t>140</w:t>
      </w:r>
    </w:p>
    <w:p>
      <w:pPr>
        <w:pStyle w:val="BodyText"/>
        <w:spacing w:before="8"/>
        <w:rPr>
          <w:sz w:val="15"/>
        </w:rPr>
      </w:pPr>
    </w:p>
    <w:p>
      <w:pPr>
        <w:spacing w:before="0"/>
        <w:ind w:left="0" w:right="1015" w:firstLine="0"/>
        <w:jc w:val="right"/>
        <w:rPr>
          <w:sz w:val="12"/>
        </w:rPr>
      </w:pPr>
      <w:r>
        <w:rPr>
          <w:sz w:val="12"/>
        </w:rPr>
        <w:t>120</w:t>
      </w:r>
    </w:p>
    <w:p>
      <w:pPr>
        <w:pStyle w:val="BodyText"/>
        <w:spacing w:before="8"/>
        <w:rPr>
          <w:sz w:val="15"/>
        </w:rPr>
      </w:pPr>
    </w:p>
    <w:p>
      <w:pPr>
        <w:spacing w:before="0"/>
        <w:ind w:left="0" w:right="1015" w:firstLine="0"/>
        <w:jc w:val="right"/>
        <w:rPr>
          <w:sz w:val="12"/>
        </w:rPr>
      </w:pPr>
      <w:r>
        <w:rPr>
          <w:sz w:val="12"/>
        </w:rPr>
        <w:t>100</w:t>
      </w:r>
    </w:p>
    <w:p>
      <w:pPr>
        <w:pStyle w:val="BodyText"/>
        <w:spacing w:before="8"/>
        <w:rPr>
          <w:sz w:val="15"/>
        </w:rPr>
      </w:pPr>
    </w:p>
    <w:p>
      <w:pPr>
        <w:spacing w:before="0"/>
        <w:ind w:left="0" w:right="1015" w:firstLine="0"/>
        <w:jc w:val="right"/>
        <w:rPr>
          <w:sz w:val="12"/>
        </w:rPr>
      </w:pPr>
      <w:r>
        <w:rPr>
          <w:sz w:val="12"/>
        </w:rPr>
        <w:t>80</w:t>
      </w:r>
    </w:p>
    <w:p>
      <w:pPr>
        <w:pStyle w:val="BodyText"/>
        <w:spacing w:before="8"/>
        <w:rPr>
          <w:sz w:val="15"/>
        </w:rPr>
      </w:pPr>
    </w:p>
    <w:p>
      <w:pPr>
        <w:spacing w:before="0"/>
        <w:ind w:left="0" w:right="1015" w:firstLine="0"/>
        <w:jc w:val="right"/>
        <w:rPr>
          <w:sz w:val="12"/>
        </w:rPr>
      </w:pPr>
      <w:r>
        <w:rPr>
          <w:sz w:val="12"/>
        </w:rPr>
        <w:t>60</w:t>
      </w:r>
    </w:p>
    <w:p>
      <w:pPr>
        <w:pStyle w:val="BodyText"/>
        <w:spacing w:before="8"/>
        <w:rPr>
          <w:sz w:val="15"/>
        </w:rPr>
      </w:pPr>
    </w:p>
    <w:p>
      <w:pPr>
        <w:spacing w:before="0"/>
        <w:ind w:left="0" w:right="1015" w:firstLine="0"/>
        <w:jc w:val="right"/>
        <w:rPr>
          <w:sz w:val="12"/>
        </w:rPr>
      </w:pPr>
      <w:r>
        <w:rPr>
          <w:sz w:val="12"/>
        </w:rPr>
        <w:t>40</w:t>
      </w:r>
    </w:p>
    <w:p>
      <w:pPr>
        <w:pStyle w:val="BodyText"/>
        <w:spacing w:before="8"/>
        <w:rPr>
          <w:sz w:val="15"/>
        </w:rPr>
      </w:pPr>
    </w:p>
    <w:p>
      <w:pPr>
        <w:spacing w:before="0"/>
        <w:ind w:left="0" w:right="1015" w:firstLine="0"/>
        <w:jc w:val="right"/>
        <w:rPr>
          <w:sz w:val="12"/>
        </w:rPr>
      </w:pPr>
      <w:r>
        <w:rPr>
          <w:sz w:val="12"/>
        </w:rPr>
        <w:t>20</w:t>
      </w:r>
    </w:p>
    <w:p>
      <w:pPr>
        <w:pStyle w:val="BodyText"/>
        <w:spacing w:before="8"/>
        <w:rPr>
          <w:sz w:val="15"/>
        </w:rPr>
      </w:pPr>
    </w:p>
    <w:p>
      <w:pPr>
        <w:spacing w:before="1"/>
        <w:ind w:left="0" w:right="1015" w:firstLine="0"/>
        <w:jc w:val="right"/>
        <w:rPr>
          <w:sz w:val="12"/>
        </w:rPr>
      </w:pPr>
      <w:r>
        <w:rPr>
          <w:sz w:val="12"/>
        </w:rPr>
        <w:t>0</w:t>
      </w:r>
    </w:p>
    <w:p>
      <w:pPr>
        <w:spacing w:after="0"/>
        <w:jc w:val="right"/>
        <w:rPr>
          <w:sz w:val="12"/>
        </w:rPr>
        <w:sectPr>
          <w:type w:val="continuous"/>
          <w:pgSz w:w="11900" w:h="16840"/>
          <w:pgMar w:top="1220" w:bottom="280" w:left="640" w:right="620"/>
          <w:cols w:num="3" w:equalWidth="0">
            <w:col w:w="5088" w:space="65"/>
            <w:col w:w="3982" w:space="39"/>
            <w:col w:w="1466"/>
          </w:cols>
        </w:sectPr>
      </w:pPr>
    </w:p>
    <w:p>
      <w:pPr>
        <w:pStyle w:val="Heading9"/>
        <w:tabs>
          <w:tab w:pos="5517" w:val="left" w:leader="none"/>
          <w:tab w:pos="10219" w:val="left" w:leader="none"/>
        </w:tabs>
        <w:spacing w:line="233" w:lineRule="exact"/>
      </w:pPr>
      <w:r>
        <w:rPr/>
        <w:t>more</w:t>
      </w:r>
      <w:r>
        <w:rPr>
          <w:spacing w:val="9"/>
        </w:rPr>
        <w:t> </w:t>
      </w:r>
      <w:r>
        <w:rPr/>
        <w:t>rapidly</w:t>
      </w:r>
      <w:r>
        <w:rPr>
          <w:spacing w:val="10"/>
        </w:rPr>
        <w:t> </w:t>
      </w:r>
      <w:r>
        <w:rPr/>
        <w:t>than</w:t>
      </w:r>
      <w:r>
        <w:rPr>
          <w:spacing w:val="10"/>
        </w:rPr>
        <w:t> </w:t>
      </w:r>
      <w:r>
        <w:rPr/>
        <w:t>the</w:t>
      </w:r>
      <w:r>
        <w:rPr>
          <w:spacing w:val="10"/>
        </w:rPr>
        <w:t> </w:t>
      </w:r>
      <w:r>
        <w:rPr/>
        <w:t>RPI</w:t>
      </w:r>
      <w:r>
        <w:rPr>
          <w:spacing w:val="10"/>
        </w:rPr>
        <w:t> </w:t>
      </w:r>
      <w:r>
        <w:rPr/>
        <w:t>it</w:t>
      </w:r>
      <w:r>
        <w:rPr>
          <w:spacing w:val="9"/>
        </w:rPr>
        <w:t> </w:t>
      </w:r>
      <w:r>
        <w:rPr/>
        <w:t>has</w:t>
      </w:r>
      <w:r>
        <w:rPr>
          <w:spacing w:val="10"/>
        </w:rPr>
        <w:t> </w:t>
      </w:r>
      <w:r>
        <w:rPr/>
        <w:t>been</w:t>
      </w:r>
      <w:r>
        <w:rPr>
          <w:spacing w:val="10"/>
        </w:rPr>
        <w:t> </w:t>
      </w:r>
      <w:r>
        <w:rPr/>
        <w:t>to</w:t>
      </w:r>
      <w:r>
        <w:rPr>
          <w:spacing w:val="10"/>
        </w:rPr>
        <w:t> </w:t>
      </w:r>
      <w:r>
        <w:rPr/>
        <w:t>fund</w:t>
        <w:tab/>
      </w:r>
      <w:r>
        <w:rPr>
          <w:w w:val="102"/>
          <w:u w:val="single"/>
        </w:rPr>
        <w:t> </w:t>
      </w:r>
      <w:r>
        <w:rPr>
          <w:u w:val="single"/>
        </w:rPr>
        <w:tab/>
      </w:r>
    </w:p>
    <w:p>
      <w:pPr>
        <w:spacing w:line="182" w:lineRule="exact" w:before="13"/>
        <w:ind w:left="393" w:right="0" w:firstLine="0"/>
        <w:jc w:val="left"/>
        <w:rPr>
          <w:sz w:val="21"/>
        </w:rPr>
      </w:pPr>
      <w:r>
        <w:rPr>
          <w:sz w:val="21"/>
        </w:rPr>
        <w:t>investment deemed necessary by the regulator. That</w:t>
      </w:r>
    </w:p>
    <w:p>
      <w:pPr>
        <w:spacing w:after="0" w:line="182" w:lineRule="exact"/>
        <w:jc w:val="left"/>
        <w:rPr>
          <w:sz w:val="21"/>
        </w:rPr>
        <w:sectPr>
          <w:type w:val="continuous"/>
          <w:pgSz w:w="11900" w:h="16840"/>
          <w:pgMar w:top="1220" w:bottom="280" w:left="640" w:right="620"/>
        </w:sectPr>
      </w:pPr>
    </w:p>
    <w:p>
      <w:pPr>
        <w:spacing w:before="74"/>
        <w:ind w:left="393" w:right="0" w:firstLine="0"/>
        <w:jc w:val="left"/>
        <w:rPr>
          <w:sz w:val="21"/>
        </w:rPr>
      </w:pPr>
      <w:r>
        <w:rPr>
          <w:sz w:val="21"/>
        </w:rPr>
        <w:t>has been the case for the water industry (see Chart A).</w:t>
      </w:r>
    </w:p>
    <w:p>
      <w:pPr>
        <w:pStyle w:val="BodyText"/>
        <w:spacing w:before="4"/>
        <w:rPr>
          <w:sz w:val="23"/>
        </w:rPr>
      </w:pPr>
    </w:p>
    <w:p>
      <w:pPr>
        <w:spacing w:line="254" w:lineRule="auto" w:before="0"/>
        <w:ind w:left="393" w:right="180" w:firstLine="0"/>
        <w:jc w:val="left"/>
        <w:rPr>
          <w:sz w:val="21"/>
        </w:rPr>
      </w:pPr>
      <w:r>
        <w:rPr>
          <w:sz w:val="21"/>
        </w:rPr>
        <w:t>The supply of gas to domestic customers by British Gas Trading (owned by Centrica) and the supply of electricity by Public Electricity Suppliers to some domestic customers within the suppliers’ area are subject to price control. The  price  controls  restrict the rate of annual price increases to RPI minus an </w:t>
      </w:r>
      <w:r>
        <w:rPr>
          <w:spacing w:val="-3"/>
          <w:sz w:val="21"/>
        </w:rPr>
        <w:t>efficiency factor. </w:t>
      </w:r>
      <w:r>
        <w:rPr>
          <w:sz w:val="21"/>
        </w:rPr>
        <w:t>The controls on revenues and prices are intended to remain in place until sufficient competition has</w:t>
      </w:r>
      <w:r>
        <w:rPr>
          <w:spacing w:val="3"/>
          <w:sz w:val="21"/>
        </w:rPr>
        <w:t> </w:t>
      </w:r>
      <w:r>
        <w:rPr>
          <w:sz w:val="21"/>
        </w:rPr>
        <w:t>developed.</w:t>
      </w:r>
    </w:p>
    <w:p>
      <w:pPr>
        <w:pStyle w:val="BodyText"/>
        <w:spacing w:before="4"/>
        <w:rPr>
          <w:sz w:val="21"/>
        </w:rPr>
      </w:pPr>
    </w:p>
    <w:p>
      <w:pPr>
        <w:spacing w:line="254" w:lineRule="auto" w:before="0"/>
        <w:ind w:left="393" w:right="180" w:firstLine="0"/>
        <w:jc w:val="left"/>
        <w:rPr>
          <w:sz w:val="21"/>
        </w:rPr>
      </w:pPr>
      <w:r>
        <w:rPr>
          <w:sz w:val="21"/>
        </w:rPr>
        <w:t>From 1 April 2000, Ofgem, the regulator for the electricity and gas industries, has removed direct  debit customers completely from the scope of the </w:t>
      </w:r>
      <w:r>
        <w:rPr>
          <w:spacing w:val="-6"/>
          <w:sz w:val="21"/>
        </w:rPr>
        <w:t>gas </w:t>
      </w:r>
      <w:r>
        <w:rPr>
          <w:sz w:val="21"/>
        </w:rPr>
        <w:t>supply price controls and from the </w:t>
      </w:r>
      <w:r>
        <w:rPr>
          <w:spacing w:val="-3"/>
          <w:sz w:val="21"/>
        </w:rPr>
        <w:t>key</w:t>
      </w:r>
      <w:r>
        <w:rPr>
          <w:spacing w:val="20"/>
          <w:sz w:val="21"/>
        </w:rPr>
        <w:t> </w:t>
      </w:r>
      <w:r>
        <w:rPr>
          <w:sz w:val="21"/>
        </w:rPr>
        <w:t>elements of</w:t>
      </w:r>
    </w:p>
    <w:p>
      <w:pPr>
        <w:spacing w:line="254" w:lineRule="auto" w:before="0"/>
        <w:ind w:left="392" w:right="581" w:firstLine="0"/>
        <w:jc w:val="left"/>
        <w:rPr>
          <w:sz w:val="21"/>
        </w:rPr>
      </w:pPr>
      <w:r>
        <w:rPr/>
        <w:br w:type="column"/>
      </w:r>
      <w:r>
        <w:rPr>
          <w:sz w:val="21"/>
        </w:rPr>
        <w:t>the electricity supply price controls, as competition for these customers is sufficiently developed. Since 1998 for gas and 1999 for electricity, all households in Great Britain have been able to choose their domestic supplier. Ofgem expects the prospective increase in competition to be sufficient to remove all gas customers from the supply price controls from April 2001 and all electricity customers from 2002.</w:t>
      </w:r>
    </w:p>
    <w:p>
      <w:pPr>
        <w:pStyle w:val="BodyText"/>
        <w:spacing w:before="3"/>
        <w:rPr>
          <w:sz w:val="23"/>
        </w:rPr>
      </w:pPr>
    </w:p>
    <w:p>
      <w:pPr>
        <w:spacing w:line="254" w:lineRule="auto" w:before="0"/>
        <w:ind w:left="392" w:right="718" w:firstLine="0"/>
        <w:jc w:val="left"/>
        <w:rPr>
          <w:sz w:val="21"/>
        </w:rPr>
      </w:pPr>
      <w:r>
        <w:rPr>
          <w:sz w:val="21"/>
        </w:rPr>
        <w:t>Implementation of the latest price  control  </w:t>
      </w:r>
      <w:r>
        <w:rPr>
          <w:spacing w:val="-3"/>
          <w:sz w:val="21"/>
        </w:rPr>
        <w:t>reviews </w:t>
      </w:r>
      <w:r>
        <w:rPr>
          <w:sz w:val="21"/>
        </w:rPr>
        <w:t>on 1 April, means that some electricity, gas and water prices will fall. Collectively, expenditure on these services comprises 4.3% of the RPIX basket   of goods and services. The new price limits imply that domestic electricity prices should fall, on average, by around 6%. Domestic gas prices</w:t>
      </w:r>
      <w:r>
        <w:rPr>
          <w:spacing w:val="4"/>
          <w:sz w:val="21"/>
        </w:rPr>
        <w:t> </w:t>
      </w:r>
      <w:r>
        <w:rPr>
          <w:sz w:val="21"/>
        </w:rPr>
        <w:t>should</w:t>
      </w:r>
    </w:p>
    <w:p>
      <w:pPr>
        <w:spacing w:after="0" w:line="254" w:lineRule="auto"/>
        <w:jc w:val="left"/>
        <w:rPr>
          <w:sz w:val="21"/>
        </w:rPr>
        <w:sectPr>
          <w:type w:val="continuous"/>
          <w:pgSz w:w="11900" w:h="16840"/>
          <w:pgMar w:top="1220" w:bottom="280" w:left="640" w:right="620"/>
          <w:cols w:num="2" w:equalWidth="0">
            <w:col w:w="5093" w:space="48"/>
            <w:col w:w="5499"/>
          </w:cols>
        </w:sectPr>
      </w:pPr>
    </w:p>
    <w:p>
      <w:pPr>
        <w:pStyle w:val="BodyText"/>
        <w:rPr>
          <w:sz w:val="20"/>
        </w:rPr>
      </w:pPr>
    </w:p>
    <w:p>
      <w:pPr>
        <w:pStyle w:val="BodyText"/>
        <w:rPr>
          <w:sz w:val="20"/>
        </w:rPr>
      </w:pPr>
    </w:p>
    <w:p>
      <w:pPr>
        <w:pStyle w:val="BodyText"/>
        <w:spacing w:before="8"/>
        <w:rPr>
          <w:sz w:val="17"/>
        </w:rPr>
      </w:pPr>
    </w:p>
    <w:p>
      <w:pPr>
        <w:spacing w:line="242" w:lineRule="auto" w:before="90"/>
        <w:ind w:left="4960" w:right="241" w:firstLine="0"/>
        <w:jc w:val="left"/>
        <w:rPr>
          <w:sz w:val="24"/>
        </w:rPr>
      </w:pPr>
      <w:r>
        <w:rPr>
          <w:sz w:val="24"/>
        </w:rPr>
        <w:t>months. But this information on current and </w:t>
      </w:r>
      <w:r>
        <w:rPr>
          <w:spacing w:val="-3"/>
          <w:sz w:val="24"/>
        </w:rPr>
        <w:t>prospective </w:t>
      </w:r>
      <w:r>
        <w:rPr>
          <w:sz w:val="24"/>
        </w:rPr>
        <w:t>margins relates mainly to the retailing of goods. The strength of demand for services may </w:t>
      </w:r>
      <w:r>
        <w:rPr>
          <w:spacing w:val="-3"/>
          <w:sz w:val="24"/>
        </w:rPr>
        <w:t>have </w:t>
      </w:r>
      <w:r>
        <w:rPr>
          <w:sz w:val="24"/>
        </w:rPr>
        <w:t>enabled margins to increase in that </w:t>
      </w:r>
      <w:r>
        <w:rPr>
          <w:spacing w:val="-3"/>
          <w:sz w:val="24"/>
        </w:rPr>
        <w:t>sector. </w:t>
      </w:r>
      <w:r>
        <w:rPr>
          <w:sz w:val="24"/>
        </w:rPr>
        <w:t>It is the aggregate margin of all firms </w:t>
      </w:r>
      <w:r>
        <w:rPr>
          <w:spacing w:val="-3"/>
          <w:sz w:val="24"/>
        </w:rPr>
        <w:t>involved </w:t>
      </w:r>
      <w:r>
        <w:rPr>
          <w:sz w:val="24"/>
        </w:rPr>
        <w:t>in the supply of goods and services for consumption that is relevant to developments in aggregate retail price inflation. A recent survey by the </w:t>
      </w:r>
      <w:r>
        <w:rPr>
          <w:spacing w:val="-3"/>
          <w:sz w:val="24"/>
        </w:rPr>
        <w:t>Bank’s </w:t>
      </w:r>
      <w:r>
        <w:rPr>
          <w:sz w:val="24"/>
        </w:rPr>
        <w:t>Agents asked about trends in profit margins in the retail, non-retail services, manufacturing, and construction sectors. The survey indicated that overall across these sectors there had been a slight narrowing of margins in 2000 Q1. But large majorities of firms in the construction and non-retail services sectors, where demand has been buoyant, had seen an increase in profit margins. Different trends</w:t>
      </w:r>
      <w:r>
        <w:rPr>
          <w:spacing w:val="-41"/>
          <w:sz w:val="24"/>
        </w:rPr>
        <w:t> </w:t>
      </w:r>
      <w:r>
        <w:rPr>
          <w:sz w:val="24"/>
        </w:rPr>
        <w:t>in</w:t>
      </w:r>
    </w:p>
    <w:p>
      <w:pPr>
        <w:spacing w:after="0" w:line="242" w:lineRule="auto"/>
        <w:jc w:val="left"/>
        <w:rPr>
          <w:sz w:val="24"/>
        </w:rPr>
        <w:sectPr>
          <w:type w:val="continuous"/>
          <w:pgSz w:w="11900" w:h="16840"/>
          <w:pgMar w:top="1220" w:bottom="280" w:left="640" w:right="620"/>
        </w:sectPr>
      </w:pPr>
    </w:p>
    <w:p>
      <w:pPr>
        <w:pStyle w:val="BodyText"/>
        <w:rPr>
          <w:sz w:val="20"/>
        </w:rPr>
      </w:pPr>
    </w:p>
    <w:p>
      <w:pPr>
        <w:spacing w:after="0"/>
        <w:rPr>
          <w:sz w:val="20"/>
        </w:rPr>
        <w:sectPr>
          <w:headerReference w:type="default" r:id="rId171"/>
          <w:headerReference w:type="even" r:id="rId172"/>
          <w:footerReference w:type="default" r:id="rId173"/>
          <w:footerReference w:type="even" r:id="rId174"/>
          <w:pgSz w:w="11900" w:h="16840"/>
          <w:pgMar w:header="586" w:footer="617" w:top="780" w:bottom="800" w:left="640" w:right="620"/>
          <w:pgNumType w:start="39"/>
        </w:sectPr>
      </w:pPr>
    </w:p>
    <w:p>
      <w:pPr>
        <w:pStyle w:val="BodyText"/>
        <w:spacing w:before="10"/>
      </w:pPr>
    </w:p>
    <w:p>
      <w:pPr>
        <w:spacing w:line="254" w:lineRule="auto" w:before="0"/>
        <w:ind w:left="393" w:right="114" w:firstLine="0"/>
        <w:jc w:val="left"/>
        <w:rPr>
          <w:sz w:val="21"/>
        </w:rPr>
      </w:pPr>
      <w:r>
        <w:rPr/>
        <w:pict>
          <v:group style="position:absolute;margin-left:38.650002pt;margin-top:-20.517275pt;width:516.7pt;height:501.85pt;mso-position-horizontal-relative:page;mso-position-vertical-relative:paragraph;z-index:-22334464" coordorigin="773,-410" coordsize="10334,10037">
            <v:shape style="position:absolute;left:792;top:-391;width:10295;height:9997" coordorigin="793,-390" coordsize="10295,9997" path="m11087,-390l5961,-390,5919,-390,793,-390,793,4588,793,4627,793,9606,5919,9606,5961,9606,11087,9606,11087,-390xe" filled="true" fillcolor="#d7e8e7" stroked="false">
              <v:path arrowok="t"/>
              <v:fill type="solid"/>
            </v:shape>
            <v:shape style="position:absolute;left:872;top:-314;width:10135;height:9844" coordorigin="872,-314" coordsize="10135,9844" path="m5940,-314l872,4608,5940,9529,11007,4608,5940,-314xe" filled="true" fillcolor="#d9e8e7" stroked="false">
              <v:path arrowok="t"/>
              <v:fill type="solid"/>
            </v:shape>
            <v:shape style="position:absolute;left:971;top:-218;width:9937;height:9651" coordorigin="972,-217" coordsize="9937,9651" path="m5940,-217l972,4608,5940,9433,10908,4608,5940,-217xe" filled="true" fillcolor="#dae9e8" stroked="false">
              <v:path arrowok="t"/>
              <v:fill type="solid"/>
            </v:shape>
            <v:shape style="position:absolute;left:1071;top:-121;width:9738;height:9458" coordorigin="1071,-121" coordsize="9738,9458" path="m5940,-121l1071,4608,5940,9336,10809,4608,5940,-121xe" filled="true" fillcolor="#daeae8" stroked="false">
              <v:path arrowok="t"/>
              <v:fill type="solid"/>
            </v:shape>
            <v:shape style="position:absolute;left:1170;top:-25;width:9539;height:9265" coordorigin="1171,-24" coordsize="9539,9265" path="m5940,-24l1171,4608,5940,9240,10709,4608,5940,-24xe" filled="true" fillcolor="#dbeae8" stroked="false">
              <v:path arrowok="t"/>
              <v:fill type="solid"/>
            </v:shape>
            <v:shape style="position:absolute;left:1269;top:72;width:9341;height:9072" coordorigin="1270,72" coordsize="9341,9072" path="m5940,72l1270,4608,5940,9143,10610,4608,5940,72xe" filled="true" fillcolor="#dcebe9" stroked="false">
              <v:path arrowok="t"/>
              <v:fill type="solid"/>
            </v:shape>
            <v:shape style="position:absolute;left:1369;top:168;width:9142;height:8879" coordorigin="1369,169" coordsize="9142,8879" path="m5940,169l1369,4608,5940,9047,10511,4608,5940,169xe" filled="true" fillcolor="#ddebe9" stroked="false">
              <v:path arrowok="t"/>
              <v:fill type="solid"/>
            </v:shape>
            <v:shape style="position:absolute;left:1468;top:265;width:8943;height:8686" coordorigin="1469,265" coordsize="8943,8686" path="m5940,265l1469,4608,5940,8950,10411,4608,5940,265xe" filled="true" fillcolor="#ddebea" stroked="false">
              <v:path arrowok="t"/>
              <v:fill type="solid"/>
            </v:shape>
            <v:shape style="position:absolute;left:1567;top:361;width:8744;height:8493" coordorigin="1568,362" coordsize="8744,8493" path="m5940,362l1568,4608,5940,8854,10312,4608,5940,362xe" filled="true" fillcolor="#dfebea" stroked="false">
              <v:path arrowok="t"/>
              <v:fill type="solid"/>
            </v:shape>
            <v:shape style="position:absolute;left:1667;top:458;width:8546;height:8300" coordorigin="1667,458" coordsize="8546,8300" path="m10213,4608l5940,458,1667,4608,5940,8757,10213,4608xe" filled="true" fillcolor="#dfeceb" stroked="false">
              <v:path arrowok="t"/>
              <v:fill type="solid"/>
            </v:shape>
            <v:shape style="position:absolute;left:1866;top:651;width:8148;height:7914" coordorigin="1866,651" coordsize="8148,7914" path="m5940,651l1866,4608,5940,8564,10014,4608,5940,651xe" filled="true" fillcolor="#e0eceb" stroked="false">
              <v:path arrowok="t"/>
              <v:fill type="solid"/>
            </v:shape>
            <v:shape style="position:absolute;left:1965;top:747;width:7949;height:7721" coordorigin="1965,748" coordsize="7949,7721" path="m5940,748l1965,4608,5940,8468,9914,4608,5940,748xe" filled="true" fillcolor="#e0edeb" stroked="false">
              <v:path arrowok="t"/>
              <v:fill type="solid"/>
            </v:shape>
            <v:shape style="position:absolute;left:2064;top:844;width:7751;height:7528" coordorigin="2065,844" coordsize="7751,7528" path="m5940,844l2065,4608,5940,8371,9815,4608,5940,844xe" filled="true" fillcolor="#e1edeb" stroked="false">
              <v:path arrowok="t"/>
              <v:fill type="solid"/>
            </v:shape>
            <v:shape style="position:absolute;left:2164;top:940;width:7552;height:7335" coordorigin="2164,941" coordsize="7552,7335" path="m5940,941l2164,4608,5940,8275,9716,4608,5940,941xe" filled="true" fillcolor="#e2edec" stroked="false">
              <v:path arrowok="t"/>
              <v:fill type="solid"/>
            </v:shape>
            <v:shape style="position:absolute;left:2263;top:1037;width:7353;height:7142" coordorigin="2264,1037" coordsize="7353,7142" path="m5940,1037l2264,4608,5940,8178,9616,4608,5940,1037xe" filled="true" fillcolor="#e3eeec" stroked="false">
              <v:path arrowok="t"/>
              <v:fill type="solid"/>
            </v:shape>
            <v:shape style="position:absolute;left:2362;top:1133;width:7155;height:6949" coordorigin="2363,1134" coordsize="7155,6949" path="m5940,1134l2363,4608,5940,8082,9517,4608,5940,1134xe" filled="true" fillcolor="#e4efed" stroked="false">
              <v:path arrowok="t"/>
              <v:fill type="solid"/>
            </v:shape>
            <v:shape style="position:absolute;left:2462;top:1230;width:6956;height:6756" coordorigin="2462,1230" coordsize="6956,6756" path="m5940,1230l2462,4608,5940,7985,9418,4608,5940,1230xe" filled="true" fillcolor="#e6efed" stroked="false">
              <v:path arrowok="t"/>
              <v:fill type="solid"/>
            </v:shape>
            <v:shape style="position:absolute;left:2561;top:1326;width:6757;height:6563" coordorigin="2562,1327" coordsize="6757,6563" path="m5940,1327l2562,4608,5940,7889,9318,4608,5940,1327xe" filled="true" fillcolor="#e6efee" stroked="false">
              <v:path arrowok="t"/>
              <v:fill type="solid"/>
            </v:shape>
            <v:shape style="position:absolute;left:2660;top:1423;width:6558;height:6370" coordorigin="2661,1423" coordsize="6558,6370" path="m5940,1423l2661,4608,5940,7792,9219,4608,5940,1423xe" filled="true" fillcolor="#e7f0ee" stroked="false">
              <v:path arrowok="t"/>
              <v:fill type="solid"/>
            </v:shape>
            <v:shape style="position:absolute;left:2760;top:1519;width:6360;height:6177" coordorigin="2760,1520" coordsize="6360,6177" path="m9120,4608l5940,1520,2760,4608,5940,7696,9120,4608xe" filled="true" fillcolor="#e8f0ee" stroked="false">
              <v:path arrowok="t"/>
              <v:fill type="solid"/>
            </v:shape>
            <v:shape style="position:absolute;left:2959;top:1712;width:5962;height:5791" coordorigin="2959,1713" coordsize="5962,5791" path="m5940,1713l2959,4608,5940,7503,8921,4608,5940,1713xe" filled="true" fillcolor="#eaf1f0" stroked="false">
              <v:path arrowok="t"/>
              <v:fill type="solid"/>
            </v:shape>
            <v:shape style="position:absolute;left:3058;top:1809;width:5764;height:5598" coordorigin="3058,1809" coordsize="5764,5598" path="m8821,4608l5940,1809,3058,4608,5940,7406,8821,4608xe" filled="true" fillcolor="#ebf3f0" stroked="false">
              <v:path arrowok="t"/>
              <v:fill type="solid"/>
            </v:shape>
            <v:shape style="position:absolute;left:3257;top:2002;width:5366;height:5212" coordorigin="3257,2002" coordsize="5366,5212" path="m5940,2002l3257,4608,5940,7213,8623,4608,5940,2002xe" filled="true" fillcolor="#ebf4f1" stroked="false">
              <v:path arrowok="t"/>
              <v:fill type="solid"/>
            </v:shape>
            <v:shape style="position:absolute;left:3356;top:2098;width:5167;height:5019" coordorigin="3357,2099" coordsize="5167,5019" path="m5940,2099l3357,4608,5940,7117,8523,4608,5940,2099xe" filled="true" fillcolor="#ecf4f1" stroked="false">
              <v:path arrowok="t"/>
              <v:fill type="solid"/>
            </v:shape>
            <v:shape style="position:absolute;left:3455;top:2195;width:4969;height:4826" coordorigin="3456,2195" coordsize="4969,4826" path="m5940,2195l3456,4608,5940,7020,8424,4608,5940,2195xe" filled="true" fillcolor="#ecf4f3" stroked="false">
              <v:path arrowok="t"/>
              <v:fill type="solid"/>
            </v:shape>
            <v:shape style="position:absolute;left:3555;top:2291;width:4770;height:4633" coordorigin="3555,2292" coordsize="4770,4633" path="m5940,2292l3555,4608,5940,6924,8325,4608,5940,2292xe" filled="true" fillcolor="#edf5f3" stroked="false">
              <v:path arrowok="t"/>
              <v:fill type="solid"/>
            </v:shape>
            <v:shape style="position:absolute;left:3654;top:2388;width:4571;height:4440" coordorigin="3655,2388" coordsize="4571,4440" path="m5940,2388l3655,4608,5940,6827,8225,4608,5940,2388xe" filled="true" fillcolor="#eef5f4" stroked="false">
              <v:path arrowok="t"/>
              <v:fill type="solid"/>
            </v:shape>
            <v:shape style="position:absolute;left:3753;top:2484;width:4372;height:4247" coordorigin="3754,2485" coordsize="4372,4247" path="m5940,2485l3754,4608,5940,6731,8126,4608,5940,2485xe" filled="true" fillcolor="#eff6f4" stroked="false">
              <v:path arrowok="t"/>
              <v:fill type="solid"/>
            </v:shape>
            <v:shape style="position:absolute;left:3853;top:2581;width:4174;height:4054" coordorigin="3853,2581" coordsize="4174,4054" path="m5940,2581l3853,4608,5940,6634,8027,4608,5940,2581xe" filled="true" fillcolor="#eff6f5" stroked="false">
              <v:path arrowok="t"/>
              <v:fill type="solid"/>
            </v:shape>
            <v:shape style="position:absolute;left:3952;top:2677;width:3975;height:3861" coordorigin="3953,2678" coordsize="3975,3861" path="m5940,2678l3953,4608,5940,6538,7927,4608,5940,2678xe" filled="true" fillcolor="#f0f7f6" stroked="false">
              <v:path arrowok="t"/>
              <v:fill type="solid"/>
            </v:shape>
            <v:shape style="position:absolute;left:4052;top:2774;width:3776;height:3668" coordorigin="4052,2774" coordsize="3776,3668" path="m7828,4608l5940,2774,4052,4608,5940,6441,7828,4608xe" filled="true" fillcolor="#f1f7f6" stroked="false">
              <v:path arrowok="t"/>
              <v:fill type="solid"/>
            </v:shape>
            <v:shape style="position:absolute;left:4250;top:2967;width:3379;height:3282" coordorigin="4251,2967" coordsize="3379,3282" path="m5940,2967l4251,4608,5940,6248,7629,4608,5940,2967xe" filled="true" fillcolor="#f4f8f7" stroked="false">
              <v:path arrowok="t"/>
              <v:fill type="solid"/>
            </v:shape>
            <v:shape style="position:absolute;left:4350;top:3063;width:3180;height:3089" coordorigin="4350,3064" coordsize="3180,3089" path="m5940,3064l4350,4608,5940,6152,7530,4608,5940,3064xe" filled="true" fillcolor="#f4f8f8" stroked="false">
              <v:path arrowok="t"/>
              <v:fill type="solid"/>
            </v:shape>
            <v:shape style="position:absolute;left:4449;top:3160;width:2981;height:2896" coordorigin="4449,3160" coordsize="2981,2896" path="m5940,3160l4449,4608,5940,6055,7430,4608,5940,3160xe" filled="true" fillcolor="#f5f8f8" stroked="false">
              <v:path arrowok="t"/>
              <v:fill type="solid"/>
            </v:shape>
            <v:shape style="position:absolute;left:4548;top:3256;width:2783;height:2703" coordorigin="4549,3257" coordsize="2783,2703" path="m7331,4608l5940,3257,4549,4608,5940,5959,7331,4608xe" filled="true" fillcolor="#f6f8f8" stroked="false">
              <v:path arrowok="t"/>
              <v:fill type="solid"/>
            </v:shape>
            <v:shape style="position:absolute;left:4747;top:3449;width:2385;height:2317" coordorigin="4748,3450" coordsize="2385,2317" path="m5940,3450l4748,4608,5940,5766,7132,4608,5940,3450xe" filled="true" fillcolor="#f7f9f8" stroked="false">
              <v:path arrowok="t"/>
              <v:fill type="solid"/>
            </v:shape>
            <v:shape style="position:absolute;left:4846;top:3546;width:2186;height:2124" coordorigin="4847,3546" coordsize="2186,2124" path="m5940,3546l4847,4608,5940,5669,7033,4608,5940,3546xe" filled="true" fillcolor="#f8f9f8" stroked="false">
              <v:path arrowok="t"/>
              <v:fill type="solid"/>
            </v:shape>
            <v:shape style="position:absolute;left:4946;top:3642;width:1988;height:1931" coordorigin="4946,3643" coordsize="1988,1931" path="m5940,3643l4946,4608,5940,5573,6934,4608,5940,3643xe" filled="true" fillcolor="#f8fafa" stroked="false">
              <v:path arrowok="t"/>
              <v:fill type="solid"/>
            </v:shape>
            <v:shape style="position:absolute;left:5045;top:3739;width:1789;height:1738" coordorigin="5046,3739" coordsize="1789,1738" path="m5940,3739l5046,4608,5940,5476,6834,4608,5940,3739xe" filled="true" fillcolor="#f8fbfa" stroked="false">
              <v:path arrowok="t"/>
              <v:fill type="solid"/>
            </v:shape>
            <v:shape style="position:absolute;left:5145;top:3835;width:1590;height:1545" coordorigin="5145,3836" coordsize="1590,1545" path="m5940,3836l5145,4608,5940,5380,6735,4608,5940,3836xe" filled="true" fillcolor="#f9fbfa" stroked="false">
              <v:path arrowok="t"/>
              <v:fill type="solid"/>
            </v:shape>
            <v:shape style="position:absolute;left:5244;top:3932;width:1392;height:1352" coordorigin="5244,3932" coordsize="1392,1352" path="m5940,3932l5244,4608,5940,5283,6635,4608,5940,3932xe" filled="true" fillcolor="#fafbfb" stroked="false">
              <v:path arrowok="t"/>
              <v:fill type="solid"/>
            </v:shape>
            <v:shape style="position:absolute;left:5343;top:4028;width:1193;height:1159" coordorigin="5344,4029" coordsize="1193,1159" path="m5940,4029l5344,4608,5940,5187,6536,4608,5940,4029xe" filled="true" fillcolor="#fafcfb" stroked="false">
              <v:path arrowok="t"/>
              <v:fill type="solid"/>
            </v:shape>
            <v:shape style="position:absolute;left:5443;top:4125;width:994;height:966" coordorigin="5443,4125" coordsize="994,966" path="m5940,4125l5443,4608,5940,5090,6437,4608,5940,4125xe" filled="true" fillcolor="#fbfcfc" stroked="false">
              <v:path arrowok="t"/>
              <v:fill type="solid"/>
            </v:shape>
            <v:shape style="position:absolute;left:5542;top:4221;width:795;height:772" coordorigin="5542,4222" coordsize="795,772" path="m5940,4222l5542,4608,5940,4994,6337,4608,5940,4222xe" filled="true" fillcolor="#fcfdfd" stroked="false">
              <v:path arrowok="t"/>
              <v:fill type="solid"/>
            </v:shape>
            <v:shape style="position:absolute;left:5641;top:4318;width:597;height:579" coordorigin="5642,4318" coordsize="597,579" path="m5940,4318l5642,4608,5940,4897,6238,4608,5940,4318xe" filled="true" fillcolor="#fdfdfd" stroked="false">
              <v:path arrowok="t"/>
              <v:fill type="solid"/>
            </v:shape>
            <v:shape style="position:absolute;left:5741;top:4414;width:398;height:386" type="#_x0000_t75" stroked="false">
              <v:imagedata r:id="rId170" o:title=""/>
            </v:shape>
            <v:rect style="position:absolute;left:783;top:-401;width:10314;height:10017" filled="false" stroked="true" strokeweight="1pt" strokecolor="#009391">
              <v:stroke dashstyle="solid"/>
            </v:rect>
            <v:rect style="position:absolute;left:6182;top:3225;width:4703;height:4022" filled="true" fillcolor="#ffffff" stroked="false">
              <v:fill type="solid"/>
            </v:rect>
            <v:shape style="position:absolute;left:6392;top:4396;width:423;height:233" coordorigin="6393,4396" coordsize="423,233" path="m6393,4396l6465,4414m6465,4414l6538,4396m6538,4396l6595,4486m6595,4486l6670,4574m6670,4574l6743,4609m6743,4609l6815,4629e" filled="false" stroked="true" strokeweight="1pt" strokecolor="#a64991">
              <v:path arrowok="t"/>
              <v:stroke dashstyle="solid"/>
            </v:shape>
            <v:line style="position:absolute" from="6805,4630" to="6883,4630" stroked="true" strokeweight="1.125pt" strokecolor="#a64991">
              <v:stroke dashstyle="solid"/>
            </v:line>
            <v:shape style="position:absolute;left:6872;top:4628;width:148;height:175" coordorigin="6873,4629" coordsize="148,175" path="m6873,4629l6948,4734m6948,4734l7020,4804e" filled="false" stroked="true" strokeweight="1pt" strokecolor="#a64991">
              <v:path arrowok="t"/>
              <v:stroke dashstyle="solid"/>
            </v:shape>
            <v:line style="position:absolute" from="7010,4805" to="7103,4805" stroked="true" strokeweight="1.125pt" strokecolor="#a64991">
              <v:stroke dashstyle="solid"/>
            </v:line>
            <v:shape style="position:absolute;left:7092;top:4803;width:133;height:55" coordorigin="7093,4804" coordsize="133,55" path="m7093,4804l7165,4824m7165,4824l7225,4859e" filled="false" stroked="true" strokeweight="1pt" strokecolor="#a64991">
              <v:path arrowok="t"/>
              <v:stroke dashstyle="solid"/>
            </v:shape>
            <v:line style="position:absolute" from="7215,4860" to="7308,4860" stroked="true" strokeweight="1.125pt" strokecolor="#a64991">
              <v:stroke dashstyle="solid"/>
            </v:line>
            <v:shape style="position:absolute;left:7297;top:4841;width:1750;height:903" coordorigin="7298,4841" coordsize="1750,903" path="m7298,4859l7370,4894m7370,4894l7443,4859m7443,4859l7515,4841m7515,4841l7575,4876m7575,4876l7648,4981m7648,4981l7720,4964m7720,4964l7793,4841m7793,4841l7853,4859m7853,4859l7925,5019m7925,5019l7998,4946m7998,4946l8070,4999m8070,4999l8143,5019m8143,5019l8203,4981m8203,4981l8275,5019m8275,5019l8348,5036m8348,5036l8420,5019m8420,5019l8493,4981m8493,4981l8553,5054m8553,5054l8625,5124m8625,5124l8698,5214m8698,5214l8770,5371m8770,5371l8830,5496m8830,5496l8903,5656m8903,5656l8975,5726m8975,5726l9048,5744e" filled="false" stroked="true" strokeweight="1pt" strokecolor="#a64991">
              <v:path arrowok="t"/>
              <v:stroke dashstyle="solid"/>
            </v:shape>
            <v:line style="position:absolute" from="9038,5745" to="9130,5745" stroked="true" strokeweight="1.125pt" strokecolor="#a64991">
              <v:stroke dashstyle="solid"/>
            </v:line>
            <v:shape style="position:absolute;left:9120;top:5638;width:353;height:105" coordorigin="9120,5639" coordsize="353,105" path="m9120,5744l9180,5726m9180,5726l9253,5691m9253,5691l9398,5656m9398,5656l9473,5639e" filled="false" stroked="true" strokeweight="1pt" strokecolor="#a64991">
              <v:path arrowok="t"/>
              <v:stroke dashstyle="solid"/>
            </v:shape>
            <v:line style="position:absolute" from="9463,5640" to="9540,5640" stroked="true" strokeweight="1.125pt" strokecolor="#a64991">
              <v:stroke dashstyle="solid"/>
            </v:line>
            <v:line style="position:absolute" from="9530,5639" to="9603,5604" stroked="true" strokeweight="1pt" strokecolor="#a64991">
              <v:stroke dashstyle="solid"/>
            </v:line>
            <v:shape style="position:absolute;left:9592;top:5605;width:165;height:2" coordorigin="9593,5605" coordsize="165,0" path="m9593,5605l9685,5605m9665,5605l9758,5605e" filled="false" stroked="true" strokeweight="1.125pt" strokecolor="#a64991">
              <v:path arrowok="t"/>
              <v:stroke dashstyle="solid"/>
            </v:shape>
            <v:shape style="position:absolute;left:9747;top:5603;width:205;height:35" coordorigin="9748,5604" coordsize="205,35" path="m9748,5604l9808,5621m9808,5621l9880,5639m9880,5639l9953,5621e" filled="false" stroked="true" strokeweight="1pt" strokecolor="#a64991">
              <v:path arrowok="t"/>
              <v:stroke dashstyle="solid"/>
            </v:shape>
            <v:shape style="position:absolute;left:6382;top:4397;width:223;height:2" coordorigin="6383,4398" coordsize="223,0" path="m6383,4398l6475,4398m6455,4398l6548,4398m6528,4398l6605,4398e" filled="false" stroked="true" strokeweight="1.125pt" strokecolor="#f6bd61">
              <v:path arrowok="t"/>
              <v:stroke dashstyle="solid"/>
            </v:shape>
            <v:line style="position:absolute" from="6595,4396" to="6670,4361" stroked="true" strokeweight="1pt" strokecolor="#f6bd61">
              <v:stroke dashstyle="solid"/>
            </v:line>
            <v:line style="position:absolute" from="6660,4363" to="6753,4363" stroked="true" strokeweight="1.125pt" strokecolor="#f6bd61">
              <v:stroke dashstyle="solid"/>
            </v:line>
            <v:shape style="position:absolute;left:6742;top:4326;width:130;height:35" coordorigin="6743,4326" coordsize="130,35" path="m6743,4361l6815,4344m6815,4344l6873,4326e" filled="false" stroked="true" strokeweight="1pt" strokecolor="#f6bd61">
              <v:path arrowok="t"/>
              <v:stroke dashstyle="solid"/>
            </v:shape>
            <v:shape style="position:absolute;left:6862;top:4327;width:168;height:2" coordorigin="6863,4328" coordsize="168,0" path="m6863,4328l6958,4328m6938,4328l7030,4328e" filled="false" stroked="true" strokeweight="1.125pt" strokecolor="#f6bd61">
              <v:path arrowok="t"/>
              <v:stroke dashstyle="solid"/>
            </v:shape>
            <v:shape style="position:absolute;left:7020;top:4256;width:278;height:213" coordorigin="7020,4256" coordsize="278,213" path="m7020,4326l7093,4309m7093,4309l7165,4256m7165,4256l7225,4291m7225,4291l7298,4469e" filled="false" stroked="true" strokeweight="1pt" strokecolor="#f6bd61">
              <v:path arrowok="t"/>
              <v:stroke dashstyle="solid"/>
            </v:shape>
            <v:line style="position:absolute" from="7288,4470" to="7380,4470" stroked="true" strokeweight="1.125pt" strokecolor="#f6bd61">
              <v:stroke dashstyle="solid"/>
            </v:line>
            <v:line style="position:absolute" from="7370,4469" to="7443,4521" stroked="true" strokeweight="1pt" strokecolor="#f6bd61">
              <v:stroke dashstyle="solid"/>
            </v:line>
            <v:line style="position:absolute" from="7433,4523" to="7525,4523" stroked="true" strokeweight="1.125pt" strokecolor="#f6bd61">
              <v:stroke dashstyle="solid"/>
            </v:line>
            <v:shape style="position:absolute;left:7515;top:4343;width:483;height:178" coordorigin="7515,4344" coordsize="483,178" path="m7515,4521l7575,4451m7575,4451l7648,4434m7648,4434l7720,4414m7720,4414l7793,4451m7793,4451l7853,4396m7853,4396l7925,4361m7925,4361l7998,4344e" filled="false" stroked="true" strokeweight="1pt" strokecolor="#f6bd61">
              <v:path arrowok="t"/>
              <v:stroke dashstyle="solid"/>
            </v:shape>
            <v:line style="position:absolute" from="7988,4345" to="8080,4345" stroked="true" strokeweight="1.125pt" strokecolor="#f6bd61">
              <v:stroke dashstyle="solid"/>
            </v:line>
            <v:shape style="position:absolute;left:8070;top:4343;width:1328;height:550" coordorigin="8070,4344" coordsize="1328,550" path="m8070,4344l8143,4361m8143,4361l8203,4379m8203,4379l8275,4396m8275,4396l8348,4451m8348,4451l8493,4486m8493,4486l8553,4521m8553,4521l8625,4539m8625,4539l8698,4591m8698,4591l8770,4646m8770,4646l8830,4664m8830,4664l8903,4699m8903,4699l8975,4716m8975,4716l9048,4734m9048,4734l9120,4786m9120,4786l9180,4824m9180,4824l9325,4894m9325,4894l9398,4841e" filled="false" stroked="true" strokeweight="1pt" strokecolor="#f6bd61">
              <v:path arrowok="t"/>
              <v:stroke dashstyle="solid"/>
            </v:shape>
            <v:line style="position:absolute" from="9388,4843" to="9483,4843" stroked="true" strokeweight="1.125pt" strokecolor="#f6bd61">
              <v:stroke dashstyle="solid"/>
            </v:line>
            <v:line style="position:absolute" from="9473,4841" to="9530,4876" stroked="true" strokeweight="1pt" strokecolor="#f6bd61">
              <v:stroke dashstyle="solid"/>
            </v:line>
            <v:line style="position:absolute" from="9520,4878" to="9613,4878" stroked="true" strokeweight="1.125pt" strokecolor="#f6bd61">
              <v:stroke dashstyle="solid"/>
            </v:line>
            <v:shape style="position:absolute;left:9602;top:4803;width:350;height:90" coordorigin="9603,4804" coordsize="350,90" path="m9603,4876l9675,4841m9675,4841l9748,4859m9748,4859l9808,4824m9808,4824l9880,4804m9880,4804l9953,4894e" filled="false" stroked="true" strokeweight="1pt" strokecolor="#f6bd61">
              <v:path arrowok="t"/>
              <v:stroke dashstyle="solid"/>
            </v:shape>
            <v:shape style="position:absolute;left:6201;top:3917;width:3905;height:2834" coordorigin="6201,3918" coordsize="3905,2834" path="m6201,4390l6288,4390m6201,4862l6288,4862m6201,5335l6288,5335m6201,6279l6288,6279m6201,5807l6288,5807m6201,6751l6288,6751m6201,3918l6288,3918m10019,4390l10106,4390m10019,4862l10106,4862m10019,5335l10106,5335m10019,6279l10106,6279m10019,5807l10106,5807m10019,6751l10106,6751m6386,6752l9947,6752m6383,6685l6383,6752m6664,6685l6664,6752m7225,6685l7225,6752m7785,6685l7785,6752m8346,6685l8346,6752m8907,6685l8907,6752m9188,6685l9188,6752m9468,6685l9468,6752m9749,6685l9749,6752m6944,6685l6944,6752m7505,6685l7505,6752m8066,6685l8066,6752m8627,6685l8627,6752e" filled="false" stroked="true" strokeweight=".5pt" strokecolor="#000000">
              <v:path arrowok="t"/>
              <v:stroke dashstyle="solid"/>
            </v:shape>
            <v:shape style="position:absolute;left:6165;top:3213;width:4698;height:4045" coordorigin="6165,3213" coordsize="4698,4045" path="m6165,3213l10857,3213m6170,7258l10862,7258e" filled="false" stroked="true" strokeweight=".125pt" strokecolor="#000000">
              <v:path arrowok="t"/>
              <v:stroke dashstyle="solid"/>
            </v:shape>
            <w10:wrap type="none"/>
          </v:group>
        </w:pict>
      </w:r>
      <w:r>
        <w:rPr>
          <w:sz w:val="21"/>
        </w:rPr>
        <w:t>fall by around 4%.  The regulators anticipate that prices may fall by more because of increased competition.  </w:t>
      </w:r>
      <w:r>
        <w:rPr>
          <w:spacing w:val="-3"/>
          <w:sz w:val="21"/>
        </w:rPr>
        <w:t>New </w:t>
      </w:r>
      <w:r>
        <w:rPr>
          <w:sz w:val="21"/>
        </w:rPr>
        <w:t>price limits for the water industry  in England and </w:t>
      </w:r>
      <w:r>
        <w:rPr>
          <w:spacing w:val="-4"/>
          <w:sz w:val="21"/>
        </w:rPr>
        <w:t>Wales </w:t>
      </w:r>
      <w:r>
        <w:rPr>
          <w:sz w:val="21"/>
        </w:rPr>
        <w:t>imply a reduction in prices by around 12% on average. This is the first time that prices </w:t>
      </w:r>
      <w:r>
        <w:rPr>
          <w:spacing w:val="-3"/>
          <w:sz w:val="21"/>
        </w:rPr>
        <w:t>have </w:t>
      </w:r>
      <w:r>
        <w:rPr>
          <w:sz w:val="21"/>
        </w:rPr>
        <w:t>fallen on average across the industry </w:t>
      </w:r>
      <w:r>
        <w:rPr>
          <w:spacing w:val="-3"/>
          <w:sz w:val="21"/>
        </w:rPr>
        <w:t>since </w:t>
      </w:r>
      <w:r>
        <w:rPr>
          <w:sz w:val="21"/>
        </w:rPr>
        <w:t>it was</w:t>
      </w:r>
      <w:r>
        <w:rPr>
          <w:spacing w:val="2"/>
          <w:sz w:val="21"/>
        </w:rPr>
        <w:t> </w:t>
      </w:r>
      <w:r>
        <w:rPr>
          <w:sz w:val="21"/>
        </w:rPr>
        <w:t>privatised.</w:t>
      </w:r>
    </w:p>
    <w:p>
      <w:pPr>
        <w:pStyle w:val="BodyText"/>
        <w:spacing w:before="7"/>
        <w:rPr>
          <w:sz w:val="24"/>
        </w:rPr>
      </w:pPr>
    </w:p>
    <w:p>
      <w:pPr>
        <w:spacing w:line="254" w:lineRule="auto" w:before="1"/>
        <w:ind w:left="393" w:right="159" w:firstLine="0"/>
        <w:jc w:val="left"/>
        <w:rPr>
          <w:sz w:val="21"/>
        </w:rPr>
      </w:pPr>
      <w:r>
        <w:rPr>
          <w:sz w:val="21"/>
        </w:rPr>
        <w:t>These price cuts reduce the relative price of energy and </w:t>
      </w:r>
      <w:r>
        <w:rPr>
          <w:spacing w:val="-3"/>
          <w:sz w:val="21"/>
        </w:rPr>
        <w:t>water.  </w:t>
      </w:r>
      <w:r>
        <w:rPr>
          <w:sz w:val="21"/>
        </w:rPr>
        <w:t>The relative price of gas and electricity  has already been falling for some time, but the prospective decline this year is significantly larger than experienced before. The aggregate rate of inflation in the economy is determined by the </w:t>
      </w:r>
      <w:r>
        <w:rPr>
          <w:spacing w:val="-3"/>
          <w:sz w:val="21"/>
        </w:rPr>
        <w:t>balance </w:t>
      </w:r>
      <w:r>
        <w:rPr>
          <w:sz w:val="21"/>
        </w:rPr>
        <w:t>of nominal demand and supply. For a given level of nominal income, cuts in utility prices will raise the amount of real income that consumers can spend on other goods and services. There may therefore be offsetting price increases for these goods and   services, as demand for them increases.  But the timing and magnitude of any such adjustment is very uncertain. So the MPC has assumed that these large relative price changes could </w:t>
      </w:r>
      <w:r>
        <w:rPr>
          <w:spacing w:val="-3"/>
          <w:sz w:val="21"/>
        </w:rPr>
        <w:t>have </w:t>
      </w:r>
      <w:r>
        <w:rPr>
          <w:sz w:val="21"/>
        </w:rPr>
        <w:t>a temporary effect on RPIX</w:t>
      </w:r>
      <w:r>
        <w:rPr>
          <w:spacing w:val="3"/>
          <w:sz w:val="21"/>
        </w:rPr>
        <w:t> </w:t>
      </w:r>
      <w:r>
        <w:rPr>
          <w:sz w:val="21"/>
        </w:rPr>
        <w:t>inflation.</w:t>
      </w:r>
    </w:p>
    <w:p>
      <w:pPr>
        <w:pStyle w:val="BodyText"/>
        <w:spacing w:before="9"/>
        <w:rPr>
          <w:sz w:val="23"/>
        </w:rPr>
      </w:pPr>
    </w:p>
    <w:p>
      <w:pPr>
        <w:spacing w:line="254" w:lineRule="auto" w:before="1"/>
        <w:ind w:left="393" w:right="324" w:firstLine="0"/>
        <w:jc w:val="left"/>
        <w:rPr>
          <w:sz w:val="21"/>
        </w:rPr>
      </w:pPr>
      <w:r>
        <w:rPr>
          <w:sz w:val="21"/>
        </w:rPr>
        <w:t>Simply applying the quoted average price cuts to the weights of the respective services in the RPI suggests that the aggregate price </w:t>
      </w:r>
      <w:r>
        <w:rPr>
          <w:spacing w:val="-3"/>
          <w:sz w:val="21"/>
        </w:rPr>
        <w:t>level </w:t>
      </w:r>
      <w:r>
        <w:rPr>
          <w:sz w:val="21"/>
        </w:rPr>
        <w:t>measured by RPIX would be 0.4% lower after 2000</w:t>
      </w:r>
      <w:r>
        <w:rPr>
          <w:spacing w:val="30"/>
          <w:sz w:val="21"/>
        </w:rPr>
        <w:t> </w:t>
      </w:r>
      <w:r>
        <w:rPr>
          <w:sz w:val="21"/>
        </w:rPr>
        <w:t>Q2.</w:t>
      </w:r>
    </w:p>
    <w:p>
      <w:pPr>
        <w:spacing w:line="254" w:lineRule="auto" w:before="0"/>
        <w:ind w:left="393" w:right="137" w:firstLine="0"/>
        <w:jc w:val="left"/>
        <w:rPr>
          <w:sz w:val="21"/>
        </w:rPr>
      </w:pPr>
      <w:r>
        <w:rPr>
          <w:sz w:val="21"/>
        </w:rPr>
        <w:t>Reflecting the possible offsetting effects on other prices, the MPC has assumed a net effect on RPIX inflation of minus 0.2 percentage points over the </w:t>
      </w:r>
      <w:r>
        <w:rPr>
          <w:spacing w:val="-5"/>
          <w:sz w:val="21"/>
        </w:rPr>
        <w:t>next </w:t>
      </w:r>
      <w:r>
        <w:rPr>
          <w:spacing w:val="-3"/>
          <w:sz w:val="21"/>
        </w:rPr>
        <w:t>year.  </w:t>
      </w:r>
      <w:r>
        <w:rPr>
          <w:sz w:val="21"/>
        </w:rPr>
        <w:t>There is considerable uncertainty about this, both because of the possible adjustment of other prices and the diversity of price controls across different electricity and water</w:t>
      </w:r>
      <w:r>
        <w:rPr>
          <w:spacing w:val="9"/>
          <w:sz w:val="21"/>
        </w:rPr>
        <w:t> </w:t>
      </w:r>
      <w:r>
        <w:rPr>
          <w:sz w:val="21"/>
        </w:rPr>
        <w:t>suppliers.</w:t>
      </w:r>
    </w:p>
    <w:p>
      <w:pPr>
        <w:pStyle w:val="BodyText"/>
        <w:spacing w:before="10"/>
      </w:pPr>
      <w:r>
        <w:rPr/>
        <w:br w:type="column"/>
      </w:r>
      <w:r>
        <w:rPr/>
      </w:r>
    </w:p>
    <w:p>
      <w:pPr>
        <w:spacing w:line="254" w:lineRule="auto" w:before="0"/>
        <w:ind w:left="392" w:right="545" w:firstLine="0"/>
        <w:jc w:val="left"/>
        <w:rPr>
          <w:sz w:val="21"/>
        </w:rPr>
      </w:pPr>
      <w:r>
        <w:rPr>
          <w:sz w:val="21"/>
        </w:rPr>
        <w:t>Competition in the supply of energy to industrial consumers began earlier: in 1986 and 1990 for large users of gas and electricity respectively. That has helped to reduce the relative price of energy for industry (see Chart B). The supply of energy to businesses is no longer covered by price controls, but there are other regulatory changes that are likely to affect business energy costs. Electricity transmission and distribution costs are set to fall and proposals for new trading arrangements for electricity generation may also reduce prices.</w:t>
      </w:r>
    </w:p>
    <w:p>
      <w:pPr>
        <w:pStyle w:val="BodyText"/>
        <w:spacing w:before="4"/>
        <w:rPr>
          <w:sz w:val="33"/>
        </w:rPr>
      </w:pPr>
    </w:p>
    <w:p>
      <w:pPr>
        <w:spacing w:before="0"/>
        <w:ind w:left="421" w:right="0" w:firstLine="0"/>
        <w:jc w:val="left"/>
        <w:rPr>
          <w:b/>
          <w:sz w:val="20"/>
        </w:rPr>
      </w:pPr>
      <w:r>
        <w:rPr>
          <w:b/>
          <w:color w:val="0092C7"/>
          <w:sz w:val="20"/>
        </w:rPr>
        <w:t>Chart B</w:t>
      </w:r>
    </w:p>
    <w:p>
      <w:pPr>
        <w:spacing w:before="10"/>
        <w:ind w:left="421" w:right="0" w:firstLine="0"/>
        <w:jc w:val="left"/>
        <w:rPr>
          <w:sz w:val="12"/>
        </w:rPr>
      </w:pPr>
      <w:r>
        <w:rPr>
          <w:b/>
          <w:color w:val="0092C7"/>
          <w:sz w:val="20"/>
        </w:rPr>
        <w:t>Relative prices of energy for industry</w:t>
      </w:r>
      <w:r>
        <w:rPr>
          <w:position w:val="4"/>
          <w:sz w:val="12"/>
        </w:rPr>
        <w:t>(a)</w:t>
      </w:r>
    </w:p>
    <w:p>
      <w:pPr>
        <w:spacing w:before="91"/>
        <w:ind w:left="3600" w:right="0" w:firstLine="0"/>
        <w:jc w:val="left"/>
        <w:rPr>
          <w:sz w:val="12"/>
        </w:rPr>
      </w:pPr>
      <w:r>
        <w:rPr>
          <w:sz w:val="12"/>
        </w:rPr>
        <w:t>1987 Q1 = 1</w:t>
      </w:r>
      <w:r>
        <w:rPr>
          <w:sz w:val="12"/>
          <w:u w:val="single"/>
        </w:rPr>
        <w:t>00</w:t>
      </w:r>
      <w:r>
        <w:rPr>
          <w:spacing w:val="-4"/>
          <w:sz w:val="12"/>
        </w:rPr>
        <w:t> </w:t>
      </w:r>
      <w:r>
        <w:rPr>
          <w:position w:val="-8"/>
          <w:sz w:val="12"/>
        </w:rPr>
        <w:t>120</w:t>
      </w:r>
    </w:p>
    <w:p>
      <w:pPr>
        <w:pStyle w:val="BodyText"/>
        <w:spacing w:before="10"/>
        <w:rPr>
          <w:sz w:val="28"/>
        </w:rPr>
      </w:pPr>
    </w:p>
    <w:p>
      <w:pPr>
        <w:spacing w:before="0"/>
        <w:ind w:left="0" w:right="964" w:firstLine="0"/>
        <w:jc w:val="right"/>
        <w:rPr>
          <w:sz w:val="12"/>
        </w:rPr>
      </w:pPr>
      <w:r>
        <w:rPr>
          <w:sz w:val="12"/>
        </w:rPr>
        <w:t>100</w:t>
      </w:r>
    </w:p>
    <w:p>
      <w:pPr>
        <w:spacing w:before="97"/>
        <w:ind w:left="3115" w:right="0" w:firstLine="0"/>
        <w:jc w:val="left"/>
        <w:rPr>
          <w:sz w:val="12"/>
        </w:rPr>
      </w:pPr>
      <w:r>
        <w:rPr>
          <w:sz w:val="12"/>
        </w:rPr>
        <w:t>Electricity</w:t>
      </w:r>
    </w:p>
    <w:p>
      <w:pPr>
        <w:spacing w:before="100"/>
        <w:ind w:left="0" w:right="964" w:firstLine="0"/>
        <w:jc w:val="right"/>
        <w:rPr>
          <w:sz w:val="12"/>
        </w:rPr>
      </w:pPr>
      <w:r>
        <w:rPr>
          <w:sz w:val="12"/>
        </w:rPr>
        <w:t>80</w:t>
      </w:r>
    </w:p>
    <w:p>
      <w:pPr>
        <w:tabs>
          <w:tab w:pos="4531" w:val="right" w:leader="none"/>
        </w:tabs>
        <w:spacing w:before="333"/>
        <w:ind w:left="3053" w:right="0" w:firstLine="0"/>
        <w:jc w:val="left"/>
        <w:rPr>
          <w:sz w:val="12"/>
        </w:rPr>
      </w:pPr>
      <w:r>
        <w:rPr>
          <w:sz w:val="12"/>
        </w:rPr>
        <w:t>Gas</w:t>
        <w:tab/>
      </w:r>
      <w:r>
        <w:rPr>
          <w:position w:val="7"/>
          <w:sz w:val="12"/>
        </w:rPr>
        <w:t>60</w:t>
      </w:r>
    </w:p>
    <w:p>
      <w:pPr>
        <w:pStyle w:val="BodyText"/>
        <w:spacing w:before="2"/>
        <w:rPr>
          <w:sz w:val="23"/>
        </w:rPr>
      </w:pPr>
    </w:p>
    <w:p>
      <w:pPr>
        <w:spacing w:before="0"/>
        <w:ind w:left="0" w:right="964" w:firstLine="0"/>
        <w:jc w:val="right"/>
        <w:rPr>
          <w:sz w:val="12"/>
        </w:rPr>
      </w:pPr>
      <w:r>
        <w:rPr>
          <w:sz w:val="12"/>
        </w:rPr>
        <w:t>40</w:t>
      </w:r>
    </w:p>
    <w:p>
      <w:pPr>
        <w:pStyle w:val="BodyText"/>
        <w:rPr>
          <w:sz w:val="12"/>
        </w:rPr>
      </w:pPr>
    </w:p>
    <w:p>
      <w:pPr>
        <w:pStyle w:val="BodyText"/>
        <w:spacing w:before="2"/>
        <w:rPr>
          <w:sz w:val="17"/>
        </w:rPr>
      </w:pPr>
    </w:p>
    <w:p>
      <w:pPr>
        <w:spacing w:before="0"/>
        <w:ind w:left="0" w:right="964" w:firstLine="0"/>
        <w:jc w:val="right"/>
        <w:rPr>
          <w:sz w:val="12"/>
        </w:rPr>
      </w:pPr>
      <w:r>
        <w:rPr>
          <w:sz w:val="12"/>
        </w:rPr>
        <w:t>20</w:t>
      </w:r>
    </w:p>
    <w:p>
      <w:pPr>
        <w:pStyle w:val="BodyText"/>
        <w:rPr>
          <w:sz w:val="12"/>
        </w:rPr>
      </w:pPr>
    </w:p>
    <w:p>
      <w:pPr>
        <w:pStyle w:val="BodyText"/>
        <w:spacing w:before="1"/>
        <w:rPr>
          <w:sz w:val="17"/>
        </w:rPr>
      </w:pPr>
    </w:p>
    <w:p>
      <w:pPr>
        <w:spacing w:line="119" w:lineRule="exact" w:before="0"/>
        <w:ind w:left="4471" w:right="0" w:firstLine="0"/>
        <w:jc w:val="left"/>
        <w:rPr>
          <w:sz w:val="12"/>
        </w:rPr>
      </w:pPr>
      <w:r>
        <w:rPr>
          <w:sz w:val="12"/>
        </w:rPr>
        <w:t>0</w:t>
      </w:r>
    </w:p>
    <w:p>
      <w:pPr>
        <w:tabs>
          <w:tab w:pos="1498" w:val="left" w:leader="none"/>
          <w:tab w:pos="2372" w:val="left" w:leader="none"/>
          <w:tab w:pos="3211" w:val="left" w:leader="none"/>
          <w:tab w:pos="4018" w:val="left" w:leader="none"/>
        </w:tabs>
        <w:spacing w:line="119" w:lineRule="exact" w:before="0"/>
        <w:ind w:left="596" w:right="0" w:firstLine="0"/>
        <w:jc w:val="left"/>
        <w:rPr>
          <w:sz w:val="12"/>
        </w:rPr>
      </w:pPr>
      <w:r>
        <w:rPr>
          <w:sz w:val="12"/>
        </w:rPr>
        <w:t>1987</w:t>
        <w:tab/>
        <w:t>90</w:t>
        <w:tab/>
        <w:t>93</w:t>
        <w:tab/>
        <w:t>96</w:t>
        <w:tab/>
        <w:t>99</w:t>
      </w:r>
    </w:p>
    <w:p>
      <w:pPr>
        <w:pStyle w:val="ListParagraph"/>
        <w:numPr>
          <w:ilvl w:val="0"/>
          <w:numId w:val="35"/>
        </w:numPr>
        <w:tabs>
          <w:tab w:pos="662" w:val="left" w:leader="none"/>
        </w:tabs>
        <w:spacing w:line="240" w:lineRule="auto" w:before="66" w:after="0"/>
        <w:ind w:left="661" w:right="0" w:hanging="241"/>
        <w:jc w:val="left"/>
        <w:rPr>
          <w:sz w:val="12"/>
        </w:rPr>
      </w:pPr>
      <w:r>
        <w:rPr>
          <w:sz w:val="12"/>
        </w:rPr>
        <w:t>Relative to producer output prices excluding excise duties.</w:t>
      </w:r>
    </w:p>
    <w:p>
      <w:pPr>
        <w:pStyle w:val="BodyText"/>
        <w:rPr>
          <w:sz w:val="12"/>
        </w:rPr>
      </w:pPr>
    </w:p>
    <w:p>
      <w:pPr>
        <w:pStyle w:val="BodyText"/>
        <w:rPr>
          <w:sz w:val="12"/>
        </w:rPr>
      </w:pPr>
    </w:p>
    <w:p>
      <w:pPr>
        <w:pStyle w:val="BodyText"/>
        <w:rPr>
          <w:sz w:val="12"/>
        </w:rPr>
      </w:pPr>
    </w:p>
    <w:p>
      <w:pPr>
        <w:pStyle w:val="BodyText"/>
        <w:spacing w:before="4"/>
        <w:rPr>
          <w:sz w:val="17"/>
        </w:rPr>
      </w:pPr>
    </w:p>
    <w:p>
      <w:pPr>
        <w:pStyle w:val="Heading9"/>
        <w:spacing w:line="254" w:lineRule="auto"/>
        <w:ind w:left="392" w:right="545"/>
      </w:pPr>
      <w:r>
        <w:rPr/>
        <w:t>The impact on aggregate RPIX inflation is difficult </w:t>
      </w:r>
      <w:r>
        <w:rPr>
          <w:spacing w:val="-6"/>
        </w:rPr>
        <w:t>to </w:t>
      </w:r>
      <w:r>
        <w:rPr/>
        <w:t>judge because the potential adjustment to output prices will vary across industries. The current projection assumes that lower electricity prices for business reduce RPIX inflation by 0.1 percentage points at the end of the forecast</w:t>
      </w:r>
      <w:r>
        <w:rPr>
          <w:spacing w:val="23"/>
        </w:rPr>
        <w:t> </w:t>
      </w:r>
      <w:r>
        <w:rPr/>
        <w:t>period.</w:t>
      </w:r>
    </w:p>
    <w:p>
      <w:pPr>
        <w:spacing w:after="0" w:line="254" w:lineRule="auto"/>
        <w:sectPr>
          <w:type w:val="continuous"/>
          <w:pgSz w:w="11900" w:h="16840"/>
          <w:pgMar w:top="1220" w:bottom="280" w:left="640" w:right="620"/>
          <w:cols w:num="2" w:equalWidth="0">
            <w:col w:w="5085" w:space="57"/>
            <w:col w:w="5498"/>
          </w:cols>
        </w:sectPr>
      </w:pPr>
    </w:p>
    <w:p>
      <w:pPr>
        <w:pStyle w:val="BodyText"/>
        <w:rPr>
          <w:sz w:val="20"/>
        </w:rPr>
      </w:pPr>
    </w:p>
    <w:p>
      <w:pPr>
        <w:pStyle w:val="BodyText"/>
        <w:rPr>
          <w:sz w:val="20"/>
        </w:rPr>
      </w:pPr>
    </w:p>
    <w:p>
      <w:pPr>
        <w:pStyle w:val="BodyText"/>
        <w:spacing w:before="9"/>
        <w:rPr>
          <w:sz w:val="24"/>
        </w:rPr>
      </w:pPr>
    </w:p>
    <w:p>
      <w:pPr>
        <w:spacing w:line="242" w:lineRule="auto" w:before="89"/>
        <w:ind w:left="4960" w:right="234" w:firstLine="0"/>
        <w:jc w:val="left"/>
        <w:rPr>
          <w:sz w:val="24"/>
        </w:rPr>
      </w:pPr>
      <w:r>
        <w:rPr>
          <w:sz w:val="24"/>
        </w:rPr>
        <w:t>the margins of firms providing services rather than goods may explain why it has not been possible to identify from official data a significant structural change in the relationship between retail prices, domestic unit labour costs and import prices, that might be related to increased competition.</w:t>
      </w:r>
    </w:p>
    <w:p>
      <w:pPr>
        <w:pStyle w:val="BodyText"/>
        <w:rPr>
          <w:sz w:val="25"/>
        </w:rPr>
      </w:pPr>
    </w:p>
    <w:p>
      <w:pPr>
        <w:spacing w:line="242" w:lineRule="auto" w:before="1"/>
        <w:ind w:left="4960" w:right="190" w:firstLine="0"/>
        <w:jc w:val="left"/>
        <w:rPr>
          <w:sz w:val="24"/>
        </w:rPr>
      </w:pPr>
      <w:r>
        <w:rPr>
          <w:sz w:val="24"/>
        </w:rPr>
        <w:t>Retail services price inflation rose to 4.2% in 2000 Q1 from 3.9% in the previous quarter. Some retail services prices are subject to regulation, for example rent and utility prices. One might therefore get a better gauge of how the balance of supply and demand is affecting services prices by looking at prices in the unregulated sector. As Chart 4.11 shows, the recent increase in retail services price inflation has been mainly in the</w:t>
      </w:r>
    </w:p>
    <w:p>
      <w:pPr>
        <w:spacing w:after="0" w:line="242" w:lineRule="auto"/>
        <w:jc w:val="left"/>
        <w:rPr>
          <w:sz w:val="24"/>
        </w:rPr>
        <w:sectPr>
          <w:type w:val="continuous"/>
          <w:pgSz w:w="11900" w:h="16840"/>
          <w:pgMar w:top="1220" w:bottom="280" w:left="640" w:right="620"/>
        </w:sectPr>
      </w:pPr>
    </w:p>
    <w:p>
      <w:pPr>
        <w:pStyle w:val="BodyText"/>
        <w:rPr>
          <w:sz w:val="20"/>
        </w:rPr>
      </w:pPr>
    </w:p>
    <w:p>
      <w:pPr>
        <w:spacing w:after="0"/>
        <w:rPr>
          <w:sz w:val="20"/>
        </w:rPr>
        <w:sectPr>
          <w:pgSz w:w="11900" w:h="16840"/>
          <w:pgMar w:header="586" w:footer="597" w:top="780" w:bottom="780" w:left="640" w:right="620"/>
        </w:sectPr>
      </w:pPr>
    </w:p>
    <w:p>
      <w:pPr>
        <w:pStyle w:val="BodyText"/>
        <w:spacing w:before="10"/>
        <w:rPr>
          <w:sz w:val="21"/>
        </w:rPr>
      </w:pPr>
    </w:p>
    <w:p>
      <w:pPr>
        <w:spacing w:before="0"/>
        <w:ind w:left="205" w:right="0" w:firstLine="0"/>
        <w:jc w:val="left"/>
        <w:rPr>
          <w:b/>
          <w:sz w:val="20"/>
        </w:rPr>
      </w:pPr>
      <w:bookmarkStart w:name="Other price indices" w:id="74"/>
      <w:bookmarkEnd w:id="74"/>
      <w:r>
        <w:rPr/>
      </w:r>
      <w:bookmarkStart w:name="_bookmark35" w:id="75"/>
      <w:bookmarkEnd w:id="75"/>
      <w:r>
        <w:rPr/>
      </w:r>
      <w:r>
        <w:rPr>
          <w:b/>
          <w:color w:val="0092C7"/>
          <w:sz w:val="20"/>
        </w:rPr>
        <w:t>Chart 4.11</w:t>
      </w:r>
    </w:p>
    <w:p>
      <w:pPr>
        <w:spacing w:before="10"/>
        <w:ind w:left="205" w:right="0" w:firstLine="0"/>
        <w:jc w:val="left"/>
        <w:rPr>
          <w:b/>
          <w:sz w:val="20"/>
        </w:rPr>
      </w:pPr>
      <w:r>
        <w:rPr>
          <w:b/>
          <w:color w:val="0092C7"/>
          <w:sz w:val="20"/>
        </w:rPr>
        <w:t>Services price inflation</w:t>
      </w:r>
    </w:p>
    <w:p>
      <w:pPr>
        <w:spacing w:before="71"/>
        <w:ind w:left="1626" w:right="0" w:firstLine="0"/>
        <w:jc w:val="left"/>
        <w:rPr>
          <w:sz w:val="12"/>
        </w:rPr>
      </w:pPr>
      <w:r>
        <w:rPr/>
        <w:pict>
          <v:group style="position:absolute;margin-left:49.375pt;margin-top:19.358406pt;width:155.8pt;height:121.15pt;mso-position-horizontal-relative:page;mso-position-vertical-relative:paragraph;z-index:-22329344" coordorigin="988,387" coordsize="3116,2423">
            <v:line style="position:absolute" from="988,723" to="1065,723" stroked="true" strokeweight="1.125pt" strokecolor="#de0035">
              <v:stroke dashstyle="solid"/>
            </v:line>
            <v:shape style="position:absolute;left:1055;top:692;width:288;height:565" coordorigin="1055,692" coordsize="288,565" path="m1055,722l1113,692m1113,692l1170,1227m1170,1227l1228,1257m1228,1257l1285,1182m1285,1182l1343,1152e" filled="false" stroked="true" strokeweight="1pt" strokecolor="#de0035">
              <v:path arrowok="t"/>
              <v:stroke dashstyle="solid"/>
            </v:shape>
            <v:line style="position:absolute" from="1333,1153" to="1410,1153" stroked="true" strokeweight="1.125pt" strokecolor="#de0035">
              <v:stroke dashstyle="solid"/>
            </v:line>
            <v:rect style="position:absolute;left:1390;top:1142;width:78;height:23" filled="true" fillcolor="#de0035" stroked="false">
              <v:fill type="solid"/>
            </v:rect>
            <v:line style="position:absolute" from="1458,1152" to="1515,1182" stroked="true" strokeweight="1pt" strokecolor="#de0035">
              <v:stroke dashstyle="solid"/>
            </v:line>
            <v:shape style="position:absolute;left:1505;top:1183;width:135;height:2" coordorigin="1505,1183" coordsize="135,0" path="m1505,1183l1583,1183m1563,1183l1640,1183e" filled="false" stroked="true" strokeweight="1.125pt" strokecolor="#de0035">
              <v:path arrowok="t"/>
              <v:stroke dashstyle="solid"/>
            </v:shape>
            <v:line style="position:absolute" from="1630,1182" to="1688,1152" stroked="true" strokeweight="1pt" strokecolor="#de0035">
              <v:stroke dashstyle="solid"/>
            </v:line>
            <v:shape style="position:absolute;left:1677;top:1153;width:135;height:2" coordorigin="1678,1153" coordsize="135,0" path="m1678,1153l1755,1153m1735,1153l1813,1153e" filled="false" stroked="true" strokeweight="1.125pt" strokecolor="#de0035">
              <v:path arrowok="t"/>
              <v:stroke dashstyle="solid"/>
            </v:shape>
            <v:shape style="position:absolute;left:1802;top:1152;width:285;height:313" coordorigin="1803,1152" coordsize="285,313" path="m1803,1152l1860,1375m1860,1375l1918,1345m1918,1345l1975,1420m1975,1420l2033,1465m2033,1465l2088,1450e" filled="false" stroked="true" strokeweight="1pt" strokecolor="#de0035">
              <v:path arrowok="t"/>
              <v:stroke dashstyle="solid"/>
            </v:shape>
            <v:line style="position:absolute" from="2078,1451" to="2155,1451" stroked="true" strokeweight="1.125pt" strokecolor="#de0035">
              <v:stroke dashstyle="solid"/>
            </v:line>
            <v:shape style="position:absolute;left:2145;top:1374;width:230;height:75" coordorigin="2145,1375" coordsize="230,75" path="m2145,1450l2260,1390m2260,1390l2318,1375m2318,1375l2375,1420e" filled="false" stroked="true" strokeweight="1pt" strokecolor="#de0035">
              <v:path arrowok="t"/>
              <v:stroke dashstyle="solid"/>
            </v:shape>
            <v:shape style="position:absolute;left:2365;top:1420;width:125;height:2" coordorigin="2365,1421" coordsize="125,0" path="m2365,1421l2443,1421m2423,1421l2490,1421e" filled="false" stroked="true" strokeweight="1.125pt" strokecolor="#de0035">
              <v:path arrowok="t"/>
              <v:stroke dashstyle="solid"/>
            </v:shape>
            <v:line style="position:absolute" from="2480,1420" to="2538,1495" stroked="true" strokeweight="1pt" strokecolor="#de0035">
              <v:stroke dashstyle="solid"/>
            </v:line>
            <v:shape style="position:absolute;left:2527;top:1495;width:135;height:2" coordorigin="2528,1496" coordsize="135,0" path="m2528,1496l2605,1496m2585,1496l2663,1496e" filled="false" stroked="true" strokeweight="1.125pt" strokecolor="#de0035">
              <v:path arrowok="t"/>
              <v:stroke dashstyle="solid"/>
            </v:shape>
            <v:line style="position:absolute" from="2653,1495" to="2710,1450" stroked="true" strokeweight="1pt" strokecolor="#de0035">
              <v:stroke dashstyle="solid"/>
            </v:line>
            <v:line style="position:absolute" from="2700,1451" to="2778,1451" stroked="true" strokeweight="1.125pt" strokecolor="#de0035">
              <v:stroke dashstyle="solid"/>
            </v:line>
            <v:line style="position:absolute" from="2768,1450" to="2825,1375" stroked="true" strokeweight="1pt" strokecolor="#de0035">
              <v:stroke dashstyle="solid"/>
            </v:line>
            <v:shape style="position:absolute;left:2815;top:1375;width:135;height:2" coordorigin="2815,1376" coordsize="135,0" path="m2815,1376l2893,1376m2873,1376l2950,1376e" filled="false" stroked="true" strokeweight="1.125pt" strokecolor="#de0035">
              <v:path arrowok="t"/>
              <v:stroke dashstyle="solid"/>
            </v:shape>
            <v:shape style="position:absolute;left:2940;top:1344;width:115;height:75" coordorigin="2940,1345" coordsize="115,75" path="m2940,1375l2998,1345m2998,1345l3055,1420e" filled="false" stroked="true" strokeweight="1pt" strokecolor="#de0035">
              <v:path arrowok="t"/>
              <v:stroke dashstyle="solid"/>
            </v:shape>
            <v:line style="position:absolute" from="3045,1421" to="3123,1421" stroked="true" strokeweight="1.125pt" strokecolor="#de0035">
              <v:stroke dashstyle="solid"/>
            </v:line>
            <v:shape style="position:absolute;left:3112;top:1344;width:518;height:150" coordorigin="3113,1345" coordsize="518,150" path="m3113,1420l3170,1450m3170,1450l3228,1345m3228,1345l3285,1390m3285,1390l3400,1450m3400,1450l3458,1420m3458,1420l3515,1450m3515,1450l3573,1465m3573,1465l3630,1495e" filled="false" stroked="true" strokeweight="1pt" strokecolor="#de0035">
              <v:path arrowok="t"/>
              <v:stroke dashstyle="solid"/>
            </v:shape>
            <v:line style="position:absolute" from="3620,1496" to="3698,1496" stroked="true" strokeweight="1.125pt" strokecolor="#de0035">
              <v:stroke dashstyle="solid"/>
            </v:line>
            <v:shape style="position:absolute;left:3687;top:1389;width:170;height:105" coordorigin="3688,1390" coordsize="170,105" path="m3688,1495l3743,1420m3743,1420l3800,1390m3800,1390l3858,1420e" filled="false" stroked="true" strokeweight="1pt" strokecolor="#de0035">
              <v:path arrowok="t"/>
              <v:stroke dashstyle="solid"/>
            </v:shape>
            <v:line style="position:absolute" from="998,1197" to="1055,1227" stroked="true" strokeweight="1pt" strokecolor="#009391">
              <v:stroke dashstyle="solid"/>
            </v:line>
            <v:shape style="position:absolute;left:1045;top:1228;width:135;height:2" coordorigin="1045,1228" coordsize="135,0" path="m1045,1228l1123,1228m1103,1228l1180,1228e" filled="false" stroked="true" strokeweight="1.125pt" strokecolor="#009391">
              <v:path arrowok="t"/>
              <v:stroke dashstyle="solid"/>
            </v:shape>
            <v:shape style="position:absolute;left:1170;top:1122;width:230;height:135" coordorigin="1170,1122" coordsize="230,135" path="m1170,1227l1228,1257m1228,1257l1285,1227m1285,1227l1343,1122m1343,1122l1400,1152e" filled="false" stroked="true" strokeweight="1pt" strokecolor="#009391">
              <v:path arrowok="t"/>
              <v:stroke dashstyle="solid"/>
            </v:shape>
            <v:rect style="position:absolute;left:1390;top:1142;width:78;height:23" filled="true" fillcolor="#009391" stroked="false">
              <v:fill type="solid"/>
            </v:rect>
            <v:line style="position:absolute" from="1458,1152" to="1515,1122" stroked="true" strokeweight="1pt" strokecolor="#009391">
              <v:stroke dashstyle="solid"/>
            </v:line>
            <v:line style="position:absolute" from="1505,1123" to="1583,1123" stroked="true" strokeweight="1.125pt" strokecolor="#009391">
              <v:stroke dashstyle="solid"/>
            </v:line>
            <v:shape style="position:absolute;left:1572;top:1004;width:173;height:118" coordorigin="1573,1005" coordsize="173,118" path="m1573,1122l1630,1080m1630,1080l1688,1035m1688,1035l1745,1005e" filled="false" stroked="true" strokeweight="1pt" strokecolor="#009391">
              <v:path arrowok="t"/>
              <v:stroke dashstyle="solid"/>
            </v:shape>
            <v:line style="position:absolute" from="1735,1006" to="1813,1006" stroked="true" strokeweight="1.125pt" strokecolor="#009391">
              <v:stroke dashstyle="solid"/>
            </v:line>
            <v:line style="position:absolute" from="1803,1005" to="1860,960" stroked="true" strokeweight="1pt" strokecolor="#009391">
              <v:stroke dashstyle="solid"/>
            </v:line>
            <v:line style="position:absolute" from="1850,961" to="1928,961" stroked="true" strokeweight="1.125pt" strokecolor="#009391">
              <v:stroke dashstyle="solid"/>
            </v:line>
            <v:shape style="position:absolute;left:1917;top:959;width:115;height:120" coordorigin="1918,960" coordsize="115,120" path="m1918,960l1975,990m1975,990l2033,1080e" filled="false" stroked="true" strokeweight="1pt" strokecolor="#009391">
              <v:path arrowok="t"/>
              <v:stroke dashstyle="solid"/>
            </v:shape>
            <v:line style="position:absolute" from="2023,1081" to="2098,1081" stroked="true" strokeweight="1.125pt" strokecolor="#009391">
              <v:stroke dashstyle="solid"/>
            </v:line>
            <v:shape style="position:absolute;left:2087;top:1064;width:288;height:88" coordorigin="2088,1065" coordsize="288,88" path="m2088,1080l2145,1107m2145,1107l2203,1080m2203,1080l2260,1065m2260,1065l2318,1107m2318,1107l2375,1152e" filled="false" stroked="true" strokeweight="1pt" strokecolor="#009391">
              <v:path arrowok="t"/>
              <v:stroke dashstyle="solid"/>
            </v:shape>
            <v:shape style="position:absolute;left:2365;top:1153;width:125;height:2" coordorigin="2365,1153" coordsize="125,0" path="m2365,1153l2443,1153m2423,1153l2490,1153e" filled="false" stroked="true" strokeweight="1.125pt" strokecolor="#009391">
              <v:path arrowok="t"/>
              <v:stroke dashstyle="solid"/>
            </v:shape>
            <v:shape style="position:absolute;left:2480;top:1064;width:115;height:88" coordorigin="2480,1065" coordsize="115,88" path="m2480,1152l2538,1107m2538,1107l2595,1065e" filled="false" stroked="true" strokeweight="1pt" strokecolor="#009391">
              <v:path arrowok="t"/>
              <v:stroke dashstyle="solid"/>
            </v:shape>
            <v:line style="position:absolute" from="2585,1066" to="2663,1066" stroked="true" strokeweight="1.125pt" strokecolor="#009391">
              <v:stroke dashstyle="solid"/>
            </v:line>
            <v:shape style="position:absolute;left:2652;top:1004;width:115;height:75" coordorigin="2653,1005" coordsize="115,75" path="m2653,1065l2710,1080m2710,1080l2768,1005e" filled="false" stroked="true" strokeweight="1pt" strokecolor="#009391">
              <v:path arrowok="t"/>
              <v:stroke dashstyle="solid"/>
            </v:shape>
            <v:rect style="position:absolute;left:2757;top:994;width:78;height:23" filled="true" fillcolor="#009391" stroked="false">
              <v:fill type="solid"/>
            </v:rect>
            <v:line style="position:absolute" from="2815,1006" to="2893,1006" stroked="true" strokeweight="1.125pt" strokecolor="#009391">
              <v:stroke dashstyle="solid"/>
            </v:line>
            <v:shape style="position:absolute;left:2882;top:1004;width:288;height:103" coordorigin="2883,1005" coordsize="288,103" path="m2883,1005l2940,1065m2940,1065l2998,1035m2998,1035l3055,1080m3055,1080l3113,1107m3113,1107l3170,1065e" filled="false" stroked="true" strokeweight="1pt" strokecolor="#009391">
              <v:path arrowok="t"/>
              <v:stroke dashstyle="solid"/>
            </v:shape>
            <v:line style="position:absolute" from="3160,1066" to="3238,1066" stroked="true" strokeweight="1.125pt" strokecolor="#009391">
              <v:stroke dashstyle="solid"/>
            </v:line>
            <v:line style="position:absolute" from="3228,1065" to="3285,1107" stroked="true" strokeweight="1pt" strokecolor="#009391">
              <v:stroke dashstyle="solid"/>
            </v:line>
            <v:line style="position:absolute" from="3275,1108" to="3353,1108" stroked="true" strokeweight="1.125pt" strokecolor="#009391">
              <v:stroke dashstyle="solid"/>
            </v:line>
            <v:shape style="position:absolute;left:3342;top:1079;width:115;height:73" coordorigin="3343,1080" coordsize="115,73" path="m3343,1107l3400,1080m3400,1080l3458,1152e" filled="false" stroked="true" strokeweight="1pt" strokecolor="#009391">
              <v:path arrowok="t"/>
              <v:stroke dashstyle="solid"/>
            </v:shape>
            <v:shape style="position:absolute;left:3447;top:1153;width:135;height:2" coordorigin="3448,1153" coordsize="135,0" path="m3448,1153l3525,1153m3505,1153l3583,1153e" filled="false" stroked="true" strokeweight="1.125pt" strokecolor="#009391">
              <v:path arrowok="t"/>
              <v:stroke dashstyle="solid"/>
            </v:shape>
            <v:line style="position:absolute" from="3573,1152" to="3630,1122" stroked="true" strokeweight="1pt" strokecolor="#009391">
              <v:stroke dashstyle="solid"/>
            </v:line>
            <v:line style="position:absolute" from="3620,1123" to="3698,1123" stroked="true" strokeweight="1.125pt" strokecolor="#009391">
              <v:stroke dashstyle="solid"/>
            </v:line>
            <v:shape style="position:absolute;left:3687;top:1064;width:170;height:58" coordorigin="3688,1065" coordsize="170,58" path="m3688,1122l3743,1107m3743,1107l3800,1065m3800,1065l3858,1080e" filled="false" stroked="true" strokeweight="1pt" strokecolor="#009391">
              <v:path arrowok="t"/>
              <v:stroke dashstyle="solid"/>
            </v:shape>
            <v:shape style="position:absolute;left:997;top:1849;width:1540;height:950" coordorigin="998,1850" coordsize="1540,950" path="m998,1925l1055,2027m1055,2027l1113,2057m1113,2057l1170,2102m1170,2102l1228,2072m1228,2072l1285,2027m1285,2027l1343,1850m1343,1850l1400,1910m1400,1910l1458,1925m1458,1925l1515,2117m1515,2117l1573,2147m1573,2147l1630,2190m1630,2190l1688,2310m1688,2310l1745,2265m1745,2265l1803,2295m1803,2295l1860,2340m1860,2340l1918,2412m1918,2412l1975,2517m1975,2517l2033,2532m2033,2532l2088,2517m2088,2517l2145,2800m2145,2800l2203,2650m2203,2650l2318,2710m2318,2710l2375,2650m2375,2650l2433,2680m2433,2680l2480,2607m2480,2607l2538,2532e" filled="false" stroked="true" strokeweight="1pt" strokecolor="#0099d9">
              <v:path arrowok="t"/>
              <v:stroke dashstyle="solid"/>
            </v:shape>
            <v:line style="position:absolute" from="2528,2533" to="2605,2533" stroked="true" strokeweight="1.125pt" strokecolor="#0099d9">
              <v:stroke dashstyle="solid"/>
            </v:line>
            <v:line style="position:absolute" from="2595,2532" to="2653,2562" stroked="true" strokeweight="1pt" strokecolor="#0099d9">
              <v:stroke dashstyle="solid"/>
            </v:line>
            <v:line style="position:absolute" from="2643,2563" to="2720,2563" stroked="true" strokeweight="1.125pt" strokecolor="#0099d9">
              <v:stroke dashstyle="solid"/>
            </v:line>
            <v:shape style="position:absolute;left:2710;top:2072;width:518;height:563" coordorigin="2710,2072" coordsize="518,563" path="m2710,2562l2768,2635m2768,2635l2825,2310m2825,2310l2940,2220m2940,2220l2998,2147m2998,2147l3055,2072m3055,2072l3113,2102m3113,2102l3170,2147m3170,2147l3228,2265e" filled="false" stroked="true" strokeweight="1pt" strokecolor="#0099d9">
              <v:path arrowok="t"/>
              <v:stroke dashstyle="solid"/>
            </v:shape>
            <v:line style="position:absolute" from="3218,2266" to="3295,2266" stroked="true" strokeweight="1.125pt" strokecolor="#0099d9">
              <v:stroke dashstyle="solid"/>
            </v:line>
            <v:line style="position:absolute" from="3285,2265" to="3343,2190" stroked="true" strokeweight="1pt" strokecolor="#0099d9">
              <v:stroke dashstyle="solid"/>
            </v:line>
            <v:line style="position:absolute" from="3333,2191" to="3410,2191" stroked="true" strokeweight="1.125pt" strokecolor="#0099d9">
              <v:stroke dashstyle="solid"/>
            </v:line>
            <v:shape style="position:absolute;left:3400;top:2102;width:400;height:163" coordorigin="3400,2102" coordsize="400,163" path="m3400,2190l3458,2102m3458,2102l3515,2117m3515,2117l3573,2265m3573,2265l3630,2220m3630,2220l3688,2190m3688,2190l3743,2220m3743,2220l3800,2265e" filled="false" stroked="true" strokeweight="1pt" strokecolor="#0099d9">
              <v:path arrowok="t"/>
              <v:stroke dashstyle="solid"/>
            </v:shape>
            <v:line style="position:absolute" from="3790,2266" to="3868,2266" stroked="true" strokeweight="1.125pt" strokecolor="#0099d9">
              <v:stroke dashstyle="solid"/>
            </v:line>
            <v:shape style="position:absolute;left:997;top:2189;width:230;height:195" coordorigin="998,2190" coordsize="230,195" path="m998,2385l1055,2370m1055,2370l1113,2310m1113,2310l1170,2220m1170,2220l1228,2190e" filled="false" stroked="true" strokeweight="1pt" strokecolor="#efa900">
              <v:path arrowok="t"/>
              <v:stroke dashstyle="solid"/>
            </v:shape>
            <v:line style="position:absolute" from="1218,2191" to="1295,2191" stroked="true" strokeweight="1.125pt" strokecolor="#efa900">
              <v:stroke dashstyle="solid"/>
            </v:line>
            <v:shape style="position:absolute;left:1285;top:959;width:1148;height:1230" coordorigin="1285,960" coordsize="1148,1230" path="m1285,2190l1343,2102m1343,2102l1400,2117m1400,2117l1458,2072m1458,2072l1515,1642m1515,1642l1630,1582m1630,1582l1688,1345m1688,1345l1745,1330m1745,1330l1803,1300m1803,1300l1860,1182m1860,1182l1918,1152m1918,1152l1975,1107m1975,1107l2033,1197m2033,1197l2088,1107m2088,1107l2145,1035m2145,1035l2203,960m2203,960l2260,990m2260,990l2318,1065m2318,1065l2375,990m2375,990l2433,1005e" filled="false" stroked="true" strokeweight="1pt" strokecolor="#efa900">
              <v:path arrowok="t"/>
              <v:stroke dashstyle="solid"/>
            </v:shape>
            <v:line style="position:absolute" from="2423,1006" to="2490,1006" stroked="true" strokeweight="1.125pt" strokecolor="#efa900">
              <v:stroke dashstyle="solid"/>
            </v:line>
            <v:shape style="position:absolute;left:2480;top:914;width:288;height:90" coordorigin="2480,915" coordsize="288,90" path="m2480,1005l2538,930m2538,930l2653,990m2653,990l2710,915m2710,915l2768,1005e" filled="false" stroked="true" strokeweight="1pt" strokecolor="#efa900">
              <v:path arrowok="t"/>
              <v:stroke dashstyle="solid"/>
            </v:shape>
            <v:rect style="position:absolute;left:2757;top:994;width:78;height:23" filled="true" fillcolor="#efa900" stroked="false">
              <v:fill type="solid"/>
            </v:rect>
            <v:shape style="position:absolute;left:2825;top:884;width:633;height:343" coordorigin="2825,885" coordsize="633,343" path="m2825,1005l2883,1107m2883,1107l2940,1080m2940,1080l2998,1122m2998,1122l3055,1197m3055,1197l3113,1227m3113,1227l3170,1182m3170,1182l3228,1197m3228,1197l3285,1152m3285,1152l3343,1182m3343,1182l3400,960m3400,960l3458,885e" filled="false" stroked="true" strokeweight="1pt" strokecolor="#efa900">
              <v:path arrowok="t"/>
              <v:stroke dashstyle="solid"/>
            </v:shape>
            <v:line style="position:absolute" from="3448,886" to="3525,886" stroked="true" strokeweight="1.125pt" strokecolor="#efa900">
              <v:stroke dashstyle="solid"/>
            </v:line>
            <v:line style="position:absolute" from="3515,885" to="3573,545" stroked="true" strokeweight="1pt" strokecolor="#efa900">
              <v:stroke dashstyle="solid"/>
            </v:line>
            <v:shape style="position:absolute;left:3562;top:545;width:135;height:2" coordorigin="3563,546" coordsize="135,0" path="m3563,546l3640,546m3620,546l3698,546e" filled="false" stroked="true" strokeweight="1.125pt" strokecolor="#efa900">
              <v:path arrowok="t"/>
              <v:stroke dashstyle="solid"/>
            </v:shape>
            <v:line style="position:absolute" from="3688,545" to="3743,455" stroked="true" strokeweight="1pt" strokecolor="#efa900">
              <v:stroke dashstyle="solid"/>
            </v:line>
            <v:line style="position:absolute" from="3733,456" to="3810,456" stroked="true" strokeweight="1.125pt" strokecolor="#efa900">
              <v:stroke dashstyle="solid"/>
            </v:line>
            <v:line style="position:absolute" from="3800,455" to="3858,397" stroked="true" strokeweight="1pt" strokecolor="#efa900">
              <v:stroke dashstyle="solid"/>
            </v:line>
            <v:shape style="position:absolute;left:3929;top:720;width:87;height:1936" coordorigin="3929,721" coordsize="87,1936" path="m3929,721l4016,721m3929,1205l4016,1205m3929,1688l4016,1688m3929,2656l4016,2656m3929,2172l4016,2172e" filled="false" stroked="true" strokeweight=".5pt" strokecolor="#000000">
              <v:path arrowok="t"/>
              <v:stroke dashstyle="solid"/>
            </v:shape>
            <v:shape style="position:absolute;left:1636;top:561;width:113;height:425" type="#_x0000_t75" stroked="false">
              <v:imagedata r:id="rId175" o:title=""/>
            </v:shape>
            <v:shape style="position:absolute;left:1295;top:427;width:847;height:134" type="#_x0000_t202" filled="false" stroked="false">
              <v:textbox inset="0,0,0,0">
                <w:txbxContent>
                  <w:p>
                    <w:pPr>
                      <w:spacing w:line="133" w:lineRule="exact" w:before="0"/>
                      <w:ind w:left="0" w:right="0" w:firstLine="0"/>
                      <w:jc w:val="left"/>
                      <w:rPr>
                        <w:sz w:val="12"/>
                      </w:rPr>
                    </w:pPr>
                    <w:r>
                      <w:rPr>
                        <w:sz w:val="12"/>
                      </w:rPr>
                      <w:t>Shop services (a)</w:t>
                    </w:r>
                  </w:p>
                </w:txbxContent>
              </v:textbox>
              <w10:wrap type="none"/>
            </v:shape>
            <v:shape style="position:absolute;left:2461;top:616;width:1080;height:134" type="#_x0000_t202" filled="false" stroked="false">
              <v:textbox inset="0,0,0,0">
                <w:txbxContent>
                  <w:p>
                    <w:pPr>
                      <w:spacing w:line="133" w:lineRule="exact" w:before="0"/>
                      <w:ind w:left="0" w:right="0" w:firstLine="0"/>
                      <w:jc w:val="left"/>
                      <w:rPr>
                        <w:sz w:val="12"/>
                      </w:rPr>
                    </w:pPr>
                    <w:r>
                      <w:rPr>
                        <w:sz w:val="12"/>
                      </w:rPr>
                      <w:t>Non-shop services (b)</w:t>
                    </w:r>
                  </w:p>
                </w:txbxContent>
              </v:textbox>
              <w10:wrap type="none"/>
            </v:shape>
            <v:shape style="position:absolute;left:998;top:1472;width:3105;height:1008" type="#_x0000_t202" filled="false" stroked="false">
              <v:textbox inset="0,0,0,0">
                <w:txbxContent>
                  <w:p>
                    <w:pPr>
                      <w:spacing w:line="133" w:lineRule="exact" w:before="0"/>
                      <w:ind w:left="0" w:right="276" w:firstLine="0"/>
                      <w:jc w:val="center"/>
                      <w:rPr>
                        <w:sz w:val="12"/>
                      </w:rPr>
                    </w:pPr>
                    <w:r>
                      <w:rPr>
                        <w:sz w:val="12"/>
                      </w:rPr>
                      <w:t>Rent</w:t>
                    </w:r>
                  </w:p>
                  <w:p>
                    <w:pPr>
                      <w:spacing w:line="240" w:lineRule="auto" w:before="0"/>
                      <w:rPr>
                        <w:sz w:val="12"/>
                      </w:rPr>
                    </w:pPr>
                  </w:p>
                  <w:p>
                    <w:pPr>
                      <w:spacing w:line="240" w:lineRule="auto" w:before="2"/>
                      <w:rPr>
                        <w:sz w:val="12"/>
                      </w:rPr>
                    </w:pPr>
                  </w:p>
                  <w:p>
                    <w:pPr>
                      <w:spacing w:before="0"/>
                      <w:ind w:left="2982" w:right="0" w:firstLine="0"/>
                      <w:jc w:val="left"/>
                      <w:rPr>
                        <w:sz w:val="16"/>
                      </w:rPr>
                    </w:pPr>
                    <w:r>
                      <w:rPr>
                        <w:w w:val="100"/>
                        <w:sz w:val="16"/>
                      </w:rPr>
                      <w:t>+</w:t>
                    </w:r>
                  </w:p>
                  <w:p>
                    <w:pPr>
                      <w:tabs>
                        <w:tab w:pos="2859" w:val="left" w:leader="none"/>
                      </w:tabs>
                      <w:spacing w:line="110" w:lineRule="exact" w:before="30"/>
                      <w:ind w:left="0" w:right="243" w:firstLine="0"/>
                      <w:jc w:val="center"/>
                      <w:rPr>
                        <w:sz w:val="12"/>
                      </w:rPr>
                    </w:pPr>
                    <w:r>
                      <w:rPr>
                        <w:sz w:val="12"/>
                        <w:u w:val="single"/>
                      </w:rPr>
                      <w:t> </w:t>
                      <w:tab/>
                    </w:r>
                  </w:p>
                  <w:p>
                    <w:pPr>
                      <w:spacing w:line="145" w:lineRule="exact" w:before="0"/>
                      <w:ind w:left="3004" w:right="0" w:firstLine="0"/>
                      <w:jc w:val="left"/>
                      <w:rPr>
                        <w:sz w:val="16"/>
                      </w:rPr>
                    </w:pPr>
                    <w:r>
                      <w:rPr>
                        <w:sz w:val="16"/>
                      </w:rPr>
                      <w:t>_</w:t>
                    </w:r>
                  </w:p>
                  <w:p>
                    <w:pPr>
                      <w:spacing w:line="127" w:lineRule="exact" w:before="0"/>
                      <w:ind w:left="1366" w:right="1311" w:firstLine="0"/>
                      <w:jc w:val="center"/>
                      <w:rPr>
                        <w:sz w:val="12"/>
                      </w:rPr>
                    </w:pPr>
                    <w:r>
                      <w:rPr>
                        <w:sz w:val="12"/>
                      </w:rPr>
                      <w:t>Utilities</w:t>
                    </w:r>
                  </w:p>
                </w:txbxContent>
              </v:textbox>
              <w10:wrap type="none"/>
            </v:shape>
            <w10:wrap type="none"/>
          </v:group>
        </w:pict>
      </w:r>
      <w:r>
        <w:rPr/>
        <w:pict>
          <v:line style="position:absolute;mso-position-horizontal-relative:page;mso-position-vertical-relative:paragraph;z-index:16285696" from="41.344002pt,11.848406pt" to="45.677002pt,11.848406pt" stroked="true" strokeweight=".5pt" strokecolor="#000000">
            <v:stroke dashstyle="solid"/>
            <w10:wrap type="none"/>
          </v:line>
        </w:pict>
      </w:r>
      <w:r>
        <w:rPr/>
        <w:pict>
          <v:line style="position:absolute;mso-position-horizontal-relative:page;mso-position-vertical-relative:paragraph;z-index:-22324736" from="196.457993pt,11.848406pt" to="200.791993pt,11.848406pt" stroked="true" strokeweight=".5pt" strokecolor="#000000">
            <v:stroke dashstyle="solid"/>
            <w10:wrap type="none"/>
          </v:line>
        </w:pict>
      </w:r>
      <w:r>
        <w:rPr>
          <w:sz w:val="12"/>
        </w:rPr>
        <w:t>Percentage changes on a year earlier </w:t>
      </w:r>
      <w:r>
        <w:rPr>
          <w:position w:val="-7"/>
          <w:sz w:val="12"/>
        </w:rPr>
        <w:t>8</w:t>
      </w:r>
    </w:p>
    <w:p>
      <w:pPr>
        <w:pStyle w:val="BodyText"/>
        <w:rPr>
          <w:sz w:val="31"/>
        </w:rPr>
      </w:pPr>
    </w:p>
    <w:p>
      <w:pPr>
        <w:spacing w:before="0"/>
        <w:ind w:left="0" w:right="253" w:firstLine="0"/>
        <w:jc w:val="right"/>
        <w:rPr>
          <w:sz w:val="12"/>
        </w:rPr>
      </w:pPr>
      <w:r>
        <w:rPr/>
        <w:pict>
          <v:line style="position:absolute;mso-position-horizontal-relative:page;mso-position-vertical-relative:paragraph;z-index:16282624" from="41.344002pt,3.758768pt" to="45.677002pt,3.758768pt" stroked="true" strokeweight=".5pt" strokecolor="#000000">
            <v:stroke dashstyle="solid"/>
            <w10:wrap type="none"/>
          </v:line>
        </w:pict>
      </w:r>
      <w:r>
        <w:rPr>
          <w:sz w:val="12"/>
        </w:rPr>
        <w:t>6</w:t>
      </w:r>
    </w:p>
    <w:p>
      <w:pPr>
        <w:pStyle w:val="BodyText"/>
        <w:rPr>
          <w:sz w:val="12"/>
        </w:rPr>
      </w:pPr>
    </w:p>
    <w:p>
      <w:pPr>
        <w:pStyle w:val="BodyText"/>
        <w:spacing w:before="1"/>
        <w:rPr>
          <w:sz w:val="17"/>
        </w:rPr>
      </w:pPr>
    </w:p>
    <w:p>
      <w:pPr>
        <w:spacing w:before="0"/>
        <w:ind w:left="0" w:right="253" w:firstLine="0"/>
        <w:jc w:val="right"/>
        <w:rPr>
          <w:sz w:val="12"/>
        </w:rPr>
      </w:pPr>
      <w:r>
        <w:rPr/>
        <w:pict>
          <v:line style="position:absolute;mso-position-horizontal-relative:page;mso-position-vertical-relative:paragraph;z-index:16283136" from="41.344002pt,4.322768pt" to="45.677002pt,4.322768pt" stroked="true" strokeweight=".5pt" strokecolor="#000000">
            <v:stroke dashstyle="solid"/>
            <w10:wrap type="none"/>
          </v:line>
        </w:pict>
      </w:r>
      <w:r>
        <w:rPr>
          <w:sz w:val="12"/>
        </w:rPr>
        <w:t>4</w:t>
      </w:r>
    </w:p>
    <w:p>
      <w:pPr>
        <w:pStyle w:val="BodyText"/>
        <w:rPr>
          <w:sz w:val="12"/>
        </w:rPr>
      </w:pPr>
    </w:p>
    <w:p>
      <w:pPr>
        <w:pStyle w:val="BodyText"/>
        <w:rPr>
          <w:sz w:val="12"/>
        </w:rPr>
      </w:pPr>
    </w:p>
    <w:p>
      <w:pPr>
        <w:spacing w:before="76"/>
        <w:ind w:left="0" w:right="253" w:firstLine="0"/>
        <w:jc w:val="right"/>
        <w:rPr>
          <w:sz w:val="12"/>
        </w:rPr>
      </w:pPr>
      <w:r>
        <w:rPr/>
        <w:pict>
          <v:line style="position:absolute;mso-position-horizontal-relative:page;mso-position-vertical-relative:paragraph;z-index:16283648" from="41.344002pt,7.811951pt" to="45.677002pt,7.811951pt" stroked="true" strokeweight=".5pt" strokecolor="#000000">
            <v:stroke dashstyle="solid"/>
            <w10:wrap type="none"/>
          </v:line>
        </w:pict>
      </w:r>
      <w:r>
        <w:rPr>
          <w:sz w:val="12"/>
        </w:rPr>
        <w:t>2</w:t>
      </w:r>
    </w:p>
    <w:p>
      <w:pPr>
        <w:pStyle w:val="BodyText"/>
        <w:rPr>
          <w:sz w:val="12"/>
        </w:rPr>
      </w:pPr>
    </w:p>
    <w:p>
      <w:pPr>
        <w:pStyle w:val="BodyText"/>
        <w:rPr>
          <w:sz w:val="12"/>
        </w:rPr>
      </w:pPr>
    </w:p>
    <w:p>
      <w:pPr>
        <w:spacing w:before="76"/>
        <w:ind w:left="0" w:right="253" w:firstLine="0"/>
        <w:jc w:val="right"/>
        <w:rPr>
          <w:sz w:val="12"/>
        </w:rPr>
      </w:pPr>
      <w:r>
        <w:rPr/>
        <w:pict>
          <v:line style="position:absolute;mso-position-horizontal-relative:page;mso-position-vertical-relative:paragraph;z-index:16284672" from="41.344002pt,7.502134pt" to="45.677002pt,7.502134pt" stroked="true" strokeweight=".5pt" strokecolor="#000000">
            <v:stroke dashstyle="solid"/>
            <w10:wrap type="none"/>
          </v:line>
        </w:pict>
      </w:r>
      <w:r>
        <w:rPr>
          <w:sz w:val="12"/>
        </w:rPr>
        <w:t>0</w:t>
      </w:r>
    </w:p>
    <w:p>
      <w:pPr>
        <w:pStyle w:val="BodyText"/>
        <w:rPr>
          <w:sz w:val="12"/>
        </w:rPr>
      </w:pPr>
    </w:p>
    <w:p>
      <w:pPr>
        <w:pStyle w:val="BodyText"/>
        <w:spacing w:before="3"/>
        <w:rPr>
          <w:sz w:val="17"/>
        </w:rPr>
      </w:pPr>
    </w:p>
    <w:p>
      <w:pPr>
        <w:spacing w:before="1"/>
        <w:ind w:left="0" w:right="253" w:firstLine="0"/>
        <w:jc w:val="right"/>
        <w:rPr>
          <w:sz w:val="12"/>
        </w:rPr>
      </w:pPr>
      <w:r>
        <w:rPr/>
        <w:pict>
          <v:line style="position:absolute;mso-position-horizontal-relative:page;mso-position-vertical-relative:paragraph;z-index:16284160" from="41.344002pt,4.191379pt" to="45.677002pt,4.191379pt" stroked="true" strokeweight=".5pt" strokecolor="#000000">
            <v:stroke dashstyle="solid"/>
            <w10:wrap type="none"/>
          </v:line>
        </w:pict>
      </w:r>
      <w:r>
        <w:rPr>
          <w:sz w:val="12"/>
        </w:rPr>
        <w:t>2</w:t>
      </w:r>
    </w:p>
    <w:p>
      <w:pPr>
        <w:pStyle w:val="BodyText"/>
        <w:rPr>
          <w:sz w:val="12"/>
        </w:rPr>
      </w:pPr>
    </w:p>
    <w:p>
      <w:pPr>
        <w:pStyle w:val="BodyText"/>
        <w:rPr>
          <w:sz w:val="12"/>
        </w:rPr>
      </w:pPr>
    </w:p>
    <w:p>
      <w:pPr>
        <w:spacing w:line="119" w:lineRule="exact" w:before="76"/>
        <w:ind w:left="3423" w:right="0" w:firstLine="0"/>
        <w:jc w:val="left"/>
        <w:rPr>
          <w:sz w:val="12"/>
        </w:rPr>
      </w:pPr>
      <w:r>
        <w:rPr/>
        <w:pict>
          <v:line style="position:absolute;mso-position-horizontal-relative:page;mso-position-vertical-relative:paragraph;z-index:16285184" from="41.344002pt,7.630561pt" to="45.677002pt,7.630561pt" stroked="true" strokeweight=".5pt" strokecolor="#000000">
            <v:stroke dashstyle="solid"/>
            <w10:wrap type="none"/>
          </v:line>
        </w:pict>
      </w:r>
      <w:r>
        <w:rPr/>
        <w:pict>
          <v:shape style="position:absolute;margin-left:50.071999pt;margin-top:1.838562pt;width:150.75pt;height:5.8pt;mso-position-horizontal-relative:page;mso-position-vertical-relative:paragraph;z-index:16286208" coordorigin="1001,37" coordsize="3015,116" path="m1001,153l3858,153m1003,37l1003,153m1117,106l1117,153m1231,106l1231,153m1288,106l1288,153m1345,106l1345,153m1402,106l1402,153m1517,106l1517,153m1460,106l1460,153m1574,106l1574,153m1631,106l1631,153m1060,106l1060,153m1174,106l1174,153m1688,37l1688,153m1802,106l1802,153m1916,106l1916,153m1974,106l1974,153m2031,106l2031,153m2088,106l2088,153m2202,106l2202,153m2145,106l2145,153m2259,106l2259,153m2316,106l2316,153m1745,106l1745,153m1859,106l1859,153m2373,37l2373,153m2488,106l2488,153m2602,106l2602,153m2659,106l2659,153m2716,106l2716,153m2773,106l2773,153m2887,106l2887,153m2830,106l2830,153m2945,106l2945,153m3002,106l3002,153m2430,106l2430,153m2545,106l2545,153m3059,37l3059,153m3173,106l3173,153m3287,106l3287,153m3344,106l3344,153m3401,106l3401,153m3459,106l3459,153m3573,106l3573,153m3516,106l3516,153m3630,106l3630,153m3687,106l3687,153m3116,106l3116,153m3230,106l3230,153m3744,37l3744,153m3858,106l3858,153m3801,106l3801,153m3929,153l4016,153e" filled="false" stroked="true" strokeweight=".5pt" strokecolor="#000000">
            <v:path arrowok="t"/>
            <v:stroke dashstyle="solid"/>
            <w10:wrap type="none"/>
          </v:shape>
        </w:pict>
      </w:r>
      <w:r>
        <w:rPr>
          <w:sz w:val="12"/>
        </w:rPr>
        <w:t>4</w:t>
      </w:r>
    </w:p>
    <w:p>
      <w:pPr>
        <w:tabs>
          <w:tab w:pos="1351" w:val="left" w:leader="none"/>
          <w:tab w:pos="2021" w:val="left" w:leader="none"/>
          <w:tab w:pos="2719" w:val="left" w:leader="none"/>
          <w:tab w:pos="3101" w:val="left" w:leader="none"/>
        </w:tabs>
        <w:spacing w:line="119" w:lineRule="exact" w:before="0"/>
        <w:ind w:left="588" w:right="0" w:firstLine="0"/>
        <w:jc w:val="left"/>
        <w:rPr>
          <w:sz w:val="12"/>
        </w:rPr>
      </w:pPr>
      <w:r>
        <w:rPr>
          <w:sz w:val="12"/>
        </w:rPr>
        <w:t>1996</w:t>
        <w:tab/>
        <w:t>97</w:t>
        <w:tab/>
        <w:t>98</w:t>
        <w:tab/>
        <w:t>99</w:t>
        <w:tab/>
        <w:t>2000</w:t>
      </w:r>
    </w:p>
    <w:p>
      <w:pPr>
        <w:pStyle w:val="ListParagraph"/>
        <w:numPr>
          <w:ilvl w:val="0"/>
          <w:numId w:val="36"/>
        </w:numPr>
        <w:tabs>
          <w:tab w:pos="445" w:val="left" w:leader="none"/>
        </w:tabs>
        <w:spacing w:line="208" w:lineRule="auto" w:before="60" w:after="0"/>
        <w:ind w:left="445" w:right="156" w:hanging="240"/>
        <w:jc w:val="left"/>
        <w:rPr>
          <w:sz w:val="12"/>
        </w:rPr>
      </w:pPr>
      <w:r>
        <w:rPr>
          <w:sz w:val="12"/>
        </w:rPr>
        <w:t>Shop services are defined by the ONS to include catering, repairs and maintenance charges, domestic services, personal services, maintenance of motor vehicles, TV licence and rentals, and entertainment and recreational charges.</w:t>
      </w:r>
    </w:p>
    <w:p>
      <w:pPr>
        <w:pStyle w:val="ListParagraph"/>
        <w:numPr>
          <w:ilvl w:val="0"/>
          <w:numId w:val="36"/>
        </w:numPr>
        <w:tabs>
          <w:tab w:pos="446" w:val="left" w:leader="none"/>
        </w:tabs>
        <w:spacing w:line="208" w:lineRule="auto" w:before="0" w:after="0"/>
        <w:ind w:left="445" w:right="172" w:hanging="240"/>
        <w:jc w:val="left"/>
        <w:rPr>
          <w:sz w:val="12"/>
        </w:rPr>
      </w:pPr>
      <w:r>
        <w:rPr>
          <w:sz w:val="12"/>
        </w:rPr>
        <w:t>Non-shop services comprise dwelling insurance and ground rent, fees and subscriptions, vehicle tax and insurance, bus and coach fares,</w:t>
      </w:r>
      <w:r>
        <w:rPr>
          <w:spacing w:val="-4"/>
          <w:sz w:val="12"/>
        </w:rPr>
        <w:t> </w:t>
      </w:r>
      <w:r>
        <w:rPr>
          <w:sz w:val="12"/>
        </w:rPr>
        <w:t>other</w:t>
      </w:r>
      <w:r>
        <w:rPr>
          <w:spacing w:val="-3"/>
          <w:sz w:val="12"/>
        </w:rPr>
        <w:t> </w:t>
      </w:r>
      <w:r>
        <w:rPr>
          <w:sz w:val="12"/>
        </w:rPr>
        <w:t>travel</w:t>
      </w:r>
      <w:r>
        <w:rPr>
          <w:spacing w:val="-3"/>
          <w:sz w:val="12"/>
        </w:rPr>
        <w:t> </w:t>
      </w:r>
      <w:r>
        <w:rPr>
          <w:sz w:val="12"/>
        </w:rPr>
        <w:t>costs,</w:t>
      </w:r>
      <w:r>
        <w:rPr>
          <w:spacing w:val="-3"/>
          <w:sz w:val="12"/>
        </w:rPr>
        <w:t> </w:t>
      </w:r>
      <w:r>
        <w:rPr>
          <w:sz w:val="12"/>
        </w:rPr>
        <w:t>foreign</w:t>
      </w:r>
      <w:r>
        <w:rPr>
          <w:spacing w:val="-4"/>
          <w:sz w:val="12"/>
        </w:rPr>
        <w:t> </w:t>
      </w:r>
      <w:r>
        <w:rPr>
          <w:sz w:val="12"/>
        </w:rPr>
        <w:t>holidays</w:t>
      </w:r>
      <w:r>
        <w:rPr>
          <w:spacing w:val="-3"/>
          <w:sz w:val="12"/>
        </w:rPr>
        <w:t> </w:t>
      </w:r>
      <w:r>
        <w:rPr>
          <w:sz w:val="12"/>
        </w:rPr>
        <w:t>and</w:t>
      </w:r>
      <w:r>
        <w:rPr>
          <w:spacing w:val="-3"/>
          <w:sz w:val="12"/>
        </w:rPr>
        <w:t> </w:t>
      </w:r>
      <w:r>
        <w:rPr>
          <w:sz w:val="12"/>
        </w:rPr>
        <w:t>UK</w:t>
      </w:r>
      <w:r>
        <w:rPr>
          <w:spacing w:val="-3"/>
          <w:sz w:val="12"/>
        </w:rPr>
        <w:t> </w:t>
      </w:r>
      <w:r>
        <w:rPr>
          <w:sz w:val="12"/>
        </w:rPr>
        <w:t>holidays.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3"/>
        </w:rPr>
      </w:pPr>
    </w:p>
    <w:p>
      <w:pPr>
        <w:spacing w:before="0"/>
        <w:ind w:left="200" w:right="0" w:firstLine="0"/>
        <w:jc w:val="left"/>
        <w:rPr>
          <w:b/>
          <w:sz w:val="20"/>
        </w:rPr>
      </w:pPr>
      <w:r>
        <w:rPr>
          <w:b/>
          <w:color w:val="0092C7"/>
          <w:sz w:val="20"/>
        </w:rPr>
        <w:t>Chart 4.12</w:t>
      </w:r>
    </w:p>
    <w:p>
      <w:pPr>
        <w:spacing w:before="10"/>
        <w:ind w:left="200" w:right="0" w:firstLine="0"/>
        <w:jc w:val="left"/>
        <w:rPr>
          <w:sz w:val="12"/>
        </w:rPr>
      </w:pPr>
      <w:r>
        <w:rPr>
          <w:b/>
          <w:color w:val="0092C7"/>
          <w:sz w:val="20"/>
        </w:rPr>
        <w:t>Dispersion of profit margins</w:t>
      </w:r>
      <w:r>
        <w:rPr>
          <w:position w:val="4"/>
          <w:sz w:val="12"/>
        </w:rPr>
        <w:t>(a)</w:t>
      </w:r>
    </w:p>
    <w:p>
      <w:pPr>
        <w:spacing w:line="115" w:lineRule="exact" w:before="60"/>
        <w:ind w:left="3136" w:right="0" w:firstLine="0"/>
        <w:jc w:val="left"/>
        <w:rPr>
          <w:sz w:val="12"/>
        </w:rPr>
      </w:pPr>
      <w:r>
        <w:rPr>
          <w:sz w:val="12"/>
        </w:rPr>
        <w:t>Ratio</w:t>
      </w:r>
    </w:p>
    <w:p>
      <w:pPr>
        <w:spacing w:line="115" w:lineRule="exact" w:before="0"/>
        <w:ind w:left="3450" w:right="0" w:firstLine="0"/>
        <w:jc w:val="left"/>
        <w:rPr>
          <w:sz w:val="12"/>
        </w:rPr>
      </w:pPr>
      <w:r>
        <w:rPr/>
        <w:pict>
          <v:line style="position:absolute;mso-position-horizontal-relative:page;mso-position-vertical-relative:paragraph;z-index:16279040" from="41.917pt,2.162493pt" to="46.25pt,2.162493pt" stroked="true" strokeweight=".5pt" strokecolor="#000000">
            <v:stroke dashstyle="solid"/>
            <w10:wrap type="none"/>
          </v:line>
        </w:pict>
      </w:r>
      <w:r>
        <w:rPr/>
        <w:pict>
          <v:line style="position:absolute;mso-position-horizontal-relative:page;mso-position-vertical-relative:paragraph;z-index:16280064" from="197.5pt,2.162493pt" to="201.833pt,2.162493pt" stroked="true" strokeweight=".5pt" strokecolor="#000000">
            <v:stroke dashstyle="solid"/>
            <w10:wrap type="none"/>
          </v:line>
        </w:pict>
      </w:r>
      <w:r>
        <w:rPr>
          <w:sz w:val="12"/>
        </w:rPr>
        <w:t>5</w:t>
      </w:r>
    </w:p>
    <w:p>
      <w:pPr>
        <w:pStyle w:val="BodyText"/>
        <w:rPr>
          <w:sz w:val="12"/>
        </w:rPr>
      </w:pPr>
    </w:p>
    <w:p>
      <w:pPr>
        <w:pStyle w:val="BodyText"/>
        <w:rPr>
          <w:sz w:val="12"/>
        </w:rPr>
      </w:pPr>
    </w:p>
    <w:p>
      <w:pPr>
        <w:pStyle w:val="BodyText"/>
        <w:spacing w:before="8"/>
        <w:rPr>
          <w:sz w:val="13"/>
        </w:rPr>
      </w:pPr>
    </w:p>
    <w:p>
      <w:pPr>
        <w:spacing w:before="0"/>
        <w:ind w:left="0" w:right="226" w:firstLine="0"/>
        <w:jc w:val="right"/>
        <w:rPr>
          <w:sz w:val="12"/>
        </w:rPr>
      </w:pPr>
      <w:r>
        <w:rPr/>
        <w:pict>
          <v:group style="position:absolute;margin-left:41.917pt;margin-top:3.14555pt;width:159.950pt;height:70.8pt;mso-position-horizontal-relative:page;mso-position-vertical-relative:paragraph;z-index:16277504" coordorigin="838,63" coordsize="3199,1416">
            <v:shape style="position:absolute;left:992;top:1090;width:738;height:388" type="#_x0000_t75" stroked="false">
              <v:imagedata r:id="rId176" o:title=""/>
            </v:shape>
            <v:line style="position:absolute" from="1720,1101" to="1840,663" stroked="true" strokeweight="1pt" strokecolor="#0092c6">
              <v:stroke dashstyle="solid"/>
            </v:line>
            <v:line style="position:absolute" from="1830,664" to="1970,664" stroked="true" strokeweight="1.125pt" strokecolor="#0092c6">
              <v:stroke dashstyle="solid"/>
            </v:line>
            <v:shape style="position:absolute;left:1960;top:110;width:1923;height:1173" coordorigin="1960,111" coordsize="1923,1173" path="m1960,663l2080,748m2080,748l2198,973m2198,973l2318,988m2318,988l2448,1143m2448,1143l2568,1243m2568,1243l2688,1283m2688,1283l2808,1256m2808,1256l2925,1086m2925,1086l3045,718m3045,718l3165,606m3165,606l3285,706m3285,706l3405,861m3405,861l3523,846m3523,846l3643,606m3643,606l3763,463m3763,463l3883,111e" filled="false" stroked="true" strokeweight="1pt" strokecolor="#0092c6">
              <v:path arrowok="t"/>
              <v:stroke dashstyle="solid"/>
            </v:shape>
            <v:shape style="position:absolute;left:838;top:67;width:3199;height:1147" coordorigin="838,68" coordsize="3199,1147" path="m838,68l925,68m838,641l925,641m838,1215l925,1215m3950,68l4037,68m3950,641l4037,641m3950,1215l4037,1215e" filled="false" stroked="true" strokeweight=".5pt" strokecolor="#000000">
              <v:path arrowok="t"/>
              <v:stroke dashstyle="solid"/>
            </v:shape>
            <w10:wrap type="none"/>
          </v:group>
        </w:pict>
      </w:r>
      <w:r>
        <w:rPr>
          <w:sz w:val="12"/>
        </w:rPr>
        <w:t>4</w:t>
      </w:r>
    </w:p>
    <w:p>
      <w:pPr>
        <w:pStyle w:val="BodyText"/>
        <w:rPr>
          <w:sz w:val="12"/>
        </w:rPr>
      </w:pPr>
    </w:p>
    <w:p>
      <w:pPr>
        <w:pStyle w:val="BodyText"/>
        <w:rPr>
          <w:sz w:val="12"/>
        </w:rPr>
      </w:pPr>
    </w:p>
    <w:p>
      <w:pPr>
        <w:pStyle w:val="BodyText"/>
        <w:spacing w:before="8"/>
        <w:rPr>
          <w:sz w:val="13"/>
        </w:rPr>
      </w:pPr>
    </w:p>
    <w:p>
      <w:pPr>
        <w:spacing w:before="0"/>
        <w:ind w:left="0" w:right="226" w:firstLine="0"/>
        <w:jc w:val="right"/>
        <w:rPr>
          <w:sz w:val="12"/>
        </w:rPr>
      </w:pPr>
      <w:r>
        <w:rPr>
          <w:sz w:val="12"/>
        </w:rPr>
        <w:t>3</w:t>
      </w:r>
    </w:p>
    <w:p>
      <w:pPr>
        <w:pStyle w:val="BodyText"/>
        <w:rPr>
          <w:sz w:val="12"/>
        </w:rPr>
      </w:pPr>
    </w:p>
    <w:p>
      <w:pPr>
        <w:pStyle w:val="BodyText"/>
        <w:rPr>
          <w:sz w:val="12"/>
        </w:rPr>
      </w:pPr>
    </w:p>
    <w:p>
      <w:pPr>
        <w:pStyle w:val="BodyText"/>
        <w:spacing w:before="8"/>
        <w:rPr>
          <w:sz w:val="13"/>
        </w:rPr>
      </w:pPr>
    </w:p>
    <w:p>
      <w:pPr>
        <w:spacing w:before="0"/>
        <w:ind w:left="0" w:right="226" w:firstLine="0"/>
        <w:jc w:val="right"/>
        <w:rPr>
          <w:sz w:val="12"/>
        </w:rPr>
      </w:pPr>
      <w:r>
        <w:rPr>
          <w:sz w:val="12"/>
        </w:rPr>
        <w:t>2</w:t>
      </w:r>
    </w:p>
    <w:p>
      <w:pPr>
        <w:pStyle w:val="BodyText"/>
        <w:rPr>
          <w:sz w:val="12"/>
        </w:rPr>
      </w:pPr>
    </w:p>
    <w:p>
      <w:pPr>
        <w:pStyle w:val="BodyText"/>
        <w:rPr>
          <w:sz w:val="12"/>
        </w:rPr>
      </w:pPr>
    </w:p>
    <w:p>
      <w:pPr>
        <w:pStyle w:val="BodyText"/>
        <w:spacing w:before="8"/>
        <w:rPr>
          <w:sz w:val="13"/>
        </w:rPr>
      </w:pPr>
    </w:p>
    <w:p>
      <w:pPr>
        <w:spacing w:before="0"/>
        <w:ind w:left="0" w:right="226" w:firstLine="0"/>
        <w:jc w:val="right"/>
        <w:rPr>
          <w:sz w:val="12"/>
        </w:rPr>
      </w:pPr>
      <w:r>
        <w:rPr/>
        <w:pict>
          <v:line style="position:absolute;mso-position-horizontal-relative:page;mso-position-vertical-relative:paragraph;z-index:16278016" from="41.917pt,3.682575pt" to="46.25pt,3.682575pt" stroked="true" strokeweight=".5pt" strokecolor="#000000">
            <v:stroke dashstyle="solid"/>
            <w10:wrap type="none"/>
          </v:line>
        </w:pict>
      </w:r>
      <w:r>
        <w:rPr/>
        <w:pict>
          <v:line style="position:absolute;mso-position-horizontal-relative:page;mso-position-vertical-relative:paragraph;z-index:16279552" from="197.5pt,3.682575pt" to="201.833pt,3.682575pt" stroked="true" strokeweight=".5pt" strokecolor="#000000">
            <v:stroke dashstyle="solid"/>
            <w10:wrap type="none"/>
          </v:line>
        </w:pict>
      </w:r>
      <w:r>
        <w:rPr>
          <w:sz w:val="12"/>
        </w:rPr>
        <w:t>1</w:t>
      </w:r>
    </w:p>
    <w:p>
      <w:pPr>
        <w:pStyle w:val="BodyText"/>
        <w:rPr>
          <w:sz w:val="12"/>
        </w:rPr>
      </w:pPr>
    </w:p>
    <w:p>
      <w:pPr>
        <w:pStyle w:val="BodyText"/>
        <w:rPr>
          <w:sz w:val="12"/>
        </w:rPr>
      </w:pPr>
    </w:p>
    <w:p>
      <w:pPr>
        <w:pStyle w:val="BodyText"/>
        <w:spacing w:before="8"/>
        <w:rPr>
          <w:sz w:val="13"/>
        </w:rPr>
      </w:pPr>
    </w:p>
    <w:p>
      <w:pPr>
        <w:spacing w:line="121" w:lineRule="exact" w:before="0"/>
        <w:ind w:left="3450" w:right="0" w:firstLine="0"/>
        <w:jc w:val="left"/>
        <w:rPr>
          <w:sz w:val="12"/>
        </w:rPr>
      </w:pPr>
      <w:r>
        <w:rPr/>
        <w:pict>
          <v:shape style="position:absolute;margin-left:41.917pt;margin-top:.414562pt;width:159.950pt;height:3.4pt;mso-position-horizontal-relative:page;mso-position-vertical-relative:paragraph;z-index:16278528" coordorigin="838,8" coordsize="3199,68" path="m838,76l925,76m3950,76l4037,76m998,75l3880,75m996,8l996,75m1358,8l1358,75m1599,8l1599,75m2081,8l2081,75m2563,8l2563,75m2925,8l2925,75m3166,8l3166,75m3649,8l3649,75m3407,8l3407,75m3890,8l3890,75m1116,8l1116,75m1237,8l1237,75m1478,8l1478,75m1960,8l1960,75m2443,8l2443,75m2804,8l2804,75m3046,8l3046,75m3528,8l3528,75m3287,8l3287,75m3769,8l3769,75m1840,8l1840,75m2322,8l2322,75m1719,8l1719,75m2202,8l2202,75m2684,8l2684,75e" filled="false" stroked="true" strokeweight=".5pt" strokecolor="#000000">
            <v:path arrowok="t"/>
            <v:stroke dashstyle="solid"/>
            <w10:wrap type="none"/>
          </v:shape>
        </w:pict>
      </w:r>
      <w:r>
        <w:rPr>
          <w:sz w:val="12"/>
        </w:rPr>
        <w:t>0</w:t>
      </w:r>
    </w:p>
    <w:p>
      <w:pPr>
        <w:tabs>
          <w:tab w:pos="776" w:val="left" w:leader="none"/>
          <w:tab w:pos="1269" w:val="left" w:leader="none"/>
          <w:tab w:pos="1737" w:val="left" w:leader="none"/>
          <w:tab w:pos="2234" w:val="left" w:leader="none"/>
          <w:tab w:pos="2708" w:val="left" w:leader="none"/>
          <w:tab w:pos="3192" w:val="left" w:leader="none"/>
        </w:tabs>
        <w:spacing w:line="121" w:lineRule="exact" w:before="0"/>
        <w:ind w:left="232" w:right="0" w:firstLine="0"/>
        <w:jc w:val="left"/>
        <w:rPr>
          <w:sz w:val="12"/>
        </w:rPr>
      </w:pPr>
      <w:r>
        <w:rPr>
          <w:sz w:val="12"/>
        </w:rPr>
        <w:t>1974</w:t>
        <w:tab/>
        <w:t>78</w:t>
        <w:tab/>
        <w:t>82</w:t>
        <w:tab/>
        <w:t>86</w:t>
        <w:tab/>
        <w:t>90</w:t>
        <w:tab/>
        <w:t>94</w:t>
        <w:tab/>
        <w:t>98</w:t>
      </w:r>
    </w:p>
    <w:p>
      <w:pPr>
        <w:spacing w:before="55"/>
        <w:ind w:left="200" w:right="0" w:firstLine="0"/>
        <w:jc w:val="left"/>
        <w:rPr>
          <w:sz w:val="12"/>
        </w:rPr>
      </w:pPr>
      <w:r>
        <w:rPr>
          <w:sz w:val="12"/>
        </w:rPr>
        <w:t>Sources: Primark Datastream and Bank of England.</w:t>
      </w:r>
    </w:p>
    <w:p>
      <w:pPr>
        <w:pStyle w:val="BodyText"/>
        <w:spacing w:before="1"/>
        <w:rPr>
          <w:sz w:val="10"/>
        </w:rPr>
      </w:pPr>
    </w:p>
    <w:p>
      <w:pPr>
        <w:pStyle w:val="ListParagraph"/>
        <w:numPr>
          <w:ilvl w:val="0"/>
          <w:numId w:val="37"/>
        </w:numPr>
        <w:tabs>
          <w:tab w:pos="440" w:val="left" w:leader="none"/>
        </w:tabs>
        <w:spacing w:line="208" w:lineRule="auto" w:before="1" w:after="0"/>
        <w:ind w:left="440" w:right="38" w:hanging="240"/>
        <w:jc w:val="left"/>
        <w:rPr>
          <w:sz w:val="12"/>
        </w:rPr>
      </w:pPr>
      <w:r>
        <w:rPr>
          <w:sz w:val="12"/>
        </w:rPr>
        <w:t>Profit margins are measured as the pre-tax operating surplus relative to the value of sales. Dispersion is measured by the ratio of the interdecile (10th to 90th) range across firms to the median.</w:t>
      </w:r>
    </w:p>
    <w:p>
      <w:pPr>
        <w:spacing w:line="208" w:lineRule="auto" w:before="0"/>
        <w:ind w:left="440" w:right="23" w:firstLine="0"/>
        <w:jc w:val="left"/>
        <w:rPr>
          <w:sz w:val="12"/>
        </w:rPr>
      </w:pPr>
      <w:r>
        <w:rPr>
          <w:sz w:val="12"/>
        </w:rPr>
        <w:t>Data are for all non-financial companies on the Primark Datastream database, approximately 1,200 companies in each year.</w:t>
      </w:r>
    </w:p>
    <w:p>
      <w:pPr>
        <w:pStyle w:val="Heading6"/>
        <w:spacing w:line="242" w:lineRule="auto" w:before="217"/>
        <w:ind w:left="200" w:right="322"/>
      </w:pPr>
      <w:r>
        <w:rPr/>
        <w:br w:type="column"/>
      </w:r>
      <w:r>
        <w:rPr/>
        <w:t>unregulated sectors. Some regulated services prices are set to fall significantly, as price cuts announced by utility regulators are implemented (see the box on </w:t>
      </w:r>
      <w:hyperlink w:history="true" w:anchor="_bookmark34">
        <w:r>
          <w:rPr/>
          <w:t>pages 38–39).</w:t>
        </w:r>
      </w:hyperlink>
    </w:p>
    <w:p>
      <w:pPr>
        <w:pStyle w:val="BodyText"/>
        <w:spacing w:before="9"/>
        <w:rPr>
          <w:sz w:val="24"/>
        </w:rPr>
      </w:pPr>
    </w:p>
    <w:p>
      <w:pPr>
        <w:spacing w:line="242" w:lineRule="auto" w:before="0"/>
        <w:ind w:left="200" w:right="253" w:firstLine="0"/>
        <w:jc w:val="left"/>
        <w:rPr>
          <w:sz w:val="24"/>
        </w:rPr>
      </w:pPr>
      <w:r>
        <w:rPr>
          <w:sz w:val="24"/>
        </w:rPr>
        <w:t>Reports of increased competition in some sectors of the economy may be associated with the normal process of structural change. </w:t>
      </w:r>
      <w:r>
        <w:rPr>
          <w:spacing w:val="-10"/>
          <w:sz w:val="24"/>
        </w:rPr>
        <w:t>To </w:t>
      </w:r>
      <w:r>
        <w:rPr>
          <w:sz w:val="24"/>
        </w:rPr>
        <w:t>try to assess whether the pace of structural change is currently any more rapid than </w:t>
      </w:r>
      <w:r>
        <w:rPr>
          <w:spacing w:val="-3"/>
          <w:sz w:val="24"/>
        </w:rPr>
        <w:t>usual, </w:t>
      </w:r>
      <w:r>
        <w:rPr>
          <w:sz w:val="24"/>
        </w:rPr>
        <w:t>Chart 4.12 looks at </w:t>
      </w:r>
      <w:r>
        <w:rPr>
          <w:spacing w:val="-3"/>
          <w:sz w:val="24"/>
        </w:rPr>
        <w:t>how </w:t>
      </w:r>
      <w:r>
        <w:rPr>
          <w:sz w:val="24"/>
        </w:rPr>
        <w:t>the dispersion of profit margins across individual companies has changed over</w:t>
      </w:r>
      <w:r>
        <w:rPr>
          <w:spacing w:val="-7"/>
          <w:sz w:val="24"/>
        </w:rPr>
        <w:t> </w:t>
      </w:r>
      <w:r>
        <w:rPr>
          <w:sz w:val="24"/>
        </w:rPr>
        <w:t>time.</w:t>
      </w:r>
    </w:p>
    <w:p>
      <w:pPr>
        <w:spacing w:line="242" w:lineRule="auto" w:before="8"/>
        <w:ind w:left="200" w:right="214" w:firstLine="0"/>
        <w:jc w:val="left"/>
        <w:rPr>
          <w:sz w:val="24"/>
        </w:rPr>
      </w:pPr>
      <w:r>
        <w:rPr>
          <w:sz w:val="24"/>
        </w:rPr>
        <w:t>More rapid structural change may lead to greater dispersion between the profit margins of firms in expanding and contracting markets. The chart illustrates that profit margins tend to become more dispersed during recessions. But against this general pattern there has been a sharp increase in dispersion during the current expansion. One hypothesis might be that the increase</w:t>
      </w:r>
      <w:r>
        <w:rPr>
          <w:spacing w:val="-8"/>
          <w:sz w:val="24"/>
        </w:rPr>
        <w:t> </w:t>
      </w:r>
      <w:r>
        <w:rPr>
          <w:sz w:val="24"/>
        </w:rPr>
        <w:t>in</w:t>
      </w:r>
      <w:r>
        <w:rPr>
          <w:spacing w:val="-7"/>
          <w:sz w:val="24"/>
        </w:rPr>
        <w:t> </w:t>
      </w:r>
      <w:r>
        <w:rPr>
          <w:sz w:val="24"/>
        </w:rPr>
        <w:t>dispersion</w:t>
      </w:r>
      <w:r>
        <w:rPr>
          <w:spacing w:val="-7"/>
          <w:sz w:val="24"/>
        </w:rPr>
        <w:t> </w:t>
      </w:r>
      <w:r>
        <w:rPr>
          <w:sz w:val="24"/>
        </w:rPr>
        <w:t>reflects</w:t>
      </w:r>
      <w:r>
        <w:rPr>
          <w:spacing w:val="-8"/>
          <w:sz w:val="24"/>
        </w:rPr>
        <w:t> </w:t>
      </w:r>
      <w:r>
        <w:rPr>
          <w:sz w:val="24"/>
        </w:rPr>
        <w:t>the</w:t>
      </w:r>
      <w:r>
        <w:rPr>
          <w:spacing w:val="-7"/>
          <w:sz w:val="24"/>
        </w:rPr>
        <w:t> </w:t>
      </w:r>
      <w:r>
        <w:rPr>
          <w:sz w:val="24"/>
        </w:rPr>
        <w:t>differential</w:t>
      </w:r>
      <w:r>
        <w:rPr>
          <w:spacing w:val="-7"/>
          <w:sz w:val="24"/>
        </w:rPr>
        <w:t> </w:t>
      </w:r>
      <w:r>
        <w:rPr>
          <w:sz w:val="24"/>
        </w:rPr>
        <w:t>impact</w:t>
      </w:r>
      <w:r>
        <w:rPr>
          <w:spacing w:val="-8"/>
          <w:sz w:val="24"/>
        </w:rPr>
        <w:t> </w:t>
      </w:r>
      <w:r>
        <w:rPr>
          <w:sz w:val="24"/>
        </w:rPr>
        <w:t>that the appreciation of the exchange rate has had on the tradeable and non-tradeable sectors of the</w:t>
      </w:r>
      <w:r>
        <w:rPr>
          <w:spacing w:val="-7"/>
          <w:sz w:val="24"/>
        </w:rPr>
        <w:t> </w:t>
      </w:r>
      <w:r>
        <w:rPr>
          <w:sz w:val="24"/>
        </w:rPr>
        <w:t>economy.</w:t>
      </w:r>
    </w:p>
    <w:p>
      <w:pPr>
        <w:spacing w:line="242" w:lineRule="auto" w:before="12"/>
        <w:ind w:left="200" w:right="308" w:firstLine="0"/>
        <w:jc w:val="left"/>
        <w:rPr>
          <w:sz w:val="24"/>
        </w:rPr>
      </w:pPr>
      <w:r>
        <w:rPr>
          <w:sz w:val="24"/>
        </w:rPr>
        <w:t>But a similar increase in dispersion has occurred within both the manufacturing and service sectors. This is consistent with, but not strong evidence for, some increase in the pace of structural change. But such change need not affect the aggregate relationship between retail prices, domestic unit labour costs and import prices.</w:t>
      </w:r>
    </w:p>
    <w:p>
      <w:pPr>
        <w:pStyle w:val="BodyText"/>
        <w:spacing w:before="2"/>
        <w:rPr>
          <w:sz w:val="25"/>
        </w:rPr>
      </w:pPr>
    </w:p>
    <w:p>
      <w:pPr>
        <w:spacing w:line="242" w:lineRule="auto" w:before="0"/>
        <w:ind w:left="200" w:right="279" w:firstLine="0"/>
        <w:jc w:val="left"/>
        <w:rPr>
          <w:sz w:val="24"/>
        </w:rPr>
      </w:pPr>
      <w:r>
        <w:rPr>
          <w:sz w:val="24"/>
        </w:rPr>
        <w:t>While any evidence for a structural shift in aggregate pricing behaviour comes largely from Agents’ reports and surveys, rather than econometric relationships based on official data, the MPC has maintained its assumption that the prospective increase in competitive pressures may be different in nature to that experienced in the past. The Committee has therefore assumed that there will be some overall compression of retailers’ margins </w:t>
      </w:r>
      <w:r>
        <w:rPr>
          <w:spacing w:val="-3"/>
          <w:sz w:val="24"/>
        </w:rPr>
        <w:t>over </w:t>
      </w:r>
      <w:r>
        <w:rPr>
          <w:sz w:val="24"/>
        </w:rPr>
        <w:t>the forecast period, which will put downward pressure on retail prices. The Committee </w:t>
      </w:r>
      <w:r>
        <w:rPr>
          <w:spacing w:val="-6"/>
          <w:sz w:val="24"/>
        </w:rPr>
        <w:t>has </w:t>
      </w:r>
      <w:r>
        <w:rPr>
          <w:sz w:val="24"/>
        </w:rPr>
        <w:t>also maintained the assumption (detailed in the box on </w:t>
      </w:r>
      <w:hyperlink w:history="true" w:anchor="_bookmark34">
        <w:r>
          <w:rPr>
            <w:sz w:val="24"/>
          </w:rPr>
          <w:t>pages 38–39)</w:t>
        </w:r>
      </w:hyperlink>
      <w:r>
        <w:rPr>
          <w:sz w:val="24"/>
        </w:rPr>
        <w:t> that reductions in the prices of services provided by the utilities will temporarily lower retail price</w:t>
      </w:r>
      <w:r>
        <w:rPr>
          <w:spacing w:val="-1"/>
          <w:sz w:val="24"/>
        </w:rPr>
        <w:t> </w:t>
      </w:r>
      <w:r>
        <w:rPr>
          <w:sz w:val="24"/>
        </w:rPr>
        <w:t>inflation.</w:t>
      </w:r>
    </w:p>
    <w:p>
      <w:pPr>
        <w:spacing w:after="0" w:line="242" w:lineRule="auto"/>
        <w:jc w:val="left"/>
        <w:rPr>
          <w:sz w:val="24"/>
        </w:rPr>
        <w:sectPr>
          <w:type w:val="continuous"/>
          <w:pgSz w:w="11900" w:h="16840"/>
          <w:pgMar w:top="1220" w:bottom="280" w:left="640" w:right="620"/>
          <w:cols w:num="2" w:equalWidth="0">
            <w:col w:w="3739" w:space="1041"/>
            <w:col w:w="5860"/>
          </w:cols>
        </w:sectPr>
      </w:pPr>
    </w:p>
    <w:p>
      <w:pPr>
        <w:pStyle w:val="BodyText"/>
        <w:spacing w:before="10"/>
        <w:rPr>
          <w:sz w:val="21"/>
        </w:rPr>
      </w:pPr>
    </w:p>
    <w:p>
      <w:pPr>
        <w:tabs>
          <w:tab w:pos="7974" w:val="left" w:leader="none"/>
        </w:tabs>
        <w:spacing w:before="89"/>
        <w:ind w:left="4980" w:right="0" w:firstLine="0"/>
        <w:jc w:val="left"/>
        <w:rPr>
          <w:b/>
          <w:sz w:val="28"/>
        </w:rPr>
      </w:pPr>
      <w:r>
        <w:rPr>
          <w:b/>
          <w:color w:val="009391"/>
          <w:sz w:val="28"/>
          <w:u w:val="thick" w:color="0092C7"/>
        </w:rPr>
        <w:t>4.6</w:t>
        <w:tab/>
        <w:t>Other price</w:t>
      </w:r>
      <w:r>
        <w:rPr>
          <w:b/>
          <w:color w:val="009391"/>
          <w:spacing w:val="-6"/>
          <w:sz w:val="28"/>
          <w:u w:val="thick" w:color="0092C7"/>
        </w:rPr>
        <w:t> </w:t>
      </w:r>
      <w:r>
        <w:rPr>
          <w:b/>
          <w:color w:val="009391"/>
          <w:sz w:val="28"/>
          <w:u w:val="thick" w:color="0092C7"/>
        </w:rPr>
        <w:t>indices</w:t>
      </w:r>
      <w:r>
        <w:rPr>
          <w:b/>
          <w:color w:val="009391"/>
          <w:spacing w:val="-11"/>
          <w:sz w:val="28"/>
          <w:u w:val="thick" w:color="0092C7"/>
        </w:rPr>
        <w:t> </w:t>
      </w:r>
    </w:p>
    <w:p>
      <w:pPr>
        <w:pStyle w:val="BodyText"/>
        <w:spacing w:before="10"/>
        <w:rPr>
          <w:b/>
          <w:sz w:val="23"/>
        </w:rPr>
      </w:pPr>
    </w:p>
    <w:p>
      <w:pPr>
        <w:spacing w:line="242" w:lineRule="auto" w:before="0"/>
        <w:ind w:left="4980" w:right="381" w:firstLine="0"/>
        <w:jc w:val="left"/>
        <w:rPr>
          <w:sz w:val="24"/>
        </w:rPr>
      </w:pPr>
      <w:r>
        <w:rPr>
          <w:sz w:val="24"/>
        </w:rPr>
        <w:t>Retail price inflation can be thought of as a weighted average of domestically generated inflation (DGI) and imported inflation. The appreciation of the exchange rate continues to put downward pressure on imported inflation. But this effect will gradually fade unless the</w:t>
      </w:r>
    </w:p>
    <w:p>
      <w:pPr>
        <w:spacing w:after="0" w:line="242" w:lineRule="auto"/>
        <w:jc w:val="left"/>
        <w:rPr>
          <w:sz w:val="24"/>
        </w:rPr>
        <w:sectPr>
          <w:type w:val="continuous"/>
          <w:pgSz w:w="11900" w:h="16840"/>
          <w:pgMar w:top="1220" w:bottom="280" w:left="640" w:right="620"/>
        </w:sectPr>
      </w:pPr>
    </w:p>
    <w:p>
      <w:pPr>
        <w:pStyle w:val="BodyText"/>
        <w:spacing w:line="20" w:lineRule="exact"/>
        <w:ind w:left="123"/>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spacing w:before="4"/>
        <w:rPr>
          <w:sz w:val="29"/>
        </w:rPr>
      </w:pPr>
    </w:p>
    <w:p>
      <w:pPr>
        <w:spacing w:after="0"/>
        <w:rPr>
          <w:sz w:val="29"/>
        </w:rPr>
        <w:sectPr>
          <w:pgSz w:w="11900" w:h="16840"/>
          <w:pgMar w:header="586" w:footer="617" w:top="780" w:bottom="80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
        <w:rPr>
          <w:sz w:val="24"/>
        </w:rPr>
      </w:pPr>
    </w:p>
    <w:p>
      <w:pPr>
        <w:spacing w:before="0"/>
        <w:ind w:left="185" w:right="0" w:firstLine="0"/>
        <w:jc w:val="left"/>
        <w:rPr>
          <w:b/>
          <w:sz w:val="20"/>
        </w:rPr>
      </w:pPr>
      <w:r>
        <w:rPr>
          <w:b/>
          <w:color w:val="0092C7"/>
          <w:sz w:val="20"/>
        </w:rPr>
        <w:t>Chart 4.13</w:t>
      </w:r>
    </w:p>
    <w:p>
      <w:pPr>
        <w:spacing w:before="10"/>
        <w:ind w:left="185" w:right="0" w:firstLine="0"/>
        <w:jc w:val="left"/>
        <w:rPr>
          <w:b/>
          <w:sz w:val="20"/>
        </w:rPr>
      </w:pPr>
      <w:r>
        <w:rPr>
          <w:b/>
          <w:color w:val="0092C7"/>
          <w:sz w:val="20"/>
        </w:rPr>
        <w:t>Measures of domestically generated inflation</w:t>
      </w:r>
    </w:p>
    <w:p>
      <w:pPr>
        <w:spacing w:line="270" w:lineRule="atLeast" w:before="29"/>
        <w:ind w:left="1196" w:right="342" w:firstLine="416"/>
        <w:jc w:val="left"/>
        <w:rPr>
          <w:sz w:val="12"/>
        </w:rPr>
      </w:pPr>
      <w:r>
        <w:rPr/>
        <w:pict>
          <v:group style="position:absolute;margin-left:49.862999pt;margin-top:22.194977pt;width:150.25pt;height:109.75pt;mso-position-horizontal-relative:page;mso-position-vertical-relative:paragraph;z-index:-22316544" coordorigin="997,444" coordsize="3005,2195">
            <v:shape style="position:absolute;left:1007;top:453;width:2850;height:1583" coordorigin="1007,454" coordsize="2850,1583" path="m1007,1651l1112,2036m1112,2036l1220,1889m1220,1889l1325,1621m1325,1621l1432,1311m1432,1311l1537,1504m1537,1504l1645,1844m1645,1844l1740,1771m1740,1771l1847,1726m1847,1726l1952,1771m1952,1771l2060,1621m2060,1621l2165,1606m2165,1606l2272,1459m2272,1459l2377,1356m2377,1356l2485,941m2485,941l2592,646m2592,646l2697,559m2697,559l2805,454m2805,454l2910,469m2910,469l3017,514m3017,514l3122,571m3122,571l3217,484m3217,484l3325,586m3325,586l3432,676m3432,676l3537,899m3537,899l3645,1046m3645,1046l3750,1224m3750,1224l3857,1296e" filled="false" stroked="true" strokeweight="1pt" strokecolor="#de0035">
              <v:path arrowok="t"/>
              <v:stroke dashstyle="solid"/>
            </v:shape>
            <v:shape style="position:absolute;left:1007;top:1488;width:425;height:665" coordorigin="1007,1489" coordsize="425,665" path="m1007,1489l1112,1564m1112,1564l1220,2154m1220,2154l1325,2066m1325,2066l1432,1961e" filled="false" stroked="true" strokeweight="1pt" strokecolor="#f6bd61">
              <v:path arrowok="t"/>
              <v:stroke dashstyle="solid"/>
            </v:shape>
            <v:line style="position:absolute" from="1422,1963" to="1547,1963" stroked="true" strokeweight="1.125pt" strokecolor="#f6bd61">
              <v:stroke dashstyle="solid"/>
            </v:line>
            <v:shape style="position:absolute;left:1537;top:1193;width:2320;height:768" coordorigin="1537,1194" coordsize="2320,768" path="m1537,1961l1645,1919m1645,1919l1740,1961m1740,1961l1847,1934m1847,1934l1952,1949m1952,1949l2060,1636m2060,1636l2165,1681m2165,1681l2272,1416m2272,1416l2377,1311m2377,1311l2485,1771m2485,1771l2592,1666m2592,1666l2697,1636m2697,1636l2805,1681m2805,1681l2910,1401m2910,1401l3017,1431m3017,1431l3122,1606m3122,1606l3217,1386m3217,1386l3325,1341m3325,1341l3432,1281m3432,1281l3537,1194m3537,1194l3645,1326m3645,1326l3750,1459m3750,1459l3857,1356e" filled="false" stroked="true" strokeweight="1pt" strokecolor="#f6bd61">
              <v:path arrowok="t"/>
              <v:stroke dashstyle="solid"/>
            </v:shape>
            <v:line style="position:absolute" from="1007,2184" to="1112,2214" stroked="true" strokeweight="1pt" strokecolor="#835335">
              <v:stroke dashstyle="solid"/>
            </v:line>
            <v:shape style="position:absolute;left:1002;top:2407;width:2860;height:2" coordorigin="1002,2408" coordsize="2860,0" path="m1002,2408l1117,2408m1107,2408l1225,2408m1215,2408l1330,2408m1320,2408l1437,2408m1427,2408l1542,2408m1532,2408l1650,2408m1640,2408l1745,2408m1735,2408l1852,2408m1842,2408l1957,2408m1947,2408l2065,2408m2055,2408l2170,2408m2160,2408l2277,2408m2267,2408l2382,2408m2372,2408l2490,2408m2480,2408l2597,2408m2587,2408l2702,2408m2692,2408l2810,2408m2800,2408l2915,2408m2905,2408l3022,2408m3012,2408l3127,2408m3117,2408l3222,2408m3212,2408l3330,2408m3320,2408l3437,2408m3427,2408l3542,2408m3532,2408l3650,2408m3640,2408l3755,2408m3745,2408l3862,2408e" filled="false" stroked="true" strokeweight=".625pt" strokecolor="#000000">
              <v:path arrowok="t"/>
              <v:stroke dashstyle="solid"/>
            </v:shape>
            <v:shape style="position:absolute;left:1112;top:778;width:2745;height:1850" coordorigin="1112,779" coordsize="2745,1850" path="m1112,2214l1220,2509m1220,2509l1325,2199m1325,2199l1432,2259m1432,2259l1537,2629m1537,2629l1645,2569m1645,2569l1740,2614m1740,2614l1847,2316m1847,2316l1952,1889m1952,1889l2060,1431m2060,1431l2165,1356m2165,1356l2272,1281m2272,1281l2377,1164m2377,1164l2485,1519m2485,1519l2592,1489m2592,1489l2697,1371m2697,1371l2805,1459m2805,1459l2910,1356m2910,1356l3017,1281m3017,1281l3122,1209m3122,1209l3217,1119m3217,1119l3325,971m3325,971l3432,794m3432,794l3537,779m3537,779l3645,809m3645,809l3750,1119m3750,1119l3857,1296e" filled="false" stroked="true" strokeweight="1pt" strokecolor="#835335">
              <v:path arrowok="t"/>
              <v:stroke dashstyle="solid"/>
            </v:shape>
            <v:shape style="position:absolute;left:3915;top:607;width:87;height:1792" coordorigin="3916,608" coordsize="87,1792" path="m3916,608l4002,608m3916,966l4002,966m3916,1325l4002,1325m3916,1683l4002,1683m3916,2041l4002,2041m3916,2400l4002,2400e" filled="false" stroked="true" strokeweight=".5pt" strokecolor="#000000">
              <v:path arrowok="t"/>
              <v:stroke dashstyle="solid"/>
            </v:shape>
            <w10:wrap type="none"/>
          </v:group>
        </w:pict>
      </w:r>
      <w:r>
        <w:rPr/>
        <w:pict>
          <v:line style="position:absolute;mso-position-horizontal-relative:page;mso-position-vertical-relative:paragraph;z-index:16296960" from="41.154999pt,12.423976pt" to="45.487999pt,12.423976pt" stroked="true" strokeweight=".5pt" strokecolor="#000000">
            <v:stroke dashstyle="solid"/>
            <w10:wrap type="none"/>
          </v:line>
        </w:pict>
      </w:r>
      <w:r>
        <w:rPr>
          <w:sz w:val="12"/>
        </w:rPr>
        <w:t>Percentage changes on a year earl</w:t>
      </w:r>
      <w:r>
        <w:rPr>
          <w:sz w:val="12"/>
          <w:u w:val="single"/>
        </w:rPr>
        <w:t>ie</w:t>
      </w:r>
      <w:r>
        <w:rPr>
          <w:sz w:val="12"/>
        </w:rPr>
        <w:t>r </w:t>
      </w:r>
      <w:r>
        <w:rPr>
          <w:position w:val="-6"/>
          <w:sz w:val="12"/>
        </w:rPr>
        <w:t>6 </w:t>
      </w:r>
      <w:r>
        <w:rPr>
          <w:sz w:val="12"/>
        </w:rPr>
        <w:t>RPIX excluding</w:t>
      </w:r>
    </w:p>
    <w:p>
      <w:pPr>
        <w:pStyle w:val="Heading6"/>
        <w:spacing w:line="242" w:lineRule="auto" w:before="90"/>
        <w:ind w:left="185" w:right="139"/>
      </w:pPr>
      <w:r>
        <w:rPr/>
        <w:br w:type="column"/>
      </w:r>
      <w:r>
        <w:rPr/>
        <w:t>exchange rate strengthens further. So it is important to look at measures of DGI. One measure is calculated by adjusting RPIX inflation for the share of direct and indirect imports in consumption. That measure of DGI declined in 1999 Q4, continuing the trend apparent since 1998 (see Chart 4.13). But it may have been temporarily high following the initial appreciation of sterling if there was some lag between import prices falling and UK retailers adjusting their prices. To avoid the distortions</w:t>
      </w:r>
    </w:p>
    <w:p>
      <w:pPr>
        <w:spacing w:after="0" w:line="242" w:lineRule="auto"/>
        <w:sectPr>
          <w:type w:val="continuous"/>
          <w:pgSz w:w="11900" w:h="16840"/>
          <w:pgMar w:top="1220" w:bottom="280" w:left="640" w:right="620"/>
          <w:cols w:num="2" w:equalWidth="0">
            <w:col w:w="4047" w:space="727"/>
            <w:col w:w="5866"/>
          </w:cols>
        </w:sectPr>
      </w:pPr>
    </w:p>
    <w:p>
      <w:pPr>
        <w:spacing w:line="113" w:lineRule="exact" w:before="0"/>
        <w:ind w:left="1256" w:right="0" w:firstLine="0"/>
        <w:jc w:val="left"/>
        <w:rPr>
          <w:sz w:val="12"/>
        </w:rPr>
      </w:pPr>
      <w:r>
        <w:rPr/>
        <w:pict>
          <v:line style="position:absolute;mso-position-horizontal-relative:page;mso-position-vertical-relative:paragraph;z-index:16295936" from="41.154999pt,1.2796pt" to="45.487999pt,1.2796pt" stroked="true" strokeweight=".5pt" strokecolor="#000000">
            <v:stroke dashstyle="solid"/>
            <w10:wrap type="none"/>
          </v:line>
        </w:pict>
      </w:r>
      <w:r>
        <w:rPr>
          <w:sz w:val="12"/>
        </w:rPr>
        <w:t>import prices</w:t>
      </w:r>
    </w:p>
    <w:p>
      <w:pPr>
        <w:pStyle w:val="BodyText"/>
        <w:spacing w:before="8"/>
        <w:rPr>
          <w:sz w:val="19"/>
        </w:rPr>
      </w:pPr>
      <w:r>
        <w:rPr/>
        <w:pict>
          <v:shape style="position:absolute;margin-left:41.154999pt;margin-top:13.562587pt;width:4.350pt;height:.1pt;mso-position-horizontal-relative:page;mso-position-vertical-relative:paragraph;z-index:-15169536;mso-wrap-distance-left:0;mso-wrap-distance-right:0" coordorigin="823,271" coordsize="87,0" path="m823,271l910,271e" filled="false" stroked="true" strokeweight=".5pt" strokecolor="#000000">
            <v:path arrowok="t"/>
            <v:stroke dashstyle="solid"/>
            <w10:wrap type="topAndBottom"/>
          </v:shape>
        </w:pict>
      </w:r>
      <w:r>
        <w:rPr/>
        <w:pict>
          <v:shape style="position:absolute;margin-left:41.154999pt;margin-top:31.482586pt;width:4.350pt;height:.1pt;mso-position-horizontal-relative:page;mso-position-vertical-relative:paragraph;z-index:-15169024;mso-wrap-distance-left:0;mso-wrap-distance-right:0" coordorigin="823,630" coordsize="87,0" path="m823,630l910,630e" filled="false" stroked="true" strokeweight=".5pt" strokecolor="#000000">
            <v:path arrowok="t"/>
            <v:stroke dashstyle="solid"/>
            <w10:wrap type="topAndBottom"/>
          </v:shape>
        </w:pict>
      </w:r>
      <w:r>
        <w:rPr/>
        <w:pict>
          <v:shape style="position:absolute;margin-left:41.154999pt;margin-top:49.401585pt;width:4.350pt;height:.1pt;mso-position-horizontal-relative:page;mso-position-vertical-relative:paragraph;z-index:-15168512;mso-wrap-distance-left:0;mso-wrap-distance-right:0" coordorigin="823,988" coordsize="87,0" path="m823,988l910,988e" filled="false" stroked="true" strokeweight=".5pt" strokecolor="#000000">
            <v:path arrowok="t"/>
            <v:stroke dashstyle="solid"/>
            <w10:wrap type="topAndBottom"/>
          </v:shape>
        </w:pict>
      </w:r>
      <w:r>
        <w:rPr/>
        <w:pict>
          <v:shape style="position:absolute;margin-left:41.154999pt;margin-top:67.320587pt;width:4.350pt;height:.1pt;mso-position-horizontal-relative:page;mso-position-vertical-relative:paragraph;z-index:-15168000;mso-wrap-distance-left:0;mso-wrap-distance-right:0" coordorigin="823,1346" coordsize="87,0" path="m823,1346l910,1346e" filled="false" stroked="true" strokeweight=".5pt" strokecolor="#000000">
            <v:path arrowok="t"/>
            <v:stroke dashstyle="solid"/>
            <w10:wrap type="topAndBottom"/>
          </v:shape>
        </w:pict>
      </w:r>
      <w:r>
        <w:rPr/>
        <w:pict>
          <v:shape style="position:absolute;margin-left:41.154999pt;margin-top:85.239586pt;width:4.350pt;height:.1pt;mso-position-horizontal-relative:page;mso-position-vertical-relative:paragraph;z-index:-15167488;mso-wrap-distance-left:0;mso-wrap-distance-right:0" coordorigin="823,1705" coordsize="87,0" path="m823,1705l910,1705e" filled="false" stroked="true" strokeweight=".5pt" strokecolor="#000000">
            <v:path arrowok="t"/>
            <v:stroke dashstyle="solid"/>
            <w10:wrap type="topAndBottom"/>
          </v:shape>
        </w:pict>
      </w:r>
    </w:p>
    <w:p>
      <w:pPr>
        <w:pStyle w:val="BodyText"/>
        <w:spacing w:before="4"/>
        <w:rPr>
          <w:sz w:val="24"/>
        </w:rPr>
      </w:pPr>
    </w:p>
    <w:p>
      <w:pPr>
        <w:pStyle w:val="BodyText"/>
        <w:spacing w:before="4"/>
        <w:rPr>
          <w:sz w:val="24"/>
        </w:rPr>
      </w:pPr>
    </w:p>
    <w:p>
      <w:pPr>
        <w:pStyle w:val="BodyText"/>
        <w:spacing w:before="4"/>
        <w:rPr>
          <w:sz w:val="24"/>
        </w:rPr>
      </w:pPr>
    </w:p>
    <w:p>
      <w:pPr>
        <w:pStyle w:val="BodyText"/>
        <w:spacing w:before="4"/>
        <w:rPr>
          <w:sz w:val="24"/>
        </w:rPr>
      </w:pPr>
    </w:p>
    <w:p>
      <w:pPr>
        <w:pStyle w:val="BodyText"/>
        <w:rPr>
          <w:sz w:val="12"/>
        </w:rPr>
      </w:pPr>
    </w:p>
    <w:p>
      <w:pPr>
        <w:spacing w:before="78"/>
        <w:ind w:left="759" w:right="0" w:firstLine="0"/>
        <w:jc w:val="left"/>
        <w:rPr>
          <w:sz w:val="12"/>
        </w:rPr>
      </w:pPr>
      <w:r>
        <w:rPr/>
        <w:pict>
          <v:line style="position:absolute;mso-position-horizontal-relative:page;mso-position-vertical-relative:paragraph;z-index:16296448" from="41.154999pt,9.291825pt" to="45.487999pt,9.291825pt" stroked="true" strokeweight=".5pt" strokecolor="#000000">
            <v:stroke dashstyle="solid"/>
            <w10:wrap type="none"/>
          </v:line>
        </w:pict>
      </w:r>
      <w:r>
        <w:rPr>
          <w:sz w:val="12"/>
        </w:rPr>
        <w:t>Unit labour costs (a)</w:t>
      </w:r>
    </w:p>
    <w:p>
      <w:pPr>
        <w:pStyle w:val="BodyText"/>
        <w:spacing w:before="8" w:after="40"/>
        <w:rPr>
          <w:sz w:val="24"/>
        </w:rPr>
      </w:pPr>
    </w:p>
    <w:p>
      <w:pPr>
        <w:pStyle w:val="BodyText"/>
        <w:spacing w:line="20" w:lineRule="exact"/>
        <w:ind w:left="17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80" w:lineRule="exact" w:before="0"/>
        <w:ind w:left="1479" w:right="0" w:firstLine="0"/>
        <w:jc w:val="left"/>
        <w:rPr>
          <w:sz w:val="12"/>
        </w:rPr>
      </w:pPr>
      <w:r>
        <w:rPr/>
        <w:br w:type="column"/>
      </w:r>
      <w:r>
        <w:rPr>
          <w:sz w:val="12"/>
        </w:rPr>
        <w:t>5</w:t>
      </w:r>
    </w:p>
    <w:p>
      <w:pPr>
        <w:pStyle w:val="BodyText"/>
        <w:rPr>
          <w:sz w:val="12"/>
        </w:rPr>
      </w:pPr>
    </w:p>
    <w:p>
      <w:pPr>
        <w:spacing w:before="83"/>
        <w:ind w:left="0" w:right="38" w:firstLine="0"/>
        <w:jc w:val="right"/>
        <w:rPr>
          <w:sz w:val="12"/>
        </w:rPr>
      </w:pPr>
      <w:r>
        <w:rPr>
          <w:sz w:val="12"/>
        </w:rPr>
        <w:t>4</w:t>
      </w:r>
    </w:p>
    <w:p>
      <w:pPr>
        <w:pStyle w:val="BodyText"/>
        <w:rPr>
          <w:sz w:val="12"/>
        </w:rPr>
      </w:pPr>
    </w:p>
    <w:p>
      <w:pPr>
        <w:spacing w:before="83"/>
        <w:ind w:left="0" w:right="38" w:firstLine="0"/>
        <w:jc w:val="right"/>
        <w:rPr>
          <w:sz w:val="12"/>
        </w:rPr>
      </w:pPr>
      <w:r>
        <w:rPr>
          <w:sz w:val="12"/>
        </w:rPr>
        <w:t>3</w:t>
      </w:r>
    </w:p>
    <w:p>
      <w:pPr>
        <w:pStyle w:val="BodyText"/>
        <w:rPr>
          <w:sz w:val="12"/>
        </w:rPr>
      </w:pPr>
    </w:p>
    <w:p>
      <w:pPr>
        <w:spacing w:line="120" w:lineRule="exact" w:before="83"/>
        <w:ind w:left="1479" w:right="0" w:firstLine="0"/>
        <w:jc w:val="left"/>
        <w:rPr>
          <w:sz w:val="12"/>
        </w:rPr>
      </w:pPr>
      <w:r>
        <w:rPr>
          <w:sz w:val="12"/>
        </w:rPr>
        <w:t>2</w:t>
      </w:r>
    </w:p>
    <w:p>
      <w:pPr>
        <w:spacing w:line="208" w:lineRule="auto" w:before="0"/>
        <w:ind w:left="40" w:right="673" w:hanging="60"/>
        <w:jc w:val="left"/>
        <w:rPr>
          <w:sz w:val="12"/>
        </w:rPr>
      </w:pPr>
      <w:r>
        <w:rPr>
          <w:sz w:val="12"/>
        </w:rPr>
        <w:t>Unit labour costs adjusted for trend</w:t>
      </w:r>
    </w:p>
    <w:p>
      <w:pPr>
        <w:tabs>
          <w:tab w:pos="1539" w:val="right" w:leader="none"/>
        </w:tabs>
        <w:spacing w:line="141" w:lineRule="exact" w:before="0"/>
        <w:ind w:left="40" w:right="0" w:firstLine="0"/>
        <w:jc w:val="left"/>
        <w:rPr>
          <w:sz w:val="12"/>
        </w:rPr>
      </w:pPr>
      <w:r>
        <w:rPr>
          <w:position w:val="2"/>
          <w:sz w:val="12"/>
        </w:rPr>
        <w:t>productivity (a) (b)</w:t>
        <w:tab/>
      </w:r>
      <w:r>
        <w:rPr>
          <w:sz w:val="12"/>
        </w:rPr>
        <w:t>1</w:t>
      </w:r>
    </w:p>
    <w:p>
      <w:pPr>
        <w:spacing w:line="180" w:lineRule="exact" w:before="42"/>
        <w:ind w:left="1393" w:right="0" w:firstLine="0"/>
        <w:jc w:val="left"/>
        <w:rPr>
          <w:sz w:val="16"/>
        </w:rPr>
      </w:pPr>
      <w:r>
        <w:rPr>
          <w:w w:val="100"/>
          <w:sz w:val="16"/>
        </w:rPr>
        <w:t>+</w:t>
      </w:r>
    </w:p>
    <w:p>
      <w:pPr>
        <w:spacing w:line="172" w:lineRule="auto" w:before="10"/>
        <w:ind w:left="1416" w:right="0" w:firstLine="0"/>
        <w:jc w:val="left"/>
        <w:rPr>
          <w:sz w:val="12"/>
        </w:rPr>
      </w:pPr>
      <w:r>
        <w:rPr>
          <w:spacing w:val="-9"/>
          <w:position w:val="-9"/>
          <w:sz w:val="16"/>
        </w:rPr>
        <w:t>_</w:t>
      </w:r>
      <w:r>
        <w:rPr>
          <w:spacing w:val="-9"/>
          <w:sz w:val="12"/>
        </w:rPr>
        <w:t>0</w:t>
      </w:r>
    </w:p>
    <w:p>
      <w:pPr>
        <w:spacing w:before="150"/>
        <w:ind w:left="0" w:right="38" w:firstLine="0"/>
        <w:jc w:val="right"/>
        <w:rPr>
          <w:sz w:val="12"/>
        </w:rPr>
      </w:pPr>
      <w:r>
        <w:rPr/>
        <w:pict>
          <v:line style="position:absolute;mso-position-horizontal-relative:page;mso-position-vertical-relative:paragraph;z-index:16297472" from="195.779999pt,11.52079pt" to="200.112999pt,11.52079pt" stroked="true" strokeweight=".5pt" strokecolor="#000000">
            <v:stroke dashstyle="solid"/>
            <w10:wrap type="none"/>
          </v:line>
        </w:pict>
      </w:r>
      <w:r>
        <w:rPr>
          <w:sz w:val="12"/>
        </w:rPr>
        <w:t>1</w:t>
      </w:r>
    </w:p>
    <w:p>
      <w:pPr>
        <w:pStyle w:val="BodyText"/>
        <w:rPr>
          <w:sz w:val="12"/>
        </w:rPr>
      </w:pPr>
    </w:p>
    <w:p>
      <w:pPr>
        <w:spacing w:line="86" w:lineRule="exact" w:before="83"/>
        <w:ind w:left="1479" w:right="0" w:firstLine="0"/>
        <w:jc w:val="left"/>
        <w:rPr>
          <w:sz w:val="12"/>
        </w:rPr>
      </w:pPr>
      <w:r>
        <w:rPr/>
        <w:pict>
          <v:shape style="position:absolute;margin-left:50.404999pt;margin-top:4.761543pt;width:149.75pt;height:3.4pt;mso-position-horizontal-relative:page;mso-position-vertical-relative:paragraph;z-index:16295424" coordorigin="1008,95" coordsize="2995,68" path="m1011,162l3852,162m1008,95l1008,162m1430,95l1430,162m1852,95l1852,162m2274,95l2274,162m2695,95l2695,162m3117,95l3117,162m3539,95l3539,162m3916,163l4002,163e" filled="false" stroked="true" strokeweight=".5pt" strokecolor="#000000">
            <v:path arrowok="t"/>
            <v:stroke dashstyle="solid"/>
            <w10:wrap type="none"/>
          </v:shape>
        </w:pict>
      </w:r>
      <w:r>
        <w:rPr>
          <w:sz w:val="12"/>
        </w:rPr>
        <w:t>2</w:t>
      </w:r>
    </w:p>
    <w:p>
      <w:pPr>
        <w:pStyle w:val="Heading6"/>
        <w:spacing w:line="242" w:lineRule="auto" w:before="11"/>
        <w:ind w:left="759" w:right="228"/>
      </w:pPr>
      <w:r>
        <w:rPr/>
        <w:br w:type="column"/>
      </w:r>
      <w:r>
        <w:rPr/>
        <w:t>caused by temporary fluctuations in profit margins it may be better to focus on unit labour costs. DGI as measured by actual unit labour costs has also fallen as productivity growth has recovered, and both measures are now around 3%. The measure of DGI that uses unit labour costs adjusted for trend productivity growth has been around 3% since 1998.</w:t>
      </w:r>
    </w:p>
    <w:p>
      <w:pPr>
        <w:pStyle w:val="BodyText"/>
        <w:spacing w:before="1"/>
        <w:rPr>
          <w:sz w:val="25"/>
        </w:rPr>
      </w:pPr>
    </w:p>
    <w:p>
      <w:pPr>
        <w:spacing w:before="0"/>
        <w:ind w:left="759" w:right="0" w:firstLine="0"/>
        <w:jc w:val="left"/>
        <w:rPr>
          <w:sz w:val="24"/>
        </w:rPr>
      </w:pPr>
      <w:r>
        <w:rPr>
          <w:sz w:val="24"/>
        </w:rPr>
        <w:t>A change in the exchange rate is one cause of relative</w:t>
      </w:r>
    </w:p>
    <w:p>
      <w:pPr>
        <w:spacing w:after="0"/>
        <w:jc w:val="left"/>
        <w:rPr>
          <w:sz w:val="24"/>
        </w:rPr>
        <w:sectPr>
          <w:type w:val="continuous"/>
          <w:pgSz w:w="11900" w:h="16840"/>
          <w:pgMar w:top="1220" w:bottom="280" w:left="640" w:right="620"/>
          <w:cols w:num="3" w:equalWidth="0">
            <w:col w:w="1894" w:space="39"/>
            <w:col w:w="1580" w:space="688"/>
            <w:col w:w="6439"/>
          </w:cols>
        </w:sectPr>
      </w:pPr>
    </w:p>
    <w:p>
      <w:pPr>
        <w:tabs>
          <w:tab w:pos="931" w:val="left" w:leader="none"/>
          <w:tab w:pos="1358" w:val="left" w:leader="none"/>
          <w:tab w:pos="1786" w:val="left" w:leader="none"/>
          <w:tab w:pos="2213" w:val="left" w:leader="none"/>
          <w:tab w:pos="2641" w:val="left" w:leader="none"/>
          <w:tab w:pos="3043" w:val="left" w:leader="none"/>
        </w:tabs>
        <w:spacing w:before="11"/>
        <w:ind w:left="429" w:right="0" w:firstLine="0"/>
        <w:jc w:val="left"/>
        <w:rPr>
          <w:sz w:val="12"/>
        </w:rPr>
      </w:pPr>
      <w:r>
        <w:rPr>
          <w:sz w:val="12"/>
        </w:rPr>
        <w:t>1993</w:t>
        <w:tab/>
        <w:t>94</w:t>
        <w:tab/>
        <w:t>95</w:t>
        <w:tab/>
        <w:t>96</w:t>
        <w:tab/>
        <w:t>97</w:t>
        <w:tab/>
        <w:t>98</w:t>
        <w:tab/>
        <w:t>99</w:t>
      </w:r>
    </w:p>
    <w:p>
      <w:pPr>
        <w:pStyle w:val="ListParagraph"/>
        <w:numPr>
          <w:ilvl w:val="0"/>
          <w:numId w:val="38"/>
        </w:numPr>
        <w:tabs>
          <w:tab w:pos="426" w:val="left" w:leader="none"/>
        </w:tabs>
        <w:spacing w:line="208" w:lineRule="auto" w:before="52" w:after="0"/>
        <w:ind w:left="425" w:right="0" w:hanging="240"/>
        <w:jc w:val="left"/>
        <w:rPr>
          <w:sz w:val="12"/>
        </w:rPr>
      </w:pPr>
      <w:r>
        <w:rPr>
          <w:sz w:val="12"/>
        </w:rPr>
        <w:t>Using</w:t>
      </w:r>
      <w:r>
        <w:rPr>
          <w:spacing w:val="-7"/>
          <w:sz w:val="12"/>
        </w:rPr>
        <w:t> </w:t>
      </w:r>
      <w:r>
        <w:rPr>
          <w:sz w:val="12"/>
        </w:rPr>
        <w:t>National</w:t>
      </w:r>
      <w:r>
        <w:rPr>
          <w:spacing w:val="-7"/>
          <w:sz w:val="12"/>
        </w:rPr>
        <w:t> </w:t>
      </w:r>
      <w:r>
        <w:rPr>
          <w:sz w:val="12"/>
        </w:rPr>
        <w:t>Accounts</w:t>
      </w:r>
      <w:r>
        <w:rPr>
          <w:spacing w:val="-7"/>
          <w:sz w:val="12"/>
        </w:rPr>
        <w:t> </w:t>
      </w:r>
      <w:r>
        <w:rPr>
          <w:sz w:val="12"/>
        </w:rPr>
        <w:t>measures</w:t>
      </w:r>
      <w:r>
        <w:rPr>
          <w:spacing w:val="-7"/>
          <w:sz w:val="12"/>
        </w:rPr>
        <w:t> </w:t>
      </w:r>
      <w:r>
        <w:rPr>
          <w:sz w:val="12"/>
        </w:rPr>
        <w:t>of</w:t>
      </w:r>
      <w:r>
        <w:rPr>
          <w:spacing w:val="-6"/>
          <w:sz w:val="12"/>
        </w:rPr>
        <w:t> </w:t>
      </w:r>
      <w:r>
        <w:rPr>
          <w:sz w:val="12"/>
        </w:rPr>
        <w:t>employee</w:t>
      </w:r>
      <w:r>
        <w:rPr>
          <w:spacing w:val="-7"/>
          <w:sz w:val="12"/>
        </w:rPr>
        <w:t> </w:t>
      </w:r>
      <w:r>
        <w:rPr>
          <w:sz w:val="12"/>
        </w:rPr>
        <w:t>compensation and productivity growth.</w:t>
      </w:r>
    </w:p>
    <w:p>
      <w:pPr>
        <w:pStyle w:val="ListParagraph"/>
        <w:numPr>
          <w:ilvl w:val="0"/>
          <w:numId w:val="38"/>
        </w:numPr>
        <w:tabs>
          <w:tab w:pos="426" w:val="left" w:leader="none"/>
        </w:tabs>
        <w:spacing w:line="123" w:lineRule="exact" w:before="0" w:after="0"/>
        <w:ind w:left="425" w:right="0" w:hanging="241"/>
        <w:jc w:val="left"/>
        <w:rPr>
          <w:sz w:val="12"/>
        </w:rPr>
      </w:pPr>
      <w:r>
        <w:rPr>
          <w:sz w:val="12"/>
        </w:rPr>
        <w:t>Adjusted using long-run trend productivity growth of 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49" w:lineRule="auto" w:before="92"/>
        <w:ind w:left="175" w:right="1970" w:firstLine="0"/>
        <w:jc w:val="left"/>
        <w:rPr>
          <w:b/>
          <w:sz w:val="20"/>
        </w:rPr>
      </w:pPr>
      <w:r>
        <w:rPr>
          <w:b/>
          <w:color w:val="0092C7"/>
          <w:sz w:val="20"/>
        </w:rPr>
        <w:t>Chart 4.14 HICP inflation</w:t>
      </w:r>
    </w:p>
    <w:p>
      <w:pPr>
        <w:spacing w:before="69"/>
        <w:ind w:left="1649" w:right="0" w:firstLine="0"/>
        <w:jc w:val="left"/>
        <w:rPr>
          <w:sz w:val="12"/>
        </w:rPr>
      </w:pPr>
      <w:r>
        <w:rPr/>
        <w:pict>
          <v:line style="position:absolute;mso-position-horizontal-relative:page;mso-position-vertical-relative:paragraph;z-index:16299520" from="40.654999pt,52.652348pt" to="44.987999pt,52.652348pt" stroked="true" strokeweight=".5pt" strokecolor="#000000">
            <v:stroke dashstyle="solid"/>
            <w10:wrap type="none"/>
          </v:line>
        </w:pict>
      </w:r>
      <w:r>
        <w:rPr/>
        <w:pict>
          <v:line style="position:absolute;mso-position-horizontal-relative:page;mso-position-vertical-relative:paragraph;z-index:16300032" from="40.654999pt,72.89035pt" to="44.987999pt,72.89035pt" stroked="true" strokeweight=".5pt" strokecolor="#000000">
            <v:stroke dashstyle="solid"/>
            <w10:wrap type="none"/>
          </v:line>
        </w:pict>
      </w:r>
      <w:r>
        <w:rPr>
          <w:sz w:val="12"/>
        </w:rPr>
        <w:t>Percentage changes on a year earlier</w:t>
      </w:r>
    </w:p>
    <w:p>
      <w:pPr>
        <w:pStyle w:val="BodyText"/>
        <w:spacing w:before="8"/>
        <w:rPr>
          <w:sz w:val="2"/>
        </w:rPr>
      </w:pPr>
    </w:p>
    <w:p>
      <w:pPr>
        <w:tabs>
          <w:tab w:pos="3307" w:val="left" w:leader="none"/>
        </w:tabs>
        <w:spacing w:line="20" w:lineRule="exact"/>
        <w:ind w:left="168" w:right="-29"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1"/>
        <w:rPr>
          <w:sz w:val="10"/>
        </w:rPr>
      </w:pPr>
      <w:r>
        <w:rPr/>
        <w:pict>
          <v:shape style="position:absolute;margin-left:40.654999pt;margin-top:8.025684pt;width:4.350pt;height:.1pt;mso-position-horizontal-relative:page;mso-position-vertical-relative:paragraph;z-index:-15165440;mso-wrap-distance-left:0;mso-wrap-distance-right:0" coordorigin="813,161" coordsize="87,0" path="m813,161l900,161e" filled="false" stroked="true" strokeweight=".5pt" strokecolor="#000000">
            <v:path arrowok="t"/>
            <v:stroke dashstyle="solid"/>
            <w10:wrap type="topAndBottom"/>
          </v:shape>
        </w:pict>
      </w:r>
      <w:r>
        <w:rPr/>
        <w:pict>
          <v:shape style="position:absolute;margin-left:197.613007pt;margin-top:8.046684pt;width:4.350pt;height:.1pt;mso-position-horizontal-relative:page;mso-position-vertical-relative:paragraph;z-index:-15164928;mso-wrap-distance-left:0;mso-wrap-distance-right:0" coordorigin="3952,161" coordsize="87,0" path="m3952,161l4039,161e" filled="false" stroked="true" strokeweight=".5pt" strokecolor="#000000">
            <v:path arrowok="t"/>
            <v:stroke dashstyle="solid"/>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9"/>
        </w:rPr>
      </w:pPr>
      <w:r>
        <w:rPr/>
        <w:pict>
          <v:shape style="position:absolute;margin-left:40.654999pt;margin-top:18.976835pt;width:4.350pt;height:.1pt;mso-position-horizontal-relative:page;mso-position-vertical-relative:paragraph;z-index:-15164416;mso-wrap-distance-left:0;mso-wrap-distance-right:0" coordorigin="813,380" coordsize="87,0" path="m813,380l900,380e" filled="false" stroked="true" strokeweight=".5pt" strokecolor="#000000">
            <v:path arrowok="t"/>
            <v:stroke dashstyle="solid"/>
            <w10:wrap type="topAndBottom"/>
          </v:shape>
        </w:pict>
      </w:r>
      <w:r>
        <w:rPr/>
        <w:pict>
          <v:shape style="position:absolute;margin-left:197.613007pt;margin-top:18.996836pt;width:4.350pt;height:.1pt;mso-position-horizontal-relative:page;mso-position-vertical-relative:paragraph;z-index:-15163904;mso-wrap-distance-left:0;mso-wrap-distance-right:0" coordorigin="3952,380" coordsize="87,0" path="m3952,380l4039,380e" filled="false" stroked="true" strokeweight=".5pt" strokecolor="#000000">
            <v:path arrowok="t"/>
            <v:stroke dashstyle="solid"/>
            <w10:wrap type="topAndBottom"/>
          </v:shape>
        </w:pict>
      </w:r>
      <w:r>
        <w:rPr/>
        <w:pict>
          <v:shape style="position:absolute;margin-left:40.654999pt;margin-top:35.870834pt;width:161.3pt;height:3.4pt;mso-position-horizontal-relative:page;mso-position-vertical-relative:paragraph;z-index:-15163392;mso-wrap-distance-left:0;mso-wrap-distance-right:0" coordorigin="813,717" coordsize="3226,68" path="m974,784l3896,784m971,717l971,784m1672,717l1672,784m2373,717l2373,784m3074,717l3074,784m3775,717l3775,784m813,784l900,784m3952,785l4039,785e" filled="false" stroked="true" strokeweight=".5pt" strokecolor="#000000">
            <v:path arrowok="t"/>
            <v:stroke dashstyle="solid"/>
            <w10:wrap type="topAndBottom"/>
          </v:shape>
        </w:pict>
      </w:r>
    </w:p>
    <w:p>
      <w:pPr>
        <w:pStyle w:val="BodyText"/>
        <w:spacing w:before="6"/>
        <w:rPr>
          <w:sz w:val="22"/>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6"/>
        </w:rPr>
      </w:pPr>
    </w:p>
    <w:p>
      <w:pPr>
        <w:spacing w:before="0"/>
        <w:ind w:left="-28" w:right="0" w:firstLine="0"/>
        <w:jc w:val="left"/>
        <w:rPr>
          <w:sz w:val="12"/>
        </w:rPr>
      </w:pPr>
      <w:r>
        <w:rPr>
          <w:sz w:val="12"/>
        </w:rPr>
        <w:t>3.5</w:t>
      </w:r>
    </w:p>
    <w:p>
      <w:pPr>
        <w:pStyle w:val="BodyText"/>
        <w:rPr>
          <w:sz w:val="12"/>
        </w:rPr>
      </w:pPr>
    </w:p>
    <w:p>
      <w:pPr>
        <w:pStyle w:val="BodyText"/>
        <w:spacing w:before="3"/>
        <w:rPr>
          <w:sz w:val="11"/>
        </w:rPr>
      </w:pPr>
    </w:p>
    <w:p>
      <w:pPr>
        <w:spacing w:before="0"/>
        <w:ind w:left="-28" w:right="0" w:firstLine="0"/>
        <w:jc w:val="left"/>
        <w:rPr>
          <w:sz w:val="12"/>
        </w:rPr>
      </w:pPr>
      <w:r>
        <w:rPr>
          <w:sz w:val="12"/>
        </w:rPr>
        <w:t>3.0</w:t>
      </w:r>
    </w:p>
    <w:p>
      <w:pPr>
        <w:pStyle w:val="BodyText"/>
        <w:rPr>
          <w:sz w:val="12"/>
        </w:rPr>
      </w:pPr>
    </w:p>
    <w:p>
      <w:pPr>
        <w:pStyle w:val="BodyText"/>
        <w:spacing w:before="2"/>
        <w:rPr>
          <w:sz w:val="11"/>
        </w:rPr>
      </w:pPr>
    </w:p>
    <w:p>
      <w:pPr>
        <w:spacing w:before="0"/>
        <w:ind w:left="-28" w:right="0" w:firstLine="0"/>
        <w:jc w:val="left"/>
        <w:rPr>
          <w:sz w:val="12"/>
        </w:rPr>
      </w:pPr>
      <w:r>
        <w:rPr>
          <w:sz w:val="12"/>
        </w:rPr>
        <w:t>2.5</w:t>
      </w:r>
    </w:p>
    <w:p>
      <w:pPr>
        <w:pStyle w:val="BodyText"/>
        <w:rPr>
          <w:sz w:val="12"/>
        </w:rPr>
      </w:pPr>
    </w:p>
    <w:p>
      <w:pPr>
        <w:pStyle w:val="BodyText"/>
        <w:spacing w:before="3"/>
        <w:rPr>
          <w:sz w:val="11"/>
        </w:rPr>
      </w:pPr>
    </w:p>
    <w:p>
      <w:pPr>
        <w:spacing w:before="0"/>
        <w:ind w:left="-28" w:right="0" w:firstLine="0"/>
        <w:jc w:val="left"/>
        <w:rPr>
          <w:sz w:val="12"/>
        </w:rPr>
      </w:pPr>
      <w:r>
        <w:rPr>
          <w:sz w:val="12"/>
        </w:rPr>
        <w:t>2.0</w:t>
      </w:r>
    </w:p>
    <w:p>
      <w:pPr>
        <w:pStyle w:val="BodyText"/>
        <w:rPr>
          <w:sz w:val="12"/>
        </w:rPr>
      </w:pPr>
    </w:p>
    <w:p>
      <w:pPr>
        <w:pStyle w:val="BodyText"/>
        <w:spacing w:before="2"/>
        <w:rPr>
          <w:sz w:val="11"/>
        </w:rPr>
      </w:pPr>
    </w:p>
    <w:p>
      <w:pPr>
        <w:spacing w:before="0"/>
        <w:ind w:left="-28" w:right="0" w:firstLine="0"/>
        <w:jc w:val="left"/>
        <w:rPr>
          <w:sz w:val="12"/>
        </w:rPr>
      </w:pPr>
      <w:r>
        <w:rPr>
          <w:sz w:val="12"/>
        </w:rPr>
        <w:t>1.5</w:t>
      </w:r>
    </w:p>
    <w:p>
      <w:pPr>
        <w:pStyle w:val="BodyText"/>
        <w:rPr>
          <w:sz w:val="12"/>
        </w:rPr>
      </w:pPr>
    </w:p>
    <w:p>
      <w:pPr>
        <w:pStyle w:val="BodyText"/>
        <w:spacing w:before="3"/>
        <w:rPr>
          <w:sz w:val="11"/>
        </w:rPr>
      </w:pPr>
    </w:p>
    <w:p>
      <w:pPr>
        <w:spacing w:before="0"/>
        <w:ind w:left="-28" w:right="0" w:firstLine="0"/>
        <w:jc w:val="left"/>
        <w:rPr>
          <w:sz w:val="12"/>
        </w:rPr>
      </w:pPr>
      <w:r>
        <w:rPr>
          <w:sz w:val="12"/>
        </w:rPr>
        <w:t>1.0</w:t>
      </w:r>
    </w:p>
    <w:p>
      <w:pPr>
        <w:pStyle w:val="BodyText"/>
        <w:rPr>
          <w:sz w:val="12"/>
        </w:rPr>
      </w:pPr>
    </w:p>
    <w:p>
      <w:pPr>
        <w:pStyle w:val="BodyText"/>
        <w:spacing w:before="2"/>
        <w:rPr>
          <w:sz w:val="11"/>
        </w:rPr>
      </w:pPr>
    </w:p>
    <w:p>
      <w:pPr>
        <w:spacing w:before="0"/>
        <w:ind w:left="-28" w:right="0" w:firstLine="0"/>
        <w:jc w:val="left"/>
        <w:rPr>
          <w:sz w:val="12"/>
        </w:rPr>
      </w:pPr>
      <w:r>
        <w:rPr>
          <w:sz w:val="12"/>
        </w:rPr>
        <w:t>0.5</w:t>
      </w:r>
    </w:p>
    <w:p>
      <w:pPr>
        <w:pStyle w:val="BodyText"/>
        <w:rPr>
          <w:sz w:val="12"/>
        </w:rPr>
      </w:pPr>
    </w:p>
    <w:p>
      <w:pPr>
        <w:pStyle w:val="BodyText"/>
        <w:spacing w:before="3"/>
        <w:rPr>
          <w:sz w:val="11"/>
        </w:rPr>
      </w:pPr>
    </w:p>
    <w:p>
      <w:pPr>
        <w:spacing w:line="125" w:lineRule="exact" w:before="0"/>
        <w:ind w:left="-28" w:right="0" w:firstLine="0"/>
        <w:jc w:val="left"/>
        <w:rPr>
          <w:sz w:val="12"/>
        </w:rPr>
      </w:pPr>
      <w:r>
        <w:rPr>
          <w:sz w:val="12"/>
        </w:rPr>
        <w:t>0.0</w:t>
      </w:r>
    </w:p>
    <w:p>
      <w:pPr>
        <w:pStyle w:val="Heading6"/>
        <w:spacing w:line="258" w:lineRule="exact"/>
        <w:ind w:left="175"/>
      </w:pPr>
      <w:r>
        <w:rPr/>
        <w:br w:type="column"/>
      </w:r>
      <w:r>
        <w:rPr/>
        <w:t>price fluctuations. But changes in preferences,</w:t>
      </w:r>
    </w:p>
    <w:p>
      <w:pPr>
        <w:spacing w:line="242" w:lineRule="auto" w:before="4"/>
        <w:ind w:left="175" w:right="279" w:firstLine="0"/>
        <w:jc w:val="left"/>
        <w:rPr>
          <w:sz w:val="24"/>
        </w:rPr>
      </w:pPr>
      <w:r>
        <w:rPr>
          <w:sz w:val="24"/>
        </w:rPr>
        <w:t>technology, and other supply shocks, such as an increase in the price of oil, also lead to relative price changes. Large relative price changes may temporarily obscure underlying developments in aggregate</w:t>
      </w:r>
      <w:r>
        <w:rPr>
          <w:spacing w:val="-29"/>
          <w:sz w:val="24"/>
        </w:rPr>
        <w:t> </w:t>
      </w:r>
      <w:r>
        <w:rPr>
          <w:sz w:val="24"/>
        </w:rPr>
        <w:t>inflation. A possible solution is to look at a measure of inflation that removes large relative price changes from the sample. The Bank calculates a measure of inflation</w:t>
      </w:r>
    </w:p>
    <w:p>
      <w:pPr>
        <w:spacing w:line="242" w:lineRule="auto" w:before="9"/>
        <w:ind w:left="175" w:right="153" w:firstLine="0"/>
        <w:jc w:val="left"/>
        <w:rPr>
          <w:sz w:val="16"/>
        </w:rPr>
      </w:pPr>
      <w:r>
        <w:rPr>
          <w:sz w:val="24"/>
        </w:rPr>
        <w:t>that excludes the largest and smallest 15% of weighted price changes in the individual components of the retail price index. This trimmed mean measure of RPIX inflation has remained below the official measure. But theory gives no direct guide to how much of the distribution it is sensible to trim, and there may be circumstances when certain large relative price changes provide useful information about future aggregate inflation.</w:t>
      </w:r>
      <w:r>
        <w:rPr>
          <w:position w:val="5"/>
          <w:sz w:val="16"/>
        </w:rPr>
        <w:t>(1)</w:t>
      </w:r>
    </w:p>
    <w:p>
      <w:pPr>
        <w:pStyle w:val="BodyText"/>
        <w:spacing w:before="3"/>
        <w:rPr>
          <w:sz w:val="25"/>
        </w:rPr>
      </w:pPr>
    </w:p>
    <w:p>
      <w:pPr>
        <w:spacing w:line="242" w:lineRule="auto" w:before="0"/>
        <w:ind w:left="175" w:right="153" w:firstLine="0"/>
        <w:jc w:val="left"/>
        <w:rPr>
          <w:sz w:val="24"/>
        </w:rPr>
      </w:pPr>
      <w:r>
        <w:rPr>
          <w:sz w:val="24"/>
        </w:rPr>
        <w:t>Annual inflation in the Harmonised Index of Consumer Prices (HICP) was 0.7% in March (see Chart 4.14), the lowest rate since the official series began in 1996 and lower than in any country in the euro area. There are several reasons why UK HICP inflation is below RPIX inflation, but most of the difference is attributable to the different treatment of housing and to the different approaches used to weight components of the indices at the lowest level of aggregation.</w:t>
      </w:r>
    </w:p>
    <w:p>
      <w:pPr>
        <w:spacing w:after="0" w:line="242" w:lineRule="auto"/>
        <w:jc w:val="left"/>
        <w:rPr>
          <w:sz w:val="24"/>
        </w:rPr>
        <w:sectPr>
          <w:type w:val="continuous"/>
          <w:pgSz w:w="11900" w:h="16840"/>
          <w:pgMar w:top="1220" w:bottom="280" w:left="640" w:right="620"/>
          <w:cols w:num="3" w:equalWidth="0">
            <w:col w:w="3438" w:space="40"/>
            <w:col w:w="163" w:space="1143"/>
            <w:col w:w="5856"/>
          </w:cols>
        </w:sectPr>
      </w:pPr>
    </w:p>
    <w:p>
      <w:pPr>
        <w:tabs>
          <w:tab w:pos="1334" w:val="left" w:leader="none"/>
          <w:tab w:pos="2029" w:val="left" w:leader="none"/>
          <w:tab w:pos="2736" w:val="left" w:leader="none"/>
        </w:tabs>
        <w:spacing w:line="133" w:lineRule="exact" w:before="0"/>
        <w:ind w:left="542" w:right="0" w:firstLine="0"/>
        <w:jc w:val="left"/>
        <w:rPr>
          <w:sz w:val="12"/>
        </w:rPr>
      </w:pPr>
      <w:r>
        <w:rPr/>
        <w:pict>
          <v:group style="position:absolute;margin-left:48.571999pt;margin-top:-111.968086pt;width:153.4pt;height:82pt;mso-position-horizontal-relative:page;mso-position-vertical-relative:paragraph;z-index:16299008" coordorigin="971,-2239" coordsize="3068,1640">
            <v:shape style="position:absolute;left:971;top:-1989;width:200;height:2" coordorigin="971,-1988" coordsize="200,0" path="m971,-1988l1051,-1988m1031,-1988l1111,-1988m1091,-1988l1171,-1988e" filled="false" stroked="true" strokeweight="1.125pt" strokecolor="#de8508">
              <v:path arrowok="t"/>
              <v:stroke dashstyle="solid"/>
            </v:shape>
            <v:shape style="position:absolute;left:1161;top:-2065;width:110;height:330" coordorigin="1161,-2064" coordsize="110,330" path="m1161,-1989l1211,-2064m1211,-2064l1271,-1734e" filled="false" stroked="true" strokeweight="1pt" strokecolor="#de8508">
              <v:path arrowok="t"/>
              <v:stroke dashstyle="solid"/>
            </v:shape>
            <v:line style="position:absolute" from="1261,-1733" to="1339,-1733" stroked="true" strokeweight="1.125pt" strokecolor="#de8508">
              <v:stroke dashstyle="solid"/>
            </v:line>
            <v:line style="position:absolute" from="1329,-1734" to="1389,-1659" stroked="true" strokeweight="1pt" strokecolor="#de8508">
              <v:stroke dashstyle="solid"/>
            </v:line>
            <v:shape style="position:absolute;left:1378;top:-1659;width:140;height:2" coordorigin="1379,-1658" coordsize="140,0" path="m1379,-1658l1459,-1658m1439,-1658l1519,-1658e" filled="false" stroked="true" strokeweight="1.125pt" strokecolor="#de8508">
              <v:path arrowok="t"/>
              <v:stroke dashstyle="solid"/>
            </v:shape>
            <v:line style="position:absolute" from="1509,-1659" to="1559,-1584" stroked="true" strokeweight="1pt" strokecolor="#de8508">
              <v:stroke dashstyle="solid"/>
            </v:line>
            <v:line style="position:absolute" from="1549,-1583" to="1629,-1583" stroked="true" strokeweight="1.125pt" strokecolor="#de8508">
              <v:stroke dashstyle="solid"/>
            </v:line>
            <v:shape style="position:absolute;left:1618;top:-1660;width:288;height:570" coordorigin="1619,-1659" coordsize="288,570" path="m1619,-1584l1679,-1659m1679,-1659l1799,-1329m1799,-1329l1859,-1089m1859,-1089l1906,-1179e" filled="false" stroked="true" strokeweight="1pt" strokecolor="#de8508">
              <v:path arrowok="t"/>
              <v:stroke dashstyle="solid"/>
            </v:shape>
            <v:line style="position:absolute" from="1896,-1178" to="1976,-1178" stroked="true" strokeweight="1.125pt" strokecolor="#de8508">
              <v:stroke dashstyle="solid"/>
            </v:line>
            <v:shape style="position:absolute;left:1966;top:-1420;width:408;height:495" coordorigin="1966,-1419" coordsize="408,495" path="m1966,-1179l2026,-1254m2026,-1254l2086,-1419m2086,-1419l2146,-1329m2146,-1329l2206,-1254m2206,-1254l2254,-1329m2254,-1329l2314,-1254m2314,-1254l2374,-924e" filled="false" stroked="true" strokeweight="1pt" strokecolor="#de8508">
              <v:path arrowok="t"/>
              <v:stroke dashstyle="solid"/>
            </v:shape>
            <v:shape style="position:absolute;left:2363;top:-924;width:140;height:2" coordorigin="2364,-923" coordsize="140,0" path="m2364,-923l2444,-923m2424,-923l2504,-923e" filled="false" stroked="true" strokeweight="1.125pt" strokecolor="#de8508">
              <v:path arrowok="t"/>
              <v:stroke dashstyle="solid"/>
            </v:shape>
            <v:shape style="position:absolute;left:2493;top:-1180;width:468;height:495" coordorigin="2494,-1179" coordsize="468,495" path="m2494,-924l2554,-1179m2554,-1179l2614,-1089m2614,-1089l2661,-1179m2661,-1179l2721,-1089m2721,-1089l2781,-924m2781,-924l2901,-774m2901,-774l2961,-684e" filled="false" stroked="true" strokeweight="1pt" strokecolor="#de8508">
              <v:path arrowok="t"/>
              <v:stroke dashstyle="solid"/>
            </v:shape>
            <v:shape style="position:absolute;left:971;top:-2229;width:140;height:2" coordorigin="971,-2228" coordsize="140,0" path="m971,-2228l1051,-2228m1031,-2228l1111,-2228e" filled="false" stroked="true" strokeweight="1.125pt" strokecolor="#008360">
              <v:path arrowok="t"/>
              <v:stroke dashstyle="solid"/>
            </v:shape>
            <v:shape style="position:absolute;left:1101;top:-2230;width:228;height:330" coordorigin="1101,-2229" coordsize="228,330" path="m1101,-2229l1161,-2139m1161,-2139l1211,-1899m1211,-1899l1271,-2064m1271,-2064l1329,-1899e" filled="false" stroked="true" strokeweight="1pt" strokecolor="#008360">
              <v:path arrowok="t"/>
              <v:stroke dashstyle="solid"/>
            </v:shape>
            <v:shape style="position:absolute;left:1318;top:-1899;width:140;height:2" coordorigin="1319,-1898" coordsize="140,0" path="m1319,-1898l1399,-1898m1379,-1898l1459,-1898e" filled="false" stroked="true" strokeweight="1.125pt" strokecolor="#008360">
              <v:path arrowok="t"/>
              <v:stroke dashstyle="solid"/>
            </v:shape>
            <v:shape style="position:absolute;left:1448;top:-2065;width:410;height:810" coordorigin="1449,-2064" coordsize="410,810" path="m1449,-1899l1559,-2064m1559,-2064l1619,-1824m1619,-1824l1679,-1734m1679,-1734l1739,-1584m1739,-1584l1859,-1254e" filled="false" stroked="true" strokeweight="1pt" strokecolor="#008360">
              <v:path arrowok="t"/>
              <v:stroke dashstyle="solid"/>
            </v:shape>
            <v:line style="position:absolute" from="1849,-1253" to="1916,-1253" stroked="true" strokeweight="1.125pt" strokecolor="#008360">
              <v:stroke dashstyle="solid"/>
            </v:line>
            <v:shape style="position:absolute;left:1906;top:-1660;width:120;height:405" coordorigin="1906,-1659" coordsize="120,405" path="m1906,-1254l1966,-1419m1966,-1419l2026,-1659e" filled="false" stroked="true" strokeweight="1pt" strokecolor="#008360">
              <v:path arrowok="t"/>
              <v:stroke dashstyle="solid"/>
            </v:shape>
            <v:line style="position:absolute" from="2016,-1658" to="2096,-1658" stroked="true" strokeweight="1.125pt" strokecolor="#008360">
              <v:stroke dashstyle="solid"/>
            </v:line>
            <v:shape style="position:absolute;left:2086;top:-1660;width:120;height:165" coordorigin="2086,-1659" coordsize="120,165" path="m2086,-1659l2146,-1494m2146,-1494l2206,-1584e" filled="false" stroked="true" strokeweight="1pt" strokecolor="#008360">
              <v:path arrowok="t"/>
              <v:stroke dashstyle="solid"/>
            </v:shape>
            <v:line style="position:absolute" from="2196,-1583" to="2264,-1583" stroked="true" strokeweight="1.125pt" strokecolor="#008360">
              <v:stroke dashstyle="solid"/>
            </v:line>
            <v:shape style="position:absolute;left:2253;top:-1585;width:180;height:330" coordorigin="2254,-1584" coordsize="180,330" path="m2254,-1584l2374,-1254m2374,-1254l2434,-1329e" filled="false" stroked="true" strokeweight="1pt" strokecolor="#008360">
              <v:path arrowok="t"/>
              <v:stroke dashstyle="solid"/>
            </v:shape>
            <v:line style="position:absolute" from="2424,-1328" to="2504,-1328" stroked="true" strokeweight="1.125pt" strokecolor="#008360">
              <v:stroke dashstyle="solid"/>
            </v:line>
            <v:shape style="position:absolute;left:2493;top:-1735;width:408;height:645" coordorigin="2494,-1734" coordsize="408,645" path="m2494,-1329l2554,-1584m2554,-1584l2614,-1734m2614,-1734l2661,-1419m2661,-1419l2781,-1089m2781,-1089l2841,-1254m2841,-1254l2901,-1179e" filled="false" stroked="true" strokeweight="1pt" strokecolor="#008360">
              <v:path arrowok="t"/>
              <v:stroke dashstyle="solid"/>
            </v:shape>
            <v:line style="position:absolute" from="2891,-1178" to="2971,-1178" stroked="true" strokeweight="1.125pt" strokecolor="#008360">
              <v:stroke dashstyle="solid"/>
            </v:line>
            <v:line style="position:absolute" from="2961,-1179" to="3009,-1329" stroked="true" strokeweight="1pt" strokecolor="#008360">
              <v:stroke dashstyle="solid"/>
            </v:line>
            <v:shape style="position:absolute;left:3128;top:-1015;width:348;height:330" coordorigin="3129,-1014" coordsize="348,330" path="m3129,-684l3189,-849m3189,-849l3249,-924m3249,-924l3309,-849m3309,-849l3356,-774m3356,-774l3416,-924m3416,-924l3476,-1014e" filled="false" stroked="true" strokeweight="1pt" strokecolor="#de8508">
              <v:path arrowok="t"/>
              <v:stroke dashstyle="solid"/>
            </v:shape>
            <v:line style="position:absolute" from="3466,-1013" to="3546,-1013" stroked="true" strokeweight="1.125pt" strokecolor="#de8508">
              <v:stroke dashstyle="solid"/>
            </v:line>
            <v:shape style="position:absolute;left:3536;top:-1735;width:348;height:720" coordorigin="3536,-1734" coordsize="348,720" path="m3536,-1014l3596,-1179m3596,-1179l3656,-1254m3656,-1254l3704,-1419m3704,-1419l3764,-1584m3764,-1584l3884,-1734e" filled="false" stroked="true" strokeweight="1pt" strokecolor="#de8508">
              <v:path arrowok="t"/>
              <v:stroke dashstyle="solid"/>
            </v:shape>
            <v:line style="position:absolute" from="2999,-1328" to="3079,-1328" stroked="true" strokeweight="1.125pt" strokecolor="#008360">
              <v:stroke dashstyle="solid"/>
            </v:line>
            <v:shape style="position:absolute;left:3068;top:-1420;width:348;height:330" coordorigin="3069,-1419" coordsize="348,330" path="m3069,-1329l3129,-1254m3129,-1254l3189,-1419m3189,-1419l3309,-1089m3309,-1089l3356,-1179m3356,-1179l3416,-1089e" filled="false" stroked="true" strokeweight="1pt" strokecolor="#008360">
              <v:path arrowok="t"/>
              <v:stroke dashstyle="solid"/>
            </v:shape>
            <v:line style="position:absolute" from="3406,-1088" to="3486,-1088" stroked="true" strokeweight="1.125pt" strokecolor="#008360">
              <v:stroke dashstyle="solid"/>
            </v:line>
            <v:line style="position:absolute" from="3476,-1089" to="3536,-1014" stroked="true" strokeweight="1pt" strokecolor="#008360">
              <v:stroke dashstyle="solid"/>
            </v:line>
            <v:line style="position:absolute" from="3526,-1013" to="3606,-1013" stroked="true" strokeweight="1.125pt" strokecolor="#008360">
              <v:stroke dashstyle="solid"/>
            </v:line>
            <v:shape style="position:absolute;left:3596;top:-1090;width:288;height:480" coordorigin="3596,-1089" coordsize="288,480" path="m3596,-1014l3656,-1089m3656,-1089l3704,-1014m3704,-1014l3764,-684m3764,-684l3824,-849m3824,-849l3884,-609e" filled="false" stroked="true" strokeweight="1pt" strokecolor="#008360">
              <v:path arrowok="t"/>
              <v:stroke dashstyle="solid"/>
            </v:shape>
            <v:shape style="position:absolute;left:3952;top:-2068;width:87;height:1215" coordorigin="3952,-2068" coordsize="87,1215" path="m3952,-2068l4039,-2068m3952,-1663l4039,-1663m3952,-1258l4039,-1258m3952,-853l4039,-853e" filled="false" stroked="true" strokeweight=".5pt" strokecolor="#000000">
              <v:path arrowok="t"/>
              <v:stroke dashstyle="solid"/>
            </v:shape>
            <v:shape style="position:absolute;left:1613;top:-2039;width:830;height:134" type="#_x0000_t202" filled="false" stroked="false">
              <v:textbox inset="0,0,0,0">
                <w:txbxContent>
                  <w:p>
                    <w:pPr>
                      <w:spacing w:line="133" w:lineRule="exact" w:before="0"/>
                      <w:ind w:left="0" w:right="0" w:firstLine="0"/>
                      <w:jc w:val="left"/>
                      <w:rPr>
                        <w:sz w:val="12"/>
                      </w:rPr>
                    </w:pPr>
                    <w:r>
                      <w:rPr>
                        <w:sz w:val="12"/>
                      </w:rPr>
                      <w:t>United Kingdom</w:t>
                    </w:r>
                  </w:p>
                </w:txbxContent>
              </v:textbox>
              <w10:wrap type="none"/>
            </v:shape>
            <v:shape style="position:absolute;left:2428;top:-779;width:731;height:133" type="#_x0000_t202" filled="false" stroked="false">
              <v:textbox inset="0,0,0,0">
                <w:txbxContent>
                  <w:p>
                    <w:pPr>
                      <w:spacing w:line="133" w:lineRule="exact" w:before="0"/>
                      <w:ind w:left="0" w:right="0" w:firstLine="0"/>
                      <w:jc w:val="left"/>
                      <w:rPr>
                        <w:sz w:val="12"/>
                      </w:rPr>
                    </w:pPr>
                    <w:r>
                      <w:rPr>
                        <w:sz w:val="12"/>
                      </w:rPr>
                      <w:t>Euro area  </w:t>
                    </w:r>
                    <w:r>
                      <w:rPr>
                        <w:sz w:val="12"/>
                        <w:u w:val="thick" w:color="DE8508"/>
                      </w:rPr>
                      <w:t>  </w:t>
                    </w:r>
                  </w:p>
                </w:txbxContent>
              </v:textbox>
              <w10:wrap type="none"/>
            </v:shape>
            <w10:wrap type="none"/>
          </v:group>
        </w:pict>
      </w:r>
      <w:r>
        <w:rPr/>
        <w:pict>
          <v:line style="position:absolute;mso-position-horizontal-relative:page;mso-position-vertical-relative:paragraph;z-index:16300544" from="40.654999pt,-62.933086pt" to="44.987999pt,-62.933086pt" stroked="true" strokeweight=".5pt" strokecolor="#000000">
            <v:stroke dashstyle="solid"/>
            <w10:wrap type="none"/>
          </v:line>
        </w:pict>
      </w:r>
      <w:r>
        <w:rPr/>
        <w:pict>
          <v:line style="position:absolute;mso-position-horizontal-relative:page;mso-position-vertical-relative:paragraph;z-index:16301056" from="40.654999pt,-42.694084pt" to="44.987999pt,-42.694084pt" stroked="true" strokeweight=".5pt" strokecolor="#000000">
            <v:stroke dashstyle="solid"/>
            <w10:wrap type="none"/>
          </v:line>
        </w:pict>
      </w:r>
      <w:r>
        <w:rPr>
          <w:sz w:val="12"/>
        </w:rPr>
        <w:t>1996</w:t>
        <w:tab/>
        <w:t>97</w:t>
        <w:tab/>
        <w:t>98</w:t>
        <w:tab/>
      </w:r>
      <w:r>
        <w:rPr>
          <w:spacing w:val="-10"/>
          <w:sz w:val="12"/>
        </w:rPr>
        <w:t>99</w:t>
      </w:r>
    </w:p>
    <w:p>
      <w:pPr>
        <w:spacing w:line="133" w:lineRule="exact" w:before="0"/>
        <w:ind w:left="229" w:right="0" w:firstLine="0"/>
        <w:jc w:val="left"/>
        <w:rPr>
          <w:sz w:val="12"/>
        </w:rPr>
      </w:pPr>
      <w:r>
        <w:rPr/>
        <w:br w:type="column"/>
      </w:r>
      <w:r>
        <w:rPr>
          <w:sz w:val="12"/>
        </w:rPr>
        <w:t>2000</w:t>
      </w:r>
    </w:p>
    <w:p>
      <w:pPr>
        <w:pStyle w:val="Heading6"/>
        <w:spacing w:before="116"/>
        <w:ind w:left="542"/>
      </w:pPr>
      <w:r>
        <w:rPr/>
        <w:br w:type="column"/>
      </w:r>
      <w:r>
        <w:rPr/>
        <w:t>RPIX includes a measure of part of the cost of</w:t>
      </w:r>
    </w:p>
    <w:p>
      <w:pPr>
        <w:spacing w:line="242" w:lineRule="auto" w:before="4"/>
        <w:ind w:left="542" w:right="0" w:firstLine="0"/>
        <w:jc w:val="left"/>
        <w:rPr>
          <w:sz w:val="24"/>
        </w:rPr>
      </w:pPr>
      <w:r>
        <w:rPr>
          <w:sz w:val="24"/>
        </w:rPr>
        <w:t>owner-occupied housing, termed ‘housing depreciation’. This is the notional amount that the owner would need to</w:t>
      </w:r>
    </w:p>
    <w:p>
      <w:pPr>
        <w:spacing w:after="0" w:line="242" w:lineRule="auto"/>
        <w:jc w:val="left"/>
        <w:rPr>
          <w:sz w:val="24"/>
        </w:rPr>
        <w:sectPr>
          <w:type w:val="continuous"/>
          <w:pgSz w:w="11900" w:h="16840"/>
          <w:pgMar w:top="1220" w:bottom="280" w:left="640" w:right="620"/>
          <w:cols w:num="3" w:equalWidth="0">
            <w:col w:w="2857" w:space="40"/>
            <w:col w:w="510" w:space="1010"/>
            <w:col w:w="6223"/>
          </w:cols>
        </w:sectPr>
      </w:pPr>
    </w:p>
    <w:p>
      <w:pPr>
        <w:pStyle w:val="BodyText"/>
        <w:spacing w:before="8" w:after="1"/>
        <w:rPr>
          <w:sz w:val="12"/>
        </w:rPr>
      </w:pPr>
    </w:p>
    <w:p>
      <w:pPr>
        <w:pStyle w:val="BodyText"/>
        <w:spacing w:line="20" w:lineRule="exact"/>
        <w:ind w:left="4918"/>
        <w:rPr>
          <w:sz w:val="2"/>
        </w:rPr>
      </w:pPr>
      <w:r>
        <w:rPr>
          <w:sz w:val="2"/>
        </w:rPr>
        <w:pict>
          <v:group style="width:279.25pt;height:.15pt;mso-position-horizontal-relative:char;mso-position-vertical-relative:line" coordorigin="0,0" coordsize="5585,3">
            <v:line style="position:absolute" from="0,1" to="5585,1" stroked="true" strokeweight=".125pt" strokecolor="#000000">
              <v:stroke dashstyle="solid"/>
            </v:line>
          </v:group>
        </w:pict>
      </w:r>
      <w:r>
        <w:rPr>
          <w:sz w:val="2"/>
        </w:rPr>
      </w:r>
    </w:p>
    <w:p>
      <w:pPr>
        <w:spacing w:line="208" w:lineRule="auto" w:before="47"/>
        <w:ind w:left="5200" w:right="570" w:hanging="240"/>
        <w:jc w:val="left"/>
        <w:rPr>
          <w:sz w:val="16"/>
        </w:rPr>
      </w:pPr>
      <w:r>
        <w:rPr>
          <w:sz w:val="16"/>
        </w:rPr>
        <w:t>(1) For a discussion, see ‘To trim or not to trim? An application of a trimmed mean inflation estimator to the United Kingdom’, Bakhshi, H and</w:t>
      </w:r>
    </w:p>
    <w:p>
      <w:pPr>
        <w:spacing w:line="164" w:lineRule="exact" w:before="0"/>
        <w:ind w:left="5200" w:right="0" w:firstLine="0"/>
        <w:jc w:val="left"/>
        <w:rPr>
          <w:sz w:val="16"/>
        </w:rPr>
      </w:pPr>
      <w:r>
        <w:rPr>
          <w:sz w:val="16"/>
        </w:rPr>
        <w:t>Yates, A, </w:t>
      </w:r>
      <w:r>
        <w:rPr>
          <w:i/>
          <w:sz w:val="16"/>
        </w:rPr>
        <w:t>Bank of England Working Paper</w:t>
      </w:r>
      <w:r>
        <w:rPr>
          <w:sz w:val="16"/>
        </w:rPr>
        <w:t>, No 97, July 1999.</w:t>
      </w:r>
    </w:p>
    <w:p>
      <w:pPr>
        <w:spacing w:after="0" w:line="164" w:lineRule="exact"/>
        <w:jc w:val="left"/>
        <w:rPr>
          <w:sz w:val="16"/>
        </w:rPr>
        <w:sectPr>
          <w:type w:val="continuous"/>
          <w:pgSz w:w="11900" w:h="16840"/>
          <w:pgMar w:top="1220" w:bottom="280" w:left="640" w:right="620"/>
        </w:sectPr>
      </w:pPr>
    </w:p>
    <w:p>
      <w:pPr>
        <w:pStyle w:val="BodyText"/>
        <w:rPr>
          <w:sz w:val="20"/>
        </w:rPr>
      </w:pPr>
    </w:p>
    <w:p>
      <w:pPr>
        <w:spacing w:after="0"/>
        <w:rPr>
          <w:sz w:val="20"/>
        </w:rPr>
        <w:sectPr>
          <w:pgSz w:w="11900" w:h="16840"/>
          <w:pgMar w:header="586" w:footer="597" w:top="780" w:bottom="780" w:left="640" w:right="620"/>
        </w:sectPr>
      </w:pPr>
    </w:p>
    <w:p>
      <w:pPr>
        <w:pStyle w:val="BodyText"/>
        <w:rPr>
          <w:sz w:val="22"/>
        </w:rPr>
      </w:pPr>
    </w:p>
    <w:p>
      <w:pPr>
        <w:pStyle w:val="BodyText"/>
        <w:rPr>
          <w:sz w:val="22"/>
        </w:rPr>
      </w:pPr>
    </w:p>
    <w:p>
      <w:pPr>
        <w:pStyle w:val="BodyText"/>
        <w:spacing w:before="8"/>
        <w:rPr>
          <w:sz w:val="28"/>
        </w:rPr>
      </w:pPr>
    </w:p>
    <w:p>
      <w:pPr>
        <w:spacing w:before="0"/>
        <w:ind w:left="190" w:right="0" w:firstLine="0"/>
        <w:jc w:val="left"/>
        <w:rPr>
          <w:b/>
          <w:sz w:val="20"/>
        </w:rPr>
      </w:pPr>
      <w:bookmarkStart w:name="Summary" w:id="76"/>
      <w:bookmarkEnd w:id="76"/>
      <w:r>
        <w:rPr/>
      </w:r>
      <w:bookmarkStart w:name="_bookmark36" w:id="77"/>
      <w:bookmarkEnd w:id="77"/>
      <w:r>
        <w:rPr/>
      </w:r>
      <w:r>
        <w:rPr>
          <w:b/>
          <w:color w:val="0092C7"/>
          <w:sz w:val="20"/>
        </w:rPr>
        <w:t>Chart 4.15</w:t>
      </w:r>
    </w:p>
    <w:p>
      <w:pPr>
        <w:spacing w:line="249" w:lineRule="auto" w:before="10"/>
        <w:ind w:left="190" w:right="19" w:firstLine="0"/>
        <w:jc w:val="left"/>
        <w:rPr>
          <w:sz w:val="12"/>
        </w:rPr>
      </w:pPr>
      <w:r>
        <w:rPr>
          <w:b/>
          <w:color w:val="0092C7"/>
          <w:sz w:val="20"/>
        </w:rPr>
        <w:t>Reasons for differences between UK HICP and RPIX inflation</w:t>
      </w:r>
      <w:r>
        <w:rPr>
          <w:position w:val="4"/>
          <w:sz w:val="12"/>
        </w:rPr>
        <w:t>(a)(b)</w:t>
      </w:r>
    </w:p>
    <w:p>
      <w:pPr>
        <w:spacing w:line="312" w:lineRule="auto" w:before="60"/>
        <w:ind w:left="400" w:right="2331" w:firstLine="0"/>
        <w:jc w:val="left"/>
        <w:rPr>
          <w:sz w:val="12"/>
        </w:rPr>
      </w:pPr>
      <w:r>
        <w:rPr/>
        <w:pict>
          <v:group style="position:absolute;margin-left:40.917pt;margin-top:2.685746pt;width:8.85pt;height:25.8pt;mso-position-horizontal-relative:page;mso-position-vertical-relative:paragraph;z-index:16311296" coordorigin="818,54" coordsize="177,516">
            <v:shape style="position:absolute;left:818;top:223;width:177;height:347" type="#_x0000_t75" stroked="false">
              <v:imagedata r:id="rId177" o:title=""/>
            </v:shape>
            <v:rect style="position:absolute;left:823;top:58;width:167;height:167" filled="true" fillcolor="#f6d200" stroked="false">
              <v:fill type="solid"/>
            </v:rect>
            <v:rect style="position:absolute;left:823;top:58;width:167;height:167" filled="false" stroked="true" strokeweight=".5pt" strokecolor="#000000">
              <v:stroke dashstyle="solid"/>
            </v:rect>
            <w10:wrap type="none"/>
          </v:group>
        </w:pict>
      </w:r>
      <w:r>
        <w:rPr>
          <w:sz w:val="12"/>
        </w:rPr>
        <w:t>Treatment of housing Use of geometric mean</w:t>
      </w:r>
    </w:p>
    <w:p>
      <w:pPr>
        <w:tabs>
          <w:tab w:pos="2557" w:val="left" w:leader="none"/>
        </w:tabs>
        <w:spacing w:line="169" w:lineRule="exact" w:before="3"/>
        <w:ind w:left="400" w:right="0" w:firstLine="0"/>
        <w:jc w:val="left"/>
        <w:rPr>
          <w:sz w:val="12"/>
        </w:rPr>
      </w:pPr>
      <w:r>
        <w:rPr>
          <w:position w:val="5"/>
          <w:sz w:val="12"/>
        </w:rPr>
        <w:t>Other</w:t>
        <w:tab/>
      </w:r>
      <w:r>
        <w:rPr>
          <w:sz w:val="12"/>
        </w:rPr>
        <w:t>Percentage points</w:t>
      </w:r>
    </w:p>
    <w:p>
      <w:pPr>
        <w:spacing w:line="119" w:lineRule="exact" w:before="0"/>
        <w:ind w:left="3441" w:right="0" w:firstLine="0"/>
        <w:jc w:val="left"/>
        <w:rPr>
          <w:sz w:val="12"/>
        </w:rPr>
      </w:pPr>
      <w:r>
        <w:rPr/>
        <w:pict>
          <v:line style="position:absolute;mso-position-horizontal-relative:page;mso-position-vertical-relative:paragraph;z-index:16306176" from="40.917pt,2.662592pt" to="45.25pt,2.662592pt" stroked="true" strokeweight=".5pt" strokecolor="#000000">
            <v:stroke dashstyle="solid"/>
            <w10:wrap type="none"/>
          </v:line>
        </w:pict>
      </w:r>
      <w:r>
        <w:rPr/>
        <w:pict>
          <v:line style="position:absolute;mso-position-horizontal-relative:page;mso-position-vertical-relative:paragraph;z-index:16310784" from="198.042007pt,2.610592pt" to="202.375007pt,2.610592pt" stroked="true" strokeweight=".5pt" strokecolor="#000000">
            <v:stroke dashstyle="solid"/>
            <w10:wrap type="none"/>
          </v:line>
        </w:pict>
      </w:r>
      <w:r>
        <w:rPr>
          <w:sz w:val="12"/>
        </w:rPr>
        <w:t>1.6</w:t>
      </w:r>
    </w:p>
    <w:p>
      <w:pPr>
        <w:pStyle w:val="BodyText"/>
        <w:rPr>
          <w:sz w:val="12"/>
        </w:rPr>
      </w:pPr>
    </w:p>
    <w:p>
      <w:pPr>
        <w:spacing w:before="83"/>
        <w:ind w:left="0" w:right="273" w:firstLine="0"/>
        <w:jc w:val="right"/>
        <w:rPr>
          <w:sz w:val="12"/>
        </w:rPr>
      </w:pPr>
      <w:r>
        <w:rPr/>
        <w:pict>
          <v:group style="position:absolute;margin-left:49.5pt;margin-top:12.273352pt;width:144.5pt;height:113pt;mso-position-horizontal-relative:page;mso-position-vertical-relative:paragraph;z-index:16302080" coordorigin="990,245" coordsize="2890,2260">
            <v:rect style="position:absolute;left:1050;top:1242;width:130;height:438" filled="true" fillcolor="#be869b" stroked="false">
              <v:fill type="solid"/>
            </v:rect>
            <v:rect style="position:absolute;left:1050;top:1242;width:130;height:438" filled="false" stroked="true" strokeweight=".5pt" strokecolor="#000000">
              <v:stroke dashstyle="solid"/>
            </v:rect>
            <v:rect style="position:absolute;left:1050;top:1677;width:130;height:195" filled="true" fillcolor="#f7b59a" stroked="false">
              <v:fill type="solid"/>
            </v:rect>
            <v:rect style="position:absolute;left:1050;top:1677;width:130;height:195" filled="false" stroked="true" strokeweight=".5pt" strokecolor="#000000">
              <v:stroke dashstyle="solid"/>
            </v:rect>
            <v:rect style="position:absolute;left:1292;top:512;width:130;height:733" filled="true" fillcolor="#be869b" stroked="false">
              <v:fill type="solid"/>
            </v:rect>
            <v:rect style="position:absolute;left:1292;top:512;width:130;height:733" filled="false" stroked="true" strokeweight=".5pt" strokecolor="#000000">
              <v:stroke dashstyle="solid"/>
            </v:rect>
            <v:rect style="position:absolute;left:1292;top:1242;width:130;height:265" filled="true" fillcolor="#f7b59a" stroked="false">
              <v:fill type="solid"/>
            </v:rect>
            <v:rect style="position:absolute;left:1292;top:1242;width:130;height:265" filled="false" stroked="true" strokeweight=".5pt" strokecolor="#000000">
              <v:stroke dashstyle="solid"/>
            </v:rect>
            <v:rect style="position:absolute;left:1535;top:250;width:130;height:995" filled="true" fillcolor="#be869b" stroked="false">
              <v:fill type="solid"/>
            </v:rect>
            <v:rect style="position:absolute;left:1535;top:250;width:130;height:995" filled="false" stroked="true" strokeweight=".5pt" strokecolor="#000000">
              <v:stroke dashstyle="solid"/>
            </v:rect>
            <v:rect style="position:absolute;left:1535;top:1242;width:130;height:350" filled="true" fillcolor="#f7b59a" stroked="false">
              <v:fill type="solid"/>
            </v:rect>
            <v:rect style="position:absolute;left:1535;top:1242;width:130;height:350" filled="false" stroked="true" strokeweight=".5pt" strokecolor="#000000">
              <v:stroke dashstyle="solid"/>
            </v:rect>
            <v:rect style="position:absolute;left:1772;top:1242;width:130;height:88" filled="true" fillcolor="#be869b" stroked="false">
              <v:fill type="solid"/>
            </v:rect>
            <v:rect style="position:absolute;left:1772;top:1242;width:130;height:90" filled="false" stroked="true" strokeweight=".5pt" strokecolor="#000000">
              <v:stroke dashstyle="solid"/>
            </v:rect>
            <v:rect style="position:absolute;left:1772;top:1330;width:130;height:263" filled="true" fillcolor="#f7b59a" stroked="false">
              <v:fill type="solid"/>
            </v:rect>
            <v:rect style="position:absolute;left:1772;top:1330;width:130;height:263" filled="false" stroked="true" strokeweight=".5pt" strokecolor="#000000">
              <v:stroke dashstyle="solid"/>
            </v:rect>
            <v:rect style="position:absolute;left:2007;top:1242;width:133;height:88" filled="true" fillcolor="#be869b" stroked="false">
              <v:fill type="solid"/>
            </v:rect>
            <v:rect style="position:absolute;left:2007;top:1242;width:133;height:90" filled="false" stroked="true" strokeweight=".5pt" strokecolor="#000000">
              <v:stroke dashstyle="solid"/>
            </v:rect>
            <v:rect style="position:absolute;left:2007;top:1330;width:133;height:350" filled="true" fillcolor="#f7b59a" stroked="false">
              <v:fill type="solid"/>
            </v:rect>
            <v:rect style="position:absolute;left:2007;top:1330;width:133;height:350" filled="false" stroked="true" strokeweight=".5pt" strokecolor="#000000">
              <v:stroke dashstyle="solid"/>
            </v:rect>
            <v:rect style="position:absolute;left:2492;top:1140;width:133;height:103" filled="true" fillcolor="#be869b" stroked="false">
              <v:fill type="solid"/>
            </v:rect>
            <v:rect style="position:absolute;left:2492;top:1137;width:133;height:108" filled="false" stroked="true" strokeweight=".5pt" strokecolor="#000000">
              <v:stroke dashstyle="solid"/>
            </v:rect>
            <v:rect style="position:absolute;left:2492;top:1242;width:133;height:350" filled="true" fillcolor="#f7b59a" stroked="false">
              <v:fill type="solid"/>
            </v:rect>
            <v:rect style="position:absolute;left:2492;top:1242;width:133;height:350" filled="false" stroked="true" strokeweight=".5pt" strokecolor="#000000">
              <v:stroke dashstyle="solid"/>
            </v:rect>
            <v:rect style="position:absolute;left:2492;top:1052;width:133;height:88" filled="true" fillcolor="#f6d200" stroked="false">
              <v:fill type="solid"/>
            </v:rect>
            <v:rect style="position:absolute;left:2492;top:1052;width:133;height:88" filled="false" stroked="true" strokeweight=".5pt" strokecolor="#000000">
              <v:stroke dashstyle="solid"/>
            </v:rect>
            <v:rect style="position:absolute;left:2730;top:1242;width:133;height:88" filled="true" fillcolor="#be869b" stroked="false">
              <v:fill type="solid"/>
            </v:rect>
            <v:rect style="position:absolute;left:2730;top:1242;width:133;height:90" filled="false" stroked="true" strokeweight=".5pt" strokecolor="#000000">
              <v:stroke dashstyle="solid"/>
            </v:rect>
            <v:rect style="position:absolute;left:2730;top:1330;width:133;height:350" filled="true" fillcolor="#f7b59a" stroked="false">
              <v:fill type="solid"/>
            </v:rect>
            <v:rect style="position:absolute;left:2730;top:1330;width:133;height:350" filled="false" stroked="true" strokeweight=".5pt" strokecolor="#000000">
              <v:stroke dashstyle="solid"/>
            </v:rect>
            <v:rect style="position:absolute;left:2967;top:1242;width:133;height:265" filled="true" fillcolor="#be869b" stroked="false">
              <v:fill type="solid"/>
            </v:rect>
            <v:rect style="position:absolute;left:2967;top:1242;width:133;height:265" filled="false" stroked="true" strokeweight=".5pt" strokecolor="#000000">
              <v:stroke dashstyle="solid"/>
            </v:rect>
            <v:rect style="position:absolute;left:2967;top:1505;width:133;height:455" filled="true" fillcolor="#f7b59a" stroked="false">
              <v:fill type="solid"/>
            </v:rect>
            <v:rect style="position:absolute;left:2967;top:1505;width:133;height:455" filled="false" stroked="true" strokeweight=".5pt" strokecolor="#000000">
              <v:stroke dashstyle="solid"/>
            </v:rect>
            <v:rect style="position:absolute;left:2967;top:1957;width:133;height:88" filled="true" fillcolor="#f6d200" stroked="false">
              <v:fill type="solid"/>
            </v:rect>
            <v:rect style="position:absolute;left:2967;top:1957;width:133;height:88" filled="false" stroked="true" strokeweight=".5pt" strokecolor="#000000">
              <v:stroke dashstyle="solid"/>
            </v:rect>
            <v:rect style="position:absolute;left:3211;top:1242;width:130;height:350" filled="true" fillcolor="#be869b" stroked="false">
              <v:fill type="solid"/>
            </v:rect>
            <v:rect style="position:absolute;left:3211;top:1242;width:130;height:350" filled="false" stroked="true" strokeweight=".5pt" strokecolor="#000000">
              <v:stroke dashstyle="solid"/>
            </v:rect>
            <v:rect style="position:absolute;left:3211;top:1590;width:130;height:455" filled="true" fillcolor="#f7b59a" stroked="false">
              <v:fill type="solid"/>
            </v:rect>
            <v:rect style="position:absolute;left:3211;top:1590;width:130;height:455" filled="false" stroked="true" strokeweight=".5pt" strokecolor="#000000">
              <v:stroke dashstyle="solid"/>
            </v:rect>
            <v:rect style="position:absolute;left:3211;top:2042;width:130;height:178" filled="true" fillcolor="#f6d200" stroked="false">
              <v:fill type="solid"/>
            </v:rect>
            <v:rect style="position:absolute;left:3211;top:2042;width:130;height:178" filled="false" stroked="true" strokeweight=".5pt" strokecolor="#000000">
              <v:stroke dashstyle="solid"/>
            </v:rect>
            <v:rect style="position:absolute;left:3452;top:1242;width:133;height:88" filled="true" fillcolor="#be869b" stroked="false">
              <v:fill type="solid"/>
            </v:rect>
            <v:rect style="position:absolute;left:3452;top:1242;width:133;height:90" filled="false" stroked="true" strokeweight=".5pt" strokecolor="#000000">
              <v:stroke dashstyle="solid"/>
            </v:rect>
            <v:rect style="position:absolute;left:3452;top:1330;width:133;height:438" filled="true" fillcolor="#f7b59a" stroked="false">
              <v:fill type="solid"/>
            </v:rect>
            <v:rect style="position:absolute;left:3452;top:1330;width:133;height:438" filled="false" stroked="true" strokeweight=".5pt" strokecolor="#000000">
              <v:stroke dashstyle="solid"/>
            </v:rect>
            <v:rect style="position:absolute;left:3452;top:1765;width:133;height:368" filled="true" fillcolor="#f6d200" stroked="false">
              <v:fill type="solid"/>
            </v:rect>
            <v:rect style="position:absolute;left:3452;top:1765;width:133;height:368" filled="false" stroked="true" strokeweight=".5pt" strokecolor="#000000">
              <v:stroke dashstyle="solid"/>
            </v:rect>
            <v:rect style="position:absolute;left:3690;top:1242;width:133;height:175" filled="true" fillcolor="#be869b" stroked="false">
              <v:fill type="solid"/>
            </v:rect>
            <v:rect style="position:absolute;left:3690;top:1242;width:133;height:178" filled="false" stroked="true" strokeweight=".5pt" strokecolor="#000000">
              <v:stroke dashstyle="solid"/>
            </v:rect>
            <v:rect style="position:absolute;left:3690;top:1417;width:133;height:543" filled="true" fillcolor="#f7b59a" stroked="false">
              <v:fill type="solid"/>
            </v:rect>
            <v:rect style="position:absolute;left:3690;top:1417;width:133;height:543" filled="false" stroked="true" strokeweight=".5pt" strokecolor="#000000">
              <v:stroke dashstyle="solid"/>
            </v:rect>
            <v:rect style="position:absolute;left:3690;top:1957;width:133;height:543" filled="true" fillcolor="#f6d200" stroked="false">
              <v:fill type="solid"/>
            </v:rect>
            <v:rect style="position:absolute;left:3690;top:1957;width:133;height:543" filled="false" stroked="true" strokeweight=".5pt" strokecolor="#000000">
              <v:stroke dashstyle="solid"/>
            </v:rect>
            <v:rect style="position:absolute;left:2251;top:1242;width:130;height:350" filled="true" fillcolor="#f7b59a" stroked="false">
              <v:fill type="solid"/>
            </v:rect>
            <v:shape style="position:absolute;left:995;top:1242;width:2880;height:350" coordorigin="995,1243" coordsize="2880,350" path="m2251,1243l2381,1243,2381,1593,2251,1593,2251,1243xm995,1243l3875,1245e" filled="false" stroked="true" strokeweight=".5pt" strokecolor="#000000">
              <v:path arrowok="t"/>
              <v:stroke dashstyle="solid"/>
            </v:shape>
            <w10:wrap type="none"/>
          </v:group>
        </w:pict>
      </w:r>
      <w:r>
        <w:rPr/>
        <w:pict>
          <v:line style="position:absolute;mso-position-horizontal-relative:page;mso-position-vertical-relative:paragraph;z-index:16302592" from="40.917pt,7.724352pt" to="45.25pt,7.724352pt" stroked="true" strokeweight=".5pt" strokecolor="#000000">
            <v:stroke dashstyle="solid"/>
            <w10:wrap type="none"/>
          </v:line>
        </w:pict>
      </w:r>
      <w:r>
        <w:rPr/>
        <w:pict>
          <v:line style="position:absolute;mso-position-horizontal-relative:page;mso-position-vertical-relative:paragraph;z-index:16306688" from="198.042007pt,7.672352pt" to="202.375007pt,7.672352pt" stroked="true" strokeweight=".5pt" strokecolor="#000000">
            <v:stroke dashstyle="solid"/>
            <w10:wrap type="none"/>
          </v:line>
        </w:pict>
      </w:r>
      <w:r>
        <w:rPr>
          <w:sz w:val="12"/>
        </w:rPr>
        <w:t>1.2</w:t>
      </w:r>
    </w:p>
    <w:p>
      <w:pPr>
        <w:pStyle w:val="BodyText"/>
        <w:rPr>
          <w:sz w:val="12"/>
        </w:rPr>
      </w:pPr>
    </w:p>
    <w:p>
      <w:pPr>
        <w:spacing w:before="83"/>
        <w:ind w:left="0" w:right="273" w:firstLine="0"/>
        <w:jc w:val="right"/>
        <w:rPr>
          <w:sz w:val="12"/>
        </w:rPr>
      </w:pPr>
      <w:r>
        <w:rPr/>
        <w:pict>
          <v:line style="position:absolute;mso-position-horizontal-relative:page;mso-position-vertical-relative:paragraph;z-index:16303104" from="40.917pt,7.70573pt" to="45.25pt,7.70573pt" stroked="true" strokeweight=".5pt" strokecolor="#000000">
            <v:stroke dashstyle="solid"/>
            <w10:wrap type="none"/>
          </v:line>
        </w:pict>
      </w:r>
      <w:r>
        <w:rPr/>
        <w:pict>
          <v:line style="position:absolute;mso-position-horizontal-relative:page;mso-position-vertical-relative:paragraph;z-index:16307200" from="198.042007pt,7.65373pt" to="202.375007pt,7.65373pt" stroked="true" strokeweight=".5pt" strokecolor="#000000">
            <v:stroke dashstyle="solid"/>
            <w10:wrap type="none"/>
          </v:line>
        </w:pict>
      </w:r>
      <w:r>
        <w:rPr>
          <w:sz w:val="12"/>
        </w:rPr>
        <w:t>0.8</w:t>
      </w:r>
    </w:p>
    <w:p>
      <w:pPr>
        <w:pStyle w:val="BodyText"/>
        <w:rPr>
          <w:sz w:val="12"/>
        </w:rPr>
      </w:pPr>
    </w:p>
    <w:p>
      <w:pPr>
        <w:spacing w:before="83"/>
        <w:ind w:left="0" w:right="273" w:firstLine="0"/>
        <w:jc w:val="right"/>
        <w:rPr>
          <w:sz w:val="12"/>
        </w:rPr>
      </w:pPr>
      <w:r>
        <w:rPr/>
        <w:pict>
          <v:line style="position:absolute;mso-position-horizontal-relative:page;mso-position-vertical-relative:paragraph;z-index:16303616" from="40.917pt,7.687108pt" to="45.25pt,7.687108pt" stroked="true" strokeweight=".5pt" strokecolor="#000000">
            <v:stroke dashstyle="solid"/>
            <w10:wrap type="none"/>
          </v:line>
        </w:pict>
      </w:r>
      <w:r>
        <w:rPr/>
        <w:pict>
          <v:line style="position:absolute;mso-position-horizontal-relative:page;mso-position-vertical-relative:paragraph;z-index:16307712" from="198.042007pt,7.635108pt" to="202.375007pt,7.635108pt" stroked="true" strokeweight=".5pt" strokecolor="#000000">
            <v:stroke dashstyle="solid"/>
            <w10:wrap type="none"/>
          </v:line>
        </w:pict>
      </w:r>
      <w:r>
        <w:rPr>
          <w:sz w:val="12"/>
        </w:rPr>
        <w:t>0.4</w:t>
      </w:r>
    </w:p>
    <w:p>
      <w:pPr>
        <w:spacing w:before="25"/>
        <w:ind w:left="3367" w:right="0" w:firstLine="0"/>
        <w:jc w:val="left"/>
        <w:rPr>
          <w:sz w:val="16"/>
        </w:rPr>
      </w:pPr>
      <w:r>
        <w:rPr>
          <w:w w:val="100"/>
          <w:sz w:val="16"/>
        </w:rPr>
        <w:t>+</w:t>
      </w:r>
    </w:p>
    <w:p>
      <w:pPr>
        <w:spacing w:before="11"/>
        <w:ind w:left="3396" w:right="0" w:firstLine="0"/>
        <w:jc w:val="left"/>
        <w:rPr>
          <w:sz w:val="12"/>
        </w:rPr>
      </w:pPr>
      <w:r>
        <w:rPr/>
        <w:pict>
          <v:line style="position:absolute;mso-position-horizontal-relative:page;mso-position-vertical-relative:paragraph;z-index:16304128" from="40.917pt,4.860547pt" to="45.25pt,4.860547pt" stroked="true" strokeweight=".5pt" strokecolor="#000000">
            <v:stroke dashstyle="solid"/>
            <w10:wrap type="none"/>
          </v:line>
        </w:pict>
      </w:r>
      <w:r>
        <w:rPr/>
        <w:pict>
          <v:line style="position:absolute;mso-position-horizontal-relative:page;mso-position-vertical-relative:paragraph;z-index:16308224" from="198.042007pt,4.860547pt" to="202.375007pt,4.860547pt" stroked="true" strokeweight=".5pt" strokecolor="#000000">
            <v:stroke dashstyle="solid"/>
            <w10:wrap type="none"/>
          </v:line>
        </w:pict>
      </w:r>
      <w:r>
        <w:rPr>
          <w:spacing w:val="-9"/>
          <w:position w:val="-7"/>
          <w:sz w:val="16"/>
        </w:rPr>
        <w:t>_</w:t>
      </w:r>
      <w:r>
        <w:rPr>
          <w:spacing w:val="-9"/>
          <w:sz w:val="12"/>
        </w:rPr>
        <w:t>0.0</w:t>
      </w:r>
    </w:p>
    <w:p>
      <w:pPr>
        <w:spacing w:before="132"/>
        <w:ind w:left="0" w:right="273" w:firstLine="0"/>
        <w:jc w:val="right"/>
        <w:rPr>
          <w:sz w:val="12"/>
        </w:rPr>
      </w:pPr>
      <w:r>
        <w:rPr/>
        <w:pict>
          <v:line style="position:absolute;mso-position-horizontal-relative:page;mso-position-vertical-relative:paragraph;z-index:16304640" from="40.917pt,10.100924pt" to="45.25pt,10.100924pt" stroked="true" strokeweight=".5pt" strokecolor="#000000">
            <v:stroke dashstyle="solid"/>
            <w10:wrap type="none"/>
          </v:line>
        </w:pict>
      </w:r>
      <w:r>
        <w:rPr/>
        <w:pict>
          <v:line style="position:absolute;mso-position-horizontal-relative:page;mso-position-vertical-relative:paragraph;z-index:16308736" from="198.042007pt,10.048924pt" to="202.375007pt,10.048924pt" stroked="true" strokeweight=".5pt" strokecolor="#000000">
            <v:stroke dashstyle="solid"/>
            <w10:wrap type="none"/>
          </v:line>
        </w:pict>
      </w:r>
      <w:r>
        <w:rPr>
          <w:sz w:val="12"/>
        </w:rPr>
        <w:t>0.4</w:t>
      </w:r>
    </w:p>
    <w:p>
      <w:pPr>
        <w:pStyle w:val="BodyText"/>
        <w:rPr>
          <w:sz w:val="12"/>
        </w:rPr>
      </w:pPr>
    </w:p>
    <w:p>
      <w:pPr>
        <w:spacing w:before="83"/>
        <w:ind w:left="0" w:right="273" w:firstLine="0"/>
        <w:jc w:val="right"/>
        <w:rPr>
          <w:sz w:val="12"/>
        </w:rPr>
      </w:pPr>
      <w:r>
        <w:rPr/>
        <w:pict>
          <v:line style="position:absolute;mso-position-horizontal-relative:page;mso-position-vertical-relative:paragraph;z-index:16305664" from="40.917pt,7.632303pt" to="45.25pt,7.632303pt" stroked="true" strokeweight=".5pt" strokecolor="#000000">
            <v:stroke dashstyle="solid"/>
            <w10:wrap type="none"/>
          </v:line>
        </w:pict>
      </w:r>
      <w:r>
        <w:rPr/>
        <w:pict>
          <v:line style="position:absolute;mso-position-horizontal-relative:page;mso-position-vertical-relative:paragraph;z-index:16309760" from="198.042007pt,7.580303pt" to="202.375007pt,7.580303pt" stroked="true" strokeweight=".5pt" strokecolor="#000000">
            <v:stroke dashstyle="solid"/>
            <w10:wrap type="none"/>
          </v:line>
        </w:pict>
      </w:r>
      <w:r>
        <w:rPr>
          <w:sz w:val="12"/>
        </w:rPr>
        <w:t>0.8</w:t>
      </w:r>
    </w:p>
    <w:p>
      <w:pPr>
        <w:pStyle w:val="BodyText"/>
        <w:rPr>
          <w:sz w:val="12"/>
        </w:rPr>
      </w:pPr>
    </w:p>
    <w:p>
      <w:pPr>
        <w:spacing w:before="83"/>
        <w:ind w:left="0" w:right="273" w:firstLine="0"/>
        <w:jc w:val="right"/>
        <w:rPr>
          <w:sz w:val="12"/>
        </w:rPr>
      </w:pPr>
      <w:r>
        <w:rPr/>
        <w:pict>
          <v:line style="position:absolute;mso-position-horizontal-relative:page;mso-position-vertical-relative:paragraph;z-index:16305152" from="40.917pt,7.613742pt" to="45.25pt,7.613742pt" stroked="true" strokeweight=".5pt" strokecolor="#000000">
            <v:stroke dashstyle="solid"/>
            <w10:wrap type="none"/>
          </v:line>
        </w:pict>
      </w:r>
      <w:r>
        <w:rPr/>
        <w:pict>
          <v:line style="position:absolute;mso-position-horizontal-relative:page;mso-position-vertical-relative:paragraph;z-index:16309248" from="198.042007pt,7.561742pt" to="202.375007pt,7.561742pt" stroked="true" strokeweight=".5pt" strokecolor="#000000">
            <v:stroke dashstyle="solid"/>
            <w10:wrap type="none"/>
          </v:line>
        </w:pict>
      </w:r>
      <w:r>
        <w:rPr>
          <w:sz w:val="12"/>
        </w:rPr>
        <w:t>1.2</w:t>
      </w:r>
    </w:p>
    <w:p>
      <w:pPr>
        <w:pStyle w:val="Heading6"/>
        <w:spacing w:line="242" w:lineRule="auto" w:before="227"/>
        <w:ind w:left="190" w:right="434"/>
      </w:pPr>
      <w:r>
        <w:rPr/>
        <w:br w:type="column"/>
      </w:r>
      <w:r>
        <w:rPr/>
        <w:t>set aside on a regular basis to maintain their house at a constant quality, and hence provide a constant flow of housing services. It is calculated using an index of house prices. HICP does not currently include an</w:t>
      </w:r>
    </w:p>
    <w:p>
      <w:pPr>
        <w:spacing w:line="242" w:lineRule="auto" w:before="5"/>
        <w:ind w:left="190" w:right="215" w:firstLine="0"/>
        <w:jc w:val="both"/>
        <w:rPr>
          <w:sz w:val="24"/>
        </w:rPr>
      </w:pPr>
      <w:r>
        <w:rPr>
          <w:sz w:val="24"/>
        </w:rPr>
        <w:t>owner-occupied housing component. So the recent rapid rise in house prices has been a factor causing divergence between the two measures of consumer price inflation in the United Kingdom (see Chart 4.15).</w:t>
      </w:r>
    </w:p>
    <w:p>
      <w:pPr>
        <w:pStyle w:val="BodyText"/>
        <w:spacing w:before="9"/>
        <w:rPr>
          <w:sz w:val="24"/>
        </w:rPr>
      </w:pPr>
    </w:p>
    <w:p>
      <w:pPr>
        <w:spacing w:line="242" w:lineRule="auto" w:before="0"/>
        <w:ind w:left="190" w:right="341" w:firstLine="0"/>
        <w:jc w:val="left"/>
        <w:rPr>
          <w:sz w:val="24"/>
        </w:rPr>
      </w:pPr>
      <w:r>
        <w:rPr>
          <w:sz w:val="24"/>
        </w:rPr>
        <w:t>RPIX uses an arithmetic mean to average prices at the lowest level of aggregation, whereas the HICP uses a geometric mean. Using a geometric mean results in a lower measure of aggregate inflation because when relative prices change, the geometric method gives more weight to goods and services whose relative price has fallen, whereas the arithmetic method has fixed weights. The contribution of different weighting</w:t>
      </w:r>
    </w:p>
    <w:p>
      <w:pPr>
        <w:spacing w:after="0" w:line="242" w:lineRule="auto"/>
        <w:jc w:val="left"/>
        <w:rPr>
          <w:sz w:val="24"/>
        </w:rPr>
        <w:sectPr>
          <w:type w:val="continuous"/>
          <w:pgSz w:w="11900" w:h="16840"/>
          <w:pgMar w:top="1220" w:bottom="280" w:left="640" w:right="620"/>
          <w:cols w:num="2" w:equalWidth="0">
            <w:col w:w="3868" w:space="896"/>
            <w:col w:w="5876"/>
          </w:cols>
        </w:sectPr>
      </w:pPr>
    </w:p>
    <w:p>
      <w:pPr>
        <w:pStyle w:val="BodyText"/>
        <w:spacing w:before="4"/>
        <w:rPr>
          <w:sz w:val="7"/>
        </w:rPr>
      </w:pPr>
    </w:p>
    <w:p>
      <w:pPr>
        <w:pStyle w:val="BodyText"/>
        <w:spacing w:line="20" w:lineRule="exact"/>
        <w:ind w:left="173"/>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tabs>
          <w:tab w:pos="912" w:val="left" w:leader="none"/>
          <w:tab w:pos="1387" w:val="left" w:leader="none"/>
          <w:tab w:pos="1872" w:val="left" w:leader="none"/>
          <w:tab w:pos="2344" w:val="left" w:leader="none"/>
          <w:tab w:pos="2829" w:val="left" w:leader="none"/>
        </w:tabs>
        <w:spacing w:before="10"/>
        <w:ind w:left="345" w:right="0" w:firstLine="0"/>
        <w:jc w:val="left"/>
        <w:rPr>
          <w:sz w:val="12"/>
        </w:rPr>
      </w:pPr>
      <w:r>
        <w:rPr/>
        <w:pict>
          <v:line style="position:absolute;mso-position-horizontal-relative:page;mso-position-vertical-relative:paragraph;z-index:16310272" from="198.042007pt,-.815437pt" to="202.375007pt,-.815437pt" stroked="true" strokeweight=".5pt" strokecolor="#000000">
            <v:stroke dashstyle="solid"/>
            <w10:wrap type="none"/>
          </v:line>
        </w:pict>
      </w:r>
      <w:r>
        <w:rPr/>
        <w:pict>
          <v:shape style="position:absolute;margin-left:49.792pt;margin-top:-4.138437pt;width:144.050pt;height:3.4pt;mso-position-horizontal-relative:page;mso-position-vertical-relative:paragraph;z-index:16311808" coordorigin="996,-83" coordsize="2881,68" path="m998,-16l3877,-16m996,-83l996,-16m1236,-83l1236,-16m1716,-83l1716,-16m2196,-83l2196,-16m2676,-83l2676,-16m2916,-83l2916,-16m3397,-83l3397,-16m3877,-83l3877,-16m3157,-83l3157,-16m3637,-83l3637,-16m1476,-83l1476,-16m1956,-83l1956,-16m2436,-83l2436,-16e" filled="false" stroked="true" strokeweight=".5pt" strokecolor="#000000">
            <v:path arrowok="t"/>
            <v:stroke dashstyle="solid"/>
            <w10:wrap type="none"/>
          </v:shape>
        </w:pict>
      </w:r>
      <w:r>
        <w:rPr>
          <w:sz w:val="12"/>
        </w:rPr>
        <w:t>1989</w:t>
        <w:tab/>
        <w:t>91</w:t>
        <w:tab/>
        <w:t>93</w:t>
        <w:tab/>
        <w:t>95</w:t>
        <w:tab/>
        <w:t>97</w:t>
        <w:tab/>
        <w:t>99</w:t>
      </w:r>
    </w:p>
    <w:p>
      <w:pPr>
        <w:spacing w:line="125" w:lineRule="exact" w:before="91"/>
        <w:ind w:left="190" w:right="0" w:firstLine="0"/>
        <w:jc w:val="left"/>
        <w:rPr>
          <w:sz w:val="12"/>
        </w:rPr>
      </w:pPr>
      <w:r>
        <w:rPr>
          <w:sz w:val="12"/>
        </w:rPr>
        <w:t>(a) The figure for 2000 relates to March.</w:t>
      </w:r>
    </w:p>
    <w:p>
      <w:pPr>
        <w:spacing w:before="20"/>
        <w:ind w:left="190" w:right="0" w:firstLine="0"/>
        <w:jc w:val="left"/>
        <w:rPr>
          <w:sz w:val="12"/>
        </w:rPr>
      </w:pPr>
      <w:r>
        <w:rPr/>
        <w:br w:type="column"/>
      </w:r>
      <w:r>
        <w:rPr>
          <w:sz w:val="12"/>
        </w:rPr>
        <w:t>1.6</w:t>
      </w:r>
    </w:p>
    <w:p>
      <w:pPr>
        <w:pStyle w:val="Heading6"/>
        <w:spacing w:line="280" w:lineRule="atLeast" w:before="6"/>
        <w:ind w:left="190" w:right="252"/>
      </w:pPr>
      <w:r>
        <w:rPr/>
        <w:br w:type="column"/>
      </w:r>
      <w:r>
        <w:rPr/>
        <w:t>procedures to the gap between RPIX and HICP inflation has tended to rise over the past ten years: it reached</w:t>
      </w:r>
    </w:p>
    <w:p>
      <w:pPr>
        <w:spacing w:after="0" w:line="280" w:lineRule="atLeast"/>
        <w:sectPr>
          <w:type w:val="continuous"/>
          <w:pgSz w:w="11900" w:h="16840"/>
          <w:pgMar w:top="1220" w:bottom="280" w:left="640" w:right="620"/>
          <w:cols w:num="3" w:equalWidth="0">
            <w:col w:w="2991" w:space="261"/>
            <w:col w:w="381" w:space="1132"/>
            <w:col w:w="5875"/>
          </w:cols>
        </w:sectPr>
      </w:pPr>
    </w:p>
    <w:p>
      <w:pPr>
        <w:pStyle w:val="ListParagraph"/>
        <w:numPr>
          <w:ilvl w:val="0"/>
          <w:numId w:val="37"/>
        </w:numPr>
        <w:tabs>
          <w:tab w:pos="431" w:val="left" w:leader="none"/>
        </w:tabs>
        <w:spacing w:line="27" w:lineRule="exact" w:before="0" w:after="0"/>
        <w:ind w:left="430" w:right="0" w:hanging="241"/>
        <w:jc w:val="left"/>
        <w:rPr>
          <w:sz w:val="12"/>
        </w:rPr>
      </w:pPr>
      <w:r>
        <w:rPr>
          <w:sz w:val="12"/>
        </w:rPr>
        <w:t>The official UK HICP index starts in 1996. The chart is based</w:t>
      </w:r>
      <w:r>
        <w:rPr>
          <w:spacing w:val="-13"/>
          <w:sz w:val="12"/>
        </w:rPr>
        <w:t> </w:t>
      </w:r>
      <w:r>
        <w:rPr>
          <w:sz w:val="12"/>
        </w:rPr>
        <w:t>on</w:t>
      </w:r>
    </w:p>
    <w:p>
      <w:pPr>
        <w:spacing w:line="208" w:lineRule="auto" w:before="5"/>
        <w:ind w:left="430" w:right="36" w:firstLine="0"/>
        <w:jc w:val="left"/>
        <w:rPr>
          <w:sz w:val="12"/>
        </w:rPr>
      </w:pPr>
      <w:r>
        <w:rPr>
          <w:sz w:val="12"/>
        </w:rPr>
        <w:t>analysis by the ONS contained in ‘Harmonised index of consumer prices: historical estimates’, O’Donoghue, J, </w:t>
      </w:r>
      <w:r>
        <w:rPr>
          <w:i/>
          <w:sz w:val="12"/>
        </w:rPr>
        <w:t>Economic Trends</w:t>
      </w:r>
      <w:r>
        <w:rPr>
          <w:sz w:val="12"/>
        </w:rPr>
        <w:t>, No 541 December 1998.</w:t>
      </w:r>
    </w:p>
    <w:p>
      <w:pPr>
        <w:pStyle w:val="Heading6"/>
        <w:spacing w:line="242" w:lineRule="auto" w:before="4"/>
        <w:ind w:left="190" w:right="154"/>
      </w:pPr>
      <w:r>
        <w:rPr/>
        <w:br w:type="column"/>
      </w:r>
      <w:r>
        <w:rPr/>
        <w:t>0.6 percentage points in March, double its level ten years ago. The reasons for this are not wholly clear, but it may be due to increasing dispersion of prices within components of the index.</w:t>
      </w:r>
    </w:p>
    <w:p>
      <w:pPr>
        <w:spacing w:after="0" w:line="242" w:lineRule="auto"/>
        <w:sectPr>
          <w:type w:val="continuous"/>
          <w:pgSz w:w="11900" w:h="16840"/>
          <w:pgMar w:top="1220" w:bottom="280" w:left="640" w:right="620"/>
          <w:cols w:num="2" w:equalWidth="0">
            <w:col w:w="3653" w:space="1112"/>
            <w:col w:w="5875"/>
          </w:cols>
        </w:sectPr>
      </w:pPr>
    </w:p>
    <w:p>
      <w:pPr>
        <w:pStyle w:val="BodyText"/>
        <w:spacing w:before="10"/>
        <w:rPr>
          <w:sz w:val="20"/>
        </w:rPr>
      </w:pPr>
    </w:p>
    <w:p>
      <w:pPr>
        <w:tabs>
          <w:tab w:pos="9052" w:val="left" w:leader="none"/>
          <w:tab w:pos="10499" w:val="left" w:leader="none"/>
        </w:tabs>
        <w:spacing w:before="88"/>
        <w:ind w:left="4954" w:right="0" w:firstLine="0"/>
        <w:jc w:val="left"/>
        <w:rPr>
          <w:b/>
          <w:sz w:val="28"/>
        </w:rPr>
      </w:pPr>
      <w:r>
        <w:rPr>
          <w:b/>
          <w:color w:val="009391"/>
          <w:sz w:val="28"/>
          <w:u w:val="thick" w:color="0092C7"/>
        </w:rPr>
        <w:t>4.7</w:t>
        <w:tab/>
        <w:t>Summary</w:t>
        <w:tab/>
      </w:r>
    </w:p>
    <w:p>
      <w:pPr>
        <w:pStyle w:val="BodyText"/>
        <w:spacing w:before="11"/>
        <w:rPr>
          <w:b/>
          <w:sz w:val="23"/>
        </w:rPr>
      </w:pPr>
    </w:p>
    <w:p>
      <w:pPr>
        <w:spacing w:line="242" w:lineRule="auto" w:before="0"/>
        <w:ind w:left="4954" w:right="141" w:firstLine="0"/>
        <w:jc w:val="left"/>
        <w:rPr>
          <w:sz w:val="24"/>
        </w:rPr>
      </w:pPr>
      <w:r>
        <w:rPr>
          <w:sz w:val="24"/>
        </w:rPr>
        <w:t>In 2000 Q1 world commodity prices rose by more than expected at the time of the February </w:t>
      </w:r>
      <w:r>
        <w:rPr>
          <w:i/>
          <w:sz w:val="24"/>
        </w:rPr>
        <w:t>Report</w:t>
      </w:r>
      <w:r>
        <w:rPr>
          <w:sz w:val="24"/>
        </w:rPr>
        <w:t>. That has put further upward pressure on UK manufacturers’ input prices, and manufacturers’ unit labour costs are no longer falling. But manufacturers’ output price inflation has remained subdued and the CBI industrial trends survey shows an increasing net balance of firms that expect to cut prices. That is likely in part to reflect competition from cheaper imports, which has added to downward pressure on manufacturers’ margins. The appreciation of sterling has contributed to the growing divergence between retail goods and services price inflation. Retail goods price inflation has fallen below zero. But surveys suggest that corporate services price inflation has picked up and retail services price inflation has also increased.</w:t>
      </w:r>
    </w:p>
    <w:p>
      <w:pPr>
        <w:spacing w:line="242" w:lineRule="auto" w:before="19"/>
        <w:ind w:left="4954" w:right="190" w:firstLine="0"/>
        <w:jc w:val="left"/>
        <w:rPr>
          <w:sz w:val="24"/>
        </w:rPr>
      </w:pPr>
      <w:r>
        <w:rPr>
          <w:sz w:val="24"/>
        </w:rPr>
        <w:t>In contrast to the manufacturing sector, a recent survey by the Bank’s regional Agents suggests that margins in the non-retail services sector are increasing. Measures of domestically generated inflation have fallen somewhat, but are around 3%. In aggregate, as expected, inflation has remained below the Government’s 2</w:t>
      </w:r>
      <w:r>
        <w:rPr>
          <w:position w:val="8"/>
          <w:sz w:val="12"/>
        </w:rPr>
        <w:t>1</w:t>
      </w:r>
      <w:r>
        <w:rPr>
          <w:sz w:val="24"/>
        </w:rPr>
        <w:t>/</w:t>
      </w:r>
      <w:r>
        <w:rPr>
          <w:sz w:val="12"/>
        </w:rPr>
        <w:t>2</w:t>
      </w:r>
      <w:r>
        <w:rPr>
          <w:sz w:val="24"/>
        </w:rPr>
        <w:t>% target since the February </w:t>
      </w:r>
      <w:r>
        <w:rPr>
          <w:i/>
          <w:sz w:val="24"/>
        </w:rPr>
        <w:t>Report</w:t>
      </w:r>
      <w:r>
        <w:rPr>
          <w:sz w:val="24"/>
        </w:rPr>
        <w:t>.</w:t>
      </w:r>
    </w:p>
    <w:p>
      <w:pPr>
        <w:spacing w:after="0" w:line="242" w:lineRule="auto"/>
        <w:jc w:val="left"/>
        <w:rPr>
          <w:sz w:val="24"/>
        </w:rPr>
        <w:sectPr>
          <w:type w:val="continuous"/>
          <w:pgSz w:w="11900" w:h="16840"/>
          <w:pgMar w:top="1220" w:bottom="280" w:left="640" w:right="620"/>
        </w:sectPr>
      </w:pPr>
    </w:p>
    <w:p>
      <w:pPr>
        <w:pStyle w:val="BodyText"/>
        <w:spacing w:line="20" w:lineRule="exact"/>
        <w:ind w:left="13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pStyle w:val="BodyText"/>
        <w:spacing w:before="9"/>
      </w:pPr>
      <w:r>
        <w:rPr/>
        <w:pict>
          <v:shape style="position:absolute;margin-left:40.090pt;margin-top:12.000977pt;width:516pt;height:48pt;mso-position-horizontal-relative:page;mso-position-vertical-relative:paragraph;z-index:-15144448;mso-wrap-distance-left:0;mso-wrap-distance-right:0" type="#_x0000_t202" filled="true" fillcolor="#cee2e0" stroked="false">
            <v:textbox inset="0,0,0,0">
              <w:txbxContent>
                <w:p>
                  <w:pPr>
                    <w:tabs>
                      <w:tab w:pos="9739" w:val="left" w:leader="none"/>
                    </w:tabs>
                    <w:spacing w:before="51"/>
                    <w:ind w:left="260" w:right="0" w:firstLine="0"/>
                    <w:jc w:val="left"/>
                    <w:rPr>
                      <w:b/>
                      <w:sz w:val="72"/>
                    </w:rPr>
                  </w:pPr>
                  <w:bookmarkStart w:name="Monetary policy since the February Repor" w:id="78"/>
                  <w:bookmarkEnd w:id="78"/>
                  <w:r>
                    <w:rPr/>
                  </w:r>
                  <w:bookmarkStart w:name="_bookmark37" w:id="79"/>
                  <w:bookmarkEnd w:id="79"/>
                  <w:r>
                    <w:rPr/>
                  </w:r>
                  <w:r>
                    <w:rPr>
                      <w:b/>
                      <w:color w:val="009391"/>
                      <w:sz w:val="48"/>
                    </w:rPr>
                    <w:t>Monetary policy since the</w:t>
                  </w:r>
                  <w:r>
                    <w:rPr>
                      <w:b/>
                      <w:color w:val="009391"/>
                      <w:spacing w:val="-9"/>
                      <w:sz w:val="48"/>
                    </w:rPr>
                    <w:t> </w:t>
                  </w:r>
                  <w:r>
                    <w:rPr>
                      <w:b/>
                      <w:color w:val="009391"/>
                      <w:spacing w:val="-3"/>
                      <w:sz w:val="48"/>
                    </w:rPr>
                    <w:t>February </w:t>
                  </w:r>
                  <w:r>
                    <w:rPr>
                      <w:b/>
                      <w:i/>
                      <w:color w:val="009391"/>
                      <w:sz w:val="48"/>
                    </w:rPr>
                    <w:t>Report</w:t>
                    <w:tab/>
                  </w:r>
                  <w:r>
                    <w:rPr>
                      <w:b/>
                      <w:color w:val="009391"/>
                      <w:sz w:val="72"/>
                    </w:rPr>
                    <w:t>5</w:t>
                  </w:r>
                </w:p>
              </w:txbxContent>
            </v:textbox>
            <v:fill type="solid"/>
            <w10:wrap type="topAndBottom"/>
          </v:shape>
        </w:pict>
      </w:r>
    </w:p>
    <w:p>
      <w:pPr>
        <w:pStyle w:val="BodyText"/>
        <w:rPr>
          <w:sz w:val="20"/>
        </w:rPr>
      </w:pPr>
    </w:p>
    <w:p>
      <w:pPr>
        <w:pStyle w:val="BodyText"/>
        <w:rPr>
          <w:sz w:val="20"/>
        </w:rPr>
      </w:pPr>
    </w:p>
    <w:p>
      <w:pPr>
        <w:spacing w:line="242" w:lineRule="auto" w:before="218"/>
        <w:ind w:left="4960" w:right="181" w:firstLine="0"/>
        <w:jc w:val="left"/>
        <w:rPr>
          <w:sz w:val="24"/>
        </w:rPr>
      </w:pPr>
      <w:r>
        <w:rPr>
          <w:sz w:val="24"/>
        </w:rPr>
        <w:t>This section summarises the economic developments </w:t>
      </w:r>
      <w:r>
        <w:rPr>
          <w:spacing w:val="-6"/>
          <w:sz w:val="24"/>
        </w:rPr>
        <w:t>and </w:t>
      </w:r>
      <w:r>
        <w:rPr>
          <w:sz w:val="24"/>
        </w:rPr>
        <w:t>monetary policy decisions taken by the MPC since the February </w:t>
      </w:r>
      <w:r>
        <w:rPr>
          <w:i/>
          <w:sz w:val="24"/>
        </w:rPr>
        <w:t>Report</w:t>
      </w:r>
      <w:r>
        <w:rPr>
          <w:sz w:val="24"/>
        </w:rPr>
        <w:t>. The minutes of the</w:t>
      </w:r>
      <w:hyperlink w:history="true" w:anchor="_bookmark48">
        <w:r>
          <w:rPr>
            <w:sz w:val="24"/>
          </w:rPr>
          <w:t> </w:t>
        </w:r>
        <w:r>
          <w:rPr>
            <w:spacing w:val="-3"/>
            <w:sz w:val="24"/>
          </w:rPr>
          <w:t>February,</w:t>
        </w:r>
      </w:hyperlink>
      <w:r>
        <w:rPr>
          <w:spacing w:val="-3"/>
          <w:sz w:val="24"/>
        </w:rPr>
        <w:t> </w:t>
      </w:r>
      <w:hyperlink w:history="true" w:anchor="_bookmark50">
        <w:r>
          <w:rPr>
            <w:sz w:val="24"/>
          </w:rPr>
          <w:t>March</w:t>
        </w:r>
      </w:hyperlink>
      <w:r>
        <w:rPr>
          <w:sz w:val="24"/>
        </w:rPr>
        <w:t> and </w:t>
      </w:r>
      <w:hyperlink w:history="true" w:anchor="_bookmark53">
        <w:r>
          <w:rPr>
            <w:sz w:val="24"/>
          </w:rPr>
          <w:t>April</w:t>
        </w:r>
      </w:hyperlink>
      <w:r>
        <w:rPr>
          <w:sz w:val="24"/>
        </w:rPr>
        <w:t> meetings are attached as an Annex to this </w:t>
      </w:r>
      <w:r>
        <w:rPr>
          <w:i/>
          <w:sz w:val="24"/>
        </w:rPr>
        <w:t>Report</w:t>
      </w:r>
      <w:r>
        <w:rPr>
          <w:sz w:val="24"/>
        </w:rPr>
        <w:t>.  The Bank of England’s repo rate was maintained at 6% in March, April and </w:t>
      </w:r>
      <w:r>
        <w:rPr>
          <w:spacing w:val="-4"/>
          <w:sz w:val="24"/>
        </w:rPr>
        <w:t>May.</w:t>
      </w:r>
    </w:p>
    <w:p>
      <w:pPr>
        <w:pStyle w:val="BodyText"/>
        <w:spacing w:before="6"/>
        <w:rPr>
          <w:sz w:val="21"/>
        </w:rPr>
      </w:pPr>
    </w:p>
    <w:p>
      <w:pPr>
        <w:spacing w:line="242" w:lineRule="auto" w:before="1"/>
        <w:ind w:left="4959" w:right="218" w:firstLine="0"/>
        <w:jc w:val="left"/>
        <w:rPr>
          <w:sz w:val="24"/>
        </w:rPr>
      </w:pPr>
      <w:r>
        <w:rPr>
          <w:sz w:val="24"/>
        </w:rPr>
        <w:t>In the February </w:t>
      </w:r>
      <w:r>
        <w:rPr>
          <w:i/>
          <w:sz w:val="24"/>
        </w:rPr>
        <w:t>Report</w:t>
      </w:r>
      <w:r>
        <w:rPr>
          <w:sz w:val="24"/>
        </w:rPr>
        <w:t>, the </w:t>
      </w:r>
      <w:r>
        <w:rPr>
          <w:spacing w:val="-3"/>
          <w:sz w:val="24"/>
        </w:rPr>
        <w:t>MPC’s </w:t>
      </w:r>
      <w:r>
        <w:rPr>
          <w:sz w:val="24"/>
        </w:rPr>
        <w:t>central projection was for annual real GDP growth to rise to 3% in early 2000, before easing to a little below 2</w:t>
      </w:r>
      <w:r>
        <w:rPr>
          <w:position w:val="8"/>
          <w:sz w:val="12"/>
        </w:rPr>
        <w:t>1</w:t>
      </w:r>
      <w:r>
        <w:rPr>
          <w:sz w:val="24"/>
        </w:rPr>
        <w:t>/</w:t>
      </w:r>
      <w:r>
        <w:rPr>
          <w:sz w:val="12"/>
        </w:rPr>
        <w:t>2</w:t>
      </w:r>
      <w:r>
        <w:rPr>
          <w:sz w:val="24"/>
        </w:rPr>
        <w:t>% in 2001 and early 2002. The Committee’s best collective judgment of the prospects for RPIX inflation was that it was likely to decline to around 2% during 2000, before rising to </w:t>
      </w:r>
      <w:r>
        <w:rPr>
          <w:spacing w:val="-6"/>
          <w:sz w:val="24"/>
        </w:rPr>
        <w:t>the </w:t>
      </w:r>
      <w:r>
        <w:rPr>
          <w:sz w:val="24"/>
        </w:rPr>
        <w:t>2</w:t>
      </w:r>
      <w:r>
        <w:rPr>
          <w:position w:val="8"/>
          <w:sz w:val="12"/>
        </w:rPr>
        <w:t>1</w:t>
      </w:r>
      <w:r>
        <w:rPr>
          <w:sz w:val="24"/>
        </w:rPr>
        <w:t>/</w:t>
      </w:r>
      <w:r>
        <w:rPr>
          <w:sz w:val="12"/>
        </w:rPr>
        <w:t>2</w:t>
      </w:r>
      <w:r>
        <w:rPr>
          <w:sz w:val="24"/>
        </w:rPr>
        <w:t>% target level in the second year of the</w:t>
      </w:r>
      <w:r>
        <w:rPr>
          <w:spacing w:val="-10"/>
          <w:sz w:val="24"/>
        </w:rPr>
        <w:t> </w:t>
      </w:r>
      <w:r>
        <w:rPr>
          <w:sz w:val="24"/>
        </w:rPr>
        <w:t>projection.</w:t>
      </w:r>
    </w:p>
    <w:p>
      <w:pPr>
        <w:spacing w:line="242" w:lineRule="auto" w:before="8"/>
        <w:ind w:left="4960" w:right="188" w:firstLine="0"/>
        <w:jc w:val="left"/>
        <w:rPr>
          <w:sz w:val="24"/>
        </w:rPr>
      </w:pPr>
      <w:r>
        <w:rPr>
          <w:sz w:val="24"/>
        </w:rPr>
        <w:t>Changes relative to the November projection mainly reflected upward pressure on inflation from a higher </w:t>
      </w:r>
      <w:r>
        <w:rPr>
          <w:spacing w:val="-5"/>
          <w:sz w:val="24"/>
        </w:rPr>
        <w:t>path </w:t>
      </w:r>
      <w:r>
        <w:rPr>
          <w:sz w:val="24"/>
        </w:rPr>
        <w:t>for nominal earnings growth and stronger determinants of consumer demand, and downward pressure from the higher exchange rate path and higher interest rates. The balance of risks to inflation was judged to be slightly on the upside, while the risks to real GDP growth were thought to be broadly balanced. Particular uncertainties were emphasised relating to the future course of the exchange rate and the degree to which technological and competitive developments would be likely to reduce inflation in the medium term. Alternative judgments on these issues led some Committee members to prefer profiles for inflation up to </w:t>
      </w:r>
      <w:r>
        <w:rPr>
          <w:position w:val="8"/>
          <w:sz w:val="12"/>
        </w:rPr>
        <w:t>1</w:t>
      </w:r>
      <w:r>
        <w:rPr>
          <w:sz w:val="24"/>
        </w:rPr>
        <w:t>/</w:t>
      </w:r>
      <w:r>
        <w:rPr>
          <w:sz w:val="12"/>
        </w:rPr>
        <w:t>2</w:t>
      </w:r>
      <w:r>
        <w:rPr>
          <w:sz w:val="24"/>
        </w:rPr>
        <w:t>% higher or lower at</w:t>
      </w:r>
      <w:r>
        <w:rPr>
          <w:spacing w:val="-34"/>
          <w:sz w:val="24"/>
        </w:rPr>
        <w:t> </w:t>
      </w:r>
      <w:r>
        <w:rPr>
          <w:sz w:val="24"/>
        </w:rPr>
        <w:t>the</w:t>
      </w:r>
    </w:p>
    <w:p>
      <w:pPr>
        <w:spacing w:line="242" w:lineRule="auto" w:before="18"/>
        <w:ind w:left="4960" w:right="622" w:firstLine="0"/>
        <w:jc w:val="left"/>
        <w:rPr>
          <w:sz w:val="24"/>
        </w:rPr>
      </w:pPr>
      <w:r>
        <w:rPr>
          <w:sz w:val="24"/>
        </w:rPr>
        <w:t>two-year forecast horizon than the central projection based on the best collective judgment.</w:t>
      </w:r>
    </w:p>
    <w:p>
      <w:pPr>
        <w:pStyle w:val="BodyText"/>
        <w:spacing w:before="1"/>
        <w:rPr>
          <w:sz w:val="21"/>
        </w:rPr>
      </w:pPr>
    </w:p>
    <w:p>
      <w:pPr>
        <w:spacing w:line="242" w:lineRule="auto" w:before="0"/>
        <w:ind w:left="4960" w:right="196" w:firstLine="0"/>
        <w:jc w:val="left"/>
        <w:rPr>
          <w:sz w:val="24"/>
        </w:rPr>
      </w:pPr>
      <w:r>
        <w:rPr>
          <w:sz w:val="24"/>
        </w:rPr>
        <w:t>At its meeting</w:t>
      </w:r>
      <w:hyperlink w:history="true" w:anchor="_bookmark50">
        <w:r>
          <w:rPr>
            <w:sz w:val="24"/>
          </w:rPr>
          <w:t> on 8–9 March,</w:t>
        </w:r>
      </w:hyperlink>
      <w:r>
        <w:rPr>
          <w:sz w:val="24"/>
        </w:rPr>
        <w:t> the Committee discussed the potential impact of the forthcoming Budget which, according to Treasury estimates, would </w:t>
      </w:r>
      <w:r>
        <w:rPr>
          <w:spacing w:val="-3"/>
          <w:sz w:val="24"/>
        </w:rPr>
        <w:t>involve </w:t>
      </w:r>
      <w:r>
        <w:rPr>
          <w:sz w:val="24"/>
        </w:rPr>
        <w:t>a somewhat higher path for government consumption but</w:t>
      </w:r>
      <w:r>
        <w:rPr>
          <w:spacing w:val="-18"/>
          <w:sz w:val="24"/>
        </w:rPr>
        <w:t> </w:t>
      </w:r>
      <w:r>
        <w:rPr>
          <w:spacing w:val="-16"/>
          <w:sz w:val="24"/>
        </w:rPr>
        <w:t>a </w:t>
      </w:r>
      <w:r>
        <w:rPr>
          <w:sz w:val="24"/>
        </w:rPr>
        <w:t>tighter fiscal stance over the next two years than expected at the time of the November Pre-Budget Report (PBR). The Committee assessed that the impact on future output and inflation of the information on the Budget was likely to be small, though that would depend in part on whether there was any impact on the exchange rate. Further analysis would be conducted once the full details were</w:t>
      </w:r>
      <w:r>
        <w:rPr>
          <w:spacing w:val="-3"/>
          <w:sz w:val="24"/>
        </w:rPr>
        <w:t> </w:t>
      </w:r>
      <w:r>
        <w:rPr>
          <w:sz w:val="24"/>
        </w:rPr>
        <w:t>known.</w:t>
      </w:r>
    </w:p>
    <w:p>
      <w:pPr>
        <w:pStyle w:val="BodyText"/>
        <w:spacing w:before="2"/>
        <w:rPr>
          <w:sz w:val="22"/>
        </w:rPr>
      </w:pPr>
    </w:p>
    <w:p>
      <w:pPr>
        <w:spacing w:line="242" w:lineRule="auto" w:before="0"/>
        <w:ind w:left="4960" w:right="190" w:firstLine="0"/>
        <w:jc w:val="left"/>
        <w:rPr>
          <w:sz w:val="24"/>
        </w:rPr>
      </w:pPr>
      <w:r>
        <w:rPr>
          <w:sz w:val="24"/>
        </w:rPr>
        <w:t>Revisions to consumption and investment data implied that final domestic demand had increased by 4%–4</w:t>
      </w:r>
      <w:r>
        <w:rPr>
          <w:position w:val="8"/>
          <w:sz w:val="12"/>
        </w:rPr>
        <w:t>1</w:t>
      </w:r>
      <w:r>
        <w:rPr>
          <w:sz w:val="24"/>
        </w:rPr>
        <w:t>/</w:t>
      </w:r>
      <w:r>
        <w:rPr>
          <w:sz w:val="12"/>
        </w:rPr>
        <w:t>2</w:t>
      </w:r>
      <w:r>
        <w:rPr>
          <w:sz w:val="24"/>
        </w:rPr>
        <w:t>%</w:t>
      </w:r>
    </w:p>
    <w:p>
      <w:pPr>
        <w:spacing w:after="0" w:line="242" w:lineRule="auto"/>
        <w:jc w:val="left"/>
        <w:rPr>
          <w:sz w:val="24"/>
        </w:rPr>
        <w:sectPr>
          <w:headerReference w:type="default" r:id="rId178"/>
          <w:footerReference w:type="default" r:id="rId179"/>
          <w:footerReference w:type="even" r:id="rId180"/>
          <w:pgSz w:w="11900" w:h="16840"/>
          <w:pgMar w:header="0" w:footer="617" w:top="780" w:bottom="800" w:left="640" w:right="620"/>
          <w:pgNumType w:start="43"/>
        </w:sectPr>
      </w:pPr>
    </w:p>
    <w:p>
      <w:pPr>
        <w:pStyle w:val="BodyText"/>
        <w:rPr>
          <w:sz w:val="20"/>
        </w:rPr>
      </w:pPr>
    </w:p>
    <w:p>
      <w:pPr>
        <w:spacing w:line="242" w:lineRule="auto" w:before="227"/>
        <w:ind w:left="4960" w:right="241" w:firstLine="0"/>
        <w:jc w:val="left"/>
        <w:rPr>
          <w:sz w:val="24"/>
        </w:rPr>
      </w:pPr>
      <w:r>
        <w:rPr>
          <w:sz w:val="24"/>
        </w:rPr>
        <w:t>in the year to 1999 Q4, which was faster than earlier thought, though there were signs that this growth rate was moderating slightly. Total domestic demand growth was also higher in Q4 than expected. There was a greater-than-expected positive contribution from inventory accumulation, but this was offset by a</w:t>
      </w:r>
    </w:p>
    <w:p>
      <w:pPr>
        <w:spacing w:line="242" w:lineRule="auto" w:before="8"/>
        <w:ind w:left="4960" w:right="227" w:firstLine="0"/>
        <w:jc w:val="left"/>
        <w:rPr>
          <w:sz w:val="24"/>
        </w:rPr>
      </w:pPr>
      <w:r>
        <w:rPr>
          <w:sz w:val="24"/>
        </w:rPr>
        <w:t>higher-than-expected </w:t>
      </w:r>
      <w:r>
        <w:rPr>
          <w:spacing w:val="-3"/>
          <w:sz w:val="24"/>
        </w:rPr>
        <w:t>negative </w:t>
      </w:r>
      <w:r>
        <w:rPr>
          <w:sz w:val="24"/>
        </w:rPr>
        <w:t>contribution from net trade.  Overall, the latest indicators of demand and output provided a mixed picture, with some remaining strong while others had weakened. Industrial production had fallen since November but services output remained strong. Surveys of business optimism were also at high levels.</w:t>
      </w:r>
    </w:p>
    <w:p>
      <w:pPr>
        <w:spacing w:line="242" w:lineRule="auto" w:before="229"/>
        <w:ind w:left="4960" w:right="189" w:firstLine="0"/>
        <w:jc w:val="left"/>
        <w:rPr>
          <w:sz w:val="24"/>
        </w:rPr>
      </w:pPr>
      <w:r>
        <w:rPr>
          <w:sz w:val="24"/>
        </w:rPr>
        <w:t>The broad money stock (M4) was growing at its lowest rate on record. This slow growth no longer reflected just the behaviour of OFCs’ deposits, which had been weak for some time, but PNFC and household deposit growth had also recently slowed. By contrast, the growth in lending remained strong. Loans to households secured on housing continued to be robust, while the growth of unsecured credit was still high though well below its peak. Corporate borrowing also remained strong, but there was little evidence to suggest distress borrowing; </w:t>
      </w:r>
      <w:r>
        <w:rPr>
          <w:spacing w:val="-3"/>
          <w:sz w:val="24"/>
        </w:rPr>
        <w:t>rather, </w:t>
      </w:r>
      <w:r>
        <w:rPr>
          <w:sz w:val="24"/>
        </w:rPr>
        <w:t>firms were generally optimistic and </w:t>
      </w:r>
      <w:r>
        <w:rPr>
          <w:spacing w:val="-3"/>
          <w:sz w:val="24"/>
        </w:rPr>
        <w:t>investing </w:t>
      </w:r>
      <w:r>
        <w:rPr>
          <w:sz w:val="24"/>
        </w:rPr>
        <w:t>at high rates. The sterling effective exchange rate had risen slightly since the previous meeting, largely reflecting continuing euro weakness. The Committee noted the rapid rise in </w:t>
      </w:r>
      <w:r>
        <w:rPr>
          <w:spacing w:val="-3"/>
          <w:sz w:val="24"/>
        </w:rPr>
        <w:t>new </w:t>
      </w:r>
      <w:r>
        <w:rPr>
          <w:sz w:val="24"/>
        </w:rPr>
        <w:t>technology stocks, and discussed the potential links between a US stock market correction </w:t>
      </w:r>
      <w:r>
        <w:rPr>
          <w:spacing w:val="-7"/>
          <w:sz w:val="24"/>
        </w:rPr>
        <w:t>and </w:t>
      </w:r>
      <w:r>
        <w:rPr>
          <w:sz w:val="24"/>
        </w:rPr>
        <w:t>a fall in the </w:t>
      </w:r>
      <w:r>
        <w:rPr>
          <w:spacing w:val="-3"/>
          <w:sz w:val="24"/>
        </w:rPr>
        <w:t>dollar. </w:t>
      </w:r>
      <w:r>
        <w:rPr>
          <w:sz w:val="24"/>
        </w:rPr>
        <w:t>House price inflation was running at around 15% per annum in the year to February on both the Halifax and Nationwide indices, but there were some signs that housing market activity might be</w:t>
      </w:r>
      <w:r>
        <w:rPr>
          <w:spacing w:val="-7"/>
          <w:sz w:val="24"/>
        </w:rPr>
        <w:t> </w:t>
      </w:r>
      <w:r>
        <w:rPr>
          <w:sz w:val="24"/>
        </w:rPr>
        <w:t>moderating.</w:t>
      </w:r>
    </w:p>
    <w:p>
      <w:pPr>
        <w:pStyle w:val="BodyText"/>
        <w:spacing w:before="3"/>
        <w:rPr>
          <w:sz w:val="21"/>
        </w:rPr>
      </w:pPr>
    </w:p>
    <w:p>
      <w:pPr>
        <w:spacing w:line="242" w:lineRule="auto" w:before="1"/>
        <w:ind w:left="4960" w:right="208" w:firstLine="0"/>
        <w:jc w:val="left"/>
        <w:rPr>
          <w:sz w:val="24"/>
        </w:rPr>
      </w:pPr>
      <w:r>
        <w:rPr>
          <w:sz w:val="24"/>
        </w:rPr>
        <w:t>There was little surprising news in UK labour market quantities data since the previous meeting. The latest earnings data, however, had shown a sharp increase. But it was not clear how much weight should be placed on the latest figures owing to special factors relating to</w:t>
      </w:r>
    </w:p>
    <w:p>
      <w:pPr>
        <w:spacing w:line="242" w:lineRule="auto" w:before="6"/>
        <w:ind w:left="4959" w:right="236" w:firstLine="0"/>
        <w:jc w:val="left"/>
        <w:rPr>
          <w:sz w:val="24"/>
        </w:rPr>
      </w:pPr>
      <w:r>
        <w:rPr>
          <w:sz w:val="24"/>
        </w:rPr>
        <w:t>year-end bonuses, some of which might be Y2K-related and others which might be the result of higher past profits. At face value, the earnings data were above the path assumed in the February </w:t>
      </w:r>
      <w:r>
        <w:rPr>
          <w:i/>
          <w:sz w:val="24"/>
        </w:rPr>
        <w:t>Inflation Report</w:t>
      </w:r>
      <w:r>
        <w:rPr>
          <w:sz w:val="24"/>
        </w:rPr>
        <w:t>, but more information was needed before firm conclusions could be drawn. There appeared to be a marked contrast between UK and US earnings behaviour—UK earnings growth was running ahead of that in the United States, despite the US economy exhibiting greater productivity growth and likely to be equally affected by millennium bonus effects. In contrast to earnings, settlements had fallen slightly. And some companies continued to report</w:t>
      </w:r>
    </w:p>
    <w:p>
      <w:pPr>
        <w:spacing w:after="0" w:line="242" w:lineRule="auto"/>
        <w:jc w:val="left"/>
        <w:rPr>
          <w:sz w:val="24"/>
        </w:rPr>
        <w:sectPr>
          <w:headerReference w:type="default" r:id="rId181"/>
          <w:headerReference w:type="even" r:id="rId182"/>
          <w:pgSz w:w="11900" w:h="16840"/>
          <w:pgMar w:header="586" w:footer="617" w:top="780" w:bottom="780" w:left="640" w:right="620"/>
        </w:sectPr>
      </w:pPr>
    </w:p>
    <w:p>
      <w:pPr>
        <w:pStyle w:val="BodyText"/>
        <w:rPr>
          <w:sz w:val="20"/>
        </w:rPr>
      </w:pPr>
    </w:p>
    <w:p>
      <w:pPr>
        <w:spacing w:line="242" w:lineRule="auto" w:before="207"/>
        <w:ind w:left="4940" w:right="190" w:firstLine="0"/>
        <w:jc w:val="left"/>
        <w:rPr>
          <w:sz w:val="24"/>
        </w:rPr>
      </w:pPr>
      <w:r>
        <w:rPr>
          <w:sz w:val="24"/>
        </w:rPr>
        <w:t>that pay increases were warranted by higher productivity so they were not putting upward pressure on unit costs.</w:t>
      </w:r>
    </w:p>
    <w:p>
      <w:pPr>
        <w:pStyle w:val="BodyText"/>
        <w:spacing w:before="3"/>
        <w:rPr>
          <w:sz w:val="26"/>
        </w:rPr>
      </w:pPr>
    </w:p>
    <w:p>
      <w:pPr>
        <w:spacing w:line="242" w:lineRule="auto" w:before="1"/>
        <w:ind w:left="4939" w:right="243" w:firstLine="0"/>
        <w:jc w:val="left"/>
        <w:rPr>
          <w:sz w:val="24"/>
        </w:rPr>
      </w:pPr>
      <w:r>
        <w:rPr>
          <w:sz w:val="24"/>
        </w:rPr>
        <w:t>There was a further rise in the price of oil in </w:t>
      </w:r>
      <w:r>
        <w:rPr>
          <w:spacing w:val="-3"/>
          <w:sz w:val="24"/>
        </w:rPr>
        <w:t>February, </w:t>
      </w:r>
      <w:r>
        <w:rPr>
          <w:sz w:val="24"/>
        </w:rPr>
        <w:t>which came on top of increases during the previous twelve months. The oil price was well above the profile that had been assumed in the February </w:t>
      </w:r>
      <w:r>
        <w:rPr>
          <w:i/>
          <w:sz w:val="24"/>
        </w:rPr>
        <w:t>Report</w:t>
      </w:r>
      <w:r>
        <w:rPr>
          <w:sz w:val="24"/>
        </w:rPr>
        <w:t>, though there was uncertainty about what action OPEC members might take at their March meeting and it was still possible that the oil price might return to around the forecast path. The rise in input prices would add to pressures on manufacturing prices, but survey measures of output price intentions remained negative, suggesting that margins continued to be squeezed. The downward pressure on margins may </w:t>
      </w:r>
      <w:r>
        <w:rPr>
          <w:spacing w:val="-3"/>
          <w:sz w:val="24"/>
        </w:rPr>
        <w:t>have </w:t>
      </w:r>
      <w:r>
        <w:rPr>
          <w:sz w:val="24"/>
        </w:rPr>
        <w:t>been one of the factors behind the increase in the PNFC </w:t>
      </w:r>
      <w:r>
        <w:rPr>
          <w:spacing w:val="-3"/>
          <w:sz w:val="24"/>
        </w:rPr>
        <w:t>sector’s </w:t>
      </w:r>
      <w:r>
        <w:rPr>
          <w:sz w:val="24"/>
        </w:rPr>
        <w:t>financial deficit. RPIX inflation had fallen to 2.1% in January </w:t>
      </w:r>
      <w:r>
        <w:rPr>
          <w:spacing w:val="-6"/>
          <w:sz w:val="24"/>
        </w:rPr>
        <w:t>and </w:t>
      </w:r>
      <w:r>
        <w:rPr>
          <w:sz w:val="24"/>
        </w:rPr>
        <w:t>HICP inflation had fallen to 0.8%. The wedge between these two measures was explained in large part by differing treatment of housing and car prices, together with the methods used for averaging the different prices in the index. There was evidence of a further widening in the divergence between goods price and service price inflation, with retail goods price inflation falling to around zero and retail services price inflation rising</w:t>
      </w:r>
    </w:p>
    <w:p>
      <w:pPr>
        <w:spacing w:before="28"/>
        <w:ind w:left="4939" w:right="0" w:firstLine="0"/>
        <w:jc w:val="left"/>
        <w:rPr>
          <w:sz w:val="24"/>
        </w:rPr>
      </w:pPr>
      <w:r>
        <w:rPr>
          <w:sz w:val="24"/>
        </w:rPr>
        <w:t>to 4.2%.</w:t>
      </w:r>
    </w:p>
    <w:p>
      <w:pPr>
        <w:pStyle w:val="BodyText"/>
        <w:spacing w:before="4"/>
        <w:rPr>
          <w:sz w:val="26"/>
        </w:rPr>
      </w:pPr>
    </w:p>
    <w:p>
      <w:pPr>
        <w:spacing w:before="1"/>
        <w:ind w:left="4939" w:right="0" w:firstLine="0"/>
        <w:jc w:val="left"/>
        <w:rPr>
          <w:sz w:val="24"/>
        </w:rPr>
      </w:pPr>
      <w:r>
        <w:rPr>
          <w:sz w:val="24"/>
        </w:rPr>
        <w:t>The Committee also discussed prospects for the</w:t>
      </w:r>
    </w:p>
    <w:p>
      <w:pPr>
        <w:spacing w:line="242" w:lineRule="auto" w:before="4"/>
        <w:ind w:left="4939" w:right="263" w:firstLine="0"/>
        <w:jc w:val="left"/>
        <w:rPr>
          <w:sz w:val="24"/>
        </w:rPr>
      </w:pPr>
      <w:r>
        <w:rPr>
          <w:sz w:val="24"/>
        </w:rPr>
        <w:t>euro-area and US economies. GDP growth in the euro area seemed to be strengthening but inflation was also picking up slightly. Faster growth might in due course underpin an appreciation of the euro. US growth data had again been surprisingly strong and there was increased concern about the balance of aggregate demand and supply. It was possible that a further month of strong data had increased the risk of a large change in financial market sentiment at some point.</w:t>
      </w:r>
    </w:p>
    <w:p>
      <w:pPr>
        <w:pStyle w:val="BodyText"/>
        <w:rPr>
          <w:sz w:val="27"/>
        </w:rPr>
      </w:pPr>
    </w:p>
    <w:p>
      <w:pPr>
        <w:spacing w:line="242" w:lineRule="auto" w:before="1"/>
        <w:ind w:left="4939" w:right="185" w:firstLine="0"/>
        <w:jc w:val="left"/>
        <w:rPr>
          <w:sz w:val="24"/>
        </w:rPr>
      </w:pPr>
      <w:r>
        <w:rPr>
          <w:sz w:val="24"/>
        </w:rPr>
        <w:t>The Committee discussed the differences between its </w:t>
      </w:r>
      <w:r>
        <w:rPr>
          <w:spacing w:val="-3"/>
          <w:sz w:val="24"/>
        </w:rPr>
        <w:t>own </w:t>
      </w:r>
      <w:r>
        <w:rPr>
          <w:sz w:val="24"/>
        </w:rPr>
        <w:t>February forecast and those of outside forecasters. The main differences appeared to relate to the assumed behaviour of inventories and the projections for earnings and prices. The MPC assumed a continued decline in </w:t>
      </w:r>
      <w:r>
        <w:rPr>
          <w:spacing w:val="-6"/>
          <w:sz w:val="24"/>
        </w:rPr>
        <w:t>the </w:t>
      </w:r>
      <w:r>
        <w:rPr>
          <w:sz w:val="24"/>
        </w:rPr>
        <w:t>stock-output ratio as firms economise further on inventories, while many other forecasters did not. But there was no simple explanation for the differences in price-earnings projections. It seemed that other forecasters assumed a more benign short-term trade-off between growth and inflation. The Committee agreed to return to this issue during the May </w:t>
      </w:r>
      <w:r>
        <w:rPr>
          <w:i/>
          <w:sz w:val="24"/>
        </w:rPr>
        <w:t>Inflation Report </w:t>
      </w:r>
      <w:r>
        <w:rPr>
          <w:sz w:val="24"/>
        </w:rPr>
        <w:t>round.</w:t>
      </w:r>
    </w:p>
    <w:p>
      <w:pPr>
        <w:spacing w:after="0" w:line="242" w:lineRule="auto"/>
        <w:jc w:val="left"/>
        <w:rPr>
          <w:sz w:val="24"/>
        </w:rPr>
        <w:sectPr>
          <w:footerReference w:type="default" r:id="rId183"/>
          <w:footerReference w:type="even" r:id="rId184"/>
          <w:pgSz w:w="11900" w:h="16840"/>
          <w:pgMar w:footer="617" w:header="586" w:top="780" w:bottom="800" w:left="640" w:right="620"/>
          <w:pgNumType w:start="45"/>
        </w:sectPr>
      </w:pPr>
    </w:p>
    <w:p>
      <w:pPr>
        <w:pStyle w:val="BodyText"/>
        <w:rPr>
          <w:sz w:val="20"/>
        </w:rPr>
      </w:pPr>
    </w:p>
    <w:p>
      <w:pPr>
        <w:spacing w:line="242" w:lineRule="auto" w:before="207"/>
        <w:ind w:left="4960" w:right="295" w:firstLine="0"/>
        <w:jc w:val="left"/>
        <w:rPr>
          <w:sz w:val="24"/>
        </w:rPr>
      </w:pPr>
      <w:r>
        <w:rPr>
          <w:sz w:val="24"/>
        </w:rPr>
        <w:t>The Committee agreed that the timing of the Budget would not constrain their decision in March or April. They also discussed some of the issues that would arise if there were a rate change in March that had not been expected by the markets.</w:t>
      </w:r>
    </w:p>
    <w:p>
      <w:pPr>
        <w:pStyle w:val="BodyText"/>
        <w:spacing w:before="7"/>
        <w:rPr>
          <w:sz w:val="26"/>
        </w:rPr>
      </w:pPr>
    </w:p>
    <w:p>
      <w:pPr>
        <w:spacing w:line="242" w:lineRule="auto" w:before="0"/>
        <w:ind w:left="4960" w:right="205" w:firstLine="0"/>
        <w:jc w:val="left"/>
        <w:rPr>
          <w:sz w:val="24"/>
        </w:rPr>
      </w:pPr>
      <w:r>
        <w:rPr>
          <w:spacing w:val="-3"/>
          <w:sz w:val="24"/>
        </w:rPr>
        <w:t>With </w:t>
      </w:r>
      <w:r>
        <w:rPr>
          <w:sz w:val="24"/>
        </w:rPr>
        <w:t>regard to the immediate policy decision, there was one view within the Committee that saw the inflation prospects as having deteriorated in the medium term but thought there was a case for waiting before taking further action. The deterioration was associated with evidence that final domestic demand and earnings were growing faster than previously thought. But uncertainty relating to bonuses and the full details of the Budget, combined with the potential effects on the already high exchange rate of an unexpected rate rise, tipped the balance in </w:t>
      </w:r>
      <w:r>
        <w:rPr>
          <w:spacing w:val="-3"/>
          <w:sz w:val="24"/>
        </w:rPr>
        <w:t>favour </w:t>
      </w:r>
      <w:r>
        <w:rPr>
          <w:sz w:val="24"/>
        </w:rPr>
        <w:t>of waiting for more information before any further increase. Another group within the Committee acknowledged that some data were pointing to increased inflationary pressure but noted that there were other indicators, such as the decline in industrial production, pointing in the opposite direction. They were worried that a further rise in sterling might exaggerate the growing external and internal</w:t>
      </w:r>
      <w:r>
        <w:rPr>
          <w:spacing w:val="-28"/>
          <w:sz w:val="24"/>
        </w:rPr>
        <w:t> </w:t>
      </w:r>
      <w:r>
        <w:rPr>
          <w:sz w:val="24"/>
        </w:rPr>
        <w:t>imbalances, risking a later collapse of sterling with adverse inflationary consequences. As interest rates had already risen in four steps by 100 basis points </w:t>
      </w:r>
      <w:r>
        <w:rPr>
          <w:spacing w:val="-3"/>
          <w:sz w:val="24"/>
        </w:rPr>
        <w:t>over </w:t>
      </w:r>
      <w:r>
        <w:rPr>
          <w:sz w:val="24"/>
        </w:rPr>
        <w:t>the previous six months, it would be sensible to wait for the effects of these past changes to work through, especially as the short-term profile for inflation was benign. The Committee voted unanimously to maintain the </w:t>
      </w:r>
      <w:r>
        <w:rPr>
          <w:spacing w:val="-3"/>
          <w:sz w:val="24"/>
        </w:rPr>
        <w:t>Bank’s </w:t>
      </w:r>
      <w:r>
        <w:rPr>
          <w:sz w:val="24"/>
        </w:rPr>
        <w:t>repo rate at</w:t>
      </w:r>
      <w:r>
        <w:rPr>
          <w:spacing w:val="-4"/>
          <w:sz w:val="24"/>
        </w:rPr>
        <w:t> </w:t>
      </w:r>
      <w:r>
        <w:rPr>
          <w:sz w:val="24"/>
        </w:rPr>
        <w:t>6%.</w:t>
      </w:r>
    </w:p>
    <w:p>
      <w:pPr>
        <w:pStyle w:val="BodyText"/>
        <w:rPr>
          <w:sz w:val="29"/>
        </w:rPr>
      </w:pPr>
    </w:p>
    <w:p>
      <w:pPr>
        <w:spacing w:line="242" w:lineRule="auto" w:before="0"/>
        <w:ind w:left="4960" w:right="281" w:firstLine="0"/>
        <w:jc w:val="left"/>
        <w:rPr>
          <w:sz w:val="24"/>
        </w:rPr>
      </w:pPr>
      <w:r>
        <w:rPr>
          <w:sz w:val="24"/>
        </w:rPr>
        <w:t>At its meeting</w:t>
      </w:r>
      <w:hyperlink w:history="true" w:anchor="_bookmark53">
        <w:r>
          <w:rPr>
            <w:sz w:val="24"/>
          </w:rPr>
          <w:t> on 5–6 April,</w:t>
        </w:r>
      </w:hyperlink>
      <w:r>
        <w:rPr>
          <w:sz w:val="24"/>
        </w:rPr>
        <w:t> the Committee started by discussing the Budget. The broad shape of the projection for the public finances was unchanged from the Treasury briefing in advance of the March meeting. Net borrowing was projected to be lower than assumed in the November Pre-Budget Report (PBR) for the next two years but higher than the PBR figure by 2002/03. The implied projections for real government spending and investment over the next two years were higher in the Budget than had been assumed in the February </w:t>
      </w:r>
      <w:r>
        <w:rPr>
          <w:i/>
          <w:sz w:val="24"/>
        </w:rPr>
        <w:t>Inflation Report</w:t>
      </w:r>
      <w:r>
        <w:rPr>
          <w:sz w:val="24"/>
        </w:rPr>
        <w:t>, but were about the same as assumed in November. Overall, most members of the Committee took the view that the impact on future activity and inflation of the Budget seemed unlikely to be large over the next two years. The potential effect on the public finances of the third generation mobile telephone licences was also discussed. It was noted that, while government cash flows would be boosted almost</w:t>
      </w:r>
    </w:p>
    <w:p>
      <w:pPr>
        <w:spacing w:after="0" w:line="242" w:lineRule="auto"/>
        <w:jc w:val="left"/>
        <w:rPr>
          <w:sz w:val="24"/>
        </w:rPr>
        <w:sectPr>
          <w:pgSz w:w="11900" w:h="16840"/>
          <w:pgMar w:header="586" w:footer="597" w:top="780" w:bottom="780" w:left="640" w:right="620"/>
        </w:sectPr>
      </w:pPr>
    </w:p>
    <w:p>
      <w:pPr>
        <w:pStyle w:val="BodyText"/>
        <w:rPr>
          <w:sz w:val="20"/>
        </w:rPr>
      </w:pPr>
    </w:p>
    <w:p>
      <w:pPr>
        <w:spacing w:line="242" w:lineRule="auto" w:before="207"/>
        <w:ind w:left="4940" w:right="201" w:firstLine="0"/>
        <w:jc w:val="left"/>
        <w:rPr>
          <w:sz w:val="24"/>
        </w:rPr>
      </w:pPr>
      <w:r>
        <w:rPr>
          <w:sz w:val="24"/>
        </w:rPr>
        <w:t>immediately, the macroeconomic effects would probably be small. But there could be some temporary effect on the exchange rate if a foreign bidder needed to buy a significant amount of sterling to pay for its licence.</w:t>
      </w:r>
    </w:p>
    <w:p>
      <w:pPr>
        <w:pStyle w:val="BodyText"/>
        <w:spacing w:before="6"/>
        <w:rPr>
          <w:sz w:val="26"/>
        </w:rPr>
      </w:pPr>
    </w:p>
    <w:p>
      <w:pPr>
        <w:spacing w:line="242" w:lineRule="auto" w:before="0"/>
        <w:ind w:left="4940" w:right="188" w:firstLine="0"/>
        <w:jc w:val="left"/>
        <w:rPr>
          <w:sz w:val="24"/>
        </w:rPr>
      </w:pPr>
      <w:r>
        <w:rPr>
          <w:sz w:val="24"/>
        </w:rPr>
        <w:t>Narrow money and lending data were consistent with robust spending growth, and loan approvals for house purchase had picked up in February, suggesting that the earlier slowdown had been partly seasonal. It was too early to tell whether house price inflation would moderate at the pace expected at the time of the February </w:t>
      </w:r>
      <w:r>
        <w:rPr>
          <w:i/>
          <w:sz w:val="24"/>
        </w:rPr>
        <w:t>Inflation Report</w:t>
      </w:r>
      <w:r>
        <w:rPr>
          <w:sz w:val="24"/>
        </w:rPr>
        <w:t>. Monetary data and surveys suggested a stronger outlook for business investment. The PNFC sector had an increasing financial deficit, but there was little sign that this was holding back investment plans.</w:t>
      </w:r>
    </w:p>
    <w:p>
      <w:pPr>
        <w:spacing w:line="242" w:lineRule="auto" w:before="13"/>
        <w:ind w:left="4940" w:right="115" w:firstLine="0"/>
        <w:jc w:val="left"/>
        <w:rPr>
          <w:sz w:val="24"/>
        </w:rPr>
      </w:pPr>
      <w:r>
        <w:rPr>
          <w:sz w:val="24"/>
        </w:rPr>
        <w:t>Equity prices had shown some fall in ‘new economy’ and a recovery in ‘old economy’ stocks. Euro weakness had continued, but the sterling effective exchange rate was little changed on the month.</w:t>
      </w:r>
    </w:p>
    <w:p>
      <w:pPr>
        <w:pStyle w:val="BodyText"/>
        <w:spacing w:before="6"/>
        <w:rPr>
          <w:sz w:val="26"/>
        </w:rPr>
      </w:pPr>
    </w:p>
    <w:p>
      <w:pPr>
        <w:spacing w:line="242" w:lineRule="auto" w:before="0"/>
        <w:ind w:left="4940" w:right="165" w:firstLine="0"/>
        <w:jc w:val="left"/>
        <w:rPr>
          <w:sz w:val="24"/>
        </w:rPr>
      </w:pPr>
      <w:r>
        <w:rPr>
          <w:sz w:val="24"/>
        </w:rPr>
        <w:t>The National Accounts data had been revised to show final domestic demand growth running at 4.4% in the year to 1999 Q4. Stockbuilding was lower than earlier thought but the net trade contribution was unchanged. Industrial production had fallen for three months in a </w:t>
      </w:r>
      <w:r>
        <w:rPr>
          <w:spacing w:val="-6"/>
          <w:sz w:val="24"/>
        </w:rPr>
        <w:t>row. </w:t>
      </w:r>
      <w:r>
        <w:rPr>
          <w:sz w:val="24"/>
        </w:rPr>
        <w:t>The overall picture suggested renewed competitive pressures on the internationally exposed sectors of the </w:t>
      </w:r>
      <w:r>
        <w:rPr>
          <w:spacing w:val="-3"/>
          <w:sz w:val="24"/>
        </w:rPr>
        <w:t>economy, </w:t>
      </w:r>
      <w:r>
        <w:rPr>
          <w:sz w:val="24"/>
        </w:rPr>
        <w:t>resulting from the strength of sterling against the euro. Survey evidence continued to point to rising manufacturing output, but it was possible that volumes were being maintained at the cost of shrinking margins, a situation that could not continue indefinitely. The </w:t>
      </w:r>
      <w:r>
        <w:rPr>
          <w:spacing w:val="-3"/>
          <w:sz w:val="24"/>
        </w:rPr>
        <w:t>service </w:t>
      </w:r>
      <w:r>
        <w:rPr>
          <w:sz w:val="24"/>
        </w:rPr>
        <w:t>sector remained buoyant, in contrast to manufacturing. It seemed likely that GDP growth in 2000 Q1 would be in line with the February </w:t>
      </w:r>
      <w:r>
        <w:rPr>
          <w:i/>
          <w:sz w:val="24"/>
        </w:rPr>
        <w:t>Inflation Report</w:t>
      </w:r>
      <w:r>
        <w:rPr>
          <w:i/>
          <w:spacing w:val="-11"/>
          <w:sz w:val="24"/>
        </w:rPr>
        <w:t> </w:t>
      </w:r>
      <w:r>
        <w:rPr>
          <w:sz w:val="24"/>
        </w:rPr>
        <w:t>projection.</w:t>
      </w:r>
    </w:p>
    <w:p>
      <w:pPr>
        <w:pStyle w:val="BodyText"/>
        <w:spacing w:before="8"/>
        <w:rPr>
          <w:sz w:val="27"/>
        </w:rPr>
      </w:pPr>
    </w:p>
    <w:p>
      <w:pPr>
        <w:spacing w:line="242" w:lineRule="auto" w:before="1"/>
        <w:ind w:left="4939" w:right="194" w:firstLine="0"/>
        <w:jc w:val="left"/>
        <w:rPr>
          <w:sz w:val="24"/>
        </w:rPr>
      </w:pPr>
      <w:r>
        <w:rPr>
          <w:sz w:val="24"/>
        </w:rPr>
        <w:t>Productivity growth appeared to </w:t>
      </w:r>
      <w:r>
        <w:rPr>
          <w:spacing w:val="-3"/>
          <w:sz w:val="24"/>
        </w:rPr>
        <w:t>have </w:t>
      </w:r>
      <w:r>
        <w:rPr>
          <w:sz w:val="24"/>
        </w:rPr>
        <w:t>picked up but it was too early to say if this was just a normal cyclical </w:t>
      </w:r>
      <w:r>
        <w:rPr>
          <w:spacing w:val="-3"/>
          <w:sz w:val="24"/>
        </w:rPr>
        <w:t>recovery. </w:t>
      </w:r>
      <w:r>
        <w:rPr>
          <w:sz w:val="24"/>
        </w:rPr>
        <w:t>The labour market remained tight, with employment increasing moderately, unemployment stable at </w:t>
      </w:r>
      <w:r>
        <w:rPr>
          <w:spacing w:val="-3"/>
          <w:sz w:val="24"/>
        </w:rPr>
        <w:t>low </w:t>
      </w:r>
      <w:r>
        <w:rPr>
          <w:sz w:val="24"/>
        </w:rPr>
        <w:t>levels, and some reports of widening skill shortages. Earnings growth had risen but the recent rise was thought largely to reflect bonus payments, in part millennium related. Some Committee members took the view that wage drift would </w:t>
      </w:r>
      <w:r>
        <w:rPr>
          <w:spacing w:val="-3"/>
          <w:sz w:val="24"/>
        </w:rPr>
        <w:t>have </w:t>
      </w:r>
      <w:r>
        <w:rPr>
          <w:sz w:val="24"/>
        </w:rPr>
        <w:t>a smaller effect on prices than would settlements, while others were less convinced that the split made a difference to </w:t>
      </w:r>
      <w:r>
        <w:rPr>
          <w:spacing w:val="-2"/>
          <w:sz w:val="24"/>
        </w:rPr>
        <w:t>price-setting </w:t>
      </w:r>
      <w:r>
        <w:rPr>
          <w:sz w:val="24"/>
        </w:rPr>
        <w:t>in the longer term. Bank data suggested that settlements were continuing to ease, but the </w:t>
      </w:r>
      <w:r>
        <w:rPr>
          <w:spacing w:val="-3"/>
          <w:sz w:val="24"/>
        </w:rPr>
        <w:t>Bank’s </w:t>
      </w:r>
      <w:r>
        <w:rPr>
          <w:sz w:val="24"/>
        </w:rPr>
        <w:t>regional Agents detected higher settlements in services and some early indications of higher pay pressure in all sectors later in</w:t>
      </w:r>
    </w:p>
    <w:p>
      <w:pPr>
        <w:spacing w:after="0" w:line="242" w:lineRule="auto"/>
        <w:jc w:val="left"/>
        <w:rPr>
          <w:sz w:val="24"/>
        </w:rPr>
        <w:sectPr>
          <w:pgSz w:w="11900" w:h="16840"/>
          <w:pgMar w:header="586" w:footer="617" w:top="780" w:bottom="800" w:left="640" w:right="620"/>
        </w:sectPr>
      </w:pPr>
    </w:p>
    <w:p>
      <w:pPr>
        <w:pStyle w:val="BodyText"/>
        <w:rPr>
          <w:sz w:val="20"/>
        </w:rPr>
      </w:pPr>
    </w:p>
    <w:p>
      <w:pPr>
        <w:spacing w:line="242" w:lineRule="auto" w:before="207"/>
        <w:ind w:left="4960" w:right="189" w:firstLine="0"/>
        <w:jc w:val="left"/>
        <w:rPr>
          <w:sz w:val="24"/>
        </w:rPr>
      </w:pPr>
      <w:r>
        <w:rPr>
          <w:sz w:val="24"/>
        </w:rPr>
        <w:t>the year. It was agreed that, while it would be wrong to react to every fluctuation in the earnings data, it was clear that the earnings profile for the May forecast would probably be above that in the February </w:t>
      </w:r>
      <w:r>
        <w:rPr>
          <w:i/>
          <w:sz w:val="24"/>
        </w:rPr>
        <w:t>Report</w:t>
      </w:r>
      <w:r>
        <w:rPr>
          <w:sz w:val="24"/>
        </w:rPr>
        <w:t>.</w:t>
      </w:r>
    </w:p>
    <w:p>
      <w:pPr>
        <w:pStyle w:val="BodyText"/>
        <w:spacing w:before="6"/>
        <w:rPr>
          <w:sz w:val="26"/>
        </w:rPr>
      </w:pPr>
    </w:p>
    <w:p>
      <w:pPr>
        <w:spacing w:line="242" w:lineRule="auto" w:before="0"/>
        <w:ind w:left="4960" w:right="115" w:firstLine="0"/>
        <w:jc w:val="left"/>
        <w:rPr>
          <w:sz w:val="24"/>
        </w:rPr>
      </w:pPr>
      <w:r>
        <w:rPr>
          <w:sz w:val="24"/>
        </w:rPr>
        <w:t>Retail price inflation had been slightly higher than expected but this largely reflected higher petrol prices, and oil prices had recently fallen to within the range projected in February, so the upside risk to inflation from this source had diminished. Surveys had reported further falls in goods prices but rises in input prices, and the Bank’s Agents reported robust services price inflation though with variability between sub-sectors.</w:t>
      </w:r>
    </w:p>
    <w:p>
      <w:pPr>
        <w:pStyle w:val="BodyText"/>
        <w:rPr>
          <w:sz w:val="27"/>
        </w:rPr>
      </w:pPr>
    </w:p>
    <w:p>
      <w:pPr>
        <w:spacing w:line="242" w:lineRule="auto" w:before="0"/>
        <w:ind w:left="4960" w:right="181" w:firstLine="0"/>
        <w:jc w:val="left"/>
        <w:rPr>
          <w:sz w:val="24"/>
        </w:rPr>
      </w:pPr>
      <w:r>
        <w:rPr>
          <w:sz w:val="24"/>
        </w:rPr>
        <w:t>Prospects for world economic activity had strengthened further since February, with US growth coming in above expectations in 1999 Q4 and activity indicators remaining buoyant into 2000. Euro-area growth prospects had improved, East Asia had recovered rapidly and there were possibly some signs of an upturn in Japan. Official interest rates had risen in many countries, and market expectations were for further rises. The behaviour of the US economy was important for global prospects and some members thought that there was a good chance of US growth slowing gradually towards trend.</w:t>
      </w:r>
    </w:p>
    <w:p>
      <w:pPr>
        <w:pStyle w:val="BodyText"/>
        <w:spacing w:before="4"/>
        <w:rPr>
          <w:sz w:val="27"/>
        </w:rPr>
      </w:pPr>
    </w:p>
    <w:p>
      <w:pPr>
        <w:spacing w:line="242" w:lineRule="auto" w:before="1"/>
        <w:ind w:left="4960" w:right="148" w:firstLine="0"/>
        <w:jc w:val="left"/>
        <w:rPr>
          <w:sz w:val="24"/>
        </w:rPr>
      </w:pPr>
      <w:r>
        <w:rPr>
          <w:sz w:val="24"/>
        </w:rPr>
        <w:t>The Committee discussed a suggestion that it might intervene in an attempt to bring down the exchange rate and thereby help to correct the balance between the externally exposed sectors and the rest of the economy. Some members thought that this would be unlikely to work at present but might be considered in future, while others thought it could only be successful if accompanied by monetary policy easing, which would be inappropriate. Ineffective intervention was considered to be counterproductive.</w:t>
      </w:r>
    </w:p>
    <w:p>
      <w:pPr>
        <w:pStyle w:val="BodyText"/>
        <w:spacing w:before="2"/>
        <w:rPr>
          <w:sz w:val="27"/>
        </w:rPr>
      </w:pPr>
    </w:p>
    <w:p>
      <w:pPr>
        <w:spacing w:line="242" w:lineRule="auto" w:before="0"/>
        <w:ind w:left="4960" w:right="174" w:firstLine="0"/>
        <w:jc w:val="left"/>
        <w:rPr>
          <w:sz w:val="24"/>
        </w:rPr>
      </w:pPr>
      <w:r>
        <w:rPr>
          <w:sz w:val="24"/>
        </w:rPr>
        <w:t>With regard to the immediate policy decision, many members thought that the choice was finely balanced between leaving rates unchanged and a 25 basis point rise. Final domestic demand was growing rapidly— consumption still seemed robust, private sector investment was growing moderately and public sector investment was likely to grow rapidly. The net trade position was mixed, with the strength of sterling working in one direction and the growth of world demand working in the other. The labour market remained tight. The oil price had eased but input prices continued to rise, though there was little sign of any acceleration in final goods prices. On one view it would be better to leave</w:t>
      </w:r>
    </w:p>
    <w:p>
      <w:pPr>
        <w:spacing w:after="0" w:line="242" w:lineRule="auto"/>
        <w:jc w:val="left"/>
        <w:rPr>
          <w:sz w:val="24"/>
        </w:rPr>
        <w:sectPr>
          <w:pgSz w:w="11900" w:h="16840"/>
          <w:pgMar w:header="586" w:footer="597" w:top="780" w:bottom="780" w:left="640" w:right="620"/>
        </w:sectPr>
      </w:pPr>
    </w:p>
    <w:p>
      <w:pPr>
        <w:pStyle w:val="BodyText"/>
        <w:rPr>
          <w:sz w:val="20"/>
        </w:rPr>
      </w:pPr>
    </w:p>
    <w:p>
      <w:pPr>
        <w:spacing w:line="242" w:lineRule="auto" w:before="227"/>
        <w:ind w:left="4940" w:right="190" w:firstLine="0"/>
        <w:jc w:val="left"/>
        <w:rPr>
          <w:sz w:val="24"/>
        </w:rPr>
      </w:pPr>
      <w:r>
        <w:rPr>
          <w:sz w:val="24"/>
        </w:rPr>
        <w:t>rates unchanged, as the news over the month was inconclusive.  First, the extent of price pressures resulting from labour market tightness required further analysis and this could be undertaken in the context of the May forecast round. Second, the volatility of equity markets provided reasons for caution. Third, an increase in rates might exacerbate the imbalances in the economy and, with inflation expected to be running below target for some time, there was no pressing reason for an immediate rise. Some members who did not want a rate rise at present thought nonetheless that a rise might eventually be needed. A second view was that the balance of evidence had tipped in </w:t>
      </w:r>
      <w:r>
        <w:rPr>
          <w:spacing w:val="-3"/>
          <w:sz w:val="24"/>
        </w:rPr>
        <w:t>favour </w:t>
      </w:r>
      <w:r>
        <w:rPr>
          <w:sz w:val="24"/>
        </w:rPr>
        <w:t>of an immediate rate rise. Much of the millennium fog had begun to clear and a rate rise would no longer come as a big surprise to the markets. A delay might lead to expectations that more would need to be done </w:t>
      </w:r>
      <w:r>
        <w:rPr>
          <w:spacing w:val="-3"/>
          <w:sz w:val="24"/>
        </w:rPr>
        <w:t>later. </w:t>
      </w:r>
      <w:r>
        <w:rPr>
          <w:sz w:val="24"/>
        </w:rPr>
        <w:t>While the </w:t>
      </w:r>
      <w:r>
        <w:rPr>
          <w:i/>
          <w:sz w:val="24"/>
        </w:rPr>
        <w:t>Inflation </w:t>
      </w:r>
      <w:r>
        <w:rPr>
          <w:i/>
          <w:sz w:val="24"/>
        </w:rPr>
        <w:t>Report </w:t>
      </w:r>
      <w:r>
        <w:rPr>
          <w:sz w:val="24"/>
        </w:rPr>
        <w:t>forecasting round would </w:t>
      </w:r>
      <w:r>
        <w:rPr>
          <w:spacing w:val="-3"/>
          <w:sz w:val="24"/>
        </w:rPr>
        <w:t>give </w:t>
      </w:r>
      <w:r>
        <w:rPr>
          <w:sz w:val="24"/>
        </w:rPr>
        <w:t>an opportunity for further in-depth analysis, this was not in itself any reason to </w:t>
      </w:r>
      <w:r>
        <w:rPr>
          <w:spacing w:val="-3"/>
          <w:sz w:val="24"/>
        </w:rPr>
        <w:t>delay. </w:t>
      </w:r>
      <w:r>
        <w:rPr>
          <w:sz w:val="24"/>
        </w:rPr>
        <w:t>It had also been agreed that the timing of the Budget should not create a constraint on rate movements in March or April. On this </w:t>
      </w:r>
      <w:r>
        <w:rPr>
          <w:spacing w:val="-3"/>
          <w:sz w:val="24"/>
        </w:rPr>
        <w:t>view </w:t>
      </w:r>
      <w:r>
        <w:rPr>
          <w:sz w:val="24"/>
        </w:rPr>
        <w:t>a repo rate rise</w:t>
      </w:r>
      <w:r>
        <w:rPr>
          <w:spacing w:val="-20"/>
          <w:sz w:val="24"/>
        </w:rPr>
        <w:t> </w:t>
      </w:r>
      <w:r>
        <w:rPr>
          <w:sz w:val="24"/>
        </w:rPr>
        <w:t>of</w:t>
      </w:r>
    </w:p>
    <w:p>
      <w:pPr>
        <w:spacing w:line="242" w:lineRule="auto" w:before="28"/>
        <w:ind w:left="4940" w:right="190" w:firstLine="0"/>
        <w:jc w:val="left"/>
        <w:rPr>
          <w:sz w:val="24"/>
        </w:rPr>
      </w:pPr>
      <w:r>
        <w:rPr>
          <w:sz w:val="24"/>
        </w:rPr>
        <w:t>25 basis points was necessary. The Committee voted by six to three to leave the Bank’s repo rate unchanged</w:t>
      </w:r>
    </w:p>
    <w:p>
      <w:pPr>
        <w:spacing w:before="3"/>
        <w:ind w:left="4940" w:right="0" w:firstLine="0"/>
        <w:jc w:val="left"/>
        <w:rPr>
          <w:sz w:val="24"/>
        </w:rPr>
      </w:pPr>
      <w:r>
        <w:rPr>
          <w:sz w:val="24"/>
        </w:rPr>
        <w:t>at 6%.</w:t>
      </w:r>
    </w:p>
    <w:p>
      <w:pPr>
        <w:pStyle w:val="BodyText"/>
        <w:spacing w:before="7"/>
        <w:rPr>
          <w:sz w:val="24"/>
        </w:rPr>
      </w:pPr>
    </w:p>
    <w:p>
      <w:pPr>
        <w:spacing w:line="242" w:lineRule="auto" w:before="1"/>
        <w:ind w:left="4940" w:right="0" w:firstLine="0"/>
        <w:jc w:val="left"/>
        <w:rPr>
          <w:sz w:val="24"/>
        </w:rPr>
      </w:pPr>
      <w:r>
        <w:rPr>
          <w:sz w:val="24"/>
        </w:rPr>
        <w:t>At its meeting</w:t>
      </w:r>
      <w:hyperlink w:history="true" w:anchor="_bookmark55">
        <w:r>
          <w:rPr>
            <w:sz w:val="24"/>
          </w:rPr>
          <w:t> on 3–4 May,</w:t>
        </w:r>
      </w:hyperlink>
      <w:r>
        <w:rPr>
          <w:sz w:val="24"/>
        </w:rPr>
        <w:t> the Committee voted to leave the Bank’s repo rate unchanged at 6%.</w:t>
      </w:r>
    </w:p>
    <w:p>
      <w:pPr>
        <w:spacing w:after="0" w:line="242" w:lineRule="auto"/>
        <w:jc w:val="left"/>
        <w:rPr>
          <w:sz w:val="24"/>
        </w:rPr>
        <w:sectPr>
          <w:pgSz w:w="11900" w:h="16840"/>
          <w:pgMar w:header="586" w:footer="617" w:top="780" w:bottom="800" w:left="640" w:right="620"/>
        </w:sectPr>
      </w:pPr>
    </w:p>
    <w:p>
      <w:pPr>
        <w:pStyle w:val="BodyText"/>
        <w:spacing w:line="20" w:lineRule="exact"/>
        <w:ind w:left="13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0"/>
        </w:rPr>
      </w:pPr>
    </w:p>
    <w:p>
      <w:pPr>
        <w:pStyle w:val="BodyText"/>
        <w:spacing w:before="10"/>
        <w:rPr>
          <w:sz w:val="17"/>
        </w:rPr>
      </w:pPr>
      <w:r>
        <w:rPr/>
        <w:pict>
          <v:shape style="position:absolute;margin-left:40.090pt;margin-top:11.500977pt;width:516pt;height:48pt;mso-position-horizontal-relative:page;mso-position-vertical-relative:paragraph;z-index:-15143424;mso-wrap-distance-left:0;mso-wrap-distance-right:0" type="#_x0000_t202" filled="true" fillcolor="#cee2e0" stroked="false">
            <v:textbox inset="0,0,0,0">
              <w:txbxContent>
                <w:p>
                  <w:pPr>
                    <w:tabs>
                      <w:tab w:pos="5562" w:val="left" w:leader="none"/>
                    </w:tabs>
                    <w:spacing w:before="51"/>
                    <w:ind w:left="260" w:right="0" w:firstLine="0"/>
                    <w:jc w:val="left"/>
                    <w:rPr>
                      <w:b/>
                      <w:sz w:val="48"/>
                    </w:rPr>
                  </w:pPr>
                  <w:bookmarkStart w:name="Prospects for inflation" w:id="80"/>
                  <w:bookmarkEnd w:id="80"/>
                  <w:r>
                    <w:rPr/>
                  </w:r>
                  <w:bookmarkStart w:name="The inflation projection assumptions" w:id="81"/>
                  <w:bookmarkEnd w:id="81"/>
                  <w:r>
                    <w:rPr/>
                  </w:r>
                  <w:bookmarkStart w:name="_bookmark38" w:id="82"/>
                  <w:bookmarkEnd w:id="82"/>
                  <w:r>
                    <w:rPr/>
                  </w:r>
                  <w:bookmarkStart w:name="_bookmark39" w:id="83"/>
                  <w:bookmarkEnd w:id="83"/>
                  <w:r>
                    <w:rPr/>
                  </w:r>
                  <w:bookmarkStart w:name="_bookmark40" w:id="84"/>
                  <w:bookmarkEnd w:id="84"/>
                  <w:r>
                    <w:rPr/>
                  </w:r>
                  <w:r>
                    <w:rPr>
                      <w:b/>
                      <w:color w:val="009391"/>
                      <w:sz w:val="72"/>
                    </w:rPr>
                    <w:t>6</w:t>
                    <w:tab/>
                  </w:r>
                  <w:r>
                    <w:rPr>
                      <w:b/>
                      <w:color w:val="009391"/>
                      <w:sz w:val="48"/>
                    </w:rPr>
                    <w:t>Prospects </w:t>
                  </w:r>
                  <w:r>
                    <w:rPr>
                      <w:b/>
                      <w:color w:val="009391"/>
                      <w:spacing w:val="-5"/>
                      <w:sz w:val="48"/>
                    </w:rPr>
                    <w:t>for</w:t>
                  </w:r>
                  <w:r>
                    <w:rPr>
                      <w:b/>
                      <w:color w:val="009391"/>
                      <w:spacing w:val="-14"/>
                      <w:sz w:val="48"/>
                    </w:rPr>
                    <w:t> </w:t>
                  </w:r>
                  <w:r>
                    <w:rPr>
                      <w:b/>
                      <w:color w:val="009391"/>
                      <w:sz w:val="48"/>
                    </w:rPr>
                    <w:t>inflation</w:t>
                  </w:r>
                </w:p>
              </w:txbxContent>
            </v:textbox>
            <v:fill type="solid"/>
            <w10:wrap type="topAndBottom"/>
          </v:shape>
        </w:pict>
      </w:r>
    </w:p>
    <w:p>
      <w:pPr>
        <w:pStyle w:val="BodyText"/>
        <w:rPr>
          <w:sz w:val="20"/>
        </w:rPr>
      </w:pPr>
    </w:p>
    <w:p>
      <w:pPr>
        <w:pStyle w:val="BodyText"/>
        <w:spacing w:before="7"/>
        <w:rPr>
          <w:sz w:val="29"/>
        </w:rPr>
      </w:pPr>
    </w:p>
    <w:p>
      <w:pPr>
        <w:tabs>
          <w:tab w:pos="5851" w:val="left" w:leader="none"/>
          <w:tab w:pos="10459" w:val="left" w:leader="none"/>
        </w:tabs>
        <w:spacing w:before="89"/>
        <w:ind w:left="4960" w:right="0" w:firstLine="0"/>
        <w:jc w:val="left"/>
        <w:rPr>
          <w:b/>
          <w:sz w:val="28"/>
        </w:rPr>
      </w:pPr>
      <w:r>
        <w:rPr>
          <w:b/>
          <w:color w:val="009391"/>
          <w:sz w:val="28"/>
          <w:u w:val="thick" w:color="0092C7"/>
        </w:rPr>
        <w:t>6.1</w:t>
        <w:tab/>
        <w:t>The inflation projection</w:t>
      </w:r>
      <w:r>
        <w:rPr>
          <w:b/>
          <w:color w:val="009391"/>
          <w:spacing w:val="-38"/>
          <w:sz w:val="28"/>
          <w:u w:val="thick" w:color="0092C7"/>
        </w:rPr>
        <w:t> </w:t>
      </w:r>
      <w:r>
        <w:rPr>
          <w:b/>
          <w:color w:val="009391"/>
          <w:sz w:val="28"/>
          <w:u w:val="thick" w:color="0092C7"/>
        </w:rPr>
        <w:t>assumptions</w:t>
        <w:tab/>
      </w:r>
    </w:p>
    <w:p>
      <w:pPr>
        <w:pStyle w:val="BodyText"/>
        <w:spacing w:before="10"/>
        <w:rPr>
          <w:b/>
          <w:sz w:val="23"/>
        </w:rPr>
      </w:pPr>
    </w:p>
    <w:p>
      <w:pPr>
        <w:spacing w:line="242" w:lineRule="auto" w:before="1"/>
        <w:ind w:left="4959" w:right="252" w:firstLine="0"/>
        <w:jc w:val="left"/>
        <w:rPr>
          <w:sz w:val="24"/>
        </w:rPr>
      </w:pPr>
      <w:r>
        <w:rPr>
          <w:sz w:val="24"/>
        </w:rPr>
        <w:t>This </w:t>
      </w:r>
      <w:r>
        <w:rPr>
          <w:i/>
          <w:sz w:val="24"/>
        </w:rPr>
        <w:t>Report </w:t>
      </w:r>
      <w:r>
        <w:rPr>
          <w:sz w:val="24"/>
        </w:rPr>
        <w:t>was approved by the Committee on 5 </w:t>
      </w:r>
      <w:r>
        <w:rPr>
          <w:spacing w:val="-4"/>
          <w:sz w:val="24"/>
        </w:rPr>
        <w:t>May. </w:t>
      </w:r>
      <w:r>
        <w:rPr>
          <w:sz w:val="24"/>
        </w:rPr>
        <w:t>It contains the Committee’s assessment of </w:t>
      </w:r>
      <w:r>
        <w:rPr>
          <w:spacing w:val="-3"/>
          <w:sz w:val="24"/>
        </w:rPr>
        <w:t>developments </w:t>
      </w:r>
      <w:r>
        <w:rPr>
          <w:sz w:val="24"/>
        </w:rPr>
        <w:t>in the economy since February and prospects for the medium term.</w:t>
      </w:r>
      <w:hyperlink w:history="true" w:anchor="_bookmark42">
        <w:r>
          <w:rPr>
            <w:sz w:val="24"/>
          </w:rPr>
          <w:t> Charts 6.1</w:t>
        </w:r>
      </w:hyperlink>
      <w:r>
        <w:rPr>
          <w:sz w:val="24"/>
        </w:rPr>
        <w:t> and </w:t>
      </w:r>
      <w:hyperlink w:history="true" w:anchor="_bookmark43">
        <w:r>
          <w:rPr>
            <w:sz w:val="24"/>
          </w:rPr>
          <w:t>6.2</w:t>
        </w:r>
      </w:hyperlink>
      <w:r>
        <w:rPr>
          <w:sz w:val="24"/>
        </w:rPr>
        <w:t> below show projections of GDP growth and RPIX inflation </w:t>
      </w:r>
      <w:r>
        <w:rPr>
          <w:spacing w:val="-3"/>
          <w:sz w:val="24"/>
        </w:rPr>
        <w:t>over </w:t>
      </w:r>
      <w:r>
        <w:rPr>
          <w:sz w:val="24"/>
        </w:rPr>
        <w:t>the next two years, together with the uncertainties surrounding them. These projections are based on the assumption that the </w:t>
      </w:r>
      <w:r>
        <w:rPr>
          <w:spacing w:val="-3"/>
          <w:sz w:val="24"/>
        </w:rPr>
        <w:t>Bank’s </w:t>
      </w:r>
      <w:r>
        <w:rPr>
          <w:sz w:val="24"/>
        </w:rPr>
        <w:t>repo rate remains unchanged at 6% during the next two years. Projections based on market interest rate expectations are also shown. The </w:t>
      </w:r>
      <w:r>
        <w:rPr>
          <w:spacing w:val="-3"/>
          <w:sz w:val="24"/>
        </w:rPr>
        <w:t>key </w:t>
      </w:r>
      <w:r>
        <w:rPr>
          <w:sz w:val="24"/>
        </w:rPr>
        <w:t>assumptions conditioning the projections are described </w:t>
      </w:r>
      <w:r>
        <w:rPr>
          <w:spacing w:val="-5"/>
          <w:sz w:val="24"/>
        </w:rPr>
        <w:t>below.</w:t>
      </w:r>
    </w:p>
    <w:p>
      <w:pPr>
        <w:pStyle w:val="BodyText"/>
        <w:spacing w:before="7"/>
        <w:rPr>
          <w:sz w:val="25"/>
        </w:rPr>
      </w:pPr>
    </w:p>
    <w:p>
      <w:pPr>
        <w:spacing w:line="242" w:lineRule="auto" w:before="0"/>
        <w:ind w:left="4959" w:right="207" w:firstLine="0"/>
        <w:jc w:val="left"/>
        <w:rPr>
          <w:sz w:val="24"/>
        </w:rPr>
      </w:pPr>
      <w:r>
        <w:rPr>
          <w:sz w:val="24"/>
        </w:rPr>
        <w:t>The outlook for world activity has strengthened further since February. Momentum in the United States </w:t>
      </w:r>
      <w:r>
        <w:rPr>
          <w:spacing w:val="-3"/>
          <w:sz w:val="24"/>
        </w:rPr>
        <w:t>remains </w:t>
      </w:r>
      <w:r>
        <w:rPr>
          <w:sz w:val="24"/>
        </w:rPr>
        <w:t>rapid, with growth in recent months substantially exceeding earlier expectations. Although higher interest rates and a fading impulse from earlier gains in equity prices are likely to dampen growth in the quarters ahead, the level of output over the next two years is likely to be higher than projected in February. Prospects for output growth in the euro area continue to improve. Rising business and consumer confidence are signalling further strengthening of domestic demand, and external demand should also support </w:t>
      </w:r>
      <w:r>
        <w:rPr>
          <w:spacing w:val="-3"/>
          <w:sz w:val="24"/>
        </w:rPr>
        <w:t>activity, </w:t>
      </w:r>
      <w:r>
        <w:rPr>
          <w:sz w:val="24"/>
        </w:rPr>
        <w:t>partly because of the depreciation in the euro.  The recovery in many emerging market economies continues to strengthen, with particularly rapid growth in South East</w:t>
      </w:r>
      <w:r>
        <w:rPr>
          <w:spacing w:val="-22"/>
          <w:sz w:val="24"/>
        </w:rPr>
        <w:t> </w:t>
      </w:r>
      <w:r>
        <w:rPr>
          <w:sz w:val="24"/>
        </w:rPr>
        <w:t>Asia.</w:t>
      </w:r>
    </w:p>
    <w:p>
      <w:pPr>
        <w:spacing w:line="242" w:lineRule="auto" w:before="19"/>
        <w:ind w:left="4959" w:right="281" w:firstLine="0"/>
        <w:jc w:val="left"/>
        <w:rPr>
          <w:sz w:val="24"/>
        </w:rPr>
      </w:pPr>
      <w:r>
        <w:rPr>
          <w:spacing w:val="-4"/>
          <w:sz w:val="24"/>
        </w:rPr>
        <w:t>However, </w:t>
      </w:r>
      <w:r>
        <w:rPr>
          <w:sz w:val="24"/>
        </w:rPr>
        <w:t>prospects in Japan </w:t>
      </w:r>
      <w:r>
        <w:rPr>
          <w:spacing w:val="-3"/>
          <w:sz w:val="24"/>
        </w:rPr>
        <w:t>have </w:t>
      </w:r>
      <w:r>
        <w:rPr>
          <w:sz w:val="24"/>
        </w:rPr>
        <w:t>altered little over the past three months. A mild recovery in output remains the most likely outcome over the next two years, but self-sustaining growth in </w:t>
      </w:r>
      <w:r>
        <w:rPr>
          <w:spacing w:val="-3"/>
          <w:sz w:val="24"/>
        </w:rPr>
        <w:t>private </w:t>
      </w:r>
      <w:r>
        <w:rPr>
          <w:sz w:val="24"/>
        </w:rPr>
        <w:t>demand is not yet firmly established. </w:t>
      </w:r>
      <w:r>
        <w:rPr>
          <w:spacing w:val="-4"/>
          <w:sz w:val="24"/>
        </w:rPr>
        <w:t>Taking </w:t>
      </w:r>
      <w:r>
        <w:rPr>
          <w:sz w:val="24"/>
        </w:rPr>
        <w:t>these developments </w:t>
      </w:r>
      <w:r>
        <w:rPr>
          <w:spacing w:val="-4"/>
          <w:sz w:val="24"/>
        </w:rPr>
        <w:t>together, </w:t>
      </w:r>
      <w:r>
        <w:rPr>
          <w:sz w:val="24"/>
        </w:rPr>
        <w:t>the most likely prospect is for more rapid growth in world output and trade than assumed in</w:t>
      </w:r>
      <w:r>
        <w:rPr>
          <w:spacing w:val="-8"/>
          <w:sz w:val="24"/>
        </w:rPr>
        <w:t> </w:t>
      </w:r>
      <w:r>
        <w:rPr>
          <w:sz w:val="24"/>
        </w:rPr>
        <w:t>February.</w:t>
      </w:r>
    </w:p>
    <w:p>
      <w:pPr>
        <w:spacing w:line="242" w:lineRule="auto" w:before="9"/>
        <w:ind w:left="4959" w:right="148" w:firstLine="0"/>
        <w:jc w:val="left"/>
        <w:rPr>
          <w:sz w:val="24"/>
        </w:rPr>
      </w:pPr>
      <w:r>
        <w:rPr>
          <w:sz w:val="24"/>
        </w:rPr>
        <w:t>Growth in UK-weighted world imports may rise to around 8</w:t>
      </w:r>
      <w:r>
        <w:rPr>
          <w:position w:val="8"/>
          <w:sz w:val="12"/>
        </w:rPr>
        <w:t>1</w:t>
      </w:r>
      <w:r>
        <w:rPr>
          <w:sz w:val="24"/>
        </w:rPr>
        <w:t>/</w:t>
      </w:r>
      <w:r>
        <w:rPr>
          <w:sz w:val="12"/>
        </w:rPr>
        <w:t>2</w:t>
      </w:r>
      <w:r>
        <w:rPr>
          <w:sz w:val="24"/>
        </w:rPr>
        <w:t>% this year, from 6% in 1999. World trade growth may then ease back somewhat in 2001 as demand growth, particularly in the United States, slows in response to tighter policy.</w:t>
      </w:r>
    </w:p>
    <w:p>
      <w:pPr>
        <w:pStyle w:val="BodyText"/>
        <w:spacing w:before="10"/>
        <w:rPr>
          <w:sz w:val="24"/>
        </w:rPr>
      </w:pPr>
    </w:p>
    <w:p>
      <w:pPr>
        <w:spacing w:line="242" w:lineRule="auto" w:before="0"/>
        <w:ind w:left="4959" w:right="709" w:firstLine="0"/>
        <w:jc w:val="left"/>
        <w:rPr>
          <w:sz w:val="24"/>
        </w:rPr>
      </w:pPr>
      <w:r>
        <w:rPr>
          <w:sz w:val="24"/>
        </w:rPr>
        <w:t>The Committee has raised the central projection for world activity in successive </w:t>
      </w:r>
      <w:r>
        <w:rPr>
          <w:i/>
          <w:sz w:val="24"/>
        </w:rPr>
        <w:t>Reports </w:t>
      </w:r>
      <w:r>
        <w:rPr>
          <w:sz w:val="24"/>
        </w:rPr>
        <w:t>as the global</w:t>
      </w:r>
    </w:p>
    <w:p>
      <w:pPr>
        <w:spacing w:after="0" w:line="242" w:lineRule="auto"/>
        <w:jc w:val="left"/>
        <w:rPr>
          <w:sz w:val="24"/>
        </w:rPr>
        <w:sectPr>
          <w:headerReference w:type="even" r:id="rId185"/>
          <w:footerReference w:type="even" r:id="rId186"/>
          <w:footerReference w:type="default" r:id="rId187"/>
          <w:pgSz w:w="11900" w:h="16840"/>
          <w:pgMar w:header="0" w:footer="597" w:top="780" w:bottom="780" w:left="640" w:right="620"/>
          <w:pgNumType w:start="50"/>
        </w:sectPr>
      </w:pPr>
    </w:p>
    <w:p>
      <w:pPr>
        <w:pStyle w:val="BodyText"/>
        <w:rPr>
          <w:sz w:val="20"/>
        </w:rPr>
      </w:pPr>
    </w:p>
    <w:p>
      <w:pPr>
        <w:spacing w:line="242" w:lineRule="auto" w:before="207"/>
        <w:ind w:left="4945" w:right="202" w:firstLine="0"/>
        <w:jc w:val="left"/>
        <w:rPr>
          <w:sz w:val="24"/>
        </w:rPr>
      </w:pPr>
      <w:r>
        <w:rPr>
          <w:sz w:val="24"/>
        </w:rPr>
        <w:t>recovery has gathered pace. However, there remain a number of risks to the projection, and the Committee continues to judge that the risks to activity are weighted to the downside. A sharper-than-expected slowdown in the United States, perhaps in response to a marked fall in equity prices, is one such risk. A substantial change in US asset prices might also spill over to other financial markets, including in the United Kingdom.</w:t>
      </w:r>
    </w:p>
    <w:p>
      <w:pPr>
        <w:pStyle w:val="BodyText"/>
        <w:spacing w:before="3"/>
        <w:rPr>
          <w:sz w:val="25"/>
        </w:rPr>
      </w:pPr>
    </w:p>
    <w:p>
      <w:pPr>
        <w:spacing w:line="242" w:lineRule="auto" w:before="0"/>
        <w:ind w:left="4945" w:right="381" w:firstLine="0"/>
        <w:jc w:val="left"/>
        <w:rPr>
          <w:sz w:val="24"/>
        </w:rPr>
      </w:pPr>
      <w:r>
        <w:rPr>
          <w:sz w:val="24"/>
        </w:rPr>
        <w:t>Commodity prices in the first quarter of the year were higher than projected three months ago. Oil prices rose sharply in January and February as stocks were run down further and the previous restraints on OPEC production were maintained. The price of Brent crude peaked at more than $ 30 per barrel in early March.</w:t>
      </w:r>
    </w:p>
    <w:p>
      <w:pPr>
        <w:spacing w:line="242" w:lineRule="auto" w:before="7"/>
        <w:ind w:left="4945" w:right="389" w:firstLine="0"/>
        <w:jc w:val="left"/>
        <w:rPr>
          <w:sz w:val="24"/>
        </w:rPr>
      </w:pPr>
      <w:r>
        <w:rPr>
          <w:sz w:val="24"/>
        </w:rPr>
        <w:t>More recently, oil prices have fallen back substantially as OPEC announced an easing of supply restrictions. The Committee has maintained the assumption that the</w:t>
      </w:r>
    </w:p>
    <w:p>
      <w:pPr>
        <w:spacing w:line="242" w:lineRule="auto" w:before="4"/>
        <w:ind w:left="4945" w:right="184" w:firstLine="0"/>
        <w:jc w:val="left"/>
        <w:rPr>
          <w:sz w:val="24"/>
        </w:rPr>
      </w:pPr>
      <w:r>
        <w:rPr>
          <w:sz w:val="24"/>
        </w:rPr>
        <w:t>Brent price will fall back towards $ 18 per barrel by</w:t>
      </w:r>
      <w:r>
        <w:rPr>
          <w:spacing w:val="-19"/>
          <w:sz w:val="24"/>
        </w:rPr>
        <w:t> </w:t>
      </w:r>
      <w:r>
        <w:rPr>
          <w:spacing w:val="-3"/>
          <w:sz w:val="24"/>
        </w:rPr>
        <w:t>early </w:t>
      </w:r>
      <w:r>
        <w:rPr>
          <w:sz w:val="24"/>
        </w:rPr>
        <w:t>2002, although the trajectory has been raised a little reflecting the higher starting-position. Industrial commodity prices </w:t>
      </w:r>
      <w:r>
        <w:rPr>
          <w:spacing w:val="-3"/>
          <w:sz w:val="24"/>
        </w:rPr>
        <w:t>have </w:t>
      </w:r>
      <w:r>
        <w:rPr>
          <w:sz w:val="24"/>
        </w:rPr>
        <w:t>risen more quickly than  projected three months ago, more than outweighing weaker-than-expected food prices. The stronger profile for world output is likely to lead to somewhat</w:t>
      </w:r>
      <w:r>
        <w:rPr>
          <w:spacing w:val="-7"/>
          <w:sz w:val="24"/>
        </w:rPr>
        <w:t> </w:t>
      </w:r>
      <w:r>
        <w:rPr>
          <w:sz w:val="24"/>
        </w:rPr>
        <w:t>higher</w:t>
      </w:r>
    </w:p>
    <w:p>
      <w:pPr>
        <w:spacing w:line="242" w:lineRule="auto" w:before="9"/>
        <w:ind w:left="4945" w:right="0" w:firstLine="0"/>
        <w:jc w:val="left"/>
        <w:rPr>
          <w:sz w:val="24"/>
        </w:rPr>
      </w:pPr>
      <w:r>
        <w:rPr>
          <w:sz w:val="24"/>
        </w:rPr>
        <w:t>non-oil commodity prices over the next two years than assumed in February.</w:t>
      </w:r>
    </w:p>
    <w:p>
      <w:pPr>
        <w:pStyle w:val="BodyText"/>
        <w:spacing w:before="6"/>
        <w:rPr>
          <w:sz w:val="24"/>
        </w:rPr>
      </w:pPr>
    </w:p>
    <w:p>
      <w:pPr>
        <w:tabs>
          <w:tab w:pos="5996" w:val="left" w:leader="none"/>
          <w:tab w:pos="6858" w:val="left" w:leader="none"/>
        </w:tabs>
        <w:spacing w:line="242" w:lineRule="auto" w:before="1"/>
        <w:ind w:left="4945" w:right="233" w:firstLine="0"/>
        <w:jc w:val="left"/>
        <w:rPr>
          <w:sz w:val="24"/>
        </w:rPr>
      </w:pPr>
      <w:r>
        <w:rPr>
          <w:sz w:val="24"/>
        </w:rPr>
        <w:t>Import prices in the United Kingdom reflect a number </w:t>
      </w:r>
      <w:r>
        <w:rPr>
          <w:spacing w:val="-9"/>
          <w:sz w:val="24"/>
        </w:rPr>
        <w:t>of </w:t>
      </w:r>
      <w:r>
        <w:rPr>
          <w:sz w:val="24"/>
        </w:rPr>
        <w:t>influences: the prices of commodities and of internationally traded goods and services set in world markets;</w:t>
        <w:tab/>
        <w:t>the profit margin on overseas sales to the United Kingdom;</w:t>
        <w:tab/>
        <w:t>and the sterling exchange rate. In local currency terms, export prices of the major overseas countries edged up during 1999, after falling in the second half of 1998. Reflecting the stronger outlook for world </w:t>
      </w:r>
      <w:r>
        <w:rPr>
          <w:spacing w:val="-4"/>
          <w:sz w:val="24"/>
        </w:rPr>
        <w:t>activity, </w:t>
      </w:r>
      <w:r>
        <w:rPr>
          <w:sz w:val="24"/>
        </w:rPr>
        <w:t>the Committee expects overseas export prices to rise a little more quickly than projected in February, although global inflation is likely to remain </w:t>
      </w:r>
      <w:r>
        <w:rPr>
          <w:spacing w:val="-6"/>
          <w:sz w:val="24"/>
        </w:rPr>
        <w:t>low. </w:t>
      </w:r>
      <w:r>
        <w:rPr>
          <w:sz w:val="24"/>
        </w:rPr>
        <w:t>Given the levels of world export prices and the sterling effective exchange rate, import prices </w:t>
      </w:r>
      <w:r>
        <w:rPr>
          <w:spacing w:val="-3"/>
          <w:sz w:val="24"/>
        </w:rPr>
        <w:t>have </w:t>
      </w:r>
      <w:r>
        <w:rPr>
          <w:sz w:val="24"/>
        </w:rPr>
        <w:t>been rather higher in recent quarters than previous relationships would </w:t>
      </w:r>
      <w:r>
        <w:rPr>
          <w:spacing w:val="-3"/>
          <w:sz w:val="24"/>
        </w:rPr>
        <w:t>imply. </w:t>
      </w:r>
      <w:r>
        <w:rPr>
          <w:sz w:val="24"/>
        </w:rPr>
        <w:t>That suggests that foreign suppliers may </w:t>
      </w:r>
      <w:r>
        <w:rPr>
          <w:spacing w:val="-3"/>
          <w:sz w:val="24"/>
        </w:rPr>
        <w:t>have </w:t>
      </w:r>
      <w:r>
        <w:rPr>
          <w:sz w:val="24"/>
        </w:rPr>
        <w:t>widened margins on sales to the United Kingdom. Reviewing the evidence on the relationship between world prices, the exchange rate and UK import prices, the Committee judged that this widening is likely to be temporary. Margins are expected to fall back over the next two years, putting downward pressure on import prices and domestic inflation.</w:t>
      </w:r>
    </w:p>
    <w:p>
      <w:pPr>
        <w:spacing w:after="0" w:line="242" w:lineRule="auto"/>
        <w:jc w:val="left"/>
        <w:rPr>
          <w:sz w:val="24"/>
        </w:rPr>
        <w:sectPr>
          <w:headerReference w:type="even" r:id="rId188"/>
          <w:headerReference w:type="default" r:id="rId189"/>
          <w:pgSz w:w="11900" w:h="16840"/>
          <w:pgMar w:header="586" w:footer="597" w:top="780" w:bottom="800" w:left="640" w:right="620"/>
        </w:sectPr>
      </w:pPr>
    </w:p>
    <w:p>
      <w:pPr>
        <w:pStyle w:val="BodyText"/>
        <w:rPr>
          <w:sz w:val="20"/>
        </w:rPr>
      </w:pPr>
    </w:p>
    <w:p>
      <w:pPr>
        <w:spacing w:line="242" w:lineRule="auto" w:before="217"/>
        <w:ind w:left="4974" w:right="205" w:firstLine="0"/>
        <w:jc w:val="left"/>
        <w:rPr>
          <w:sz w:val="24"/>
        </w:rPr>
      </w:pPr>
      <w:r>
        <w:rPr>
          <w:sz w:val="24"/>
        </w:rPr>
        <w:t>The sterling exchange rate has remained very strong over the past three months. The effective exchange rate index (ERI) averaged 110.7 in the 15 working days up </w:t>
      </w:r>
      <w:r>
        <w:rPr>
          <w:spacing w:val="-8"/>
          <w:sz w:val="24"/>
        </w:rPr>
        <w:t>to </w:t>
      </w:r>
      <w:r>
        <w:rPr>
          <w:sz w:val="24"/>
        </w:rPr>
        <w:t>and including 3 </w:t>
      </w:r>
      <w:r>
        <w:rPr>
          <w:spacing w:val="-4"/>
          <w:sz w:val="24"/>
        </w:rPr>
        <w:t>May, </w:t>
      </w:r>
      <w:r>
        <w:rPr>
          <w:sz w:val="24"/>
        </w:rPr>
        <w:t>consistent with bilateral sterling exchange rates of $ 1.58 and 59 pence against the euro. This forms the starting-point for the exchange rate profile assumed in the current projection. It is higher than the starting-point of 109.4 in the February </w:t>
      </w:r>
      <w:r>
        <w:rPr>
          <w:i/>
          <w:sz w:val="24"/>
        </w:rPr>
        <w:t>Report </w:t>
      </w:r>
      <w:r>
        <w:rPr>
          <w:sz w:val="24"/>
        </w:rPr>
        <w:t>and an implied level of 109.1 for May in the February central</w:t>
      </w:r>
      <w:r>
        <w:rPr>
          <w:spacing w:val="-1"/>
          <w:sz w:val="24"/>
        </w:rPr>
        <w:t> </w:t>
      </w:r>
      <w:r>
        <w:rPr>
          <w:sz w:val="24"/>
        </w:rPr>
        <w:t>projection.</w:t>
      </w:r>
    </w:p>
    <w:p>
      <w:pPr>
        <w:pStyle w:val="BodyText"/>
        <w:spacing w:before="5"/>
        <w:rPr>
          <w:sz w:val="25"/>
        </w:rPr>
      </w:pPr>
    </w:p>
    <w:p>
      <w:pPr>
        <w:spacing w:line="242" w:lineRule="auto" w:before="0"/>
        <w:ind w:left="4974" w:right="465" w:firstLine="0"/>
        <w:jc w:val="left"/>
        <w:rPr>
          <w:sz w:val="24"/>
        </w:rPr>
      </w:pPr>
      <w:r>
        <w:rPr>
          <w:sz w:val="24"/>
        </w:rPr>
        <w:t>The outlook for the exchange rate remains highly uncertain. In particular, there is a risk of a sharp correction to the sterling-euro exchange rate, </w:t>
      </w:r>
      <w:r>
        <w:rPr>
          <w:spacing w:val="-3"/>
          <w:sz w:val="24"/>
        </w:rPr>
        <w:t>although </w:t>
      </w:r>
      <w:r>
        <w:rPr>
          <w:sz w:val="24"/>
        </w:rPr>
        <w:t>the difficulty of anticipating both the timing and extent of any such correction means that the risk is not reflected in the fan charts. In line with</w:t>
      </w:r>
      <w:r>
        <w:rPr>
          <w:spacing w:val="-28"/>
          <w:sz w:val="24"/>
        </w:rPr>
        <w:t> </w:t>
      </w:r>
      <w:r>
        <w:rPr>
          <w:sz w:val="24"/>
        </w:rPr>
        <w:t>recent</w:t>
      </w:r>
    </w:p>
    <w:p>
      <w:pPr>
        <w:spacing w:line="242" w:lineRule="auto" w:before="8"/>
        <w:ind w:left="4974" w:right="349" w:firstLine="0"/>
        <w:jc w:val="left"/>
        <w:rPr>
          <w:sz w:val="24"/>
        </w:rPr>
      </w:pPr>
      <w:r>
        <w:rPr>
          <w:i/>
          <w:sz w:val="24"/>
        </w:rPr>
        <w:t>Reports</w:t>
      </w:r>
      <w:r>
        <w:rPr>
          <w:sz w:val="24"/>
        </w:rPr>
        <w:t>, the Committee agreed to take the average of a constant nominal rate and a path related to the pattern of market interest rate differentials as the basis for</w:t>
      </w:r>
    </w:p>
    <w:p>
      <w:pPr>
        <w:spacing w:line="242" w:lineRule="auto" w:before="4"/>
        <w:ind w:left="4974" w:right="526" w:firstLine="0"/>
        <w:jc w:val="left"/>
        <w:rPr>
          <w:sz w:val="24"/>
        </w:rPr>
      </w:pPr>
      <w:r>
        <w:rPr>
          <w:sz w:val="24"/>
        </w:rPr>
        <w:t>the central projection. Under this approach, and adjusting for the conditioning assumption of constant UK interest rates, the sterling ERI declines to 108.9</w:t>
      </w:r>
    </w:p>
    <w:p>
      <w:pPr>
        <w:spacing w:line="242" w:lineRule="auto" w:before="4"/>
        <w:ind w:left="4974" w:right="286" w:firstLine="0"/>
        <w:jc w:val="left"/>
        <w:rPr>
          <w:sz w:val="24"/>
        </w:rPr>
      </w:pPr>
      <w:r>
        <w:rPr>
          <w:sz w:val="24"/>
        </w:rPr>
        <w:t>by 2002 Q2, consistent with bilateral sterling exchange rates</w:t>
      </w:r>
      <w:r>
        <w:rPr>
          <w:spacing w:val="-6"/>
          <w:sz w:val="24"/>
        </w:rPr>
        <w:t> </w:t>
      </w:r>
      <w:r>
        <w:rPr>
          <w:sz w:val="24"/>
        </w:rPr>
        <w:t>of</w:t>
      </w:r>
      <w:r>
        <w:rPr>
          <w:spacing w:val="-5"/>
          <w:sz w:val="24"/>
        </w:rPr>
        <w:t> </w:t>
      </w:r>
      <w:r>
        <w:rPr>
          <w:sz w:val="24"/>
        </w:rPr>
        <w:t>$</w:t>
      </w:r>
      <w:r>
        <w:rPr>
          <w:spacing w:val="-11"/>
          <w:sz w:val="24"/>
        </w:rPr>
        <w:t> </w:t>
      </w:r>
      <w:r>
        <w:rPr>
          <w:sz w:val="24"/>
        </w:rPr>
        <w:t>1.58</w:t>
      </w:r>
      <w:r>
        <w:rPr>
          <w:spacing w:val="-5"/>
          <w:sz w:val="24"/>
        </w:rPr>
        <w:t> </w:t>
      </w:r>
      <w:r>
        <w:rPr>
          <w:sz w:val="24"/>
        </w:rPr>
        <w:t>and</w:t>
      </w:r>
      <w:r>
        <w:rPr>
          <w:spacing w:val="-6"/>
          <w:sz w:val="24"/>
        </w:rPr>
        <w:t> </w:t>
      </w:r>
      <w:r>
        <w:rPr>
          <w:sz w:val="24"/>
        </w:rPr>
        <w:t>61</w:t>
      </w:r>
      <w:r>
        <w:rPr>
          <w:spacing w:val="-5"/>
          <w:sz w:val="24"/>
        </w:rPr>
        <w:t> </w:t>
      </w:r>
      <w:r>
        <w:rPr>
          <w:sz w:val="24"/>
        </w:rPr>
        <w:t>pence</w:t>
      </w:r>
      <w:r>
        <w:rPr>
          <w:spacing w:val="-5"/>
          <w:sz w:val="24"/>
        </w:rPr>
        <w:t> </w:t>
      </w:r>
      <w:r>
        <w:rPr>
          <w:sz w:val="24"/>
        </w:rPr>
        <w:t>against</w:t>
      </w:r>
      <w:r>
        <w:rPr>
          <w:spacing w:val="-6"/>
          <w:sz w:val="24"/>
        </w:rPr>
        <w:t> </w:t>
      </w:r>
      <w:r>
        <w:rPr>
          <w:sz w:val="24"/>
        </w:rPr>
        <w:t>the</w:t>
      </w:r>
      <w:r>
        <w:rPr>
          <w:spacing w:val="-5"/>
          <w:sz w:val="24"/>
        </w:rPr>
        <w:t> </w:t>
      </w:r>
      <w:r>
        <w:rPr>
          <w:sz w:val="24"/>
        </w:rPr>
        <w:t>euro</w:t>
      </w:r>
      <w:r>
        <w:rPr>
          <w:spacing w:val="-5"/>
          <w:sz w:val="24"/>
        </w:rPr>
        <w:t> </w:t>
      </w:r>
      <w:r>
        <w:rPr>
          <w:sz w:val="24"/>
        </w:rPr>
        <w:t>(equivalent to DM3.35). That is a slightly more gradual decline than in February. If, alternatively, the central projection were based on the assumption that the exchange rate moves fully in line with interest rate differentials, inflation at the two-year horizon would be</w:t>
      </w:r>
      <w:r>
        <w:rPr>
          <w:spacing w:val="-2"/>
          <w:sz w:val="24"/>
        </w:rPr>
        <w:t> </w:t>
      </w:r>
      <w:r>
        <w:rPr>
          <w:sz w:val="24"/>
        </w:rPr>
        <w:t>some</w:t>
      </w:r>
    </w:p>
    <w:p>
      <w:pPr>
        <w:spacing w:line="242" w:lineRule="auto" w:before="8"/>
        <w:ind w:left="4974" w:right="190" w:firstLine="0"/>
        <w:jc w:val="left"/>
        <w:rPr>
          <w:sz w:val="24"/>
        </w:rPr>
      </w:pPr>
      <w:r>
        <w:rPr>
          <w:sz w:val="24"/>
        </w:rPr>
        <w:t>0.2 percentage points higher than in the central projection. Output growth would also be rather stronger.</w:t>
      </w:r>
    </w:p>
    <w:p>
      <w:pPr>
        <w:spacing w:before="3"/>
        <w:ind w:left="4974" w:right="0" w:firstLine="0"/>
        <w:jc w:val="left"/>
        <w:rPr>
          <w:sz w:val="24"/>
        </w:rPr>
      </w:pPr>
      <w:r>
        <w:rPr>
          <w:sz w:val="24"/>
        </w:rPr>
        <w:t>On the other hand, basing the projection on a</w:t>
      </w:r>
    </w:p>
    <w:p>
      <w:pPr>
        <w:spacing w:line="242" w:lineRule="auto" w:before="4"/>
        <w:ind w:left="4974" w:right="403" w:firstLine="0"/>
        <w:jc w:val="left"/>
        <w:rPr>
          <w:sz w:val="24"/>
        </w:rPr>
      </w:pPr>
      <w:r>
        <w:rPr>
          <w:sz w:val="24"/>
        </w:rPr>
        <w:t>constant nominal exchange rate would reduce</w:t>
      </w:r>
      <w:r>
        <w:rPr>
          <w:spacing w:val="-21"/>
          <w:sz w:val="24"/>
        </w:rPr>
        <w:t> </w:t>
      </w:r>
      <w:r>
        <w:rPr>
          <w:sz w:val="24"/>
        </w:rPr>
        <w:t>inflation by some 0.2 percentage points at the two-year horizon, and GDP growth would be correspondingly </w:t>
      </w:r>
      <w:r>
        <w:rPr>
          <w:spacing w:val="-3"/>
          <w:sz w:val="24"/>
        </w:rPr>
        <w:t>weaker.</w:t>
      </w:r>
    </w:p>
    <w:p>
      <w:pPr>
        <w:pStyle w:val="BodyText"/>
        <w:spacing w:before="9"/>
        <w:rPr>
          <w:sz w:val="24"/>
        </w:rPr>
      </w:pPr>
    </w:p>
    <w:p>
      <w:pPr>
        <w:spacing w:line="242" w:lineRule="auto" w:before="0"/>
        <w:ind w:left="4974" w:right="237" w:firstLine="0"/>
        <w:jc w:val="left"/>
        <w:rPr>
          <w:sz w:val="24"/>
        </w:rPr>
      </w:pPr>
      <w:r>
        <w:rPr>
          <w:sz w:val="24"/>
        </w:rPr>
        <w:t>Financial wealth is an important influence on household consumption. The ONS has recently made significant downward revisions to estimates of household financial wealth. Over the forecast period, financial wealth is extrapolated from the latest ONS estimate in line with changes in equity prices. Stock markets have been quite volatile over the past three months, but overall have declined only slightly. In the 15 working days to 3 May, the FTSE All-Share index was some 1</w:t>
      </w:r>
      <w:r>
        <w:rPr>
          <w:position w:val="8"/>
          <w:sz w:val="12"/>
        </w:rPr>
        <w:t>1</w:t>
      </w:r>
      <w:r>
        <w:rPr>
          <w:sz w:val="24"/>
        </w:rPr>
        <w:t>/</w:t>
      </w:r>
      <w:r>
        <w:rPr>
          <w:sz w:val="12"/>
        </w:rPr>
        <w:t>2</w:t>
      </w:r>
      <w:r>
        <w:rPr>
          <w:sz w:val="24"/>
        </w:rPr>
        <w:t>% lower than the central path assumed three months ago. The Committee has maintained the central case assumption that equity wealth rises from the current level in line with nominal GDP over the forecast period.</w:t>
      </w:r>
    </w:p>
    <w:p>
      <w:pPr>
        <w:spacing w:after="0" w:line="242" w:lineRule="auto"/>
        <w:jc w:val="left"/>
        <w:rPr>
          <w:sz w:val="24"/>
        </w:rPr>
        <w:sectPr>
          <w:footerReference w:type="even" r:id="rId190"/>
          <w:footerReference w:type="default" r:id="rId191"/>
          <w:pgSz w:w="11900" w:h="16840"/>
          <w:pgMar w:footer="597" w:header="586" w:top="780" w:bottom="780" w:left="640" w:right="620"/>
          <w:pgNumType w:start="52"/>
        </w:sectPr>
      </w:pPr>
    </w:p>
    <w:p>
      <w:pPr>
        <w:pStyle w:val="BodyText"/>
        <w:rPr>
          <w:sz w:val="20"/>
        </w:rPr>
      </w:pPr>
    </w:p>
    <w:p>
      <w:pPr>
        <w:spacing w:line="242" w:lineRule="auto" w:before="217"/>
        <w:ind w:left="4965" w:right="295" w:firstLine="0"/>
        <w:jc w:val="left"/>
        <w:rPr>
          <w:sz w:val="24"/>
        </w:rPr>
      </w:pPr>
      <w:bookmarkStart w:name="The output and inflation projections" w:id="85"/>
      <w:bookmarkEnd w:id="85"/>
      <w:r>
        <w:rPr/>
      </w:r>
      <w:bookmarkStart w:name="_bookmark41" w:id="86"/>
      <w:bookmarkEnd w:id="86"/>
      <w:r>
        <w:rPr/>
      </w:r>
      <w:r>
        <w:rPr>
          <w:sz w:val="24"/>
        </w:rPr>
        <w:t>Housing wealth also has a significant influence on consumer spending. House prices nationally have continued to rise swiftly, although there are some tentative signs that the rate of increase may be moderating. The Committee continues to expect house price inflation to ease, partly in response to recent increases in interest rates, but judges that the deceleration in prices may be less pronounced than estimated three months ago. The central assumption is that annual house price inflation will remain in double figures through this year, but will decline to around 8% by the end of 2001.</w:t>
      </w:r>
    </w:p>
    <w:p>
      <w:pPr>
        <w:pStyle w:val="BodyText"/>
        <w:spacing w:before="8"/>
        <w:rPr>
          <w:sz w:val="25"/>
        </w:rPr>
      </w:pPr>
    </w:p>
    <w:p>
      <w:pPr>
        <w:spacing w:line="242" w:lineRule="auto" w:before="0"/>
        <w:ind w:left="4965" w:right="269" w:firstLine="0"/>
        <w:jc w:val="left"/>
        <w:rPr>
          <w:sz w:val="24"/>
        </w:rPr>
      </w:pPr>
      <w:r>
        <w:rPr>
          <w:sz w:val="24"/>
        </w:rPr>
        <w:t>The fiscal plans announced by the Chancellor in the Budget statement on 21 March </w:t>
      </w:r>
      <w:r>
        <w:rPr>
          <w:spacing w:val="-3"/>
          <w:sz w:val="24"/>
        </w:rPr>
        <w:t>have </w:t>
      </w:r>
      <w:r>
        <w:rPr>
          <w:sz w:val="24"/>
        </w:rPr>
        <w:t>been incorporated into the forecast. The central projection is based on the </w:t>
      </w:r>
      <w:r>
        <w:rPr>
          <w:spacing w:val="-3"/>
          <w:sz w:val="24"/>
        </w:rPr>
        <w:t>government’s </w:t>
      </w:r>
      <w:r>
        <w:rPr>
          <w:sz w:val="24"/>
        </w:rPr>
        <w:t>plans for the growth of nominal public spending, and estimates of </w:t>
      </w:r>
      <w:r>
        <w:rPr>
          <w:spacing w:val="-3"/>
          <w:sz w:val="24"/>
        </w:rPr>
        <w:t>effective </w:t>
      </w:r>
      <w:r>
        <w:rPr>
          <w:sz w:val="24"/>
        </w:rPr>
        <w:t>tax rates taken from published HM Treasury projections. The profiles for real government spending and total tax receipts are derived from this base in line with the Committee’s assessment of the prospects for inflation and output. In the February </w:t>
      </w:r>
      <w:r>
        <w:rPr>
          <w:i/>
          <w:sz w:val="24"/>
        </w:rPr>
        <w:t>Report</w:t>
      </w:r>
      <w:r>
        <w:rPr>
          <w:sz w:val="24"/>
        </w:rPr>
        <w:t>, the Committee had assumed that the likely growth rate for real government spending on goods and services was a little lower than in November because of an upward revision to the relevant deflator.</w:t>
      </w:r>
    </w:p>
    <w:p>
      <w:pPr>
        <w:spacing w:line="242" w:lineRule="auto" w:before="16"/>
        <w:ind w:left="4965" w:right="196" w:firstLine="0"/>
        <w:jc w:val="left"/>
        <w:rPr>
          <w:sz w:val="24"/>
        </w:rPr>
      </w:pPr>
      <w:r>
        <w:rPr>
          <w:sz w:val="24"/>
        </w:rPr>
        <w:t>The higher profile for nominal public spending in the Budget has offset this effect. Real government spending and investment are consequently likely to be a little higher </w:t>
      </w:r>
      <w:r>
        <w:rPr>
          <w:spacing w:val="-3"/>
          <w:sz w:val="24"/>
        </w:rPr>
        <w:t>over </w:t>
      </w:r>
      <w:r>
        <w:rPr>
          <w:sz w:val="24"/>
        </w:rPr>
        <w:t>the next two years than assumed in </w:t>
      </w:r>
      <w:r>
        <w:rPr>
          <w:spacing w:val="-3"/>
          <w:sz w:val="24"/>
        </w:rPr>
        <w:t>February, </w:t>
      </w:r>
      <w:r>
        <w:rPr>
          <w:sz w:val="24"/>
        </w:rPr>
        <w:t>but broadly in line with the assumptions embodied in the November projection. Relative to the assumptions in the February </w:t>
      </w:r>
      <w:r>
        <w:rPr>
          <w:i/>
          <w:sz w:val="24"/>
        </w:rPr>
        <w:t>Report</w:t>
      </w:r>
      <w:r>
        <w:rPr>
          <w:sz w:val="24"/>
        </w:rPr>
        <w:t>, there is a slight contractionary effect on output and inflation prospects over the next two years from the change to benefit projections in the Budget and the revised estimates of </w:t>
      </w:r>
      <w:r>
        <w:rPr>
          <w:spacing w:val="-3"/>
          <w:sz w:val="24"/>
        </w:rPr>
        <w:t>effective </w:t>
      </w:r>
      <w:r>
        <w:rPr>
          <w:sz w:val="24"/>
        </w:rPr>
        <w:t>tax</w:t>
      </w:r>
      <w:r>
        <w:rPr>
          <w:spacing w:val="-7"/>
          <w:sz w:val="24"/>
        </w:rPr>
        <w:t> </w:t>
      </w:r>
      <w:r>
        <w:rPr>
          <w:sz w:val="24"/>
        </w:rPr>
        <w:t>rates.</w:t>
      </w:r>
    </w:p>
    <w:p>
      <w:pPr>
        <w:pStyle w:val="BodyText"/>
        <w:spacing w:before="5"/>
        <w:rPr>
          <w:sz w:val="25"/>
        </w:rPr>
      </w:pPr>
    </w:p>
    <w:p>
      <w:pPr>
        <w:spacing w:line="242" w:lineRule="auto" w:before="1"/>
        <w:ind w:left="4965" w:right="222" w:firstLine="0"/>
        <w:jc w:val="left"/>
        <w:rPr>
          <w:sz w:val="24"/>
        </w:rPr>
      </w:pPr>
      <w:r>
        <w:rPr>
          <w:sz w:val="24"/>
        </w:rPr>
        <w:t>Previous projections incorporated assumptions about the effects of labour market reforms introduced by the government. There is no change to these assumptions in the current </w:t>
      </w:r>
      <w:r>
        <w:rPr>
          <w:i/>
          <w:sz w:val="24"/>
        </w:rPr>
        <w:t>Report</w:t>
      </w:r>
      <w:r>
        <w:rPr>
          <w:sz w:val="24"/>
        </w:rPr>
        <w:t>.</w:t>
      </w:r>
    </w:p>
    <w:p>
      <w:pPr>
        <w:pStyle w:val="BodyText"/>
        <w:spacing w:before="9"/>
        <w:rPr>
          <w:sz w:val="20"/>
        </w:rPr>
      </w:pPr>
    </w:p>
    <w:p>
      <w:pPr>
        <w:pStyle w:val="ListParagraph"/>
        <w:numPr>
          <w:ilvl w:val="1"/>
          <w:numId w:val="39"/>
        </w:numPr>
        <w:tabs>
          <w:tab w:pos="5910" w:val="left" w:leader="none"/>
          <w:tab w:pos="5911" w:val="left" w:leader="none"/>
        </w:tabs>
        <w:spacing w:line="240" w:lineRule="auto" w:before="88" w:after="0"/>
        <w:ind w:left="5910" w:right="0" w:hanging="946"/>
        <w:jc w:val="left"/>
        <w:rPr>
          <w:b/>
          <w:color w:val="009391"/>
          <w:sz w:val="28"/>
        </w:rPr>
      </w:pPr>
      <w:r>
        <w:rPr>
          <w:b/>
          <w:color w:val="009391"/>
          <w:sz w:val="28"/>
          <w:u w:val="thick" w:color="0092C7"/>
        </w:rPr>
        <w:t>The output and inflation</w:t>
      </w:r>
      <w:r>
        <w:rPr>
          <w:b/>
          <w:color w:val="009391"/>
          <w:spacing w:val="-37"/>
          <w:sz w:val="28"/>
          <w:u w:val="thick" w:color="0092C7"/>
        </w:rPr>
        <w:t> </w:t>
      </w:r>
      <w:r>
        <w:rPr>
          <w:b/>
          <w:color w:val="009391"/>
          <w:sz w:val="28"/>
          <w:u w:val="thick" w:color="0092C7"/>
        </w:rPr>
        <w:t>projections</w:t>
      </w:r>
      <w:r>
        <w:rPr>
          <w:b/>
          <w:color w:val="009391"/>
          <w:spacing w:val="-11"/>
          <w:sz w:val="28"/>
          <w:u w:val="thick" w:color="0092C7"/>
        </w:rPr>
        <w:t> </w:t>
      </w:r>
    </w:p>
    <w:p>
      <w:pPr>
        <w:pStyle w:val="BodyText"/>
        <w:spacing w:before="11"/>
        <w:rPr>
          <w:b/>
          <w:sz w:val="23"/>
        </w:rPr>
      </w:pPr>
    </w:p>
    <w:p>
      <w:pPr>
        <w:spacing w:line="242" w:lineRule="auto" w:before="0"/>
        <w:ind w:left="4965" w:right="295" w:firstLine="0"/>
        <w:jc w:val="left"/>
        <w:rPr>
          <w:sz w:val="24"/>
        </w:rPr>
      </w:pPr>
      <w:r>
        <w:rPr>
          <w:sz w:val="24"/>
        </w:rPr>
        <w:t>According to the preliminary ONS estimate, output growth has weakened around the turn of the </w:t>
      </w:r>
      <w:r>
        <w:rPr>
          <w:spacing w:val="-4"/>
          <w:sz w:val="24"/>
        </w:rPr>
        <w:t>year. </w:t>
      </w:r>
      <w:r>
        <w:rPr>
          <w:sz w:val="24"/>
        </w:rPr>
        <w:t>GDP rose by 0.4% in the first quarter of 2000—compared with an increase of 0.8% in the fourth quarter of last </w:t>
      </w:r>
      <w:r>
        <w:rPr>
          <w:spacing w:val="-3"/>
          <w:sz w:val="24"/>
        </w:rPr>
        <w:t>year. </w:t>
      </w:r>
      <w:r>
        <w:rPr>
          <w:sz w:val="24"/>
        </w:rPr>
        <w:t>A softening of growth was thought likely three months ago, but the preliminary estimate indicates a more marked slowdown than previously expected.</w:t>
      </w:r>
      <w:r>
        <w:rPr>
          <w:spacing w:val="40"/>
          <w:sz w:val="24"/>
        </w:rPr>
        <w:t> </w:t>
      </w:r>
      <w:r>
        <w:rPr>
          <w:sz w:val="24"/>
        </w:rPr>
        <w:t>By</w:t>
      </w:r>
    </w:p>
    <w:p>
      <w:pPr>
        <w:spacing w:after="0" w:line="242" w:lineRule="auto"/>
        <w:jc w:val="left"/>
        <w:rPr>
          <w:sz w:val="24"/>
        </w:rPr>
        <w:sectPr>
          <w:pgSz w:w="11900" w:h="16840"/>
          <w:pgMar w:header="586" w:footer="617" w:top="780" w:bottom="800" w:left="640" w:right="620"/>
        </w:sectPr>
      </w:pPr>
    </w:p>
    <w:p>
      <w:pPr>
        <w:pStyle w:val="BodyText"/>
        <w:rPr>
          <w:sz w:val="20"/>
        </w:rPr>
      </w:pPr>
    </w:p>
    <w:p>
      <w:pPr>
        <w:spacing w:line="242" w:lineRule="auto" w:before="207"/>
        <w:ind w:left="4974" w:right="190" w:firstLine="0"/>
        <w:jc w:val="left"/>
        <w:rPr>
          <w:sz w:val="24"/>
        </w:rPr>
      </w:pPr>
      <w:r>
        <w:rPr>
          <w:sz w:val="24"/>
        </w:rPr>
        <w:t>contrast, survey data on the whole support a rather stronger picture, and recent information on the composition of demand also suggests that the</w:t>
      </w:r>
    </w:p>
    <w:p>
      <w:pPr>
        <w:spacing w:line="242" w:lineRule="auto" w:before="4"/>
        <w:ind w:left="4974" w:right="269" w:firstLine="0"/>
        <w:jc w:val="left"/>
        <w:rPr>
          <w:sz w:val="24"/>
        </w:rPr>
      </w:pPr>
      <w:r>
        <w:rPr>
          <w:sz w:val="24"/>
        </w:rPr>
        <w:t>first-quarter outturn may understate the underlying momentum. RPIX inflation edged down to 2.0% in March. A slight decline in inflation was projected in </w:t>
      </w:r>
      <w:r>
        <w:rPr>
          <w:spacing w:val="-6"/>
          <w:sz w:val="24"/>
        </w:rPr>
        <w:t>the </w:t>
      </w:r>
      <w:r>
        <w:rPr>
          <w:sz w:val="24"/>
        </w:rPr>
        <w:t>February </w:t>
      </w:r>
      <w:r>
        <w:rPr>
          <w:i/>
          <w:sz w:val="24"/>
        </w:rPr>
        <w:t>Report</w:t>
      </w:r>
      <w:r>
        <w:rPr>
          <w:sz w:val="24"/>
        </w:rPr>
        <w:t>—recent outturns </w:t>
      </w:r>
      <w:r>
        <w:rPr>
          <w:spacing w:val="-3"/>
          <w:sz w:val="24"/>
        </w:rPr>
        <w:t>have </w:t>
      </w:r>
      <w:r>
        <w:rPr>
          <w:sz w:val="24"/>
        </w:rPr>
        <w:t>been broadly in line with earlier expectations. The Committee reassessed the medium-term prospects for output and inflation against this</w:t>
      </w:r>
      <w:r>
        <w:rPr>
          <w:spacing w:val="-6"/>
          <w:sz w:val="24"/>
        </w:rPr>
        <w:t> </w:t>
      </w:r>
      <w:r>
        <w:rPr>
          <w:sz w:val="24"/>
        </w:rPr>
        <w:t>background.</w:t>
      </w:r>
    </w:p>
    <w:p>
      <w:pPr>
        <w:pStyle w:val="BodyText"/>
        <w:spacing w:before="7"/>
        <w:rPr>
          <w:sz w:val="21"/>
        </w:rPr>
      </w:pPr>
    </w:p>
    <w:p>
      <w:pPr>
        <w:spacing w:line="242" w:lineRule="auto" w:before="0"/>
        <w:ind w:left="4974" w:right="189" w:firstLine="0"/>
        <w:jc w:val="left"/>
        <w:rPr>
          <w:sz w:val="24"/>
        </w:rPr>
      </w:pPr>
      <w:r>
        <w:rPr>
          <w:sz w:val="24"/>
        </w:rPr>
        <w:t>ONS releases published in February and March confirmed that GDP increased by 0.8% in the fourth quarter of 1999—in line with the preliminary estimate incorporated in the February projection—but incorporated an upward revision to the level of output, </w:t>
      </w:r>
      <w:r>
        <w:rPr>
          <w:spacing w:val="-9"/>
          <w:sz w:val="24"/>
        </w:rPr>
        <w:t>as </w:t>
      </w:r>
      <w:r>
        <w:rPr>
          <w:sz w:val="24"/>
        </w:rPr>
        <w:t>growth in previous quarters was revised up. The </w:t>
      </w:r>
      <w:r>
        <w:rPr>
          <w:spacing w:val="-3"/>
          <w:sz w:val="24"/>
        </w:rPr>
        <w:t>level </w:t>
      </w:r>
      <w:r>
        <w:rPr>
          <w:sz w:val="24"/>
        </w:rPr>
        <w:t>of activity in the fourth quarter was around 0.3 percentage points higher than assumed in February, and estimated growth in the year to the fourth quarter was correspondingly raised to 3.0%. The data releases also incorporated revisions to the composition of demand. In particular, final domestic demand growth was revised up. Consumer spending, government consumption and </w:t>
      </w:r>
      <w:r>
        <w:rPr>
          <w:spacing w:val="-3"/>
          <w:sz w:val="24"/>
        </w:rPr>
        <w:t>investment </w:t>
      </w:r>
      <w:r>
        <w:rPr>
          <w:sz w:val="24"/>
        </w:rPr>
        <w:t>all grew rather more quickly during 1999 than thought likely three months ago, and final domestic demand growth in the year to the fourth quarter was almost 4</w:t>
      </w:r>
      <w:r>
        <w:rPr>
          <w:position w:val="8"/>
          <w:sz w:val="12"/>
        </w:rPr>
        <w:t>1</w:t>
      </w:r>
      <w:r>
        <w:rPr>
          <w:sz w:val="24"/>
        </w:rPr>
        <w:t>/</w:t>
      </w:r>
      <w:r>
        <w:rPr>
          <w:sz w:val="12"/>
        </w:rPr>
        <w:t>2</w:t>
      </w:r>
      <w:r>
        <w:rPr>
          <w:sz w:val="24"/>
        </w:rPr>
        <w:t>%. On the other hand, the net trade position weakened </w:t>
      </w:r>
      <w:r>
        <w:rPr>
          <w:spacing w:val="-3"/>
          <w:sz w:val="24"/>
        </w:rPr>
        <w:t>markedly. </w:t>
      </w:r>
      <w:r>
        <w:rPr>
          <w:sz w:val="24"/>
        </w:rPr>
        <w:t>Imports rose more rapidly than projected in February, while exports fell back by more than expected from the strong third-quarter</w:t>
      </w:r>
      <w:r>
        <w:rPr>
          <w:spacing w:val="-2"/>
          <w:sz w:val="24"/>
        </w:rPr>
        <w:t> </w:t>
      </w:r>
      <w:r>
        <w:rPr>
          <w:sz w:val="24"/>
        </w:rPr>
        <w:t>outturn.</w:t>
      </w:r>
    </w:p>
    <w:p>
      <w:pPr>
        <w:pStyle w:val="BodyText"/>
        <w:spacing w:before="1"/>
        <w:rPr>
          <w:sz w:val="23"/>
        </w:rPr>
      </w:pPr>
    </w:p>
    <w:p>
      <w:pPr>
        <w:spacing w:line="242" w:lineRule="auto" w:before="0"/>
        <w:ind w:left="4974" w:right="190" w:firstLine="0"/>
        <w:jc w:val="left"/>
        <w:rPr>
          <w:sz w:val="24"/>
        </w:rPr>
      </w:pPr>
      <w:r>
        <w:rPr>
          <w:sz w:val="24"/>
        </w:rPr>
        <w:t>The preliminary estimate of GDP growth for 2000 Q1 is primarily derived from output data and no information is yet available on the composition of demand. The weaker-than-expected outturn for GDP growth contrasts with information on demand components from monthly data and surveys. Although final domestic demand growth may </w:t>
      </w:r>
      <w:r>
        <w:rPr>
          <w:spacing w:val="-3"/>
          <w:sz w:val="24"/>
        </w:rPr>
        <w:t>have </w:t>
      </w:r>
      <w:r>
        <w:rPr>
          <w:sz w:val="24"/>
        </w:rPr>
        <w:t>slowed somewhat, indicators of consumer spending suggest a relatively strong picture for the first </w:t>
      </w:r>
      <w:r>
        <w:rPr>
          <w:spacing w:val="-3"/>
          <w:sz w:val="24"/>
        </w:rPr>
        <w:t>quarter. Moreover, </w:t>
      </w:r>
      <w:r>
        <w:rPr>
          <w:sz w:val="24"/>
        </w:rPr>
        <w:t>monthly trade data are consistent with a positive contribution to output growth in the first quarter, </w:t>
      </w:r>
      <w:r>
        <w:rPr>
          <w:spacing w:val="-3"/>
          <w:sz w:val="24"/>
        </w:rPr>
        <w:t>even </w:t>
      </w:r>
      <w:r>
        <w:rPr>
          <w:sz w:val="24"/>
        </w:rPr>
        <w:t>though the underlying trend in net trade remains negative.  It is possible that stocks </w:t>
      </w:r>
      <w:r>
        <w:rPr>
          <w:spacing w:val="-3"/>
          <w:sz w:val="24"/>
        </w:rPr>
        <w:t>have </w:t>
      </w:r>
      <w:r>
        <w:rPr>
          <w:sz w:val="24"/>
        </w:rPr>
        <w:t>fallen sharply. That would be consistent with some survey evidence suggesting a rundown of stocks after </w:t>
      </w:r>
      <w:r>
        <w:rPr>
          <w:spacing w:val="-6"/>
          <w:sz w:val="24"/>
        </w:rPr>
        <w:t>the </w:t>
      </w:r>
      <w:r>
        <w:rPr>
          <w:sz w:val="24"/>
        </w:rPr>
        <w:t>millennium, but for this to reconcile the data such a correction would </w:t>
      </w:r>
      <w:r>
        <w:rPr>
          <w:spacing w:val="-3"/>
          <w:sz w:val="24"/>
        </w:rPr>
        <w:t>have </w:t>
      </w:r>
      <w:r>
        <w:rPr>
          <w:sz w:val="24"/>
        </w:rPr>
        <w:t>to be much larger than previously expected. More information on the composition of demand and output in the first quarter will help the Committee to interpret the implications for the</w:t>
      </w:r>
    </w:p>
    <w:p>
      <w:pPr>
        <w:spacing w:before="24"/>
        <w:ind w:left="4974" w:right="0" w:firstLine="0"/>
        <w:jc w:val="left"/>
        <w:rPr>
          <w:sz w:val="24"/>
        </w:rPr>
      </w:pPr>
      <w:r>
        <w:rPr>
          <w:sz w:val="24"/>
        </w:rPr>
        <w:t>medium-term outlook.</w:t>
      </w:r>
    </w:p>
    <w:p>
      <w:pPr>
        <w:spacing w:after="0"/>
        <w:jc w:val="left"/>
        <w:rPr>
          <w:sz w:val="24"/>
        </w:rPr>
        <w:sectPr>
          <w:pgSz w:w="11900" w:h="16840"/>
          <w:pgMar w:header="586" w:footer="597" w:top="780" w:bottom="780" w:left="640" w:right="620"/>
        </w:sectPr>
      </w:pPr>
    </w:p>
    <w:p>
      <w:pPr>
        <w:pStyle w:val="BodyText"/>
        <w:rPr>
          <w:sz w:val="20"/>
        </w:rPr>
      </w:pPr>
    </w:p>
    <w:p>
      <w:pPr>
        <w:spacing w:line="242" w:lineRule="auto" w:before="217"/>
        <w:ind w:left="4965" w:right="195" w:firstLine="0"/>
        <w:jc w:val="left"/>
        <w:rPr>
          <w:sz w:val="24"/>
        </w:rPr>
      </w:pPr>
      <w:r>
        <w:rPr>
          <w:sz w:val="24"/>
        </w:rPr>
        <w:t>Recent output data provide signs of a renewed </w:t>
      </w:r>
      <w:r>
        <w:rPr>
          <w:spacing w:val="-3"/>
          <w:sz w:val="24"/>
        </w:rPr>
        <w:t>divergence </w:t>
      </w:r>
      <w:r>
        <w:rPr>
          <w:sz w:val="24"/>
        </w:rPr>
        <w:t>between the performance of different industrial sectors. In general, growth remains robust in industries where the major market is domestic and </w:t>
      </w:r>
      <w:r>
        <w:rPr>
          <w:spacing w:val="-4"/>
          <w:sz w:val="24"/>
        </w:rPr>
        <w:t>where </w:t>
      </w:r>
      <w:r>
        <w:rPr>
          <w:sz w:val="24"/>
        </w:rPr>
        <w:t>international competition is relatively limited. This applies to parts of the service sector but is not universal: many services are internationally traded, and others depend heavily on the performance of more exposed sectors of the economy. At the aggregate level, </w:t>
      </w:r>
      <w:r>
        <w:rPr>
          <w:spacing w:val="-4"/>
          <w:sz w:val="24"/>
        </w:rPr>
        <w:t>however, </w:t>
      </w:r>
      <w:r>
        <w:rPr>
          <w:sz w:val="24"/>
        </w:rPr>
        <w:t>service sector output is rising quickly and business confidence within the sector remains high. Construction activity is also benefiting from strong growth in domestic demand. On the other hand, output has fallen in many sectors of manufacturing industry in recent months. The recent weakness may partly reflect a desire to run down precautionary stocks built up ahead of the millennium date change, but the strength of sterling against the euro and an associated intensification of international competition are widely cited by manufacturers as major influences on the production trend. Surveys of business confidence in manufacturing </w:t>
      </w:r>
      <w:r>
        <w:rPr>
          <w:spacing w:val="-3"/>
          <w:sz w:val="24"/>
        </w:rPr>
        <w:t>have </w:t>
      </w:r>
      <w:r>
        <w:rPr>
          <w:sz w:val="24"/>
        </w:rPr>
        <w:t>fallen back to the levels of last spring, but appear to be consistent with a flat or slightly rising output trend rather than further falls. Reports from the </w:t>
      </w:r>
      <w:r>
        <w:rPr>
          <w:spacing w:val="-3"/>
          <w:sz w:val="24"/>
        </w:rPr>
        <w:t>Bank’s </w:t>
      </w:r>
      <w:r>
        <w:rPr>
          <w:sz w:val="24"/>
        </w:rPr>
        <w:t>regional Agents are consistent with this</w:t>
      </w:r>
      <w:r>
        <w:rPr>
          <w:spacing w:val="-23"/>
          <w:sz w:val="24"/>
        </w:rPr>
        <w:t> </w:t>
      </w:r>
      <w:r>
        <w:rPr>
          <w:sz w:val="24"/>
        </w:rPr>
        <w:t>assessment.</w:t>
      </w:r>
    </w:p>
    <w:p>
      <w:pPr>
        <w:pStyle w:val="BodyText"/>
        <w:spacing w:before="7"/>
        <w:rPr>
          <w:sz w:val="23"/>
        </w:rPr>
      </w:pPr>
    </w:p>
    <w:p>
      <w:pPr>
        <w:spacing w:line="242" w:lineRule="auto" w:before="0"/>
        <w:ind w:left="4965" w:right="193" w:firstLine="0"/>
        <w:jc w:val="left"/>
        <w:rPr>
          <w:sz w:val="24"/>
        </w:rPr>
      </w:pPr>
      <w:r>
        <w:rPr>
          <w:sz w:val="24"/>
        </w:rPr>
        <w:t>Consumer spending continues to grow </w:t>
      </w:r>
      <w:r>
        <w:rPr>
          <w:spacing w:val="-3"/>
          <w:sz w:val="24"/>
        </w:rPr>
        <w:t>robustly. </w:t>
      </w:r>
      <w:r>
        <w:rPr>
          <w:sz w:val="24"/>
        </w:rPr>
        <w:t>Household spending volumes rose by 4</w:t>
      </w:r>
      <w:r>
        <w:rPr>
          <w:position w:val="8"/>
          <w:sz w:val="12"/>
        </w:rPr>
        <w:t>1</w:t>
      </w:r>
      <w:r>
        <w:rPr>
          <w:sz w:val="24"/>
        </w:rPr>
        <w:t>/</w:t>
      </w:r>
      <w:r>
        <w:rPr>
          <w:sz w:val="12"/>
        </w:rPr>
        <w:t>2</w:t>
      </w:r>
      <w:r>
        <w:rPr>
          <w:sz w:val="24"/>
        </w:rPr>
        <w:t>% in the year to 1999 Q4, a much sharper increase than projected </w:t>
      </w:r>
      <w:r>
        <w:rPr>
          <w:spacing w:val="-4"/>
          <w:sz w:val="24"/>
        </w:rPr>
        <w:t>three </w:t>
      </w:r>
      <w:r>
        <w:rPr>
          <w:sz w:val="24"/>
        </w:rPr>
        <w:t>months ago. In part, the faster-than-expected growth </w:t>
      </w:r>
      <w:r>
        <w:rPr>
          <w:spacing w:val="-3"/>
          <w:sz w:val="24"/>
        </w:rPr>
        <w:t>over </w:t>
      </w:r>
      <w:r>
        <w:rPr>
          <w:sz w:val="24"/>
        </w:rPr>
        <w:t>this period reflects upward revisions to past data, but the fourth-quarter outturn also signalled greater impetus than earlier judged. Monthly indicators suggest that spending growth has remained strong in the early months of 2000. Retail sales volumes rose by 1</w:t>
      </w:r>
      <w:r>
        <w:rPr>
          <w:position w:val="8"/>
          <w:sz w:val="12"/>
        </w:rPr>
        <w:t>1</w:t>
      </w:r>
      <w:r>
        <w:rPr>
          <w:sz w:val="24"/>
        </w:rPr>
        <w:t>/</w:t>
      </w:r>
      <w:r>
        <w:rPr>
          <w:sz w:val="12"/>
        </w:rPr>
        <w:t>2</w:t>
      </w:r>
      <w:r>
        <w:rPr>
          <w:sz w:val="24"/>
        </w:rPr>
        <w:t>% in the first quarter, although the underlying trend may be lower in view of an exceptionally strong outturn for </w:t>
      </w:r>
      <w:r>
        <w:rPr>
          <w:spacing w:val="-3"/>
          <w:sz w:val="24"/>
        </w:rPr>
        <w:t>January.</w:t>
      </w:r>
    </w:p>
    <w:p>
      <w:pPr>
        <w:pStyle w:val="BodyText"/>
        <w:spacing w:before="2"/>
        <w:rPr>
          <w:sz w:val="22"/>
        </w:rPr>
      </w:pPr>
    </w:p>
    <w:p>
      <w:pPr>
        <w:spacing w:line="242" w:lineRule="auto" w:before="0"/>
        <w:ind w:left="4965" w:right="227" w:firstLine="0"/>
        <w:jc w:val="left"/>
        <w:rPr>
          <w:sz w:val="24"/>
        </w:rPr>
      </w:pPr>
      <w:r>
        <w:rPr>
          <w:sz w:val="24"/>
        </w:rPr>
        <w:t>The news on indicators of consumer spending prospects has been mixed. Labour income has risen more quickly than expected in recent months, which will tend to stimulate consumer spending. And house price inflation remains high. Credit indicators and narrow money growth also support a robust picture in the short term. </w:t>
      </w:r>
      <w:r>
        <w:rPr>
          <w:spacing w:val="-9"/>
          <w:sz w:val="24"/>
        </w:rPr>
        <w:t>In </w:t>
      </w:r>
      <w:r>
        <w:rPr>
          <w:sz w:val="24"/>
        </w:rPr>
        <w:t>the opposite direction, indicators of consumer confidence </w:t>
      </w:r>
      <w:r>
        <w:rPr>
          <w:spacing w:val="-3"/>
          <w:sz w:val="24"/>
        </w:rPr>
        <w:t>have </w:t>
      </w:r>
      <w:r>
        <w:rPr>
          <w:sz w:val="24"/>
        </w:rPr>
        <w:t>fallen markedly over recent</w:t>
      </w:r>
      <w:r>
        <w:rPr>
          <w:spacing w:val="-6"/>
          <w:sz w:val="24"/>
        </w:rPr>
        <w:t> </w:t>
      </w:r>
      <w:r>
        <w:rPr>
          <w:sz w:val="24"/>
        </w:rPr>
        <w:t>months.</w:t>
      </w:r>
    </w:p>
    <w:p>
      <w:pPr>
        <w:spacing w:line="242" w:lineRule="auto" w:before="11"/>
        <w:ind w:left="4965" w:right="325" w:firstLine="0"/>
        <w:jc w:val="left"/>
        <w:rPr>
          <w:sz w:val="24"/>
        </w:rPr>
      </w:pPr>
      <w:r>
        <w:rPr>
          <w:sz w:val="24"/>
        </w:rPr>
        <w:t>Estimates of financial wealth held by households </w:t>
      </w:r>
      <w:r>
        <w:rPr>
          <w:spacing w:val="-3"/>
          <w:sz w:val="24"/>
        </w:rPr>
        <w:t>have </w:t>
      </w:r>
      <w:r>
        <w:rPr>
          <w:sz w:val="24"/>
        </w:rPr>
        <w:t>been</w:t>
      </w:r>
      <w:r>
        <w:rPr>
          <w:spacing w:val="-7"/>
          <w:sz w:val="24"/>
        </w:rPr>
        <w:t> </w:t>
      </w:r>
      <w:r>
        <w:rPr>
          <w:sz w:val="24"/>
        </w:rPr>
        <w:t>revised</w:t>
      </w:r>
      <w:r>
        <w:rPr>
          <w:spacing w:val="-7"/>
          <w:sz w:val="24"/>
        </w:rPr>
        <w:t> </w:t>
      </w:r>
      <w:r>
        <w:rPr>
          <w:sz w:val="24"/>
        </w:rPr>
        <w:t>down</w:t>
      </w:r>
      <w:r>
        <w:rPr>
          <w:spacing w:val="-7"/>
          <w:sz w:val="24"/>
        </w:rPr>
        <w:t> </w:t>
      </w:r>
      <w:r>
        <w:rPr>
          <w:sz w:val="24"/>
        </w:rPr>
        <w:t>significantly</w:t>
      </w:r>
      <w:r>
        <w:rPr>
          <w:spacing w:val="-7"/>
          <w:sz w:val="24"/>
        </w:rPr>
        <w:t> </w:t>
      </w:r>
      <w:r>
        <w:rPr>
          <w:sz w:val="24"/>
        </w:rPr>
        <w:t>by</w:t>
      </w:r>
      <w:r>
        <w:rPr>
          <w:spacing w:val="-7"/>
          <w:sz w:val="24"/>
        </w:rPr>
        <w:t> </w:t>
      </w:r>
      <w:r>
        <w:rPr>
          <w:sz w:val="24"/>
        </w:rPr>
        <w:t>the</w:t>
      </w:r>
      <w:r>
        <w:rPr>
          <w:spacing w:val="-7"/>
          <w:sz w:val="24"/>
        </w:rPr>
        <w:t> </w:t>
      </w:r>
      <w:r>
        <w:rPr>
          <w:sz w:val="24"/>
        </w:rPr>
        <w:t>ONS,</w:t>
      </w:r>
      <w:r>
        <w:rPr>
          <w:spacing w:val="-7"/>
          <w:sz w:val="24"/>
        </w:rPr>
        <w:t> </w:t>
      </w:r>
      <w:r>
        <w:rPr>
          <w:sz w:val="24"/>
        </w:rPr>
        <w:t>and</w:t>
      </w:r>
      <w:r>
        <w:rPr>
          <w:spacing w:val="-7"/>
          <w:sz w:val="24"/>
        </w:rPr>
        <w:t> </w:t>
      </w:r>
      <w:r>
        <w:rPr>
          <w:sz w:val="24"/>
        </w:rPr>
        <w:t>equity prices </w:t>
      </w:r>
      <w:r>
        <w:rPr>
          <w:spacing w:val="-3"/>
          <w:sz w:val="24"/>
        </w:rPr>
        <w:t>have </w:t>
      </w:r>
      <w:r>
        <w:rPr>
          <w:sz w:val="24"/>
        </w:rPr>
        <w:t>declined somewhat. Balancing these various influences, and taking into account the higher level of consumption at the end of last year,</w:t>
      </w:r>
      <w:r>
        <w:rPr>
          <w:spacing w:val="-8"/>
          <w:sz w:val="24"/>
        </w:rPr>
        <w:t> </w:t>
      </w:r>
      <w:r>
        <w:rPr>
          <w:sz w:val="24"/>
        </w:rPr>
        <w:t>the</w:t>
      </w:r>
    </w:p>
    <w:p>
      <w:pPr>
        <w:spacing w:after="0" w:line="242" w:lineRule="auto"/>
        <w:jc w:val="left"/>
        <w:rPr>
          <w:sz w:val="24"/>
        </w:rPr>
        <w:sectPr>
          <w:pgSz w:w="11900" w:h="16840"/>
          <w:pgMar w:header="586" w:footer="617" w:top="780" w:bottom="800" w:left="640" w:right="620"/>
        </w:sectPr>
      </w:pPr>
    </w:p>
    <w:p>
      <w:pPr>
        <w:pStyle w:val="BodyText"/>
        <w:rPr>
          <w:sz w:val="20"/>
        </w:rPr>
      </w:pPr>
    </w:p>
    <w:p>
      <w:pPr>
        <w:spacing w:line="242" w:lineRule="auto" w:before="217"/>
        <w:ind w:left="4974" w:right="234" w:firstLine="0"/>
        <w:jc w:val="left"/>
        <w:rPr>
          <w:sz w:val="24"/>
        </w:rPr>
      </w:pPr>
      <w:r>
        <w:rPr>
          <w:sz w:val="24"/>
        </w:rPr>
        <w:t>Committee has revised up the projection for consumer spending a little relative to the February </w:t>
      </w:r>
      <w:r>
        <w:rPr>
          <w:i/>
          <w:sz w:val="24"/>
        </w:rPr>
        <w:t>Report</w:t>
      </w:r>
      <w:r>
        <w:rPr>
          <w:sz w:val="24"/>
        </w:rPr>
        <w:t>. But the Committee continues to expect household expenditure growth to slow through this year, in response to the recent increases in interest rates and the impact of sterling strength on output and employment. Annual growth rates may fall back to around 2</w:t>
      </w:r>
      <w:r>
        <w:rPr>
          <w:position w:val="8"/>
          <w:sz w:val="12"/>
        </w:rPr>
        <w:t>1</w:t>
      </w:r>
      <w:r>
        <w:rPr>
          <w:sz w:val="24"/>
        </w:rPr>
        <w:t>/</w:t>
      </w:r>
      <w:r>
        <w:rPr>
          <w:sz w:val="12"/>
        </w:rPr>
        <w:t>2</w:t>
      </w:r>
      <w:r>
        <w:rPr>
          <w:sz w:val="24"/>
        </w:rPr>
        <w:t>% by early next year.</w:t>
      </w:r>
    </w:p>
    <w:p>
      <w:pPr>
        <w:pStyle w:val="BodyText"/>
        <w:spacing w:before="9"/>
        <w:rPr>
          <w:sz w:val="21"/>
        </w:rPr>
      </w:pPr>
    </w:p>
    <w:p>
      <w:pPr>
        <w:spacing w:line="242" w:lineRule="auto" w:before="0"/>
        <w:ind w:left="4974" w:right="0" w:firstLine="0"/>
        <w:jc w:val="left"/>
        <w:rPr>
          <w:sz w:val="24"/>
        </w:rPr>
      </w:pPr>
      <w:r>
        <w:rPr>
          <w:sz w:val="24"/>
        </w:rPr>
        <w:t>The outlook for whole-economy investment is a little stronger than expected in the February </w:t>
      </w:r>
      <w:r>
        <w:rPr>
          <w:i/>
          <w:sz w:val="24"/>
        </w:rPr>
        <w:t>Report</w:t>
      </w:r>
      <w:r>
        <w:rPr>
          <w:sz w:val="24"/>
        </w:rPr>
        <w:t>.</w:t>
      </w:r>
    </w:p>
    <w:p>
      <w:pPr>
        <w:spacing w:line="242" w:lineRule="auto" w:before="2"/>
        <w:ind w:left="4974" w:right="185" w:firstLine="0"/>
        <w:jc w:val="left"/>
        <w:rPr>
          <w:sz w:val="24"/>
        </w:rPr>
      </w:pPr>
      <w:r>
        <w:rPr>
          <w:sz w:val="24"/>
        </w:rPr>
        <w:t>Investment rose more rapidly during 1999 than projected three months ago, as general government investment increased more sharply in the second half-year than judged likely </w:t>
      </w:r>
      <w:r>
        <w:rPr>
          <w:spacing w:val="-3"/>
          <w:sz w:val="24"/>
        </w:rPr>
        <w:t>earlier. </w:t>
      </w:r>
      <w:r>
        <w:rPr>
          <w:sz w:val="24"/>
        </w:rPr>
        <w:t>By contrast, estimates of business investment—around three quarters of the total—were revised down somewhat in the early part of the year, but there</w:t>
      </w:r>
      <w:r>
        <w:rPr>
          <w:spacing w:val="-6"/>
          <w:sz w:val="24"/>
        </w:rPr>
        <w:t> </w:t>
      </w:r>
      <w:r>
        <w:rPr>
          <w:sz w:val="24"/>
        </w:rPr>
        <w:t>were</w:t>
      </w:r>
      <w:r>
        <w:rPr>
          <w:spacing w:val="-6"/>
          <w:sz w:val="24"/>
        </w:rPr>
        <w:t> </w:t>
      </w:r>
      <w:r>
        <w:rPr>
          <w:sz w:val="24"/>
        </w:rPr>
        <w:t>some</w:t>
      </w:r>
      <w:r>
        <w:rPr>
          <w:spacing w:val="-6"/>
          <w:sz w:val="24"/>
        </w:rPr>
        <w:t> </w:t>
      </w:r>
      <w:r>
        <w:rPr>
          <w:sz w:val="24"/>
        </w:rPr>
        <w:t>signs</w:t>
      </w:r>
      <w:r>
        <w:rPr>
          <w:spacing w:val="-6"/>
          <w:sz w:val="24"/>
        </w:rPr>
        <w:t> </w:t>
      </w:r>
      <w:r>
        <w:rPr>
          <w:sz w:val="24"/>
        </w:rPr>
        <w:t>of</w:t>
      </w:r>
      <w:r>
        <w:rPr>
          <w:spacing w:val="-6"/>
          <w:sz w:val="24"/>
        </w:rPr>
        <w:t> </w:t>
      </w:r>
      <w:r>
        <w:rPr>
          <w:sz w:val="24"/>
        </w:rPr>
        <w:t>a</w:t>
      </w:r>
      <w:r>
        <w:rPr>
          <w:spacing w:val="-6"/>
          <w:sz w:val="24"/>
        </w:rPr>
        <w:t> </w:t>
      </w:r>
      <w:r>
        <w:rPr>
          <w:sz w:val="24"/>
        </w:rPr>
        <w:t>recovery</w:t>
      </w:r>
      <w:r>
        <w:rPr>
          <w:spacing w:val="-5"/>
          <w:sz w:val="24"/>
        </w:rPr>
        <w:t> </w:t>
      </w:r>
      <w:r>
        <w:rPr>
          <w:sz w:val="24"/>
        </w:rPr>
        <w:t>around</w:t>
      </w:r>
      <w:r>
        <w:rPr>
          <w:spacing w:val="-6"/>
          <w:sz w:val="24"/>
        </w:rPr>
        <w:t> </w:t>
      </w:r>
      <w:r>
        <w:rPr>
          <w:sz w:val="24"/>
        </w:rPr>
        <w:t>the</w:t>
      </w:r>
      <w:r>
        <w:rPr>
          <w:spacing w:val="-6"/>
          <w:sz w:val="24"/>
        </w:rPr>
        <w:t> </w:t>
      </w:r>
      <w:r>
        <w:rPr>
          <w:sz w:val="24"/>
        </w:rPr>
        <w:t>year-end. Aggregate profitability has strengthened in recent quarters, and although the corporate sector financial deficit has widened significantly over the past year,</w:t>
      </w:r>
      <w:r>
        <w:rPr>
          <w:spacing w:val="-27"/>
          <w:sz w:val="24"/>
        </w:rPr>
        <w:t> </w:t>
      </w:r>
      <w:r>
        <w:rPr>
          <w:sz w:val="24"/>
        </w:rPr>
        <w:t>there are as yet </w:t>
      </w:r>
      <w:r>
        <w:rPr>
          <w:spacing w:val="-3"/>
          <w:sz w:val="24"/>
        </w:rPr>
        <w:t>few </w:t>
      </w:r>
      <w:r>
        <w:rPr>
          <w:sz w:val="24"/>
        </w:rPr>
        <w:t>signs that the corporate financial position is constraining investment. The recovery in business investment is nonetheless expected to be relatively modest, and growth may slow in the second half of this </w:t>
      </w:r>
      <w:r>
        <w:rPr>
          <w:spacing w:val="-3"/>
          <w:sz w:val="24"/>
        </w:rPr>
        <w:t>year. </w:t>
      </w:r>
      <w:r>
        <w:rPr>
          <w:sz w:val="24"/>
        </w:rPr>
        <w:t>Indeed, surveys of investment intentions </w:t>
      </w:r>
      <w:r>
        <w:rPr>
          <w:spacing w:val="-3"/>
          <w:sz w:val="24"/>
        </w:rPr>
        <w:t>have </w:t>
      </w:r>
      <w:r>
        <w:rPr>
          <w:sz w:val="24"/>
        </w:rPr>
        <w:t>weakened over the past three months, consistent with a relatively soft outlook. General government investment is expected to rise in line with the government’s commitment to double the proportion of public sector net </w:t>
      </w:r>
      <w:r>
        <w:rPr>
          <w:spacing w:val="-3"/>
          <w:sz w:val="24"/>
        </w:rPr>
        <w:t>investment </w:t>
      </w:r>
      <w:r>
        <w:rPr>
          <w:sz w:val="24"/>
        </w:rPr>
        <w:t>in terms of GDP </w:t>
      </w:r>
      <w:r>
        <w:rPr>
          <w:spacing w:val="-3"/>
          <w:sz w:val="24"/>
        </w:rPr>
        <w:t>over </w:t>
      </w:r>
      <w:r>
        <w:rPr>
          <w:sz w:val="24"/>
        </w:rPr>
        <w:t>the next three  years.</w:t>
      </w:r>
    </w:p>
    <w:p>
      <w:pPr>
        <w:pStyle w:val="BodyText"/>
        <w:spacing w:before="2"/>
        <w:rPr>
          <w:sz w:val="23"/>
        </w:rPr>
      </w:pPr>
    </w:p>
    <w:p>
      <w:pPr>
        <w:spacing w:line="242" w:lineRule="auto" w:before="0"/>
        <w:ind w:left="4974" w:right="194" w:firstLine="0"/>
        <w:jc w:val="left"/>
        <w:rPr>
          <w:sz w:val="24"/>
        </w:rPr>
      </w:pPr>
      <w:r>
        <w:rPr>
          <w:sz w:val="24"/>
        </w:rPr>
        <w:t>Recent data for inventories are clouded by statistical adjustments used by the ONS to help balance the National Accounts. The most recent data including the statistical adjustment point in a different direction to the data excluding the adjustment.  The Committee considers that there is relatively little news in the recent data for inventories, although surveys and the limited information available on output and demand</w:t>
      </w:r>
      <w:r>
        <w:rPr>
          <w:spacing w:val="-26"/>
          <w:sz w:val="24"/>
        </w:rPr>
        <w:t> </w:t>
      </w:r>
      <w:r>
        <w:rPr>
          <w:sz w:val="24"/>
        </w:rPr>
        <w:t>components are consistent with a substantial fall in stocks in the first quarter of this </w:t>
      </w:r>
      <w:r>
        <w:rPr>
          <w:spacing w:val="-3"/>
          <w:sz w:val="24"/>
        </w:rPr>
        <w:t>year. </w:t>
      </w:r>
      <w:r>
        <w:rPr>
          <w:sz w:val="24"/>
        </w:rPr>
        <w:t>The Committee has maintained the assumption that inventories will fall further as a proportion of output over the next two years, as firms economise on stock-holding costs. The growth of electronic commerce may reinforce this</w:t>
      </w:r>
      <w:r>
        <w:rPr>
          <w:spacing w:val="-15"/>
          <w:sz w:val="24"/>
        </w:rPr>
        <w:t> </w:t>
      </w:r>
      <w:r>
        <w:rPr>
          <w:sz w:val="24"/>
        </w:rPr>
        <w:t>process.</w:t>
      </w:r>
    </w:p>
    <w:p>
      <w:pPr>
        <w:pStyle w:val="BodyText"/>
        <w:spacing w:before="5"/>
        <w:rPr>
          <w:sz w:val="22"/>
        </w:rPr>
      </w:pPr>
    </w:p>
    <w:p>
      <w:pPr>
        <w:spacing w:line="242" w:lineRule="auto" w:before="0"/>
        <w:ind w:left="4974" w:right="141" w:firstLine="0"/>
        <w:jc w:val="left"/>
        <w:rPr>
          <w:sz w:val="24"/>
        </w:rPr>
      </w:pPr>
      <w:r>
        <w:rPr>
          <w:sz w:val="24"/>
        </w:rPr>
        <w:t>The trend in exports is hard to read given the volatility in the recent data. Export volumes dipped in the fourth quarter of 1999 after the surge in the summer months.</w:t>
      </w:r>
    </w:p>
    <w:p>
      <w:pPr>
        <w:spacing w:before="4"/>
        <w:ind w:left="4974" w:right="0" w:firstLine="0"/>
        <w:jc w:val="left"/>
        <w:rPr>
          <w:sz w:val="24"/>
        </w:rPr>
      </w:pPr>
      <w:r>
        <w:rPr>
          <w:sz w:val="24"/>
        </w:rPr>
        <w:t>Monthly data suggest that there has been renewed</w:t>
      </w:r>
    </w:p>
    <w:p>
      <w:pPr>
        <w:spacing w:after="0"/>
        <w:jc w:val="left"/>
        <w:rPr>
          <w:sz w:val="24"/>
        </w:rPr>
        <w:sectPr>
          <w:pgSz w:w="11900" w:h="16840"/>
          <w:pgMar w:header="586" w:footer="597" w:top="780" w:bottom="780" w:left="640" w:right="620"/>
        </w:sectPr>
      </w:pPr>
    </w:p>
    <w:p>
      <w:pPr>
        <w:pStyle w:val="BodyText"/>
        <w:rPr>
          <w:sz w:val="20"/>
        </w:rPr>
      </w:pPr>
    </w:p>
    <w:p>
      <w:pPr>
        <w:spacing w:line="242" w:lineRule="auto" w:before="207"/>
        <w:ind w:left="4945" w:right="269" w:firstLine="0"/>
        <w:jc w:val="left"/>
        <w:rPr>
          <w:sz w:val="24"/>
        </w:rPr>
      </w:pPr>
      <w:bookmarkStart w:name="_bookmark42" w:id="87"/>
      <w:bookmarkEnd w:id="87"/>
      <w:r>
        <w:rPr/>
      </w:r>
      <w:r>
        <w:rPr>
          <w:sz w:val="24"/>
        </w:rPr>
        <w:t>growth in the early part of this year—particularly in exports outside the European Union—although recent survey data suggest that the upward trend remains relatively subdued. Relative to the February </w:t>
      </w:r>
      <w:r>
        <w:rPr>
          <w:i/>
          <w:sz w:val="24"/>
        </w:rPr>
        <w:t>Report</w:t>
      </w:r>
      <w:r>
        <w:rPr>
          <w:sz w:val="24"/>
        </w:rPr>
        <w:t>, however, the prospects for export volumes over the next two years have improved a little: the stronger outlook for world demand and trade outweighs the additional downward pressure from the higher real exchange rate.</w:t>
      </w:r>
    </w:p>
    <w:p>
      <w:pPr>
        <w:pStyle w:val="BodyText"/>
        <w:spacing w:before="3"/>
        <w:rPr>
          <w:sz w:val="25"/>
        </w:rPr>
      </w:pPr>
    </w:p>
    <w:p>
      <w:pPr>
        <w:spacing w:line="242" w:lineRule="auto" w:before="0"/>
        <w:ind w:left="4945" w:right="0" w:firstLine="0"/>
        <w:jc w:val="left"/>
        <w:rPr>
          <w:sz w:val="24"/>
        </w:rPr>
      </w:pPr>
      <w:r>
        <w:rPr>
          <w:sz w:val="24"/>
        </w:rPr>
        <w:t>Import volumes grew more quickly than projected in the fourth quarter. This may be due in part to the</w:t>
      </w:r>
    </w:p>
    <w:p>
      <w:pPr>
        <w:spacing w:line="242" w:lineRule="auto" w:before="2"/>
        <w:ind w:left="4945" w:right="208" w:firstLine="0"/>
        <w:jc w:val="left"/>
        <w:rPr>
          <w:sz w:val="24"/>
        </w:rPr>
      </w:pPr>
      <w:r>
        <w:rPr>
          <w:sz w:val="24"/>
        </w:rPr>
        <w:t>faster-than-expected growth in domestic demand, but import penetration also rose by more than previously estimated. Although recent monthly data suggest a more subdued picture in the first quarter of 2000, import growth is likely to remain rapid over the next two years in view of the strength of both domestic demand and sterling.</w:t>
      </w:r>
    </w:p>
    <w:p>
      <w:pPr>
        <w:pStyle w:val="BodyText"/>
        <w:spacing w:before="4"/>
        <w:rPr>
          <w:sz w:val="17"/>
        </w:rPr>
      </w:pPr>
    </w:p>
    <w:p>
      <w:pPr>
        <w:spacing w:after="0"/>
        <w:rPr>
          <w:sz w:val="17"/>
        </w:rPr>
        <w:sectPr>
          <w:pgSz w:w="11900" w:h="16840"/>
          <w:pgMar w:header="586" w:footer="617" w:top="780" w:bottom="80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19"/>
        </w:rPr>
      </w:pPr>
    </w:p>
    <w:p>
      <w:pPr>
        <w:spacing w:before="1"/>
        <w:ind w:left="160" w:right="0" w:firstLine="0"/>
        <w:jc w:val="left"/>
        <w:rPr>
          <w:b/>
          <w:sz w:val="20"/>
        </w:rPr>
      </w:pPr>
      <w:r>
        <w:rPr>
          <w:b/>
          <w:color w:val="0092C7"/>
          <w:sz w:val="20"/>
        </w:rPr>
        <w:t>Chart 6.1</w:t>
      </w:r>
    </w:p>
    <w:p>
      <w:pPr>
        <w:spacing w:line="249" w:lineRule="auto" w:before="10"/>
        <w:ind w:left="160" w:right="19" w:firstLine="0"/>
        <w:jc w:val="left"/>
        <w:rPr>
          <w:b/>
          <w:sz w:val="20"/>
        </w:rPr>
      </w:pPr>
      <w:r>
        <w:rPr>
          <w:b/>
          <w:color w:val="0092C7"/>
          <w:sz w:val="20"/>
        </w:rPr>
        <w:t>Current GDP projection based on constant nominal interest rates at 6%</w:t>
      </w:r>
    </w:p>
    <w:p>
      <w:pPr>
        <w:spacing w:before="126"/>
        <w:ind w:left="0" w:right="387" w:firstLine="0"/>
        <w:jc w:val="right"/>
        <w:rPr>
          <w:sz w:val="12"/>
        </w:rPr>
      </w:pPr>
      <w:r>
        <w:rPr/>
        <w:pict>
          <v:line style="position:absolute;mso-position-horizontal-relative:page;mso-position-vertical-relative:paragraph;z-index:16318464" from="42.654999pt,14.401563pt" to="46.407999pt,14.401563pt" stroked="true" strokeweight=".580pt" strokecolor="#000000">
            <v:stroke dashstyle="solid"/>
            <w10:wrap type="none"/>
          </v:line>
        </w:pict>
      </w:r>
      <w:r>
        <w:rPr/>
        <w:pict>
          <v:line style="position:absolute;mso-position-horizontal-relative:page;mso-position-vertical-relative:paragraph;z-index:-22291456" from="200.762003pt,14.401563pt" to="197.009003pt,14.401563pt" stroked="true" strokeweight=".580pt" strokecolor="#000000">
            <v:stroke dashstyle="solid"/>
            <w10:wrap type="none"/>
          </v:line>
        </w:pict>
      </w:r>
      <w:r>
        <w:rPr>
          <w:sz w:val="12"/>
        </w:rPr>
        <w:t>Percentage increase in output on a year earlier</w:t>
      </w:r>
      <w:r>
        <w:rPr>
          <w:spacing w:val="22"/>
          <w:sz w:val="12"/>
        </w:rPr>
        <w:t> </w:t>
      </w:r>
      <w:r>
        <w:rPr>
          <w:position w:val="-7"/>
          <w:sz w:val="12"/>
        </w:rPr>
        <w:t>6</w:t>
      </w:r>
    </w:p>
    <w:p>
      <w:pPr>
        <w:pStyle w:val="BodyText"/>
        <w:spacing w:before="8"/>
        <w:rPr>
          <w:sz w:val="23"/>
        </w:rPr>
      </w:pPr>
    </w:p>
    <w:p>
      <w:pPr>
        <w:spacing w:before="0"/>
        <w:ind w:left="0" w:right="387" w:firstLine="0"/>
        <w:jc w:val="right"/>
        <w:rPr>
          <w:sz w:val="12"/>
        </w:rPr>
      </w:pPr>
      <w:r>
        <w:rPr/>
        <w:pict>
          <v:line style="position:absolute;mso-position-horizontal-relative:page;mso-position-vertical-relative:paragraph;z-index:16317952" from="42.654999pt,4.148149pt" to="46.407999pt,4.148149pt" stroked="true" strokeweight=".580pt" strokecolor="#000000">
            <v:stroke dashstyle="solid"/>
            <w10:wrap type="none"/>
          </v:line>
        </w:pict>
      </w:r>
      <w:r>
        <w:rPr/>
        <w:pict>
          <v:line style="position:absolute;mso-position-horizontal-relative:page;mso-position-vertical-relative:paragraph;z-index:16319488" from="200.762003pt,4.148149pt" to="197.009003pt,4.148149pt" stroked="true" strokeweight=".580pt" strokecolor="#000000">
            <v:stroke dashstyle="solid"/>
            <w10:wrap type="none"/>
          </v:line>
        </w:pict>
      </w:r>
      <w:r>
        <w:rPr>
          <w:sz w:val="12"/>
        </w:rPr>
        <w:t>5</w:t>
      </w:r>
    </w:p>
    <w:p>
      <w:pPr>
        <w:pStyle w:val="BodyText"/>
        <w:rPr>
          <w:sz w:val="12"/>
        </w:rPr>
      </w:pPr>
    </w:p>
    <w:p>
      <w:pPr>
        <w:pStyle w:val="BodyText"/>
        <w:spacing w:before="9"/>
        <w:rPr>
          <w:sz w:val="11"/>
        </w:rPr>
      </w:pPr>
    </w:p>
    <w:p>
      <w:pPr>
        <w:spacing w:before="0"/>
        <w:ind w:left="0" w:right="387" w:firstLine="0"/>
        <w:jc w:val="right"/>
        <w:rPr>
          <w:sz w:val="12"/>
        </w:rPr>
      </w:pPr>
      <w:r>
        <w:rPr/>
        <w:pict>
          <v:group style="position:absolute;margin-left:49.042pt;margin-top:-2.137636pt;width:151.75pt;height:75.95pt;mso-position-horizontal-relative:page;mso-position-vertical-relative:paragraph;z-index:16314880" coordorigin="981,-43" coordsize="3035,1519">
            <v:shape style="position:absolute;left:2837;top:-43;width:1040;height:1519" coordorigin="2838,-43" coordsize="1040,1519" path="m3415,-43l3300,7,3184,163,3069,249,2953,307,2838,476,2953,751,3069,1130,3184,1340,3300,1410,3415,1430,3531,1438,3646,1451,3762,1459,3877,1475,3877,11,3762,-6,3415,-43xe" filled="true" fillcolor="#eaf0ec" stroked="false">
              <v:path arrowok="t"/>
              <v:fill type="solid"/>
            </v:shape>
            <v:shape style="position:absolute;left:2837;top:115;width:1040;height:1173" coordorigin="2838,115" coordsize="1040,1173" path="m3415,115l3300,160,3184,288,3069,341,2953,358,2838,477,2953,699,3069,1033,3184,1205,3300,1251,3415,1263,3531,1263,3762,1271,3877,1288,3877,148,3762,132,3646,127,3531,119,3415,115xe" filled="true" fillcolor="#d4e3dc" stroked="false">
              <v:path arrowok="t"/>
              <v:fill type="solid"/>
            </v:shape>
            <v:shape style="position:absolute;left:2837;top:216;width:1040;height:943" coordorigin="2838,217" coordsize="1040,943" path="m3531,217l3415,217,3300,254,3184,369,3069,402,2953,385,2838,476,2953,665,3069,957,3184,1109,3300,1134,3415,1142,3762,1142,3877,1159,3877,237,3762,221,3646,221,3531,217xe" filled="true" fillcolor="#bed7ca" stroked="false">
              <v:path arrowok="t"/>
              <v:fill type="solid"/>
            </v:shape>
            <v:shape style="position:absolute;left:2837;top:289;width:1040;height:766" coordorigin="2838,290" coordsize="1040,766" path="m3762,290l3646,294,3531,294,3415,298,3300,331,3184,434,3069,450,2953,409,2838,475,2953,636,3069,903,3184,1039,3300,1047,3415,1051,3762,1039,3877,1055,3877,306,3762,290xe" filled="true" fillcolor="#a7c9b8" stroked="false">
              <v:path arrowok="t"/>
              <v:fill type="solid"/>
            </v:shape>
            <v:shape style="position:absolute;left:2837;top:353;width:1040;height:622" coordorigin="2838,354" coordsize="1040,622" path="m3762,354l3646,358,3531,366,3415,370,3300,399,3184,494,3069,498,2953,432,2838,477,2953,613,3069,860,3184,975,3415,975,3531,967,3646,963,3762,954,3877,971,3877,370,3762,354xe" filled="true" fillcolor="#8ebdaa" stroked="false">
              <v:path arrowok="t"/>
              <v:fill type="solid"/>
            </v:shape>
            <v:shape style="position:absolute;left:2837;top:405;width:1040;height:511" coordorigin="2838,406" coordsize="1040,511" path="m3762,406l3415,431,3300,459,3184,542,3069,533,2953,451,2838,476,2953,591,3069,813,3184,916,3300,904,3415,900,3762,875,3877,891,3877,422,3762,406xe" filled="true" fillcolor="#76b19a" stroked="false">
              <v:path arrowok="t"/>
              <v:fill type="solid"/>
            </v:shape>
            <v:shape style="position:absolute;left:2837;top:457;width:1040;height:408" coordorigin="2838,457" coordsize="1040,408" path="m3762,457l3646,465,3415,490,3300,515,3184,589,3069,568,2953,470,2838,478,2953,572,3069,774,3184,865,3300,844,3415,836,3646,811,3762,803,3877,819,3877,474,3762,457xe" filled="true" fillcolor="#57a68a" stroked="false">
              <v:path arrowok="t"/>
              <v:fill type="solid"/>
            </v:shape>
            <v:shape style="position:absolute;left:2837;top:477;width:1040;height:338" coordorigin="2838,477" coordsize="1040,338" path="m2838,477l2953,555,3069,736,3184,815,3300,786,3531,761,3646,745,3762,732,3877,749,3877,522,3762,506,3646,518,3531,535,3415,547,3300,568,3184,634,3069,601,2953,485,2838,477xe" filled="true" fillcolor="#309a7b" stroked="false">
              <v:path arrowok="t"/>
              <v:fill type="solid"/>
            </v:shape>
            <v:shape style="position:absolute;left:2837;top:478;width:1040;height:293" coordorigin="2838,478" coordsize="1040,293" path="m2838,478l2953,536,3069,704,3184,770,3300,729,3415,717,3762,667,3877,684,3877,569,3762,552,3415,602,3300,622,3184,680,3069,635,2953,503,2838,478xe" filled="true" fillcolor="#008360" stroked="false">
              <v:path arrowok="t"/>
              <v:fill type="solid"/>
            </v:shape>
            <v:shape style="position:absolute;left:3940;top:82;width:76;height:1235" coordorigin="3940,83" coordsize="76,1235" path="m3940,1317l4015,1317m3940,906l4015,906m3940,494l4015,494m3940,83l4015,83e" filled="false" stroked="true" strokeweight=".580pt" strokecolor="#000000">
              <v:path arrowok="t"/>
              <v:stroke dashstyle="solid"/>
            </v:shape>
            <v:shape style="position:absolute;left:990;top:128;width:1271;height:988" coordorigin="991,128" coordsize="1271,988" path="m1106,725l991,786m1106,725l1222,655m1222,655l1337,540m1453,420l1337,540m1453,420l1568,280m1684,128l1568,280m1684,128l1799,313m1799,313l1915,593m2030,708l1915,593m2030,708l2145,930m2261,1116l2145,930e" filled="false" stroked="true" strokeweight="1pt" strokecolor="#008360">
              <v:path arrowok="t"/>
              <v:stroke dashstyle="solid"/>
            </v:shape>
            <v:line style="position:absolute" from="2251,1120" to="2386,1120" stroked="true" strokeweight="1.412pt" strokecolor="#008360">
              <v:stroke dashstyle="solid"/>
            </v:line>
            <v:shape style="position:absolute;left:2376;top:477;width:462;height:646" coordorigin="2376,478" coordsize="462,646" path="m2492,1054l2376,1124m2492,1054l2607,828m2723,515l2607,828m2723,515l2838,478e" filled="false" stroked="true" strokeweight="1pt" strokecolor="#008360">
              <v:path arrowok="t"/>
              <v:stroke dashstyle="solid"/>
            </v:shape>
            <v:shape style="position:absolute;left:2838;top:477;width:1040;height:243" coordorigin="2838,478" coordsize="1040,243" path="m2954,519l2838,478m3069,667l2954,519m3185,721l3069,667m3185,721l3300,671m3416,655l3300,671m3531,638l3416,655m3647,618l3531,638m3647,618l3762,601m3762,601l3878,618e" filled="false" stroked="true" strokeweight=".580pt" strokecolor="#008360">
              <v:path arrowok="t"/>
              <v:stroke dashstyle="solid"/>
            </v:shape>
            <w10:wrap type="none"/>
          </v:group>
        </w:pict>
      </w:r>
      <w:r>
        <w:rPr/>
        <w:pict>
          <v:line style="position:absolute;mso-position-horizontal-relative:page;mso-position-vertical-relative:paragraph;z-index:16317440" from="46.407999pt,4.148364pt" to="42.654999pt,4.148364pt" stroked="true" strokeweight=".580pt" strokecolor="#000000">
            <v:stroke dashstyle="solid"/>
            <w10:wrap type="none"/>
          </v:line>
        </w:pict>
      </w:r>
      <w:r>
        <w:rPr>
          <w:sz w:val="12"/>
        </w:rPr>
        <w:t>4</w:t>
      </w:r>
    </w:p>
    <w:p>
      <w:pPr>
        <w:pStyle w:val="BodyText"/>
        <w:rPr>
          <w:sz w:val="12"/>
        </w:rPr>
      </w:pPr>
    </w:p>
    <w:p>
      <w:pPr>
        <w:pStyle w:val="BodyText"/>
        <w:spacing w:before="9"/>
        <w:rPr>
          <w:sz w:val="11"/>
        </w:rPr>
      </w:pPr>
    </w:p>
    <w:p>
      <w:pPr>
        <w:spacing w:before="0"/>
        <w:ind w:left="0" w:right="387" w:firstLine="0"/>
        <w:jc w:val="right"/>
        <w:rPr>
          <w:sz w:val="12"/>
        </w:rPr>
      </w:pPr>
      <w:r>
        <w:rPr/>
        <w:pict>
          <v:line style="position:absolute;mso-position-horizontal-relative:page;mso-position-vertical-relative:paragraph;z-index:16316928" from="46.407999pt,4.14835pt" to="42.654999pt,4.14835pt" stroked="true" strokeweight=".580pt" strokecolor="#000000">
            <v:stroke dashstyle="solid"/>
            <w10:wrap type="none"/>
          </v:line>
        </w:pict>
      </w:r>
      <w:r>
        <w:rPr>
          <w:sz w:val="12"/>
        </w:rPr>
        <w:t>3</w:t>
      </w:r>
    </w:p>
    <w:p>
      <w:pPr>
        <w:pStyle w:val="BodyText"/>
        <w:rPr>
          <w:sz w:val="12"/>
        </w:rPr>
      </w:pPr>
    </w:p>
    <w:p>
      <w:pPr>
        <w:pStyle w:val="BodyText"/>
        <w:spacing w:before="9"/>
        <w:rPr>
          <w:sz w:val="11"/>
        </w:rPr>
      </w:pPr>
    </w:p>
    <w:p>
      <w:pPr>
        <w:spacing w:before="0"/>
        <w:ind w:left="0" w:right="387" w:firstLine="0"/>
        <w:jc w:val="right"/>
        <w:rPr>
          <w:sz w:val="12"/>
        </w:rPr>
      </w:pPr>
      <w:r>
        <w:rPr/>
        <w:pict>
          <v:line style="position:absolute;mso-position-horizontal-relative:page;mso-position-vertical-relative:paragraph;z-index:16316416" from="46.407999pt,4.147366pt" to="42.654999pt,4.147366pt" stroked="true" strokeweight=".580pt" strokecolor="#000000">
            <v:stroke dashstyle="solid"/>
            <w10:wrap type="none"/>
          </v:line>
        </w:pict>
      </w:r>
      <w:r>
        <w:rPr>
          <w:sz w:val="12"/>
        </w:rPr>
        <w:t>2</w:t>
      </w:r>
    </w:p>
    <w:p>
      <w:pPr>
        <w:pStyle w:val="BodyText"/>
        <w:rPr>
          <w:sz w:val="12"/>
        </w:rPr>
      </w:pPr>
    </w:p>
    <w:p>
      <w:pPr>
        <w:pStyle w:val="BodyText"/>
        <w:spacing w:before="9"/>
        <w:rPr>
          <w:sz w:val="11"/>
        </w:rPr>
      </w:pPr>
    </w:p>
    <w:p>
      <w:pPr>
        <w:spacing w:before="0"/>
        <w:ind w:left="0" w:right="387" w:firstLine="0"/>
        <w:jc w:val="right"/>
        <w:rPr>
          <w:sz w:val="12"/>
        </w:rPr>
      </w:pPr>
      <w:r>
        <w:rPr/>
        <w:pict>
          <v:line style="position:absolute;mso-position-horizontal-relative:page;mso-position-vertical-relative:paragraph;z-index:16315904" from="46.407999pt,4.147367pt" to="42.654999pt,4.147367pt" stroked="true" strokeweight=".580pt" strokecolor="#000000">
            <v:stroke dashstyle="solid"/>
            <w10:wrap type="none"/>
          </v:line>
        </w:pict>
      </w:r>
      <w:r>
        <w:rPr>
          <w:sz w:val="12"/>
        </w:rPr>
        <w:t>1</w:t>
      </w:r>
    </w:p>
    <w:p>
      <w:pPr>
        <w:spacing w:before="63"/>
        <w:ind w:left="0" w:right="444" w:firstLine="0"/>
        <w:jc w:val="right"/>
        <w:rPr>
          <w:sz w:val="16"/>
        </w:rPr>
      </w:pPr>
      <w:r>
        <w:rPr>
          <w:w w:val="100"/>
          <w:sz w:val="16"/>
        </w:rPr>
        <w:t>+</w:t>
      </w:r>
    </w:p>
    <w:p>
      <w:pPr>
        <w:tabs>
          <w:tab w:pos="3025" w:val="left" w:leader="none"/>
        </w:tabs>
        <w:spacing w:before="27"/>
        <w:ind w:left="0" w:right="387" w:firstLine="0"/>
        <w:jc w:val="right"/>
        <w:rPr>
          <w:sz w:val="12"/>
        </w:rPr>
      </w:pPr>
      <w:r>
        <w:rPr/>
        <w:pict>
          <v:line style="position:absolute;mso-position-horizontal-relative:page;mso-position-vertical-relative:paragraph;z-index:-22292480" from="200.762003pt,5.497567pt" to="197.009003pt,5.497567pt" stroked="true" strokeweight=".580pt" strokecolor="#000000">
            <v:stroke dashstyle="solid"/>
            <w10:wrap type="none"/>
          </v:line>
        </w:pict>
      </w:r>
      <w:r>
        <w:rPr>
          <w:sz w:val="12"/>
          <w:u w:val="single"/>
        </w:rPr>
        <w:t> </w:t>
        <w:tab/>
      </w:r>
      <w:r>
        <w:rPr>
          <w:sz w:val="12"/>
        </w:rPr>
        <w:t>     </w:t>
      </w:r>
      <w:r>
        <w:rPr>
          <w:spacing w:val="2"/>
          <w:sz w:val="12"/>
        </w:rPr>
        <w:t> </w:t>
      </w:r>
      <w:r>
        <w:rPr>
          <w:sz w:val="12"/>
        </w:rPr>
        <w:t>0</w:t>
      </w:r>
    </w:p>
    <w:p>
      <w:pPr>
        <w:spacing w:before="17"/>
        <w:ind w:left="0" w:right="435" w:firstLine="0"/>
        <w:jc w:val="right"/>
        <w:rPr>
          <w:sz w:val="16"/>
        </w:rPr>
      </w:pPr>
      <w:r>
        <w:rPr>
          <w:sz w:val="16"/>
        </w:rPr>
        <w:t>–</w:t>
      </w:r>
    </w:p>
    <w:p>
      <w:pPr>
        <w:spacing w:line="129" w:lineRule="exact" w:before="72"/>
        <w:ind w:left="3422" w:right="0" w:firstLine="0"/>
        <w:jc w:val="left"/>
        <w:rPr>
          <w:sz w:val="12"/>
        </w:rPr>
      </w:pPr>
      <w:r>
        <w:rPr/>
        <w:pict>
          <v:group style="position:absolute;margin-left:42.654999pt;margin-top:3.247568pt;width:158.15pt;height:4.95pt;mso-position-horizontal-relative:page;mso-position-vertical-relative:paragraph;z-index:16315392" coordorigin="853,65" coordsize="3163,99">
            <v:shape style="position:absolute;left:853;top:64;width:3163;height:90" coordorigin="853,65" coordsize="3163,90" path="m991,65l991,154m853,155l928,155m1106,102l1106,154m1222,154l1222,102m1337,154l1337,102m1453,65l1453,154m1568,154l1568,102m1684,154l1684,102m1799,102l1799,154m1915,154l1915,65m2030,154l2030,102m2145,102l2145,154m2261,154l2261,102m2376,154l2376,65m2492,102l2492,154m2607,102l2607,154m2723,154l2723,102m2838,65l2838,154m2954,102l2954,154m3069,102l3069,154m3185,102l3185,154m3300,154l3300,65m3416,102l3416,154m3531,102l3531,154m3647,154l3647,102m3762,154l3762,65m3877,102l3877,154m4015,155l3940,155e" filled="false" stroked="true" strokeweight=".580pt" strokecolor="#000000">
              <v:path arrowok="t"/>
              <v:stroke dashstyle="solid"/>
            </v:shape>
            <v:line style="position:absolute" from="999,158" to="3894,158" stroked="true" strokeweight=".5pt" strokecolor="#000000">
              <v:stroke dashstyle="solid"/>
            </v:line>
            <w10:wrap type="none"/>
          </v:group>
        </w:pict>
      </w:r>
      <w:r>
        <w:rPr>
          <w:sz w:val="12"/>
        </w:rPr>
        <w:t>1</w:t>
      </w:r>
    </w:p>
    <w:p>
      <w:pPr>
        <w:tabs>
          <w:tab w:pos="978" w:val="left" w:leader="none"/>
          <w:tab w:pos="1450" w:val="left" w:leader="none"/>
          <w:tab w:pos="1910" w:val="left" w:leader="none"/>
          <w:tab w:pos="2300" w:val="left" w:leader="none"/>
          <w:tab w:pos="2826" w:val="left" w:leader="none"/>
        </w:tabs>
        <w:spacing w:line="129" w:lineRule="exact" w:before="0"/>
        <w:ind w:left="458" w:right="0" w:firstLine="0"/>
        <w:jc w:val="left"/>
        <w:rPr>
          <w:sz w:val="12"/>
        </w:rPr>
      </w:pPr>
      <w:r>
        <w:rPr>
          <w:sz w:val="12"/>
        </w:rPr>
        <w:t>1996</w:t>
        <w:tab/>
        <w:t>97</w:t>
        <w:tab/>
        <w:t>98</w:t>
        <w:tab/>
        <w:t>99</w:t>
        <w:tab/>
        <w:t>2000</w:t>
        <w:tab/>
        <w:t>01</w:t>
      </w:r>
      <w:r>
        <w:rPr>
          <w:spacing w:val="5"/>
          <w:sz w:val="12"/>
        </w:rPr>
        <w:t> </w:t>
      </w:r>
      <w:r>
        <w:rPr>
          <w:sz w:val="12"/>
        </w:rPr>
        <w:t>02</w:t>
      </w:r>
    </w:p>
    <w:p>
      <w:pPr>
        <w:spacing w:line="208" w:lineRule="auto" w:before="78"/>
        <w:ind w:left="160" w:right="382" w:firstLine="0"/>
        <w:jc w:val="left"/>
        <w:rPr>
          <w:sz w:val="12"/>
        </w:rPr>
      </w:pPr>
      <w:r>
        <w:rPr>
          <w:sz w:val="12"/>
        </w:rPr>
        <w:t>The fan chart depicting the probability distribution for output growth is rather like a contour map. At any given point during the forecast period, the depth of shading represents the height of the probability density function over a range of outcomes for output.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w:t>
      </w:r>
    </w:p>
    <w:p>
      <w:pPr>
        <w:pStyle w:val="Heading6"/>
        <w:spacing w:line="242" w:lineRule="auto" w:before="90"/>
        <w:ind w:left="160" w:right="235"/>
      </w:pPr>
      <w:r>
        <w:rPr/>
        <w:br w:type="column"/>
      </w:r>
      <w:r>
        <w:rPr/>
        <w:t>Taking into account the stronger outlook for world demand and the additional rise in sterling, both exports and imports are likely to rise more quickly than estimated in February. The upward revisions are largely counterbalancing in terms of their impact on domestic output: the deficit on net trade is likely to widen further over the next two years, at a similar pace to that incorporated in the February projection.</w:t>
      </w:r>
    </w:p>
    <w:p>
      <w:pPr>
        <w:pStyle w:val="BodyText"/>
        <w:spacing w:before="2"/>
        <w:rPr>
          <w:sz w:val="25"/>
        </w:rPr>
      </w:pPr>
    </w:p>
    <w:p>
      <w:pPr>
        <w:spacing w:line="242" w:lineRule="auto" w:before="0"/>
        <w:ind w:left="160" w:right="193" w:firstLine="0"/>
        <w:jc w:val="left"/>
        <w:rPr>
          <w:sz w:val="24"/>
        </w:rPr>
      </w:pPr>
      <w:r>
        <w:rPr>
          <w:sz w:val="24"/>
        </w:rPr>
        <w:t>The outlook for GDP growth </w:t>
      </w:r>
      <w:r>
        <w:rPr>
          <w:spacing w:val="-3"/>
          <w:sz w:val="24"/>
        </w:rPr>
        <w:t>over </w:t>
      </w:r>
      <w:r>
        <w:rPr>
          <w:sz w:val="24"/>
        </w:rPr>
        <w:t>the next two years is presented in Chart 6.1.</w:t>
      </w:r>
      <w:r>
        <w:rPr>
          <w:position w:val="5"/>
          <w:sz w:val="16"/>
        </w:rPr>
        <w:t>(1) </w:t>
      </w:r>
      <w:r>
        <w:rPr>
          <w:sz w:val="24"/>
        </w:rPr>
        <w:t>The central projection for the four-quarter growth rate of GDP at constant market prices reflects the upward revision to growth in 1999. Four-quarter growth has edged up further to 3% around the turn of the year, broadly in line with the February projection. Output growth is expected to slow as domestic demand growth eases and as the net trade position deteriorates. Output growth may settle in the 2</w:t>
      </w:r>
      <w:r>
        <w:rPr>
          <w:position w:val="8"/>
          <w:sz w:val="12"/>
        </w:rPr>
        <w:t>1</w:t>
      </w:r>
      <w:r>
        <w:rPr>
          <w:sz w:val="24"/>
        </w:rPr>
        <w:t>/</w:t>
      </w:r>
      <w:r>
        <w:rPr>
          <w:sz w:val="12"/>
        </w:rPr>
        <w:t>2</w:t>
      </w:r>
      <w:r>
        <w:rPr>
          <w:sz w:val="24"/>
        </w:rPr>
        <w:t>%–2</w:t>
      </w:r>
      <w:r>
        <w:rPr>
          <w:position w:val="8"/>
          <w:sz w:val="12"/>
        </w:rPr>
        <w:t>3</w:t>
      </w:r>
      <w:r>
        <w:rPr>
          <w:sz w:val="24"/>
        </w:rPr>
        <w:t>/</w:t>
      </w:r>
      <w:r>
        <w:rPr>
          <w:sz w:val="12"/>
        </w:rPr>
        <w:t>4</w:t>
      </w:r>
      <w:r>
        <w:rPr>
          <w:sz w:val="24"/>
        </w:rPr>
        <w:t>% range over the next two years, at or just above the estimated trend rate of output growth.  That is a little stronger than the growth profile expected three months ago, reflecting the rather more rapid momentum of domestic spending and the more buoyant prospects </w:t>
      </w:r>
      <w:r>
        <w:rPr>
          <w:spacing w:val="-6"/>
          <w:sz w:val="24"/>
        </w:rPr>
        <w:t>for </w:t>
      </w:r>
      <w:r>
        <w:rPr>
          <w:sz w:val="24"/>
        </w:rPr>
        <w:t>the world</w:t>
      </w:r>
      <w:r>
        <w:rPr>
          <w:spacing w:val="-1"/>
          <w:sz w:val="24"/>
        </w:rPr>
        <w:t> </w:t>
      </w:r>
      <w:r>
        <w:rPr>
          <w:sz w:val="24"/>
        </w:rPr>
        <w:t>economy.</w:t>
      </w:r>
    </w:p>
    <w:p>
      <w:pPr>
        <w:pStyle w:val="BodyText"/>
        <w:rPr>
          <w:sz w:val="26"/>
        </w:rPr>
      </w:pPr>
    </w:p>
    <w:p>
      <w:pPr>
        <w:spacing w:line="242" w:lineRule="auto" w:before="0"/>
        <w:ind w:left="160" w:right="235" w:firstLine="0"/>
        <w:jc w:val="left"/>
        <w:rPr>
          <w:sz w:val="24"/>
        </w:rPr>
      </w:pPr>
      <w:r>
        <w:rPr>
          <w:sz w:val="24"/>
        </w:rPr>
        <w:t>The links between output and inflation remain hard to gauge. As noted in previous </w:t>
      </w:r>
      <w:r>
        <w:rPr>
          <w:i/>
          <w:sz w:val="24"/>
        </w:rPr>
        <w:t>Reports</w:t>
      </w:r>
      <w:r>
        <w:rPr>
          <w:sz w:val="24"/>
        </w:rPr>
        <w:t>, activity growth during 1999 recovered surprisingly quickly, but at the same time inflation outturns were rather weaker than expected. In the first quarter of this year, GDP growth has slowed more than expected, but taking into account</w:t>
      </w:r>
    </w:p>
    <w:p>
      <w:pPr>
        <w:spacing w:after="0" w:line="242" w:lineRule="auto"/>
        <w:jc w:val="left"/>
        <w:rPr>
          <w:sz w:val="24"/>
        </w:rPr>
        <w:sectPr>
          <w:type w:val="continuous"/>
          <w:pgSz w:w="11900" w:h="16840"/>
          <w:pgMar w:top="1220" w:bottom="280" w:left="640" w:right="620"/>
          <w:cols w:num="2" w:equalWidth="0">
            <w:col w:w="3872" w:space="914"/>
            <w:col w:w="5854"/>
          </w:cols>
        </w:sectPr>
      </w:pPr>
    </w:p>
    <w:p>
      <w:pPr>
        <w:pStyle w:val="BodyText"/>
        <w:spacing w:before="9" w:after="1"/>
        <w:rPr>
          <w:sz w:val="15"/>
        </w:rPr>
      </w:pPr>
    </w:p>
    <w:p>
      <w:pPr>
        <w:pStyle w:val="BodyText"/>
        <w:spacing w:line="20" w:lineRule="exact"/>
        <w:ind w:left="4923"/>
        <w:rPr>
          <w:sz w:val="2"/>
        </w:rPr>
      </w:pPr>
      <w:r>
        <w:rPr>
          <w:sz w:val="2"/>
        </w:rPr>
        <w:pict>
          <v:group style="width:277.650pt;height:.15pt;mso-position-horizontal-relative:char;mso-position-vertical-relative:line" coordorigin="0,0" coordsize="5553,3">
            <v:line style="position:absolute" from="0,1" to="5552,1" stroked="true" strokeweight=".125pt" strokecolor="#000000">
              <v:stroke dashstyle="solid"/>
            </v:line>
          </v:group>
        </w:pict>
      </w:r>
      <w:r>
        <w:rPr>
          <w:sz w:val="2"/>
        </w:rPr>
      </w:r>
    </w:p>
    <w:p>
      <w:pPr>
        <w:spacing w:before="4"/>
        <w:ind w:left="4945" w:right="0" w:firstLine="0"/>
        <w:jc w:val="left"/>
        <w:rPr>
          <w:sz w:val="16"/>
        </w:rPr>
      </w:pPr>
      <w:hyperlink w:history="true" w:anchor="_bookmark1">
        <w:r>
          <w:rPr>
            <w:sz w:val="16"/>
          </w:rPr>
          <w:t>(1) Also shown as Chart 1 in the Overview.</w:t>
        </w:r>
      </w:hyperlink>
    </w:p>
    <w:p>
      <w:pPr>
        <w:spacing w:after="0"/>
        <w:jc w:val="left"/>
        <w:rPr>
          <w:sz w:val="16"/>
        </w:rPr>
        <w:sectPr>
          <w:type w:val="continuous"/>
          <w:pgSz w:w="11900" w:h="16840"/>
          <w:pgMar w:top="1220" w:bottom="280" w:left="640" w:right="620"/>
        </w:sectPr>
      </w:pPr>
    </w:p>
    <w:p>
      <w:pPr>
        <w:pStyle w:val="BodyText"/>
        <w:rPr>
          <w:sz w:val="20"/>
        </w:rPr>
      </w:pPr>
    </w:p>
    <w:p>
      <w:pPr>
        <w:pStyle w:val="BodyText"/>
        <w:spacing w:before="5"/>
        <w:rPr>
          <w:sz w:val="21"/>
        </w:rPr>
      </w:pPr>
    </w:p>
    <w:p>
      <w:pPr>
        <w:pStyle w:val="Heading6"/>
        <w:spacing w:line="242" w:lineRule="auto" w:before="1"/>
        <w:ind w:left="4944" w:right="206"/>
      </w:pPr>
      <w:r>
        <w:rPr/>
        <w:t>the upward revisions to growth rates last year, the level of output in the first quarter was in line with </w:t>
      </w:r>
      <w:r>
        <w:rPr>
          <w:spacing w:val="-3"/>
        </w:rPr>
        <w:t>expectations </w:t>
      </w:r>
      <w:r>
        <w:rPr/>
        <w:t>in February. RPIX inflation outturns </w:t>
      </w:r>
      <w:r>
        <w:rPr>
          <w:spacing w:val="-3"/>
        </w:rPr>
        <w:t>have </w:t>
      </w:r>
      <w:r>
        <w:rPr/>
        <w:t>also been broadly as expected.  The Committee reviewed the recent evidence on the various influences affecting the inflation outlook, and reconsidered the assumptions underlying the projection.</w:t>
      </w:r>
    </w:p>
    <w:p>
      <w:pPr>
        <w:pStyle w:val="BodyText"/>
        <w:spacing w:before="7"/>
        <w:rPr>
          <w:sz w:val="21"/>
        </w:rPr>
      </w:pPr>
    </w:p>
    <w:p>
      <w:pPr>
        <w:spacing w:line="242" w:lineRule="auto" w:before="0"/>
        <w:ind w:left="4944" w:right="221" w:firstLine="0"/>
        <w:jc w:val="left"/>
        <w:rPr>
          <w:sz w:val="24"/>
        </w:rPr>
      </w:pPr>
      <w:r>
        <w:rPr>
          <w:sz w:val="24"/>
        </w:rPr>
        <w:t>Monetary data continue to provide mixed signals. Aggregate broad money growth was particularly weak around the turn of the year, largely on account of swings in deposits held by other financial corporations, </w:t>
      </w:r>
      <w:r>
        <w:rPr>
          <w:spacing w:val="-3"/>
          <w:sz w:val="24"/>
        </w:rPr>
        <w:t>although </w:t>
      </w:r>
      <w:r>
        <w:rPr>
          <w:sz w:val="24"/>
        </w:rPr>
        <w:t>there are signs of rather stronger growth in the latest monthly data. On the other hand, aggregate credit growth has remained robust, supported by buoyant lending to households. Household sector credit is currently rising at around 10% a year—the fastest pace since 1991. The rapid increase in credit is consistent with a strong near-term outlook for consumer spending. This picture is also supported by narrow money growth, which remains firm </w:t>
      </w:r>
      <w:r>
        <w:rPr>
          <w:spacing w:val="-3"/>
          <w:sz w:val="24"/>
        </w:rPr>
        <w:t>now </w:t>
      </w:r>
      <w:r>
        <w:rPr>
          <w:sz w:val="24"/>
        </w:rPr>
        <w:t>that the end-year distortions </w:t>
      </w:r>
      <w:r>
        <w:rPr>
          <w:spacing w:val="-3"/>
          <w:sz w:val="24"/>
        </w:rPr>
        <w:t>have </w:t>
      </w:r>
      <w:r>
        <w:rPr>
          <w:sz w:val="24"/>
        </w:rPr>
        <w:t>unwound. There has been no change in the </w:t>
      </w:r>
      <w:r>
        <w:rPr>
          <w:spacing w:val="-3"/>
          <w:sz w:val="24"/>
        </w:rPr>
        <w:t>Bank’s </w:t>
      </w:r>
      <w:r>
        <w:rPr>
          <w:sz w:val="24"/>
        </w:rPr>
        <w:t>repo rate since February, which has been maintained at 6%. Market expectations are that official rates will rise further in the near term, but the peak in rates is now expected to be lower than was judged likely in</w:t>
      </w:r>
      <w:r>
        <w:rPr>
          <w:spacing w:val="-29"/>
          <w:sz w:val="24"/>
        </w:rPr>
        <w:t> </w:t>
      </w:r>
      <w:r>
        <w:rPr>
          <w:sz w:val="24"/>
        </w:rPr>
        <w:t>February.</w:t>
      </w:r>
    </w:p>
    <w:p>
      <w:pPr>
        <w:pStyle w:val="BodyText"/>
        <w:spacing w:before="10"/>
        <w:rPr>
          <w:sz w:val="22"/>
        </w:rPr>
      </w:pPr>
    </w:p>
    <w:p>
      <w:pPr>
        <w:spacing w:line="242" w:lineRule="auto" w:before="0"/>
        <w:ind w:left="4944" w:right="237" w:firstLine="0"/>
        <w:jc w:val="left"/>
        <w:rPr>
          <w:sz w:val="24"/>
        </w:rPr>
      </w:pPr>
      <w:r>
        <w:rPr>
          <w:sz w:val="24"/>
        </w:rPr>
        <w:t>Pressures on earnings appear to be rather greater than envisaged three months ago. But the extent of the additional pressure is hard to assess. On the one hand, pay settlements suggest little change.  Indeed, recent data on settlements continue to follow a slightly declining trend, although there </w:t>
      </w:r>
      <w:r>
        <w:rPr>
          <w:spacing w:val="-3"/>
          <w:sz w:val="24"/>
        </w:rPr>
        <w:t>have </w:t>
      </w:r>
      <w:r>
        <w:rPr>
          <w:sz w:val="24"/>
        </w:rPr>
        <w:t>been some reports from contacts of the </w:t>
      </w:r>
      <w:r>
        <w:rPr>
          <w:spacing w:val="-3"/>
          <w:sz w:val="24"/>
        </w:rPr>
        <w:t>Bank’s </w:t>
      </w:r>
      <w:r>
        <w:rPr>
          <w:sz w:val="24"/>
        </w:rPr>
        <w:t>regional Agents suggesting that this pattern could reverse later in the year if the labour market remains tight. On the other hand, </w:t>
      </w:r>
      <w:r>
        <w:rPr>
          <w:spacing w:val="-3"/>
          <w:sz w:val="24"/>
        </w:rPr>
        <w:t>nominal </w:t>
      </w:r>
      <w:r>
        <w:rPr>
          <w:sz w:val="24"/>
        </w:rPr>
        <w:t>earnings growth has picked up sharply in recent months. Headline annual earnings growth on the AEI measure was 6% in the three months to February,</w:t>
      </w:r>
      <w:r>
        <w:rPr>
          <w:spacing w:val="-6"/>
          <w:sz w:val="24"/>
        </w:rPr>
        <w:t> </w:t>
      </w:r>
      <w:r>
        <w:rPr>
          <w:sz w:val="24"/>
        </w:rPr>
        <w:t>some</w:t>
      </w:r>
    </w:p>
    <w:p>
      <w:pPr>
        <w:spacing w:line="242" w:lineRule="auto" w:before="15"/>
        <w:ind w:left="4944" w:right="303" w:firstLine="0"/>
        <w:jc w:val="left"/>
        <w:rPr>
          <w:sz w:val="24"/>
        </w:rPr>
      </w:pPr>
      <w:r>
        <w:rPr>
          <w:sz w:val="24"/>
        </w:rPr>
        <w:t>1 percentage point higher than in the three months to November. The recent data are affected to some degree by special payments paid around the millennium and by high bonuses paid around the turn of the year. Recent headline earnings data are likely to exaggerate the underlying pay trend substantially.</w:t>
      </w:r>
    </w:p>
    <w:p>
      <w:pPr>
        <w:pStyle w:val="BodyText"/>
        <w:spacing w:before="6"/>
        <w:rPr>
          <w:sz w:val="21"/>
        </w:rPr>
      </w:pPr>
    </w:p>
    <w:p>
      <w:pPr>
        <w:spacing w:line="242" w:lineRule="auto" w:before="0"/>
        <w:ind w:left="4944" w:right="293" w:firstLine="0"/>
        <w:jc w:val="left"/>
        <w:rPr>
          <w:sz w:val="24"/>
        </w:rPr>
      </w:pPr>
      <w:r>
        <w:rPr>
          <w:sz w:val="24"/>
        </w:rPr>
        <w:t>Recent trends in employment and unemployment confirm that the labour market remains tight. Growth in employment continues to run ahead of increases in the working-age population, with the difference accounted for by individuals moving out of unemployment or inactivity. Unemployment on the Labour Force Survey</w:t>
      </w:r>
    </w:p>
    <w:p>
      <w:pPr>
        <w:spacing w:after="0" w:line="242" w:lineRule="auto"/>
        <w:jc w:val="left"/>
        <w:rPr>
          <w:sz w:val="24"/>
        </w:rPr>
        <w:sectPr>
          <w:pgSz w:w="11900" w:h="16840"/>
          <w:pgMar w:header="586" w:footer="597" w:top="780" w:bottom="780" w:left="640" w:right="620"/>
        </w:sectPr>
      </w:pPr>
    </w:p>
    <w:p>
      <w:pPr>
        <w:pStyle w:val="BodyText"/>
        <w:rPr>
          <w:sz w:val="20"/>
        </w:rPr>
      </w:pPr>
    </w:p>
    <w:p>
      <w:pPr>
        <w:spacing w:line="242" w:lineRule="auto" w:before="207"/>
        <w:ind w:left="4955" w:right="208" w:firstLine="0"/>
        <w:jc w:val="left"/>
        <w:rPr>
          <w:sz w:val="24"/>
        </w:rPr>
      </w:pPr>
      <w:r>
        <w:rPr>
          <w:sz w:val="24"/>
        </w:rPr>
        <w:t>estimate has fallen to 5.8%, and the claimant count measure has also edged down slightly. The unemployment rate is at a 20-year low. Employment intentions overall remain firm although there has been a widening of the divergence across sectors, with intentions rising further in the service sector and weakening in manufacturing. Survey evidence and Agent’s reports suggest that skill shortages remain a concern.</w:t>
      </w:r>
    </w:p>
    <w:p>
      <w:pPr>
        <w:pStyle w:val="BodyText"/>
        <w:spacing w:before="10"/>
        <w:rPr>
          <w:sz w:val="21"/>
        </w:rPr>
      </w:pPr>
    </w:p>
    <w:p>
      <w:pPr>
        <w:spacing w:line="242" w:lineRule="auto" w:before="0"/>
        <w:ind w:left="4955" w:right="213" w:firstLine="0"/>
        <w:jc w:val="left"/>
        <w:rPr>
          <w:sz w:val="24"/>
        </w:rPr>
      </w:pPr>
      <w:r>
        <w:rPr>
          <w:sz w:val="24"/>
        </w:rPr>
        <w:t>When bargaining over pay, firms and employees care about outcomes in real terms. Employers focus on the implication for costs relative to the price of their firm’s output. Employees, on the other hand, are interested in the potential purchasing power of post-tax earnings in terms of goods and services. Inflation expectations consequently play a significant role in determining the outcome in nominal terms: monetary policy can affect nominal pay pressure through this channel. Recent surveys of inflation expectations on balance indicate little change over the past three months. That suggests that the recent increase in pay growth represents a rise in real earnings.</w:t>
      </w:r>
    </w:p>
    <w:p>
      <w:pPr>
        <w:pStyle w:val="BodyText"/>
        <w:spacing w:before="3"/>
        <w:rPr>
          <w:sz w:val="22"/>
        </w:rPr>
      </w:pPr>
    </w:p>
    <w:p>
      <w:pPr>
        <w:spacing w:line="242" w:lineRule="auto" w:before="1"/>
        <w:ind w:left="4955" w:right="183" w:firstLine="0"/>
        <w:jc w:val="left"/>
        <w:rPr>
          <w:sz w:val="24"/>
        </w:rPr>
      </w:pPr>
      <w:r>
        <w:rPr>
          <w:spacing w:val="-3"/>
          <w:sz w:val="24"/>
        </w:rPr>
        <w:t>Given </w:t>
      </w:r>
      <w:r>
        <w:rPr>
          <w:sz w:val="24"/>
        </w:rPr>
        <w:t>the special factors likely to be affecting the recent earnings data and the benign trend in pay settlements, the Committee judges that there is no reason at present to change previous estimates of the relationship between real earnings and labour market pressures. On this </w:t>
      </w:r>
      <w:r>
        <w:rPr>
          <w:spacing w:val="-5"/>
          <w:sz w:val="24"/>
        </w:rPr>
        <w:t>view, </w:t>
      </w:r>
      <w:r>
        <w:rPr>
          <w:sz w:val="24"/>
        </w:rPr>
        <w:t>the higher growth in real earnings around the millennium largely</w:t>
      </w:r>
      <w:r>
        <w:rPr>
          <w:spacing w:val="-8"/>
          <w:sz w:val="24"/>
        </w:rPr>
        <w:t> </w:t>
      </w:r>
      <w:r>
        <w:rPr>
          <w:sz w:val="24"/>
        </w:rPr>
        <w:t>reflects</w:t>
      </w:r>
      <w:r>
        <w:rPr>
          <w:spacing w:val="-8"/>
          <w:sz w:val="24"/>
        </w:rPr>
        <w:t> </w:t>
      </w:r>
      <w:r>
        <w:rPr>
          <w:sz w:val="24"/>
        </w:rPr>
        <w:t>factors</w:t>
      </w:r>
      <w:r>
        <w:rPr>
          <w:spacing w:val="-8"/>
          <w:sz w:val="24"/>
        </w:rPr>
        <w:t> </w:t>
      </w:r>
      <w:r>
        <w:rPr>
          <w:sz w:val="24"/>
        </w:rPr>
        <w:t>that</w:t>
      </w:r>
      <w:r>
        <w:rPr>
          <w:spacing w:val="-7"/>
          <w:sz w:val="24"/>
        </w:rPr>
        <w:t> </w:t>
      </w:r>
      <w:r>
        <w:rPr>
          <w:sz w:val="24"/>
        </w:rPr>
        <w:t>are</w:t>
      </w:r>
      <w:r>
        <w:rPr>
          <w:spacing w:val="-8"/>
          <w:sz w:val="24"/>
        </w:rPr>
        <w:t> </w:t>
      </w:r>
      <w:r>
        <w:rPr>
          <w:sz w:val="24"/>
        </w:rPr>
        <w:t>likely</w:t>
      </w:r>
      <w:r>
        <w:rPr>
          <w:spacing w:val="-8"/>
          <w:sz w:val="24"/>
        </w:rPr>
        <w:t> </w:t>
      </w:r>
      <w:r>
        <w:rPr>
          <w:sz w:val="24"/>
        </w:rPr>
        <w:t>to</w:t>
      </w:r>
      <w:r>
        <w:rPr>
          <w:spacing w:val="-8"/>
          <w:sz w:val="24"/>
        </w:rPr>
        <w:t> </w:t>
      </w:r>
      <w:r>
        <w:rPr>
          <w:sz w:val="24"/>
        </w:rPr>
        <w:t>unwind</w:t>
      </w:r>
      <w:r>
        <w:rPr>
          <w:spacing w:val="-7"/>
          <w:sz w:val="24"/>
        </w:rPr>
        <w:t> </w:t>
      </w:r>
      <w:r>
        <w:rPr>
          <w:sz w:val="24"/>
        </w:rPr>
        <w:t>relatively quickly, and which themselves would put relatively little upward pressure on prices. But there may also be an impact of higher real wages on demand, which could put some upward pressure on prices </w:t>
      </w:r>
      <w:r>
        <w:rPr>
          <w:spacing w:val="-3"/>
          <w:sz w:val="24"/>
        </w:rPr>
        <w:t>indirectly. </w:t>
      </w:r>
      <w:r>
        <w:rPr>
          <w:sz w:val="24"/>
        </w:rPr>
        <w:t>Balancing these forces, the Committee considers that earnings growth is likely to slow markedly once the major bonus months </w:t>
      </w:r>
      <w:r>
        <w:rPr>
          <w:spacing w:val="-3"/>
          <w:sz w:val="24"/>
        </w:rPr>
        <w:t>have </w:t>
      </w:r>
      <w:r>
        <w:rPr>
          <w:sz w:val="24"/>
        </w:rPr>
        <w:t>passed. Nevertheless, the projection for nominal earnings growth is higher than in the February forecast, as the unwinding of faster growth is not immediate, and the slightly stronger demand profile than projected three months ago tends to put upward pressure on prices and in turn on nominal earnings. Some Committee members consider that the recent increases in wage drift are likely to </w:t>
      </w:r>
      <w:r>
        <w:rPr>
          <w:spacing w:val="-3"/>
          <w:sz w:val="24"/>
        </w:rPr>
        <w:t>have </w:t>
      </w:r>
      <w:r>
        <w:rPr>
          <w:sz w:val="24"/>
        </w:rPr>
        <w:t>smaller effects on prices than in the current central projection, judging that the recent increase largely reflects higher profitability or unmeasured productivity growth. They prefer an alternative assumption which would lower RPIX inflation by 0.2 percentage points in the first year</w:t>
      </w:r>
      <w:r>
        <w:rPr>
          <w:spacing w:val="-3"/>
          <w:sz w:val="24"/>
        </w:rPr>
        <w:t> </w:t>
      </w:r>
      <w:r>
        <w:rPr>
          <w:sz w:val="24"/>
        </w:rPr>
        <w:t>and</w:t>
      </w:r>
    </w:p>
    <w:p>
      <w:pPr>
        <w:spacing w:line="242" w:lineRule="auto" w:before="33"/>
        <w:ind w:left="4955" w:right="1206" w:firstLine="0"/>
        <w:jc w:val="left"/>
        <w:rPr>
          <w:sz w:val="24"/>
        </w:rPr>
      </w:pPr>
      <w:r>
        <w:rPr>
          <w:sz w:val="24"/>
        </w:rPr>
        <w:t>0.1 percentage points in the second year of the projection.</w:t>
      </w:r>
    </w:p>
    <w:p>
      <w:pPr>
        <w:spacing w:after="0" w:line="242" w:lineRule="auto"/>
        <w:jc w:val="left"/>
        <w:rPr>
          <w:sz w:val="24"/>
        </w:rPr>
        <w:sectPr>
          <w:pgSz w:w="11900" w:h="16840"/>
          <w:pgMar w:header="586" w:footer="617" w:top="780" w:bottom="800" w:left="640" w:right="620"/>
        </w:sectPr>
      </w:pPr>
    </w:p>
    <w:p>
      <w:pPr>
        <w:pStyle w:val="BodyText"/>
        <w:rPr>
          <w:sz w:val="20"/>
        </w:rPr>
      </w:pPr>
    </w:p>
    <w:p>
      <w:pPr>
        <w:spacing w:line="242" w:lineRule="auto" w:before="217"/>
        <w:ind w:left="4964" w:right="295" w:firstLine="0"/>
        <w:jc w:val="left"/>
        <w:rPr>
          <w:sz w:val="24"/>
        </w:rPr>
      </w:pPr>
      <w:r>
        <w:rPr>
          <w:sz w:val="24"/>
        </w:rPr>
        <w:t>The impact of higher earnings growth on cost pressures depends on the behaviour of labour productivity. For example, an increase in earnings per employee would not affect the costs of production if the rise in pay</w:t>
      </w:r>
    </w:p>
    <w:p>
      <w:pPr>
        <w:spacing w:line="242" w:lineRule="auto" w:before="5"/>
        <w:ind w:left="4964" w:right="417" w:firstLine="0"/>
        <w:jc w:val="left"/>
        <w:rPr>
          <w:sz w:val="24"/>
        </w:rPr>
      </w:pPr>
      <w:r>
        <w:rPr>
          <w:sz w:val="24"/>
        </w:rPr>
        <w:t>were matched fully by a corresponding improvement in productivity. Labour productivity growth strengthened during 1999 as output growth picked up.</w:t>
      </w:r>
    </w:p>
    <w:p>
      <w:pPr>
        <w:spacing w:line="242" w:lineRule="auto" w:before="4"/>
        <w:ind w:left="4964" w:right="0" w:firstLine="0"/>
        <w:jc w:val="left"/>
        <w:rPr>
          <w:sz w:val="24"/>
        </w:rPr>
      </w:pPr>
      <w:r>
        <w:rPr>
          <w:sz w:val="24"/>
        </w:rPr>
        <w:t>Whole-economy productivity rose by 1.8% in the year to 1999 Q4, close to the average increase of the past</w:t>
      </w:r>
    </w:p>
    <w:p>
      <w:pPr>
        <w:spacing w:line="242" w:lineRule="auto" w:before="2"/>
        <w:ind w:left="4964" w:right="171" w:firstLine="0"/>
        <w:jc w:val="left"/>
        <w:rPr>
          <w:sz w:val="24"/>
        </w:rPr>
      </w:pPr>
      <w:r>
        <w:rPr>
          <w:sz w:val="24"/>
        </w:rPr>
        <w:t>40 years of 2% per annum, and more than 1 percentage point faster than in the previous year. Estimates of the growth in wages and salaries per employee from the National Accounts changed little during 1999, and as a consequence annual growth of unit wage costs slowed to 3.2% in the fourth quarter, although there may have been a temporary increase early this year given the sharp rise in earnings growth on the AEI measure.</w:t>
      </w:r>
    </w:p>
    <w:p>
      <w:pPr>
        <w:pStyle w:val="BodyText"/>
        <w:spacing w:before="9"/>
        <w:rPr>
          <w:sz w:val="21"/>
        </w:rPr>
      </w:pPr>
    </w:p>
    <w:p>
      <w:pPr>
        <w:spacing w:line="242" w:lineRule="auto" w:before="0"/>
        <w:ind w:left="4964" w:right="358" w:firstLine="0"/>
        <w:jc w:val="left"/>
        <w:rPr>
          <w:sz w:val="24"/>
        </w:rPr>
      </w:pPr>
      <w:r>
        <w:rPr>
          <w:sz w:val="24"/>
        </w:rPr>
        <w:t>The Committee re-examined the assumption on the long-term productivity trend underlying the projection and decided to maintain the previous judgment that the 40-year average should be used as the guide. On the Committee’s central projection, actual productivity growth is likely to be close to this trend over the next two years.</w:t>
      </w:r>
    </w:p>
    <w:p>
      <w:pPr>
        <w:pStyle w:val="BodyText"/>
        <w:spacing w:before="7"/>
        <w:rPr>
          <w:sz w:val="21"/>
        </w:rPr>
      </w:pPr>
    </w:p>
    <w:p>
      <w:pPr>
        <w:spacing w:line="242" w:lineRule="auto" w:before="1"/>
        <w:ind w:left="4964" w:right="251" w:hanging="1"/>
        <w:jc w:val="left"/>
        <w:rPr>
          <w:sz w:val="24"/>
        </w:rPr>
      </w:pPr>
      <w:r>
        <w:rPr>
          <w:sz w:val="24"/>
        </w:rPr>
        <w:t>Recent </w:t>
      </w:r>
      <w:r>
        <w:rPr>
          <w:i/>
          <w:sz w:val="24"/>
        </w:rPr>
        <w:t>Inflation Reports </w:t>
      </w:r>
      <w:r>
        <w:rPr>
          <w:sz w:val="24"/>
        </w:rPr>
        <w:t>have highlighted the Committee’s view that an intensification of competitive pressures is likely to lead to a compression of price-cost margins over the projection period. In a number of sectors, technological advance is facilitating an increase in price transparency which in turn may be stimulating greater competition, for example through the medium of electronic commerce. The Committee has maintained the judgment in the central projection that pressure on margins will build steadily over the next two years, and that as margins are cut there could be a temporary reduction in measured inflation. No change has been made to the size of the adjustments since the previous </w:t>
      </w:r>
      <w:r>
        <w:rPr>
          <w:i/>
          <w:sz w:val="24"/>
        </w:rPr>
        <w:t>Report</w:t>
      </w:r>
      <w:r>
        <w:rPr>
          <w:sz w:val="24"/>
        </w:rPr>
        <w:t>. On the best collective judgment, the structural squeeze on margins reduces inflation by around</w:t>
      </w:r>
    </w:p>
    <w:p>
      <w:pPr>
        <w:spacing w:before="19"/>
        <w:ind w:left="4964" w:right="0" w:firstLine="0"/>
        <w:jc w:val="left"/>
        <w:rPr>
          <w:sz w:val="24"/>
        </w:rPr>
      </w:pPr>
      <w:r>
        <w:rPr>
          <w:sz w:val="24"/>
        </w:rPr>
        <w:t>0.25 percentage points in the first year and by</w:t>
      </w:r>
    </w:p>
    <w:p>
      <w:pPr>
        <w:spacing w:line="242" w:lineRule="auto" w:before="4"/>
        <w:ind w:left="4964" w:right="208" w:firstLine="0"/>
        <w:jc w:val="left"/>
        <w:rPr>
          <w:sz w:val="24"/>
        </w:rPr>
      </w:pPr>
      <w:r>
        <w:rPr>
          <w:sz w:val="24"/>
        </w:rPr>
        <w:t>0.3 percentage points in the second year of the projection. The separate adjustments made previously to take account of the substantial cuts in the prices of utilities announced by regulators have also been preserved.</w:t>
      </w:r>
    </w:p>
    <w:p>
      <w:pPr>
        <w:pStyle w:val="BodyText"/>
        <w:spacing w:before="4"/>
        <w:rPr>
          <w:sz w:val="21"/>
        </w:rPr>
      </w:pPr>
    </w:p>
    <w:p>
      <w:pPr>
        <w:spacing w:line="242" w:lineRule="auto" w:before="1"/>
        <w:ind w:left="4964" w:right="223" w:firstLine="0"/>
        <w:jc w:val="left"/>
        <w:rPr>
          <w:sz w:val="24"/>
        </w:rPr>
      </w:pPr>
      <w:r>
        <w:rPr>
          <w:sz w:val="24"/>
        </w:rPr>
        <w:t>There are considerable uncertainties surrounding the assumptions on long-term productivity trends and on the adjustments to margins. In the view of some Committee members, improvements in supply-side performance</w:t>
      </w:r>
    </w:p>
    <w:p>
      <w:pPr>
        <w:spacing w:after="0" w:line="242" w:lineRule="auto"/>
        <w:jc w:val="left"/>
        <w:rPr>
          <w:sz w:val="24"/>
        </w:rPr>
        <w:sectPr>
          <w:pgSz w:w="11900" w:h="16840"/>
          <w:pgMar w:header="586" w:footer="597" w:top="780" w:bottom="780" w:left="640" w:right="620"/>
        </w:sectPr>
      </w:pPr>
    </w:p>
    <w:p>
      <w:pPr>
        <w:pStyle w:val="BodyText"/>
        <w:rPr>
          <w:sz w:val="20"/>
        </w:rPr>
      </w:pPr>
    </w:p>
    <w:p>
      <w:pPr>
        <w:spacing w:line="242" w:lineRule="auto" w:before="207"/>
        <w:ind w:left="4945" w:right="263" w:firstLine="0"/>
        <w:jc w:val="left"/>
        <w:rPr>
          <w:sz w:val="24"/>
        </w:rPr>
      </w:pPr>
      <w:bookmarkStart w:name="_bookmark43" w:id="88"/>
      <w:bookmarkEnd w:id="88"/>
      <w:r>
        <w:rPr/>
      </w:r>
      <w:r>
        <w:rPr>
          <w:sz w:val="24"/>
        </w:rPr>
        <w:t>could place stronger downward pressures on prices than in the central case, reflecting the possibilities of improvements in the rate of technical progress towards US levels, and of a larger adjustment to margins than in the central projection. Improved supply-side performance overall could reduce inflation by up to</w:t>
      </w:r>
    </w:p>
    <w:p>
      <w:pPr>
        <w:spacing w:before="8"/>
        <w:ind w:left="4945" w:right="0" w:firstLine="0"/>
        <w:jc w:val="left"/>
        <w:rPr>
          <w:sz w:val="24"/>
        </w:rPr>
      </w:pPr>
      <w:r>
        <w:rPr>
          <w:sz w:val="24"/>
        </w:rPr>
        <w:t>0.3 percentage points over the next two years.</w:t>
      </w:r>
    </w:p>
    <w:p>
      <w:pPr>
        <w:pStyle w:val="BodyText"/>
        <w:spacing w:before="8"/>
        <w:rPr>
          <w:sz w:val="24"/>
        </w:rPr>
      </w:pPr>
    </w:p>
    <w:p>
      <w:pPr>
        <w:spacing w:line="242" w:lineRule="auto" w:before="0"/>
        <w:ind w:left="4945" w:right="217" w:firstLine="0"/>
        <w:jc w:val="left"/>
        <w:rPr>
          <w:sz w:val="24"/>
        </w:rPr>
      </w:pPr>
      <w:r>
        <w:rPr>
          <w:sz w:val="24"/>
        </w:rPr>
        <w:t>Other Committee members supported the assumption on long-term productivity trends in the central projection but took a different view on the magnitude of the special adjustments to margins and the duration of their impact on inflation. These Committee members considered that the adjustments to margins should affect aggregate inflation only for a short period, reflecting the temporary stickiness of prices. They prefer a smaller adjustment on account of margin compression, particularly in the second year of the projection. Taking this view, inflation at the two-year horizon could be up to 0.3 percentage points higher than in the central projection.</w:t>
      </w:r>
    </w:p>
    <w:p>
      <w:pPr>
        <w:pStyle w:val="BodyText"/>
        <w:spacing w:before="7"/>
        <w:rPr>
          <w:sz w:val="25"/>
        </w:rPr>
      </w:pPr>
    </w:p>
    <w:p>
      <w:pPr>
        <w:spacing w:line="242" w:lineRule="auto" w:before="0"/>
        <w:ind w:left="4945" w:right="983" w:firstLine="0"/>
        <w:jc w:val="left"/>
        <w:rPr>
          <w:sz w:val="24"/>
        </w:rPr>
      </w:pPr>
      <w:r>
        <w:rPr>
          <w:sz w:val="24"/>
        </w:rPr>
        <w:t>Drawing the various influences together, the Committee’s best collective projection for the twelve-month RPIX inflation rate—based on the</w:t>
      </w:r>
    </w:p>
    <w:p>
      <w:pPr>
        <w:spacing w:line="242" w:lineRule="auto" w:before="4"/>
        <w:ind w:left="4945" w:right="349" w:firstLine="0"/>
        <w:jc w:val="left"/>
        <w:rPr>
          <w:sz w:val="24"/>
        </w:rPr>
      </w:pPr>
      <w:r>
        <w:rPr>
          <w:sz w:val="24"/>
        </w:rPr>
        <w:t>assumption that nominal interest rates are held constant at 6%—is shown in Chart 6.2.</w:t>
      </w:r>
      <w:r>
        <w:rPr>
          <w:position w:val="5"/>
          <w:sz w:val="16"/>
        </w:rPr>
        <w:t>(1) </w:t>
      </w:r>
      <w:r>
        <w:rPr>
          <w:sz w:val="24"/>
        </w:rPr>
        <w:t>It is presented alongside the projection from the February </w:t>
      </w:r>
      <w:r>
        <w:rPr>
          <w:i/>
          <w:sz w:val="24"/>
        </w:rPr>
        <w:t>Report</w:t>
      </w:r>
      <w:r>
        <w:rPr>
          <w:sz w:val="24"/>
        </w:rPr>
        <w:t>, which was also based on constant interest rates at 6% (see Chart 6.3).</w:t>
      </w:r>
    </w:p>
    <w:p>
      <w:pPr>
        <w:pStyle w:val="BodyText"/>
        <w:spacing w:before="5"/>
        <w:rPr>
          <w:sz w:val="26"/>
        </w:rPr>
      </w:pPr>
    </w:p>
    <w:p>
      <w:pPr>
        <w:spacing w:after="0"/>
        <w:rPr>
          <w:sz w:val="26"/>
        </w:rPr>
        <w:sectPr>
          <w:pgSz w:w="11900" w:h="16840"/>
          <w:pgMar w:header="586" w:footer="617" w:top="780" w:bottom="800" w:left="640" w:right="620"/>
        </w:sectPr>
      </w:pPr>
    </w:p>
    <w:p>
      <w:pPr>
        <w:spacing w:before="92"/>
        <w:ind w:left="165" w:right="0" w:firstLine="0"/>
        <w:jc w:val="left"/>
        <w:rPr>
          <w:b/>
          <w:sz w:val="20"/>
        </w:rPr>
      </w:pPr>
      <w:r>
        <w:rPr>
          <w:b/>
          <w:color w:val="0092C7"/>
          <w:sz w:val="20"/>
        </w:rPr>
        <w:t>Chart 6.2</w:t>
      </w:r>
    </w:p>
    <w:p>
      <w:pPr>
        <w:spacing w:line="249" w:lineRule="auto" w:before="10"/>
        <w:ind w:left="165" w:right="338" w:firstLine="0"/>
        <w:jc w:val="left"/>
        <w:rPr>
          <w:b/>
          <w:sz w:val="20"/>
        </w:rPr>
      </w:pPr>
      <w:r>
        <w:rPr>
          <w:b/>
          <w:color w:val="0092C7"/>
          <w:sz w:val="20"/>
        </w:rPr>
        <w:t>Current RPIX inflation projection based on constant nominal interest rates at 6%</w:t>
      </w:r>
    </w:p>
    <w:p>
      <w:pPr>
        <w:pStyle w:val="BodyText"/>
        <w:spacing w:before="3"/>
        <w:rPr>
          <w:b/>
          <w:sz w:val="20"/>
        </w:rPr>
      </w:pPr>
    </w:p>
    <w:p>
      <w:pPr>
        <w:spacing w:before="0"/>
        <w:ind w:left="1911" w:right="0" w:firstLine="0"/>
        <w:jc w:val="left"/>
        <w:rPr>
          <w:sz w:val="12"/>
        </w:rPr>
      </w:pPr>
      <w:r>
        <w:rPr/>
        <w:pict>
          <v:line style="position:absolute;mso-position-horizontal-relative:page;mso-position-vertical-relative:paragraph;z-index:16324608" from="41.859001pt,7.768555pt" to="46.550001pt,7.768555pt" stroked="true" strokeweight=".5pt" strokecolor="#000000">
            <v:stroke dashstyle="solid"/>
            <w10:wrap type="none"/>
          </v:line>
        </w:pict>
      </w:r>
      <w:r>
        <w:rPr>
          <w:sz w:val="12"/>
        </w:rPr>
        <w:t>Percentage increase in prices on a year earli</w:t>
      </w:r>
      <w:r>
        <w:rPr>
          <w:sz w:val="12"/>
          <w:u w:val="single"/>
        </w:rPr>
        <w:t>er</w:t>
      </w:r>
      <w:r>
        <w:rPr>
          <w:sz w:val="12"/>
        </w:rPr>
        <w:t> </w:t>
      </w:r>
      <w:r>
        <w:rPr>
          <w:position w:val="-6"/>
          <w:sz w:val="12"/>
        </w:rPr>
        <w:t>5</w:t>
      </w:r>
    </w:p>
    <w:p>
      <w:pPr>
        <w:spacing w:before="92"/>
        <w:ind w:left="165" w:right="0" w:firstLine="0"/>
        <w:jc w:val="left"/>
        <w:rPr>
          <w:b/>
          <w:sz w:val="20"/>
        </w:rPr>
      </w:pPr>
      <w:r>
        <w:rPr/>
        <w:br w:type="column"/>
      </w:r>
      <w:r>
        <w:rPr>
          <w:b/>
          <w:color w:val="0092C7"/>
          <w:sz w:val="20"/>
        </w:rPr>
        <w:t>Chart 6.3</w:t>
      </w:r>
    </w:p>
    <w:p>
      <w:pPr>
        <w:spacing w:line="249" w:lineRule="auto" w:before="10"/>
        <w:ind w:left="165" w:right="1588" w:firstLine="0"/>
        <w:jc w:val="left"/>
        <w:rPr>
          <w:b/>
          <w:sz w:val="20"/>
        </w:rPr>
      </w:pPr>
      <w:r>
        <w:rPr>
          <w:b/>
          <w:color w:val="0092C7"/>
          <w:sz w:val="20"/>
        </w:rPr>
        <w:t>RPIX inflation projection in February based on constant nominal interest rates at 6%</w:t>
      </w:r>
    </w:p>
    <w:p>
      <w:pPr>
        <w:spacing w:line="118" w:lineRule="exact" w:before="196"/>
        <w:ind w:left="1986" w:right="0" w:firstLine="0"/>
        <w:jc w:val="left"/>
        <w:rPr>
          <w:sz w:val="12"/>
        </w:rPr>
      </w:pPr>
      <w:r>
        <w:rPr>
          <w:sz w:val="12"/>
        </w:rPr>
        <w:t>Percentage increase in prices on a year earl</w:t>
      </w:r>
      <w:r>
        <w:rPr>
          <w:sz w:val="12"/>
          <w:u w:val="single"/>
        </w:rPr>
        <w:t>ier</w:t>
      </w:r>
    </w:p>
    <w:p>
      <w:pPr>
        <w:pStyle w:val="BodyText"/>
        <w:spacing w:before="6"/>
        <w:rPr>
          <w:sz w:val="2"/>
        </w:rPr>
      </w:pPr>
    </w:p>
    <w:p>
      <w:pPr>
        <w:pStyle w:val="BodyText"/>
        <w:spacing w:line="20" w:lineRule="exact"/>
        <w:ind w:left="199"/>
        <w:rPr>
          <w:sz w:val="2"/>
        </w:rPr>
      </w:pPr>
      <w:r>
        <w:rPr>
          <w:sz w:val="2"/>
        </w:rPr>
        <w:pict>
          <v:group style="width:5.5pt;height:.5pt;mso-position-horizontal-relative:char;mso-position-vertical-relative:line" coordorigin="0,0" coordsize="110,10">
            <v:line style="position:absolute" from="0,5" to="109,5" stroked="true" strokeweight=".5pt" strokecolor="#000000">
              <v:stroke dashstyle="solid"/>
            </v:line>
          </v:group>
        </w:pict>
      </w:r>
      <w:r>
        <w:rPr>
          <w:sz w:val="2"/>
        </w:rPr>
      </w:r>
    </w:p>
    <w:p>
      <w:pPr>
        <w:spacing w:line="69" w:lineRule="exact" w:before="0"/>
        <w:ind w:left="4266" w:right="0" w:firstLine="0"/>
        <w:jc w:val="left"/>
        <w:rPr>
          <w:sz w:val="12"/>
        </w:rPr>
      </w:pPr>
      <w:r>
        <w:rPr>
          <w:sz w:val="12"/>
        </w:rPr>
        <w:t>5</w:t>
      </w:r>
    </w:p>
    <w:p>
      <w:pPr>
        <w:spacing w:after="0" w:line="69" w:lineRule="exact"/>
        <w:jc w:val="left"/>
        <w:rPr>
          <w:sz w:val="12"/>
        </w:rPr>
        <w:sectPr>
          <w:type w:val="continuous"/>
          <w:pgSz w:w="11900" w:h="16840"/>
          <w:pgMar w:top="1220" w:bottom="280" w:left="640" w:right="620"/>
          <w:cols w:num="2" w:equalWidth="0">
            <w:col w:w="4262" w:space="538"/>
            <w:col w:w="5840"/>
          </w:cols>
        </w:sectPr>
      </w:pPr>
    </w:p>
    <w:p>
      <w:pPr>
        <w:pStyle w:val="BodyText"/>
        <w:spacing w:before="9"/>
        <w:rPr>
          <w:sz w:val="26"/>
        </w:rPr>
      </w:pPr>
    </w:p>
    <w:p>
      <w:pPr>
        <w:tabs>
          <w:tab w:pos="9066" w:val="left" w:leader="none"/>
        </w:tabs>
        <w:spacing w:before="95"/>
        <w:ind w:left="4161" w:right="0" w:firstLine="0"/>
        <w:jc w:val="left"/>
        <w:rPr>
          <w:sz w:val="12"/>
        </w:rPr>
      </w:pPr>
      <w:r>
        <w:rPr/>
        <w:pict>
          <v:line style="position:absolute;mso-position-horizontal-relative:page;mso-position-vertical-relative:paragraph;z-index:16324096" from="41.859001pt,10.753369pt" to="46.550001pt,10.753369pt" stroked="true" strokeweight=".5pt" strokecolor="#000000">
            <v:stroke dashstyle="solid"/>
            <w10:wrap type="none"/>
          </v:line>
        </w:pict>
      </w:r>
      <w:r>
        <w:rPr/>
        <w:pict>
          <v:line style="position:absolute;mso-position-horizontal-relative:page;mso-position-vertical-relative:paragraph;z-index:16326656" from="233.419998pt,10.753369pt" to="238.110998pt,10.753369pt" stroked="true" strokeweight=".5pt" strokecolor="#000000">
            <v:stroke dashstyle="solid"/>
            <w10:wrap type="none"/>
          </v:line>
        </w:pict>
      </w:r>
      <w:r>
        <w:rPr/>
        <w:pict>
          <v:group style="position:absolute;margin-left:281.936005pt;margin-top:8.668369pt;width:190.1pt;height:79.6pt;mso-position-horizontal-relative:page;mso-position-vertical-relative:paragraph;z-index:-22284288" coordorigin="5639,173" coordsize="3802,1592">
            <v:shape style="position:absolute;left:8087;top:173;width:1354;height:1592" coordorigin="8087,173" coordsize="1354,1592" path="m9440,173l9290,233,9140,316,8989,415,8839,559,8689,777,8538,959,8388,1062,8237,1213,8087,1258,8237,1542,8388,1611,8538,1727,8689,1765,8839,1657,8989,1592,9140,1612,9290,1649,9440,1668,9440,173xe" filled="true" fillcolor="#fdeee8" stroked="false">
              <v:path arrowok="t"/>
              <v:fill type="solid"/>
            </v:shape>
            <v:shape style="position:absolute;left:8087;top:358;width:1354;height:1305" coordorigin="8087,358" coordsize="1354,1305" path="m9440,358l9290,406,9140,472,8989,553,8839,685,8689,890,8538,1047,8388,1125,8237,1250,8087,1257,8237,1507,8388,1554,8538,1648,8689,1663,8839,1544,8989,1474,9140,1485,9290,1512,9440,1526,9440,358xe" filled="true" fillcolor="#fcdfd1" stroked="false">
              <v:path arrowok="t"/>
              <v:fill type="solid"/>
            </v:shape>
            <v:shape style="position:absolute;left:8087;top:487;width:1354;height:1119" coordorigin="8087,487" coordsize="1354,1119" path="m9440,487l9290,529,9140,586,8989,659,8839,785,8689,981,8538,1118,8388,1177,8237,1284,8087,1263,8237,1492,8388,1525,8538,1605,8689,1606,8839,1480,8989,1404,9140,1406,9290,1425,9440,1433,9440,487xe" filled="true" fillcolor="#facfb9" stroked="false">
              <v:path arrowok="t"/>
              <v:fill type="solid"/>
            </v:shape>
            <v:shape style="position:absolute;left:8087;top:590;width:1354;height:972" coordorigin="8087,591" coordsize="1354,972" path="m9440,591l9290,626,9140,672,8989,734,8839,853,8689,1042,8538,1166,8388,1211,8237,1303,8087,1261,8237,1473,8388,1494,8538,1562,8689,1552,8839,1420,8989,1341,9140,1338,9290,1351,9440,1356,9440,591xe" filled="true" fillcolor="#f8bda3" stroked="false">
              <v:path arrowok="t"/>
              <v:fill type="solid"/>
            </v:shape>
            <v:shape style="position:absolute;left:8087;top:669;width:1354;height:854" coordorigin="8087,670" coordsize="1354,854" path="m9440,670l9290,701,9140,742,8989,800,8839,915,8689,1097,8538,1208,8388,1241,8237,1320,8087,1259,8237,1455,8388,1465,8538,1523,8689,1502,8839,1365,8989,1282,9140,1274,9290,1282,9440,1283,9440,670xe" filled="true" fillcolor="#f6ab8e" stroked="false">
              <v:path arrowok="t"/>
              <v:fill type="solid"/>
            </v:shape>
            <v:shape style="position:absolute;left:8087;top:747;width:1354;height:749" coordorigin="8087,748" coordsize="1354,749" path="m9440,748l9290,776,9140,812,8989,864,8839,976,8689,1152,8538,1251,8388,1272,8237,1339,8087,1261,8237,1445,8388,1447,8538,1497,8689,1467,8839,1326,8989,1240,9140,1226,9290,1229,9440,1227,9440,748xe" filled="true" fillcolor="#f19779" stroked="false">
              <v:path arrowok="t"/>
              <v:fill type="solid"/>
            </v:shape>
            <v:shape style="position:absolute;left:8087;top:817;width:1354;height:650" coordorigin="8087,818" coordsize="1354,650" path="m9440,818l9290,842,9140,873,8989,919,8839,1028,8689,1199,8538,1288,8388,1298,8237,1355,8087,1260,8237,1432,8388,1426,8538,1468,8689,1430,8839,1285,8989,1195,9140,1176,9290,1174,9440,1168,9440,818xe" filled="true" fillcolor="#ed8267" stroked="false">
              <v:path arrowok="t"/>
              <v:fill type="solid"/>
            </v:shape>
            <v:shape style="position:absolute;left:8087;top:885;width:1354;height:552" coordorigin="8087,885" coordsize="1354,552" path="m9440,885l9290,905,9140,929,8989,968,8839,1072,8689,1239,8538,1318,8388,1319,8237,1367,8087,1258,8237,1417,8388,1403,8538,1437,8689,1391,8839,1242,8989,1150,9140,1130,9290,1126,9440,1119,9440,885xe" filled="true" fillcolor="#ea6b54" stroked="false">
              <v:path arrowok="t"/>
              <v:fill type="solid"/>
            </v:shape>
            <v:shape style="position:absolute;left:8087;top:949;width:1354;height:463" coordorigin="8087,950" coordsize="1354,463" path="m9440,950l9290,966,9140,984,8989,1019,8839,1119,8689,1281,8538,1351,8388,1342,8237,1381,8087,1258,8237,1407,8388,1386,8538,1412,8689,1360,8839,1207,8989,1112,9140,1086,9290,1077,9440,1066,9440,950xe" filled="true" fillcolor="#de0035" stroked="false">
              <v:path arrowok="t"/>
              <v:fill type="solid"/>
            </v:shape>
            <v:shape style="position:absolute;left:5826;top:638;width:1655;height:404" coordorigin="5827,638" coordsize="1655,404" path="m5977,891l5827,866m5977,891l6128,841m6128,841l6278,638m6278,638l6428,846m6428,846l6579,1024m6729,862l6579,1024m6729,862l6879,912m7030,1032l6879,912m7180,775l7030,1032m7330,1020l7180,775m7330,1020l7481,1042e" filled="false" stroked="true" strokeweight="1pt" strokecolor="#de0035">
              <v:path arrowok="t"/>
              <v:stroke dashstyle="solid"/>
            </v:shape>
            <v:line style="position:absolute" from="7471,1044" to="7641,1044" stroked="true" strokeweight="1.293pt" strokecolor="#de0035">
              <v:stroke dashstyle="solid"/>
            </v:line>
            <v:shape style="position:absolute;left:7631;top:1047;width:301;height:205" coordorigin="7631,1047" coordsize="301,205" path="m7782,1176l7631,1047m7782,1176l7932,1252e" filled="false" stroked="true" strokeweight="1pt" strokecolor="#de0035">
              <v:path arrowok="t"/>
              <v:stroke dashstyle="solid"/>
            </v:shape>
            <v:line style="position:absolute" from="7922,1255" to="8092,1255" stroked="true" strokeweight="1.292pt" strokecolor="#de0035">
              <v:stroke dashstyle="solid"/>
            </v:line>
            <v:line style="position:absolute" from="5639,1039" to="5748,1039" stroked="true" strokeweight=".5pt" strokecolor="#000000">
              <v:stroke dashstyle="solid"/>
            </v:line>
            <v:line style="position:absolute" from="5817,1039" to="9440,1039" stroked="true" strokeweight=".5pt" strokecolor="#000000">
              <v:stroke dashstyle="solid"/>
            </v:line>
            <w10:wrap type="none"/>
          </v:group>
        </w:pict>
      </w:r>
      <w:r>
        <w:rPr/>
        <w:pict>
          <v:line style="position:absolute;mso-position-horizontal-relative:page;mso-position-vertical-relative:paragraph;z-index:-22281728" from="282.214996pt,9.153369pt" to="287.665996pt,9.153369pt" stroked="true" strokeweight=".5pt" strokecolor="#000000">
            <v:stroke dashstyle="solid"/>
            <w10:wrap type="none"/>
          </v:line>
        </w:pict>
      </w:r>
      <w:r>
        <w:rPr/>
        <w:pict>
          <v:line style="position:absolute;mso-position-horizontal-relative:page;mso-position-vertical-relative:paragraph;z-index:-22279168" from="476.774994pt,9.153369pt" to="482.225994pt,9.153369pt" stroked="true" strokeweight=".5pt" strokecolor="#000000">
            <v:stroke dashstyle="solid"/>
            <w10:wrap type="none"/>
          </v:line>
        </w:pict>
      </w:r>
      <w:r>
        <w:rPr>
          <w:position w:val="-3"/>
          <w:sz w:val="12"/>
        </w:rPr>
        <w:t>4</w:t>
        <w:tab/>
      </w:r>
      <w:r>
        <w:rPr>
          <w:sz w:val="12"/>
        </w:rPr>
        <w:t>4</w:t>
      </w:r>
    </w:p>
    <w:p>
      <w:pPr>
        <w:pStyle w:val="BodyText"/>
        <w:spacing w:before="1"/>
        <w:rPr>
          <w:sz w:val="27"/>
        </w:rPr>
      </w:pPr>
    </w:p>
    <w:p>
      <w:pPr>
        <w:spacing w:after="0"/>
        <w:rPr>
          <w:sz w:val="27"/>
        </w:rPr>
        <w:sectPr>
          <w:type w:val="continuous"/>
          <w:pgSz w:w="11900" w:h="16840"/>
          <w:pgMar w:top="1220" w:bottom="280" w:left="640" w:right="620"/>
        </w:sectPr>
      </w:pPr>
    </w:p>
    <w:p>
      <w:pPr>
        <w:pStyle w:val="BodyText"/>
        <w:spacing w:before="9"/>
        <w:rPr>
          <w:sz w:val="10"/>
        </w:rPr>
      </w:pPr>
    </w:p>
    <w:p>
      <w:pPr>
        <w:spacing w:before="0"/>
        <w:ind w:left="0" w:right="123" w:firstLine="0"/>
        <w:jc w:val="right"/>
        <w:rPr>
          <w:sz w:val="12"/>
        </w:rPr>
      </w:pPr>
      <w:r>
        <w:rPr/>
        <w:pict>
          <v:group style="position:absolute;margin-left:41.518002pt;margin-top:-19.118843pt;width:196.6pt;height:75.2pt;mso-position-horizontal-relative:page;mso-position-vertical-relative:paragraph;z-index:16321536" coordorigin="830,-382" coordsize="3932,1504">
            <v:shape style="position:absolute;left:3297;top:-383;width:1300;height:1504" coordorigin="3298,-382" coordsize="1300,1504" path="m4597,-382l4453,-336,4308,-279,4164,-227,4019,-163,3875,44,3731,217,3586,424,3442,562,3298,591,3442,879,3586,948,3731,948,3875,989,4019,885,4164,908,4453,1081,4597,1121,4597,-382xe" filled="true" fillcolor="#fdeee8" stroked="false">
              <v:path arrowok="t"/>
              <v:fill type="solid"/>
            </v:shape>
            <v:shape style="position:absolute;left:3297;top:-220;width:1300;height:1170" coordorigin="3298,-220" coordsize="1300,1170" path="m4597,-220l4164,-99,4019,-41,3875,154,3731,298,3586,483,3442,604,3298,592,3442,846,3586,892,3731,874,3875,892,4019,777,4164,788,4308,857,4453,921,4597,949,4597,-220xe" filled="true" fillcolor="#fcdfd1" stroked="false">
              <v:path arrowok="t"/>
              <v:fill type="solid"/>
            </v:shape>
            <v:shape style="position:absolute;left:3297;top:-120;width:1300;height:974" coordorigin="3298,-120" coordsize="1300,974" path="m4597,-120l4164,-16,4019,36,3875,226,3731,353,3586,520,3442,624,3298,589,3442,819,3586,854,3731,819,3875,819,4019,698,4164,704,4453,808,4597,831,4597,-120xe" filled="true" fillcolor="#facfb9" stroked="false">
              <v:path arrowok="t"/>
              <v:fill type="solid"/>
            </v:shape>
            <v:shape style="position:absolute;left:3297;top:-32;width:1300;height:859" coordorigin="3298,-32" coordsize="1300,859" path="m4597,-32l4164,54,4019,101,3875,285,3731,400,3586,556,3442,642,3298,590,3442,803,3586,826,3731,780,3875,769,4019,642,4164,642,4453,723,4597,740,4597,-32xe" filled="true" fillcolor="#f8bda3" stroked="false">
              <v:path arrowok="t"/>
              <v:fill type="solid"/>
            </v:shape>
            <v:shape style="position:absolute;left:3297;top:44;width:1300;height:755" coordorigin="3298,45" coordsize="1300,755" path="m4597,45l4453,74,4308,97,4164,114,4019,160,3875,339,3731,442,3586,586,3442,661,3298,592,3442,794,3586,799,3731,742,3875,725,4019,592,4164,586,4308,621,4453,650,4597,661,4597,45xe" filled="true" fillcolor="#f6ab8e" stroked="false">
              <v:path arrowok="t"/>
              <v:fill type="solid"/>
            </v:shape>
            <v:shape style="position:absolute;left:3297;top:107;width:1300;height:669" coordorigin="3298,108" coordsize="1300,669" path="m4597,108l4308,154,4164,171,4019,211,3875,384,3731,476,3586,609,3442,678,3298,592,3442,776,3586,776,3731,713,3875,684,4019,545,4164,534,4308,563,4453,586,4597,592,4597,108xe" filled="true" fillcolor="#f19779" stroked="false">
              <v:path arrowok="t"/>
              <v:fill type="solid"/>
            </v:shape>
            <v:shape style="position:absolute;left:3297;top:162;width:1300;height:600" coordorigin="3298,162" coordsize="1300,600" path="m4597,162l4453,185,4308,203,4164,214,4019,254,3875,421,3731,508,3586,629,3442,686,3298,589,3442,761,3586,756,3731,681,3875,646,4019,502,4164,485,4453,519,4597,519,4597,162xe" filled="true" fillcolor="#ed8267" stroked="false">
              <v:path arrowok="t"/>
              <v:fill type="solid"/>
            </v:shape>
            <v:shape style="position:absolute;left:3316;top:222;width:1281;height:530" coordorigin="3317,223" coordsize="1281,530" path="m4597,223l4472,246,4327,257,4183,263,4039,303,3894,465,3750,539,3606,655,3461,707,3317,591,3461,753,3606,741,3750,660,3894,614,4039,470,4183,447,4327,459,4472,465,4597,459,4597,223xe" filled="true" fillcolor="#e96952" stroked="false">
              <v:path arrowok="t"/>
              <v:fill type="solid"/>
            </v:shape>
            <v:shape style="position:absolute;left:3297;top:279;width:1300;height:461" coordorigin="3298,280" coordsize="1300,461" path="m4597,280l4453,297,4308,309,4164,314,4019,349,3875,510,3731,573,3586,677,3442,717,3298,591,3442,741,3586,717,3731,631,3875,579,4019,429,4164,401,4308,406,4453,406,4597,395,4597,280xe" filled="true" fillcolor="#de0035" stroked="false">
              <v:path arrowok="t"/>
              <v:fill type="solid"/>
            </v:shape>
            <v:shape style="position:absolute;left:985;top:-44;width:2021;height:605" coordorigin="986,-44" coordsize="2021,605" path="m986,181l1130,204m1130,204l1274,158m1419,-44l1274,158m1419,-44l1563,164m1708,336l1563,164m1852,175l1708,336m1852,175l1996,227m1996,227l2141,342m2285,89l2141,342m2285,89l2429,331m2429,331l2574,354m2718,354l2574,354m2718,354l2862,486m3007,561l2862,486e" filled="false" stroked="true" strokeweight="1pt" strokecolor="#de0035">
              <v:path arrowok="t"/>
              <v:stroke dashstyle="solid"/>
            </v:shape>
            <v:line style="position:absolute" from="2997,564" to="3161,564" stroked="true" strokeweight="1.288pt" strokecolor="#de0035">
              <v:stroke dashstyle="solid"/>
            </v:line>
            <v:line style="position:absolute" from="3151,567" to="3295,590" stroked="true" strokeweight="1pt" strokecolor="#de0035">
              <v:stroke dashstyle="solid"/>
            </v:line>
            <v:shape style="position:absolute;left:3295;top:336;width:1300;height:392" coordorigin="3295,336" coordsize="1300,392" path="m3440,728l3295,590m3584,699l3440,728m3728,601l3584,699m3873,544l3728,601m3873,544l4017,388m4162,354l4017,388m4306,354l4162,354m4306,354l4450,354m4450,354l4595,336e" filled="false" stroked="true" strokeweight=".580pt" strokecolor="#de0035">
              <v:path arrowok="t"/>
              <v:stroke dashstyle="solid"/>
            </v:shape>
            <v:line style="position:absolute" from="4668,374" to="4761,374" stroked="true" strokeweight=".580pt" strokecolor="#000000">
              <v:stroke dashstyle="solid"/>
            </v:line>
            <v:line style="position:absolute" from="984,374" to="4593,374" stroked="true" strokeweight=".5pt" strokecolor="#000000">
              <v:stroke dashstyle="solid"/>
            </v:line>
            <v:line style="position:absolute" from="830,374" to="924,374" stroked="true" strokeweight=".580pt" strokecolor="#000000">
              <v:stroke dashstyle="solid"/>
            </v:line>
            <w10:wrap type="none"/>
          </v:group>
        </w:pict>
      </w:r>
      <w:r>
        <w:rPr/>
        <w:pict>
          <v:line style="position:absolute;mso-position-horizontal-relative:page;mso-position-vertical-relative:paragraph;z-index:16323584" from="41.859001pt,4.147157pt" to="46.550001pt,4.147157pt" stroked="true" strokeweight=".5pt" strokecolor="#000000">
            <v:stroke dashstyle="solid"/>
            <w10:wrap type="none"/>
          </v:line>
        </w:pict>
      </w:r>
      <w:r>
        <w:rPr/>
        <w:pict>
          <v:line style="position:absolute;mso-position-horizontal-relative:page;mso-position-vertical-relative:paragraph;z-index:16326144" from="233.419998pt,4.147157pt" to="238.110998pt,4.147157pt" stroked="true" strokeweight=".5pt" strokecolor="#000000">
            <v:stroke dashstyle="solid"/>
            <w10:wrap type="none"/>
          </v:line>
        </w:pict>
      </w:r>
      <w:r>
        <w:rPr>
          <w:sz w:val="12"/>
        </w:rPr>
        <w:t>3</w:t>
      </w:r>
    </w:p>
    <w:p>
      <w:pPr>
        <w:pStyle w:val="BodyText"/>
        <w:spacing w:before="3"/>
        <w:rPr>
          <w:sz w:val="14"/>
        </w:rPr>
      </w:pPr>
    </w:p>
    <w:p>
      <w:pPr>
        <w:spacing w:before="0"/>
        <w:ind w:left="0" w:right="38" w:firstLine="0"/>
        <w:jc w:val="right"/>
        <w:rPr>
          <w:sz w:val="12"/>
        </w:rPr>
      </w:pPr>
      <w:r>
        <w:rPr>
          <w:sz w:val="12"/>
        </w:rPr>
        <w:t>2.5</w:t>
      </w:r>
    </w:p>
    <w:p>
      <w:pPr>
        <w:pStyle w:val="BodyText"/>
        <w:spacing w:before="9"/>
        <w:rPr>
          <w:sz w:val="11"/>
        </w:rPr>
      </w:pPr>
    </w:p>
    <w:p>
      <w:pPr>
        <w:spacing w:before="1"/>
        <w:ind w:left="0" w:right="123" w:firstLine="0"/>
        <w:jc w:val="right"/>
        <w:rPr>
          <w:sz w:val="12"/>
        </w:rPr>
      </w:pPr>
      <w:r>
        <w:rPr/>
        <w:pict>
          <v:line style="position:absolute;mso-position-horizontal-relative:page;mso-position-vertical-relative:paragraph;z-index:16323072" from="46.550001pt,4.197369pt" to="41.859001pt,4.197369pt" stroked="true" strokeweight=".5pt" strokecolor="#000000">
            <v:stroke dashstyle="solid"/>
            <w10:wrap type="none"/>
          </v:line>
        </w:pict>
      </w:r>
      <w:r>
        <w:rPr/>
        <w:pict>
          <v:line style="position:absolute;mso-position-horizontal-relative:page;mso-position-vertical-relative:paragraph;z-index:16325632" from="238.110998pt,4.197369pt" to="233.419998pt,4.197369pt" stroked="true" strokeweight=".5pt" strokecolor="#000000">
            <v:stroke dashstyle="solid"/>
            <w10:wrap type="none"/>
          </v:line>
        </w:pict>
      </w:r>
      <w:r>
        <w:rPr>
          <w:sz w:val="12"/>
        </w:rPr>
        <w:t>2</w:t>
      </w:r>
    </w:p>
    <w:p>
      <w:pPr>
        <w:spacing w:before="95"/>
        <w:ind w:left="0" w:right="1511" w:firstLine="0"/>
        <w:jc w:val="right"/>
        <w:rPr>
          <w:sz w:val="12"/>
        </w:rPr>
      </w:pPr>
      <w:r>
        <w:rPr/>
        <w:br w:type="column"/>
      </w:r>
      <w:r>
        <w:rPr>
          <w:sz w:val="12"/>
        </w:rPr>
        <w:t>3</w:t>
      </w:r>
    </w:p>
    <w:p>
      <w:pPr>
        <w:pStyle w:val="BodyText"/>
        <w:rPr>
          <w:sz w:val="13"/>
        </w:rPr>
      </w:pPr>
    </w:p>
    <w:p>
      <w:pPr>
        <w:spacing w:before="1"/>
        <w:ind w:left="0" w:right="1421" w:firstLine="0"/>
        <w:jc w:val="right"/>
        <w:rPr>
          <w:sz w:val="12"/>
        </w:rPr>
      </w:pPr>
      <w:r>
        <w:rPr/>
        <w:pict>
          <v:line style="position:absolute;mso-position-horizontal-relative:page;mso-position-vertical-relative:paragraph;z-index:16329216" from="287.665996pt,-9.949437pt" to="282.214996pt,-9.949437pt" stroked="true" strokeweight=".5pt" strokecolor="#000000">
            <v:stroke dashstyle="solid"/>
            <w10:wrap type="none"/>
          </v:line>
        </w:pict>
      </w:r>
      <w:r>
        <w:rPr/>
        <w:pict>
          <v:line style="position:absolute;mso-position-horizontal-relative:page;mso-position-vertical-relative:paragraph;z-index:16331776" from="476.774994pt,-9.949437pt" to="482.225994pt,-9.949437pt" stroked="true" strokeweight=".5pt" strokecolor="#000000">
            <v:stroke dashstyle="solid"/>
            <w10:wrap type="none"/>
          </v:line>
        </w:pict>
      </w:r>
      <w:r>
        <w:rPr/>
        <w:pict>
          <v:line style="position:absolute;mso-position-horizontal-relative:page;mso-position-vertical-relative:paragraph;z-index:16332800" from="476.605011pt,3.714562pt" to="482.056011pt,3.714562pt" stroked="true" strokeweight=".5pt" strokecolor="#000000">
            <v:stroke dashstyle="solid"/>
            <w10:wrap type="none"/>
          </v:line>
        </w:pict>
      </w:r>
      <w:r>
        <w:rPr>
          <w:sz w:val="12"/>
        </w:rPr>
        <w:t>2.5</w:t>
      </w:r>
    </w:p>
    <w:p>
      <w:pPr>
        <w:pStyle w:val="BodyText"/>
        <w:spacing w:before="8"/>
        <w:rPr>
          <w:sz w:val="13"/>
        </w:rPr>
      </w:pPr>
    </w:p>
    <w:p>
      <w:pPr>
        <w:spacing w:before="0"/>
        <w:ind w:left="0" w:right="1511" w:firstLine="0"/>
        <w:jc w:val="right"/>
        <w:rPr>
          <w:sz w:val="12"/>
        </w:rPr>
      </w:pPr>
      <w:r>
        <w:rPr/>
        <w:pict>
          <v:line style="position:absolute;mso-position-horizontal-relative:page;mso-position-vertical-relative:paragraph;z-index:16328704" from="282.214996pt,4.402758pt" to="287.665996pt,4.402758pt" stroked="true" strokeweight=".5pt" strokecolor="#000000">
            <v:stroke dashstyle="solid"/>
            <w10:wrap type="none"/>
          </v:line>
        </w:pict>
      </w:r>
      <w:r>
        <w:rPr/>
        <w:pict>
          <v:line style="position:absolute;mso-position-horizontal-relative:page;mso-position-vertical-relative:paragraph;z-index:16331264" from="482.225994pt,4.402758pt" to="476.774994pt,4.402758pt" stroked="true" strokeweight=".5pt" strokecolor="#000000">
            <v:stroke dashstyle="solid"/>
            <w10:wrap type="none"/>
          </v:line>
        </w:pict>
      </w:r>
      <w:r>
        <w:rPr>
          <w:sz w:val="12"/>
        </w:rPr>
        <w:t>2</w:t>
      </w:r>
    </w:p>
    <w:p>
      <w:pPr>
        <w:spacing w:after="0"/>
        <w:jc w:val="right"/>
        <w:rPr>
          <w:sz w:val="12"/>
        </w:rPr>
        <w:sectPr>
          <w:type w:val="continuous"/>
          <w:pgSz w:w="11900" w:h="16840"/>
          <w:pgMar w:top="1220" w:bottom="280" w:left="640" w:right="620"/>
          <w:cols w:num="2" w:equalWidth="0">
            <w:col w:w="4348" w:space="561"/>
            <w:col w:w="5731"/>
          </w:cols>
        </w:sectPr>
      </w:pPr>
    </w:p>
    <w:p>
      <w:pPr>
        <w:pStyle w:val="BodyText"/>
        <w:spacing w:before="7"/>
        <w:rPr>
          <w:sz w:val="28"/>
        </w:rPr>
      </w:pPr>
    </w:p>
    <w:p>
      <w:pPr>
        <w:tabs>
          <w:tab w:pos="9066" w:val="left" w:leader="none"/>
        </w:tabs>
        <w:spacing w:before="99"/>
        <w:ind w:left="4161" w:right="0" w:firstLine="0"/>
        <w:jc w:val="left"/>
        <w:rPr>
          <w:sz w:val="12"/>
        </w:rPr>
      </w:pPr>
      <w:r>
        <w:rPr/>
        <w:pict>
          <v:line style="position:absolute;mso-position-horizontal-relative:page;mso-position-vertical-relative:paragraph;z-index:16322560" from="46.550001pt,9.596960pt" to="41.859001pt,9.596960pt" stroked="true" strokeweight=".5pt" strokecolor="#000000">
            <v:stroke dashstyle="solid"/>
            <w10:wrap type="none"/>
          </v:line>
        </w:pict>
      </w:r>
      <w:r>
        <w:rPr/>
        <w:pict>
          <v:line style="position:absolute;mso-position-horizontal-relative:page;mso-position-vertical-relative:paragraph;z-index:16325120" from="233.419998pt,9.596960pt" to="238.110998pt,9.596960pt" stroked="true" strokeweight=".5pt" strokecolor="#000000">
            <v:stroke dashstyle="solid"/>
            <w10:wrap type="none"/>
          </v:line>
        </w:pict>
      </w:r>
      <w:r>
        <w:rPr/>
        <w:pict>
          <v:line style="position:absolute;mso-position-horizontal-relative:page;mso-position-vertical-relative:paragraph;z-index:-22283264" from="287.665996pt,9.196960pt" to="282.214996pt,9.196960pt" stroked="true" strokeweight=".5pt" strokecolor="#000000">
            <v:stroke dashstyle="solid"/>
            <w10:wrap type="none"/>
          </v:line>
        </w:pict>
      </w:r>
      <w:r>
        <w:rPr/>
        <w:pict>
          <v:line style="position:absolute;mso-position-horizontal-relative:page;mso-position-vertical-relative:paragraph;z-index:-22280704" from="482.225994pt,9.196960pt" to="476.774994pt,9.196960pt" stroked="true" strokeweight=".5pt" strokecolor="#000000">
            <v:stroke dashstyle="solid"/>
            <w10:wrap type="none"/>
          </v:line>
        </w:pict>
      </w:r>
      <w:r>
        <w:rPr>
          <w:sz w:val="12"/>
        </w:rPr>
        <w:t>1</w:t>
        <w:tab/>
      </w:r>
      <w:r>
        <w:rPr>
          <w:position w:val="1"/>
          <w:sz w:val="12"/>
        </w:rPr>
        <w:t>1</w:t>
      </w:r>
    </w:p>
    <w:p>
      <w:pPr>
        <w:pStyle w:val="BodyText"/>
        <w:spacing w:before="4"/>
        <w:rPr>
          <w:sz w:val="29"/>
        </w:rPr>
      </w:pPr>
    </w:p>
    <w:p>
      <w:pPr>
        <w:spacing w:after="0"/>
        <w:rPr>
          <w:sz w:val="29"/>
        </w:rPr>
        <w:sectPr>
          <w:type w:val="continuous"/>
          <w:pgSz w:w="11900" w:h="16840"/>
          <w:pgMar w:top="1220" w:bottom="280" w:left="640" w:right="620"/>
        </w:sectPr>
      </w:pPr>
    </w:p>
    <w:p>
      <w:pPr>
        <w:spacing w:line="123" w:lineRule="exact" w:before="100"/>
        <w:ind w:left="4161" w:right="0" w:firstLine="0"/>
        <w:jc w:val="left"/>
        <w:rPr>
          <w:sz w:val="12"/>
        </w:rPr>
      </w:pPr>
      <w:r>
        <w:rPr/>
        <w:pict>
          <v:shape style="position:absolute;margin-left:41.540001pt;margin-top:4.547568pt;width:195.8pt;height:4.6pt;mso-position-horizontal-relative:page;mso-position-vertical-relative:paragraph;z-index:16322048" coordorigin="831,91" coordsize="3916,92" path="m986,91l986,183m831,183l925,183m1130,131l1130,183m1274,183l1274,131m1419,131l1419,183m1563,91l1563,183m1708,131l1708,183m1852,183l1852,131m1996,183l1996,131m2141,91l2141,183m2285,183l2285,131m2429,183l2429,131m2574,131l2574,183m2718,91l2718,183m2862,131l2862,183m3007,131l3007,183m3151,183l3151,131m3295,91l3295,183m3440,183l3440,131m3584,183l3584,131m3728,183l3728,131m3873,91l3873,183m4017,131l4017,183m4161,183l4161,131m4306,131l4306,183m4450,183l4450,91m4595,183l4595,131m4746,183l4652,183m984,181l4593,181e" filled="false" stroked="true" strokeweight=".5pt" strokecolor="#000000">
            <v:path arrowok="t"/>
            <v:stroke dashstyle="solid"/>
            <w10:wrap type="none"/>
          </v:shape>
        </w:pict>
      </w:r>
      <w:r>
        <w:rPr>
          <w:sz w:val="12"/>
        </w:rPr>
        <w:t>0</w:t>
      </w:r>
    </w:p>
    <w:p>
      <w:pPr>
        <w:tabs>
          <w:tab w:pos="1145" w:val="left" w:leader="none"/>
          <w:tab w:pos="1725" w:val="left" w:leader="none"/>
          <w:tab w:pos="2317" w:val="left" w:leader="none"/>
          <w:tab w:pos="2832" w:val="left" w:leader="none"/>
          <w:tab w:pos="3450" w:val="left" w:leader="none"/>
          <w:tab w:pos="3851" w:val="left" w:leader="none"/>
        </w:tabs>
        <w:spacing w:line="123" w:lineRule="exact" w:before="0"/>
        <w:ind w:left="515" w:right="0" w:firstLine="0"/>
        <w:jc w:val="left"/>
        <w:rPr>
          <w:sz w:val="12"/>
        </w:rPr>
      </w:pPr>
      <w:r>
        <w:rPr>
          <w:sz w:val="12"/>
        </w:rPr>
        <w:t>1996</w:t>
        <w:tab/>
        <w:t>97</w:t>
        <w:tab/>
        <w:t>98</w:t>
        <w:tab/>
        <w:t>99</w:t>
        <w:tab/>
        <w:t>2000</w:t>
        <w:tab/>
        <w:t>01</w:t>
        <w:tab/>
        <w:t>02</w:t>
      </w:r>
    </w:p>
    <w:p>
      <w:pPr>
        <w:spacing w:before="95"/>
        <w:ind w:left="4217" w:right="0" w:firstLine="0"/>
        <w:jc w:val="left"/>
        <w:rPr>
          <w:sz w:val="12"/>
        </w:rPr>
      </w:pPr>
      <w:r>
        <w:rPr/>
        <w:br w:type="column"/>
      </w:r>
      <w:r>
        <w:rPr>
          <w:sz w:val="12"/>
        </w:rPr>
        <w:t>0</w:t>
      </w:r>
    </w:p>
    <w:p>
      <w:pPr>
        <w:tabs>
          <w:tab w:pos="1166" w:val="left" w:leader="none"/>
          <w:tab w:pos="1773" w:val="left" w:leader="none"/>
          <w:tab w:pos="2364" w:val="left" w:leader="none"/>
          <w:tab w:pos="2891" w:val="left" w:leader="none"/>
          <w:tab w:pos="3578" w:val="left" w:leader="none"/>
        </w:tabs>
        <w:spacing w:before="5"/>
        <w:ind w:left="515" w:right="0" w:firstLine="0"/>
        <w:jc w:val="left"/>
        <w:rPr>
          <w:sz w:val="12"/>
        </w:rPr>
      </w:pPr>
      <w:r>
        <w:rPr/>
        <w:pict>
          <v:shape style="position:absolute;margin-left:282.214996pt;margin-top:-8.376434pt;width:189.9pt;height:5.9pt;mso-position-horizontal-relative:page;mso-position-vertical-relative:paragraph;z-index:16327680" coordorigin="5644,-168" coordsize="3798,118" path="m9442,-50l5817,-50m5827,-163l5827,-53m5977,-123l5977,-50m6127,-50l6127,-123m6278,-123l6278,-50m6428,-53l6428,-163m6579,-123l6579,-50m6729,-50l6729,-123m6879,-50l6879,-123m7030,-53l7030,-163m7180,-123l7180,-50m7330,-50l7330,-123m7481,-50l7481,-123m7631,-53l7631,-163m7782,-50l7782,-123m7932,-123l7932,-50m8082,-50l8082,-123m8239,-163l8239,-53m8389,-123l8389,-50m8533,-50l8533,-123m8684,-123l8684,-50m8837,-53l8837,-166m8990,-53l8990,-126m9141,-50l9141,-123m9285,-50l9285,-123m9442,-50l9442,-168m5753,-50l5644,-50e" filled="false" stroked="true" strokeweight=".5pt" strokecolor="#000000">
            <v:path arrowok="t"/>
            <v:stroke dashstyle="solid"/>
            <w10:wrap type="none"/>
          </v:shape>
        </w:pict>
      </w:r>
      <w:r>
        <w:rPr/>
        <w:pict>
          <v:line style="position:absolute;mso-position-horizontal-relative:page;mso-position-vertical-relative:paragraph;z-index:16330240" from="482.225994pt,-2.501434pt" to="476.774994pt,-2.501434pt" stroked="true" strokeweight=".5pt" strokecolor="#000000">
            <v:stroke dashstyle="solid"/>
            <w10:wrap type="none"/>
          </v:line>
        </w:pict>
      </w:r>
      <w:r>
        <w:rPr>
          <w:sz w:val="12"/>
        </w:rPr>
        <w:t>1996</w:t>
        <w:tab/>
        <w:t>97</w:t>
        <w:tab/>
        <w:t>98</w:t>
        <w:tab/>
        <w:t>99</w:t>
        <w:tab/>
        <w:t>2000</w:t>
        <w:tab/>
        <w:t>01</w:t>
      </w:r>
      <w:r>
        <w:rPr>
          <w:spacing w:val="2"/>
          <w:sz w:val="12"/>
        </w:rPr>
        <w:t> </w:t>
      </w:r>
      <w:r>
        <w:rPr>
          <w:sz w:val="12"/>
        </w:rPr>
        <w:t>02</w:t>
      </w:r>
    </w:p>
    <w:p>
      <w:pPr>
        <w:spacing w:after="0"/>
        <w:jc w:val="left"/>
        <w:rPr>
          <w:sz w:val="12"/>
        </w:rPr>
        <w:sectPr>
          <w:type w:val="continuous"/>
          <w:pgSz w:w="11900" w:h="16840"/>
          <w:pgMar w:top="1220" w:bottom="280" w:left="640" w:right="620"/>
          <w:cols w:num="2" w:equalWidth="0">
            <w:col w:w="4262" w:space="587"/>
            <w:col w:w="5791"/>
          </w:cols>
        </w:sectPr>
      </w:pPr>
    </w:p>
    <w:p>
      <w:pPr>
        <w:pStyle w:val="BodyText"/>
        <w:rPr>
          <w:sz w:val="20"/>
        </w:rPr>
      </w:pPr>
    </w:p>
    <w:p>
      <w:pPr>
        <w:pStyle w:val="BodyText"/>
        <w:spacing w:before="9"/>
        <w:rPr>
          <w:sz w:val="20"/>
        </w:rPr>
      </w:pPr>
    </w:p>
    <w:p>
      <w:pPr>
        <w:spacing w:line="208" w:lineRule="auto" w:before="0"/>
        <w:ind w:left="185" w:right="931" w:firstLine="0"/>
        <w:jc w:val="left"/>
        <w:rPr>
          <w:sz w:val="16"/>
        </w:rPr>
      </w:pPr>
      <w:r>
        <w:rPr>
          <w:sz w:val="16"/>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 See the box ‘How fan charts are drawn’ on page 52 of the February 1999 </w:t>
      </w:r>
      <w:r>
        <w:rPr>
          <w:i/>
          <w:sz w:val="16"/>
        </w:rPr>
        <w:t>Inflation Report</w:t>
      </w:r>
      <w:r>
        <w:rPr>
          <w:sz w:val="16"/>
        </w:rPr>
        <w:t>.</w:t>
      </w:r>
    </w:p>
    <w:p>
      <w:pPr>
        <w:pStyle w:val="BodyText"/>
        <w:spacing w:before="5"/>
      </w:pPr>
      <w:r>
        <w:rPr/>
        <w:pict>
          <v:shape style="position:absolute;margin-left:278.25pt;margin-top:12.659219pt;width:277.25pt;height:.1pt;mso-position-horizontal-relative:page;mso-position-vertical-relative:paragraph;z-index:-15136256;mso-wrap-distance-left:0;mso-wrap-distance-right:0" coordorigin="5565,253" coordsize="5545,0" path="m5565,253l11110,253e" filled="false" stroked="true" strokeweight=".125pt" strokecolor="#000000">
            <v:path arrowok="t"/>
            <v:stroke dashstyle="solid"/>
            <w10:wrap type="topAndBottom"/>
          </v:shape>
        </w:pict>
      </w:r>
    </w:p>
    <w:p>
      <w:pPr>
        <w:spacing w:line="170" w:lineRule="exact" w:before="0"/>
        <w:ind w:left="4965" w:right="0" w:firstLine="0"/>
        <w:jc w:val="left"/>
        <w:rPr>
          <w:sz w:val="16"/>
        </w:rPr>
      </w:pPr>
      <w:hyperlink w:history="true" w:anchor="_bookmark2">
        <w:r>
          <w:rPr>
            <w:sz w:val="16"/>
          </w:rPr>
          <w:t>(1) Also shown as Chart 2 in the Overview.</w:t>
        </w:r>
      </w:hyperlink>
    </w:p>
    <w:p>
      <w:pPr>
        <w:spacing w:after="0" w:line="170" w:lineRule="exact"/>
        <w:jc w:val="left"/>
        <w:rPr>
          <w:sz w:val="16"/>
        </w:rPr>
        <w:sectPr>
          <w:type w:val="continuous"/>
          <w:pgSz w:w="11900" w:h="16840"/>
          <w:pgMar w:top="1220" w:bottom="280" w:left="640" w:right="620"/>
        </w:sectPr>
      </w:pPr>
    </w:p>
    <w:p>
      <w:pPr>
        <w:pStyle w:val="BodyText"/>
        <w:rPr>
          <w:sz w:val="20"/>
        </w:rPr>
      </w:pPr>
    </w:p>
    <w:p>
      <w:pPr>
        <w:spacing w:after="0"/>
        <w:rPr>
          <w:sz w:val="20"/>
        </w:rPr>
        <w:sectPr>
          <w:pgSz w:w="11900" w:h="16840"/>
          <w:pgMar w:header="586" w:footer="597" w:top="78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19"/>
        </w:rPr>
      </w:pPr>
    </w:p>
    <w:p>
      <w:pPr>
        <w:spacing w:before="0"/>
        <w:ind w:left="196" w:right="0" w:firstLine="0"/>
        <w:jc w:val="both"/>
        <w:rPr>
          <w:b/>
          <w:sz w:val="20"/>
        </w:rPr>
      </w:pPr>
      <w:r>
        <w:rPr>
          <w:b/>
          <w:color w:val="0092C7"/>
          <w:sz w:val="20"/>
        </w:rPr>
        <w:t>Table 6.A</w:t>
      </w:r>
    </w:p>
    <w:p>
      <w:pPr>
        <w:spacing w:line="249" w:lineRule="auto" w:before="10"/>
        <w:ind w:left="196" w:right="242" w:firstLine="0"/>
        <w:jc w:val="both"/>
        <w:rPr>
          <w:sz w:val="12"/>
        </w:rPr>
      </w:pPr>
      <w:r>
        <w:rPr>
          <w:b/>
          <w:color w:val="0092C7"/>
          <w:sz w:val="20"/>
        </w:rPr>
        <w:t>The MPC's expectations for RPIX inflation and GDP growth based on constant nominal interest rates</w:t>
      </w:r>
      <w:r>
        <w:rPr>
          <w:position w:val="4"/>
          <w:sz w:val="12"/>
        </w:rPr>
        <w:t>(a)</w:t>
      </w:r>
    </w:p>
    <w:p>
      <w:pPr>
        <w:spacing w:before="99"/>
        <w:ind w:left="196" w:right="0" w:firstLine="0"/>
        <w:jc w:val="left"/>
        <w:rPr>
          <w:b/>
          <w:sz w:val="14"/>
        </w:rPr>
      </w:pPr>
      <w:r>
        <w:rPr>
          <w:b/>
          <w:sz w:val="14"/>
        </w:rPr>
        <w:t>RPIX inflation</w:t>
      </w:r>
    </w:p>
    <w:p>
      <w:pPr>
        <w:tabs>
          <w:tab w:pos="1588" w:val="left" w:leader="none"/>
          <w:tab w:pos="4414" w:val="left" w:leader="none"/>
        </w:tabs>
        <w:spacing w:before="119"/>
        <w:ind w:left="196" w:right="0" w:firstLine="0"/>
        <w:jc w:val="left"/>
        <w:rPr>
          <w:sz w:val="14"/>
        </w:rPr>
      </w:pPr>
      <w:r>
        <w:rPr>
          <w:sz w:val="14"/>
        </w:rPr>
        <w:t>Probability, per cent</w:t>
        <w:tab/>
      </w:r>
      <w:r>
        <w:rPr>
          <w:sz w:val="14"/>
          <w:u w:val="single"/>
        </w:rPr>
        <w:t>Range:</w:t>
        <w:tab/>
      </w:r>
    </w:p>
    <w:p>
      <w:pPr>
        <w:pStyle w:val="BodyText"/>
        <w:spacing w:before="2"/>
        <w:rPr>
          <w:sz w:val="2"/>
        </w:rPr>
      </w:pPr>
    </w:p>
    <w:tbl>
      <w:tblPr>
        <w:tblW w:w="0" w:type="auto"/>
        <w:jc w:val="left"/>
        <w:tblInd w:w="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4"/>
        <w:gridCol w:w="475"/>
        <w:gridCol w:w="511"/>
        <w:gridCol w:w="488"/>
        <w:gridCol w:w="514"/>
        <w:gridCol w:w="487"/>
        <w:gridCol w:w="465"/>
      </w:tblGrid>
      <w:tr>
        <w:trPr>
          <w:trHeight w:val="287" w:hRule="atLeast"/>
        </w:trPr>
        <w:tc>
          <w:tcPr>
            <w:tcW w:w="1859" w:type="dxa"/>
            <w:gridSpan w:val="2"/>
          </w:tcPr>
          <w:p>
            <w:pPr>
              <w:pStyle w:val="TableParagraph"/>
              <w:spacing w:line="140" w:lineRule="exact" w:before="12"/>
              <w:ind w:left="1263" w:right="164"/>
              <w:jc w:val="right"/>
              <w:rPr>
                <w:sz w:val="14"/>
              </w:rPr>
            </w:pPr>
            <w:r>
              <w:rPr>
                <w:sz w:val="14"/>
              </w:rPr>
              <w:t>less than</w:t>
            </w:r>
          </w:p>
        </w:tc>
        <w:tc>
          <w:tcPr>
            <w:tcW w:w="511" w:type="dxa"/>
          </w:tcPr>
          <w:p>
            <w:pPr>
              <w:pStyle w:val="TableParagraph"/>
              <w:spacing w:line="145" w:lineRule="exact"/>
              <w:ind w:left="134"/>
              <w:rPr>
                <w:sz w:val="14"/>
              </w:rPr>
            </w:pPr>
            <w:r>
              <w:rPr>
                <w:sz w:val="14"/>
              </w:rPr>
              <w:t>1.5%</w:t>
            </w:r>
          </w:p>
          <w:p>
            <w:pPr>
              <w:pStyle w:val="TableParagraph"/>
              <w:spacing w:line="123" w:lineRule="exact"/>
              <w:ind w:left="134"/>
              <w:rPr>
                <w:sz w:val="14"/>
              </w:rPr>
            </w:pPr>
            <w:r>
              <w:rPr>
                <w:sz w:val="14"/>
              </w:rPr>
              <w:t>to</w:t>
            </w:r>
          </w:p>
        </w:tc>
        <w:tc>
          <w:tcPr>
            <w:tcW w:w="488" w:type="dxa"/>
          </w:tcPr>
          <w:p>
            <w:pPr>
              <w:pStyle w:val="TableParagraph"/>
              <w:spacing w:line="145" w:lineRule="exact"/>
              <w:ind w:left="99"/>
              <w:rPr>
                <w:sz w:val="14"/>
              </w:rPr>
            </w:pPr>
            <w:r>
              <w:rPr>
                <w:sz w:val="14"/>
              </w:rPr>
              <w:t>2.0%</w:t>
            </w:r>
          </w:p>
          <w:p>
            <w:pPr>
              <w:pStyle w:val="TableParagraph"/>
              <w:spacing w:line="123" w:lineRule="exact"/>
              <w:ind w:left="99"/>
              <w:rPr>
                <w:sz w:val="14"/>
              </w:rPr>
            </w:pPr>
            <w:r>
              <w:rPr>
                <w:sz w:val="14"/>
              </w:rPr>
              <w:t>to</w:t>
            </w:r>
          </w:p>
        </w:tc>
        <w:tc>
          <w:tcPr>
            <w:tcW w:w="514" w:type="dxa"/>
          </w:tcPr>
          <w:p>
            <w:pPr>
              <w:pStyle w:val="TableParagraph"/>
              <w:spacing w:line="145" w:lineRule="exact"/>
              <w:ind w:left="116"/>
              <w:rPr>
                <w:sz w:val="14"/>
              </w:rPr>
            </w:pPr>
            <w:r>
              <w:rPr>
                <w:sz w:val="14"/>
              </w:rPr>
              <w:t>2.5%</w:t>
            </w:r>
          </w:p>
          <w:p>
            <w:pPr>
              <w:pStyle w:val="TableParagraph"/>
              <w:spacing w:line="123" w:lineRule="exact"/>
              <w:ind w:left="116"/>
              <w:rPr>
                <w:sz w:val="14"/>
              </w:rPr>
            </w:pPr>
            <w:r>
              <w:rPr>
                <w:sz w:val="14"/>
              </w:rPr>
              <w:t>to</w:t>
            </w:r>
          </w:p>
        </w:tc>
        <w:tc>
          <w:tcPr>
            <w:tcW w:w="487" w:type="dxa"/>
          </w:tcPr>
          <w:p>
            <w:pPr>
              <w:pStyle w:val="TableParagraph"/>
              <w:spacing w:line="145" w:lineRule="exact"/>
              <w:ind w:left="106"/>
              <w:rPr>
                <w:sz w:val="14"/>
              </w:rPr>
            </w:pPr>
            <w:r>
              <w:rPr>
                <w:sz w:val="14"/>
              </w:rPr>
              <w:t>3.0%</w:t>
            </w:r>
          </w:p>
          <w:p>
            <w:pPr>
              <w:pStyle w:val="TableParagraph"/>
              <w:spacing w:line="123" w:lineRule="exact"/>
              <w:ind w:left="106"/>
              <w:rPr>
                <w:sz w:val="14"/>
              </w:rPr>
            </w:pPr>
            <w:r>
              <w:rPr>
                <w:sz w:val="14"/>
              </w:rPr>
              <w:t>to</w:t>
            </w:r>
          </w:p>
        </w:tc>
        <w:tc>
          <w:tcPr>
            <w:tcW w:w="465" w:type="dxa"/>
          </w:tcPr>
          <w:p>
            <w:pPr>
              <w:pStyle w:val="TableParagraph"/>
              <w:spacing w:line="140" w:lineRule="exact" w:before="12"/>
              <w:ind w:left="124" w:right="34" w:hanging="1"/>
              <w:rPr>
                <w:sz w:val="14"/>
              </w:rPr>
            </w:pPr>
            <w:r>
              <w:rPr>
                <w:sz w:val="14"/>
              </w:rPr>
              <w:t>more than</w:t>
            </w:r>
          </w:p>
        </w:tc>
      </w:tr>
      <w:tr>
        <w:trPr>
          <w:trHeight w:val="143" w:hRule="atLeast"/>
        </w:trPr>
        <w:tc>
          <w:tcPr>
            <w:tcW w:w="1859" w:type="dxa"/>
            <w:gridSpan w:val="2"/>
          </w:tcPr>
          <w:p>
            <w:pPr>
              <w:pStyle w:val="TableParagraph"/>
              <w:spacing w:line="123" w:lineRule="exact"/>
              <w:ind w:left="1263" w:right="114"/>
              <w:jc w:val="right"/>
              <w:rPr>
                <w:sz w:val="14"/>
              </w:rPr>
            </w:pPr>
            <w:r>
              <w:rPr>
                <w:sz w:val="14"/>
                <w:u w:val="single"/>
              </w:rPr>
              <w:t> 1.5%</w:t>
            </w:r>
          </w:p>
        </w:tc>
        <w:tc>
          <w:tcPr>
            <w:tcW w:w="511" w:type="dxa"/>
          </w:tcPr>
          <w:p>
            <w:pPr>
              <w:pStyle w:val="TableParagraph"/>
              <w:spacing w:line="123" w:lineRule="exact"/>
              <w:ind w:left="114"/>
              <w:rPr>
                <w:sz w:val="14"/>
              </w:rPr>
            </w:pPr>
            <w:r>
              <w:rPr>
                <w:sz w:val="14"/>
                <w:u w:val="single"/>
              </w:rPr>
              <w:t> 2.0%</w:t>
            </w:r>
          </w:p>
        </w:tc>
        <w:tc>
          <w:tcPr>
            <w:tcW w:w="488" w:type="dxa"/>
          </w:tcPr>
          <w:p>
            <w:pPr>
              <w:pStyle w:val="TableParagraph"/>
              <w:spacing w:line="123" w:lineRule="exact"/>
              <w:ind w:right="10"/>
              <w:jc w:val="center"/>
              <w:rPr>
                <w:sz w:val="14"/>
              </w:rPr>
            </w:pPr>
            <w:r>
              <w:rPr>
                <w:sz w:val="14"/>
                <w:u w:val="single"/>
              </w:rPr>
              <w:t> 2.5%</w:t>
            </w:r>
          </w:p>
        </w:tc>
        <w:tc>
          <w:tcPr>
            <w:tcW w:w="514" w:type="dxa"/>
          </w:tcPr>
          <w:p>
            <w:pPr>
              <w:pStyle w:val="TableParagraph"/>
              <w:spacing w:line="123" w:lineRule="exact"/>
              <w:ind w:right="8"/>
              <w:jc w:val="center"/>
              <w:rPr>
                <w:sz w:val="14"/>
              </w:rPr>
            </w:pPr>
            <w:r>
              <w:rPr>
                <w:sz w:val="14"/>
                <w:u w:val="single"/>
              </w:rPr>
              <w:t> 3.0%</w:t>
            </w:r>
          </w:p>
        </w:tc>
        <w:tc>
          <w:tcPr>
            <w:tcW w:w="487" w:type="dxa"/>
          </w:tcPr>
          <w:p>
            <w:pPr>
              <w:pStyle w:val="TableParagraph"/>
              <w:spacing w:line="123" w:lineRule="exact"/>
              <w:ind w:left="86" w:right="69"/>
              <w:jc w:val="center"/>
              <w:rPr>
                <w:sz w:val="14"/>
              </w:rPr>
            </w:pPr>
            <w:r>
              <w:rPr>
                <w:sz w:val="14"/>
                <w:u w:val="single"/>
              </w:rPr>
              <w:t>3.5%</w:t>
            </w:r>
          </w:p>
        </w:tc>
        <w:tc>
          <w:tcPr>
            <w:tcW w:w="465" w:type="dxa"/>
          </w:tcPr>
          <w:p>
            <w:pPr>
              <w:pStyle w:val="TableParagraph"/>
              <w:spacing w:line="123" w:lineRule="exact"/>
              <w:ind w:left="40"/>
              <w:jc w:val="center"/>
              <w:rPr>
                <w:sz w:val="14"/>
              </w:rPr>
            </w:pPr>
            <w:r>
              <w:rPr>
                <w:sz w:val="14"/>
                <w:u w:val="single"/>
              </w:rPr>
              <w:t> 3.5%</w:t>
            </w:r>
          </w:p>
        </w:tc>
      </w:tr>
      <w:tr>
        <w:trPr>
          <w:trHeight w:val="272" w:hRule="atLeast"/>
        </w:trPr>
        <w:tc>
          <w:tcPr>
            <w:tcW w:w="1384" w:type="dxa"/>
          </w:tcPr>
          <w:p>
            <w:pPr>
              <w:pStyle w:val="TableParagraph"/>
              <w:spacing w:line="133" w:lineRule="exact" w:before="119"/>
              <w:ind w:left="50"/>
              <w:rPr>
                <w:sz w:val="14"/>
              </w:rPr>
            </w:pPr>
            <w:r>
              <w:rPr>
                <w:sz w:val="14"/>
              </w:rPr>
              <w:t>2000 Q4</w:t>
            </w:r>
          </w:p>
        </w:tc>
        <w:tc>
          <w:tcPr>
            <w:tcW w:w="475" w:type="dxa"/>
          </w:tcPr>
          <w:p>
            <w:pPr>
              <w:pStyle w:val="TableParagraph"/>
              <w:spacing w:line="133" w:lineRule="exact" w:before="119"/>
              <w:ind w:right="228"/>
              <w:jc w:val="right"/>
              <w:rPr>
                <w:sz w:val="14"/>
              </w:rPr>
            </w:pPr>
            <w:r>
              <w:rPr>
                <w:sz w:val="14"/>
              </w:rPr>
              <w:t>5</w:t>
            </w:r>
          </w:p>
        </w:tc>
        <w:tc>
          <w:tcPr>
            <w:tcW w:w="511" w:type="dxa"/>
          </w:tcPr>
          <w:p>
            <w:pPr>
              <w:pStyle w:val="TableParagraph"/>
              <w:spacing w:line="133" w:lineRule="exact" w:before="119"/>
              <w:ind w:left="181"/>
              <w:rPr>
                <w:sz w:val="14"/>
              </w:rPr>
            </w:pPr>
            <w:r>
              <w:rPr>
                <w:sz w:val="14"/>
              </w:rPr>
              <w:t>32</w:t>
            </w:r>
          </w:p>
        </w:tc>
        <w:tc>
          <w:tcPr>
            <w:tcW w:w="488" w:type="dxa"/>
          </w:tcPr>
          <w:p>
            <w:pPr>
              <w:pStyle w:val="TableParagraph"/>
              <w:spacing w:line="133" w:lineRule="exact" w:before="119"/>
              <w:ind w:right="71"/>
              <w:jc w:val="center"/>
              <w:rPr>
                <w:sz w:val="14"/>
              </w:rPr>
            </w:pPr>
            <w:r>
              <w:rPr>
                <w:sz w:val="14"/>
              </w:rPr>
              <w:t>46</w:t>
            </w:r>
          </w:p>
        </w:tc>
        <w:tc>
          <w:tcPr>
            <w:tcW w:w="514" w:type="dxa"/>
          </w:tcPr>
          <w:p>
            <w:pPr>
              <w:pStyle w:val="TableParagraph"/>
              <w:spacing w:line="133" w:lineRule="exact" w:before="119"/>
              <w:ind w:right="102"/>
              <w:jc w:val="center"/>
              <w:rPr>
                <w:sz w:val="14"/>
              </w:rPr>
            </w:pPr>
            <w:r>
              <w:rPr>
                <w:sz w:val="14"/>
              </w:rPr>
              <w:t>16</w:t>
            </w:r>
          </w:p>
        </w:tc>
        <w:tc>
          <w:tcPr>
            <w:tcW w:w="487" w:type="dxa"/>
          </w:tcPr>
          <w:p>
            <w:pPr>
              <w:pStyle w:val="TableParagraph"/>
              <w:spacing w:line="133" w:lineRule="exact" w:before="119"/>
              <w:ind w:left="11"/>
              <w:jc w:val="center"/>
              <w:rPr>
                <w:sz w:val="14"/>
              </w:rPr>
            </w:pPr>
            <w:r>
              <w:rPr>
                <w:sz w:val="14"/>
              </w:rPr>
              <w:t>1</w:t>
            </w:r>
          </w:p>
        </w:tc>
        <w:tc>
          <w:tcPr>
            <w:tcW w:w="465" w:type="dxa"/>
          </w:tcPr>
          <w:p>
            <w:pPr>
              <w:pStyle w:val="TableParagraph"/>
              <w:spacing w:line="133" w:lineRule="exact" w:before="119"/>
              <w:ind w:left="86"/>
              <w:jc w:val="center"/>
              <w:rPr>
                <w:sz w:val="14"/>
              </w:rPr>
            </w:pPr>
            <w:r>
              <w:rPr>
                <w:sz w:val="14"/>
              </w:rPr>
              <w:t>&lt; 1</w:t>
            </w:r>
          </w:p>
        </w:tc>
      </w:tr>
      <w:tr>
        <w:trPr>
          <w:trHeight w:val="140" w:hRule="atLeast"/>
        </w:trPr>
        <w:tc>
          <w:tcPr>
            <w:tcW w:w="1384" w:type="dxa"/>
          </w:tcPr>
          <w:p>
            <w:pPr>
              <w:pStyle w:val="TableParagraph"/>
              <w:ind w:left="50"/>
              <w:rPr>
                <w:sz w:val="14"/>
              </w:rPr>
            </w:pPr>
            <w:r>
              <w:rPr>
                <w:sz w:val="14"/>
              </w:rPr>
              <w:t>2001 Q4</w:t>
            </w:r>
          </w:p>
        </w:tc>
        <w:tc>
          <w:tcPr>
            <w:tcW w:w="475" w:type="dxa"/>
          </w:tcPr>
          <w:p>
            <w:pPr>
              <w:pStyle w:val="TableParagraph"/>
              <w:ind w:right="228"/>
              <w:jc w:val="right"/>
              <w:rPr>
                <w:sz w:val="14"/>
              </w:rPr>
            </w:pPr>
            <w:r>
              <w:rPr>
                <w:sz w:val="14"/>
              </w:rPr>
              <w:t>6</w:t>
            </w:r>
          </w:p>
        </w:tc>
        <w:tc>
          <w:tcPr>
            <w:tcW w:w="511" w:type="dxa"/>
          </w:tcPr>
          <w:p>
            <w:pPr>
              <w:pStyle w:val="TableParagraph"/>
              <w:ind w:left="180"/>
              <w:rPr>
                <w:sz w:val="14"/>
              </w:rPr>
            </w:pPr>
            <w:r>
              <w:rPr>
                <w:sz w:val="14"/>
              </w:rPr>
              <w:t>15</w:t>
            </w:r>
          </w:p>
        </w:tc>
        <w:tc>
          <w:tcPr>
            <w:tcW w:w="488" w:type="dxa"/>
          </w:tcPr>
          <w:p>
            <w:pPr>
              <w:pStyle w:val="TableParagraph"/>
              <w:ind w:right="72"/>
              <w:jc w:val="center"/>
              <w:rPr>
                <w:sz w:val="14"/>
              </w:rPr>
            </w:pPr>
            <w:r>
              <w:rPr>
                <w:sz w:val="14"/>
              </w:rPr>
              <w:t>27</w:t>
            </w:r>
          </w:p>
        </w:tc>
        <w:tc>
          <w:tcPr>
            <w:tcW w:w="514" w:type="dxa"/>
          </w:tcPr>
          <w:p>
            <w:pPr>
              <w:pStyle w:val="TableParagraph"/>
              <w:ind w:right="102"/>
              <w:jc w:val="center"/>
              <w:rPr>
                <w:sz w:val="14"/>
              </w:rPr>
            </w:pPr>
            <w:r>
              <w:rPr>
                <w:sz w:val="14"/>
              </w:rPr>
              <w:t>28</w:t>
            </w:r>
          </w:p>
        </w:tc>
        <w:tc>
          <w:tcPr>
            <w:tcW w:w="487" w:type="dxa"/>
          </w:tcPr>
          <w:p>
            <w:pPr>
              <w:pStyle w:val="TableParagraph"/>
              <w:ind w:left="12" w:right="69"/>
              <w:jc w:val="center"/>
              <w:rPr>
                <w:sz w:val="14"/>
              </w:rPr>
            </w:pPr>
            <w:r>
              <w:rPr>
                <w:sz w:val="14"/>
              </w:rPr>
              <w:t>17</w:t>
            </w:r>
          </w:p>
        </w:tc>
        <w:tc>
          <w:tcPr>
            <w:tcW w:w="465" w:type="dxa"/>
          </w:tcPr>
          <w:p>
            <w:pPr>
              <w:pStyle w:val="TableParagraph"/>
              <w:ind w:left="142"/>
              <w:jc w:val="center"/>
              <w:rPr>
                <w:sz w:val="14"/>
              </w:rPr>
            </w:pPr>
            <w:r>
              <w:rPr>
                <w:sz w:val="14"/>
              </w:rPr>
              <w:t>7</w:t>
            </w:r>
          </w:p>
        </w:tc>
      </w:tr>
      <w:tr>
        <w:trPr>
          <w:trHeight w:val="147" w:hRule="atLeast"/>
        </w:trPr>
        <w:tc>
          <w:tcPr>
            <w:tcW w:w="1384" w:type="dxa"/>
          </w:tcPr>
          <w:p>
            <w:pPr>
              <w:pStyle w:val="TableParagraph"/>
              <w:spacing w:line="128" w:lineRule="exact"/>
              <w:ind w:left="50"/>
              <w:rPr>
                <w:sz w:val="14"/>
              </w:rPr>
            </w:pPr>
            <w:r>
              <w:rPr>
                <w:sz w:val="14"/>
              </w:rPr>
              <w:t>2002 Q2</w:t>
            </w:r>
          </w:p>
        </w:tc>
        <w:tc>
          <w:tcPr>
            <w:tcW w:w="475" w:type="dxa"/>
          </w:tcPr>
          <w:p>
            <w:pPr>
              <w:pStyle w:val="TableParagraph"/>
              <w:spacing w:line="128" w:lineRule="exact"/>
              <w:ind w:right="228"/>
              <w:jc w:val="right"/>
              <w:rPr>
                <w:sz w:val="14"/>
              </w:rPr>
            </w:pPr>
            <w:r>
              <w:rPr>
                <w:sz w:val="14"/>
              </w:rPr>
              <w:t>10</w:t>
            </w:r>
          </w:p>
        </w:tc>
        <w:tc>
          <w:tcPr>
            <w:tcW w:w="511" w:type="dxa"/>
          </w:tcPr>
          <w:p>
            <w:pPr>
              <w:pStyle w:val="TableParagraph"/>
              <w:spacing w:line="128" w:lineRule="exact"/>
              <w:ind w:left="181"/>
              <w:rPr>
                <w:sz w:val="14"/>
              </w:rPr>
            </w:pPr>
            <w:r>
              <w:rPr>
                <w:sz w:val="14"/>
              </w:rPr>
              <w:t>16</w:t>
            </w:r>
          </w:p>
        </w:tc>
        <w:tc>
          <w:tcPr>
            <w:tcW w:w="488" w:type="dxa"/>
          </w:tcPr>
          <w:p>
            <w:pPr>
              <w:pStyle w:val="TableParagraph"/>
              <w:spacing w:line="128" w:lineRule="exact"/>
              <w:ind w:right="71"/>
              <w:jc w:val="center"/>
              <w:rPr>
                <w:sz w:val="14"/>
              </w:rPr>
            </w:pPr>
            <w:r>
              <w:rPr>
                <w:sz w:val="14"/>
              </w:rPr>
              <w:t>23</w:t>
            </w:r>
          </w:p>
        </w:tc>
        <w:tc>
          <w:tcPr>
            <w:tcW w:w="514" w:type="dxa"/>
          </w:tcPr>
          <w:p>
            <w:pPr>
              <w:pStyle w:val="TableParagraph"/>
              <w:spacing w:line="128" w:lineRule="exact"/>
              <w:ind w:right="102"/>
              <w:jc w:val="center"/>
              <w:rPr>
                <w:sz w:val="14"/>
              </w:rPr>
            </w:pPr>
            <w:r>
              <w:rPr>
                <w:sz w:val="14"/>
              </w:rPr>
              <w:t>24</w:t>
            </w:r>
          </w:p>
        </w:tc>
        <w:tc>
          <w:tcPr>
            <w:tcW w:w="487" w:type="dxa"/>
          </w:tcPr>
          <w:p>
            <w:pPr>
              <w:pStyle w:val="TableParagraph"/>
              <w:spacing w:line="128" w:lineRule="exact"/>
              <w:ind w:left="13" w:right="69"/>
              <w:jc w:val="center"/>
              <w:rPr>
                <w:sz w:val="14"/>
              </w:rPr>
            </w:pPr>
            <w:r>
              <w:rPr>
                <w:sz w:val="14"/>
              </w:rPr>
              <w:t>17</w:t>
            </w:r>
          </w:p>
        </w:tc>
        <w:tc>
          <w:tcPr>
            <w:tcW w:w="465" w:type="dxa"/>
          </w:tcPr>
          <w:p>
            <w:pPr>
              <w:pStyle w:val="TableParagraph"/>
              <w:spacing w:line="128" w:lineRule="exact"/>
              <w:ind w:left="72"/>
              <w:jc w:val="center"/>
              <w:rPr>
                <w:sz w:val="14"/>
              </w:rPr>
            </w:pPr>
            <w:r>
              <w:rPr>
                <w:sz w:val="14"/>
              </w:rPr>
              <w:t>10</w:t>
            </w:r>
          </w:p>
        </w:tc>
      </w:tr>
    </w:tbl>
    <w:p>
      <w:pPr>
        <w:pStyle w:val="BodyText"/>
        <w:spacing w:before="6"/>
        <w:rPr>
          <w:sz w:val="15"/>
        </w:rPr>
      </w:pPr>
    </w:p>
    <w:p>
      <w:pPr>
        <w:spacing w:before="0"/>
        <w:ind w:left="196" w:right="0" w:firstLine="0"/>
        <w:jc w:val="left"/>
        <w:rPr>
          <w:b/>
          <w:sz w:val="14"/>
        </w:rPr>
      </w:pPr>
      <w:r>
        <w:rPr>
          <w:b/>
          <w:sz w:val="14"/>
        </w:rPr>
        <w:t>GDP growth</w:t>
      </w:r>
    </w:p>
    <w:p>
      <w:pPr>
        <w:tabs>
          <w:tab w:pos="1588" w:val="left" w:leader="none"/>
        </w:tabs>
        <w:spacing w:before="119"/>
        <w:ind w:left="196" w:right="0" w:firstLine="0"/>
        <w:jc w:val="left"/>
        <w:rPr>
          <w:sz w:val="14"/>
        </w:rPr>
      </w:pPr>
      <w:r>
        <w:rPr>
          <w:sz w:val="14"/>
        </w:rPr>
        <w:t>Probability, per cent</w:t>
        <w:tab/>
        <w:t>Range:</w:t>
      </w:r>
    </w:p>
    <w:tbl>
      <w:tblPr>
        <w:tblW w:w="0" w:type="auto"/>
        <w:jc w:val="left"/>
        <w:tblInd w:w="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1"/>
        <w:gridCol w:w="317"/>
        <w:gridCol w:w="222"/>
        <w:gridCol w:w="317"/>
        <w:gridCol w:w="160"/>
        <w:gridCol w:w="318"/>
        <w:gridCol w:w="179"/>
        <w:gridCol w:w="316"/>
        <w:gridCol w:w="191"/>
        <w:gridCol w:w="324"/>
        <w:gridCol w:w="161"/>
        <w:gridCol w:w="317"/>
      </w:tblGrid>
      <w:tr>
        <w:trPr>
          <w:trHeight w:val="287" w:hRule="atLeast"/>
        </w:trPr>
        <w:tc>
          <w:tcPr>
            <w:tcW w:w="1451" w:type="dxa"/>
            <w:vMerge w:val="restart"/>
          </w:tcPr>
          <w:p>
            <w:pPr>
              <w:pStyle w:val="TableParagraph"/>
              <w:spacing w:line="240" w:lineRule="auto"/>
              <w:rPr>
                <w:sz w:val="20"/>
              </w:rPr>
            </w:pPr>
          </w:p>
        </w:tc>
        <w:tc>
          <w:tcPr>
            <w:tcW w:w="317" w:type="dxa"/>
            <w:tcBorders>
              <w:top w:val="single" w:sz="2" w:space="0" w:color="000000"/>
            </w:tcBorders>
          </w:tcPr>
          <w:p>
            <w:pPr>
              <w:pStyle w:val="TableParagraph"/>
              <w:spacing w:line="140" w:lineRule="exact" w:before="13"/>
              <w:ind w:right="55"/>
              <w:rPr>
                <w:sz w:val="14"/>
              </w:rPr>
            </w:pPr>
            <w:r>
              <w:rPr>
                <w:sz w:val="14"/>
              </w:rPr>
              <w:t>less than</w:t>
            </w:r>
          </w:p>
        </w:tc>
        <w:tc>
          <w:tcPr>
            <w:tcW w:w="222" w:type="dxa"/>
            <w:tcBorders>
              <w:top w:val="single" w:sz="2" w:space="0" w:color="000000"/>
            </w:tcBorders>
          </w:tcPr>
          <w:p>
            <w:pPr>
              <w:pStyle w:val="TableParagraph"/>
              <w:spacing w:line="240" w:lineRule="auto"/>
              <w:rPr>
                <w:sz w:val="20"/>
              </w:rPr>
            </w:pPr>
          </w:p>
        </w:tc>
        <w:tc>
          <w:tcPr>
            <w:tcW w:w="317" w:type="dxa"/>
            <w:tcBorders>
              <w:top w:val="single" w:sz="2" w:space="0" w:color="000000"/>
            </w:tcBorders>
          </w:tcPr>
          <w:p>
            <w:pPr>
              <w:pStyle w:val="TableParagraph"/>
              <w:spacing w:line="145" w:lineRule="exact"/>
              <w:ind w:left="3"/>
              <w:rPr>
                <w:sz w:val="14"/>
              </w:rPr>
            </w:pPr>
            <w:r>
              <w:rPr>
                <w:sz w:val="14"/>
              </w:rPr>
              <w:t>0%</w:t>
            </w:r>
          </w:p>
          <w:p>
            <w:pPr>
              <w:pStyle w:val="TableParagraph"/>
              <w:spacing w:line="123" w:lineRule="exact"/>
              <w:ind w:left="3"/>
              <w:rPr>
                <w:sz w:val="14"/>
              </w:rPr>
            </w:pPr>
            <w:r>
              <w:rPr>
                <w:sz w:val="14"/>
              </w:rPr>
              <w:t>to</w:t>
            </w:r>
          </w:p>
        </w:tc>
        <w:tc>
          <w:tcPr>
            <w:tcW w:w="160" w:type="dxa"/>
            <w:tcBorders>
              <w:top w:val="single" w:sz="2" w:space="0" w:color="000000"/>
            </w:tcBorders>
          </w:tcPr>
          <w:p>
            <w:pPr>
              <w:pStyle w:val="TableParagraph"/>
              <w:spacing w:line="240" w:lineRule="auto"/>
              <w:rPr>
                <w:sz w:val="20"/>
              </w:rPr>
            </w:pPr>
          </w:p>
        </w:tc>
        <w:tc>
          <w:tcPr>
            <w:tcW w:w="318" w:type="dxa"/>
            <w:tcBorders>
              <w:top w:val="single" w:sz="2" w:space="0" w:color="000000"/>
            </w:tcBorders>
          </w:tcPr>
          <w:p>
            <w:pPr>
              <w:pStyle w:val="TableParagraph"/>
              <w:spacing w:line="145" w:lineRule="exact"/>
              <w:ind w:left="2"/>
              <w:rPr>
                <w:sz w:val="14"/>
              </w:rPr>
            </w:pPr>
            <w:r>
              <w:rPr>
                <w:sz w:val="14"/>
              </w:rPr>
              <w:t>1%</w:t>
            </w:r>
          </w:p>
          <w:p>
            <w:pPr>
              <w:pStyle w:val="TableParagraph"/>
              <w:spacing w:line="123" w:lineRule="exact"/>
              <w:ind w:left="2"/>
              <w:rPr>
                <w:sz w:val="14"/>
              </w:rPr>
            </w:pPr>
            <w:r>
              <w:rPr>
                <w:sz w:val="14"/>
              </w:rPr>
              <w:t>to</w:t>
            </w:r>
          </w:p>
        </w:tc>
        <w:tc>
          <w:tcPr>
            <w:tcW w:w="179" w:type="dxa"/>
            <w:tcBorders>
              <w:top w:val="single" w:sz="2" w:space="0" w:color="000000"/>
            </w:tcBorders>
          </w:tcPr>
          <w:p>
            <w:pPr>
              <w:pStyle w:val="TableParagraph"/>
              <w:spacing w:line="240" w:lineRule="auto"/>
              <w:rPr>
                <w:sz w:val="20"/>
              </w:rPr>
            </w:pPr>
          </w:p>
        </w:tc>
        <w:tc>
          <w:tcPr>
            <w:tcW w:w="316" w:type="dxa"/>
            <w:tcBorders>
              <w:top w:val="single" w:sz="2" w:space="0" w:color="000000"/>
            </w:tcBorders>
          </w:tcPr>
          <w:p>
            <w:pPr>
              <w:pStyle w:val="TableParagraph"/>
              <w:spacing w:line="145" w:lineRule="exact"/>
              <w:ind w:left="9"/>
              <w:rPr>
                <w:sz w:val="14"/>
              </w:rPr>
            </w:pPr>
            <w:r>
              <w:rPr>
                <w:sz w:val="14"/>
              </w:rPr>
              <w:t>2%</w:t>
            </w:r>
          </w:p>
          <w:p>
            <w:pPr>
              <w:pStyle w:val="TableParagraph"/>
              <w:spacing w:line="123" w:lineRule="exact"/>
              <w:ind w:left="10"/>
              <w:rPr>
                <w:sz w:val="14"/>
              </w:rPr>
            </w:pPr>
            <w:r>
              <w:rPr>
                <w:sz w:val="14"/>
              </w:rPr>
              <w:t>to</w:t>
            </w:r>
          </w:p>
        </w:tc>
        <w:tc>
          <w:tcPr>
            <w:tcW w:w="191" w:type="dxa"/>
            <w:tcBorders>
              <w:top w:val="single" w:sz="2" w:space="0" w:color="000000"/>
            </w:tcBorders>
          </w:tcPr>
          <w:p>
            <w:pPr>
              <w:pStyle w:val="TableParagraph"/>
              <w:spacing w:line="240" w:lineRule="auto"/>
              <w:rPr>
                <w:sz w:val="20"/>
              </w:rPr>
            </w:pPr>
          </w:p>
        </w:tc>
        <w:tc>
          <w:tcPr>
            <w:tcW w:w="324" w:type="dxa"/>
            <w:tcBorders>
              <w:top w:val="single" w:sz="2" w:space="0" w:color="000000"/>
            </w:tcBorders>
          </w:tcPr>
          <w:p>
            <w:pPr>
              <w:pStyle w:val="TableParagraph"/>
              <w:spacing w:line="145" w:lineRule="exact"/>
              <w:ind w:left="7"/>
              <w:rPr>
                <w:sz w:val="14"/>
              </w:rPr>
            </w:pPr>
            <w:r>
              <w:rPr>
                <w:sz w:val="14"/>
              </w:rPr>
              <w:t>3%</w:t>
            </w:r>
          </w:p>
          <w:p>
            <w:pPr>
              <w:pStyle w:val="TableParagraph"/>
              <w:spacing w:line="123" w:lineRule="exact"/>
              <w:ind w:left="7"/>
              <w:rPr>
                <w:sz w:val="14"/>
              </w:rPr>
            </w:pPr>
            <w:r>
              <w:rPr>
                <w:sz w:val="14"/>
              </w:rPr>
              <w:t>to</w:t>
            </w:r>
          </w:p>
        </w:tc>
        <w:tc>
          <w:tcPr>
            <w:tcW w:w="161" w:type="dxa"/>
            <w:tcBorders>
              <w:top w:val="single" w:sz="2" w:space="0" w:color="000000"/>
            </w:tcBorders>
          </w:tcPr>
          <w:p>
            <w:pPr>
              <w:pStyle w:val="TableParagraph"/>
              <w:spacing w:line="240" w:lineRule="auto"/>
              <w:rPr>
                <w:sz w:val="20"/>
              </w:rPr>
            </w:pPr>
          </w:p>
        </w:tc>
        <w:tc>
          <w:tcPr>
            <w:tcW w:w="317" w:type="dxa"/>
            <w:tcBorders>
              <w:top w:val="single" w:sz="2" w:space="0" w:color="000000"/>
            </w:tcBorders>
          </w:tcPr>
          <w:p>
            <w:pPr>
              <w:pStyle w:val="TableParagraph"/>
              <w:spacing w:line="140" w:lineRule="exact" w:before="13"/>
              <w:ind w:left="27" w:right="-17" w:hanging="1"/>
              <w:rPr>
                <w:sz w:val="14"/>
              </w:rPr>
            </w:pPr>
            <w:r>
              <w:rPr>
                <w:sz w:val="14"/>
              </w:rPr>
              <w:t>more than</w:t>
            </w:r>
          </w:p>
        </w:tc>
      </w:tr>
      <w:tr>
        <w:trPr>
          <w:trHeight w:val="157" w:hRule="atLeast"/>
        </w:trPr>
        <w:tc>
          <w:tcPr>
            <w:tcW w:w="1451" w:type="dxa"/>
            <w:vMerge/>
            <w:tcBorders>
              <w:top w:val="nil"/>
            </w:tcBorders>
          </w:tcPr>
          <w:p>
            <w:pPr>
              <w:rPr>
                <w:sz w:val="2"/>
                <w:szCs w:val="2"/>
              </w:rPr>
            </w:pPr>
          </w:p>
        </w:tc>
        <w:tc>
          <w:tcPr>
            <w:tcW w:w="317" w:type="dxa"/>
            <w:tcBorders>
              <w:bottom w:val="single" w:sz="2" w:space="0" w:color="000000"/>
            </w:tcBorders>
          </w:tcPr>
          <w:p>
            <w:pPr>
              <w:pStyle w:val="TableParagraph"/>
              <w:spacing w:line="137" w:lineRule="exact"/>
              <w:ind w:right="128"/>
              <w:jc w:val="right"/>
              <w:rPr>
                <w:sz w:val="14"/>
              </w:rPr>
            </w:pPr>
            <w:r>
              <w:rPr>
                <w:sz w:val="14"/>
              </w:rPr>
              <w:t>0%</w:t>
            </w:r>
          </w:p>
        </w:tc>
        <w:tc>
          <w:tcPr>
            <w:tcW w:w="222" w:type="dxa"/>
          </w:tcPr>
          <w:p>
            <w:pPr>
              <w:pStyle w:val="TableParagraph"/>
              <w:spacing w:line="240" w:lineRule="auto"/>
              <w:rPr>
                <w:sz w:val="10"/>
              </w:rPr>
            </w:pPr>
          </w:p>
        </w:tc>
        <w:tc>
          <w:tcPr>
            <w:tcW w:w="317" w:type="dxa"/>
            <w:tcBorders>
              <w:bottom w:val="single" w:sz="2" w:space="0" w:color="000000"/>
            </w:tcBorders>
          </w:tcPr>
          <w:p>
            <w:pPr>
              <w:pStyle w:val="TableParagraph"/>
              <w:spacing w:line="137" w:lineRule="exact"/>
              <w:ind w:right="125"/>
              <w:jc w:val="right"/>
              <w:rPr>
                <w:sz w:val="14"/>
              </w:rPr>
            </w:pPr>
            <w:r>
              <w:rPr>
                <w:sz w:val="14"/>
              </w:rPr>
              <w:t>1%</w:t>
            </w:r>
          </w:p>
        </w:tc>
        <w:tc>
          <w:tcPr>
            <w:tcW w:w="160" w:type="dxa"/>
          </w:tcPr>
          <w:p>
            <w:pPr>
              <w:pStyle w:val="TableParagraph"/>
              <w:spacing w:line="240" w:lineRule="auto"/>
              <w:rPr>
                <w:sz w:val="10"/>
              </w:rPr>
            </w:pPr>
          </w:p>
        </w:tc>
        <w:tc>
          <w:tcPr>
            <w:tcW w:w="318" w:type="dxa"/>
            <w:tcBorders>
              <w:bottom w:val="single" w:sz="2" w:space="0" w:color="000000"/>
            </w:tcBorders>
          </w:tcPr>
          <w:p>
            <w:pPr>
              <w:pStyle w:val="TableParagraph"/>
              <w:spacing w:line="137" w:lineRule="exact"/>
              <w:ind w:left="2"/>
              <w:rPr>
                <w:sz w:val="14"/>
              </w:rPr>
            </w:pPr>
            <w:r>
              <w:rPr>
                <w:sz w:val="14"/>
              </w:rPr>
              <w:t>2%</w:t>
            </w:r>
          </w:p>
        </w:tc>
        <w:tc>
          <w:tcPr>
            <w:tcW w:w="179" w:type="dxa"/>
          </w:tcPr>
          <w:p>
            <w:pPr>
              <w:pStyle w:val="TableParagraph"/>
              <w:spacing w:line="240" w:lineRule="auto"/>
              <w:rPr>
                <w:sz w:val="10"/>
              </w:rPr>
            </w:pPr>
          </w:p>
        </w:tc>
        <w:tc>
          <w:tcPr>
            <w:tcW w:w="316" w:type="dxa"/>
            <w:tcBorders>
              <w:bottom w:val="single" w:sz="2" w:space="0" w:color="000000"/>
            </w:tcBorders>
          </w:tcPr>
          <w:p>
            <w:pPr>
              <w:pStyle w:val="TableParagraph"/>
              <w:spacing w:line="137" w:lineRule="exact"/>
              <w:ind w:left="9"/>
              <w:rPr>
                <w:sz w:val="14"/>
              </w:rPr>
            </w:pPr>
            <w:r>
              <w:rPr>
                <w:sz w:val="14"/>
              </w:rPr>
              <w:t>3%</w:t>
            </w:r>
          </w:p>
        </w:tc>
        <w:tc>
          <w:tcPr>
            <w:tcW w:w="191" w:type="dxa"/>
          </w:tcPr>
          <w:p>
            <w:pPr>
              <w:pStyle w:val="TableParagraph"/>
              <w:spacing w:line="240" w:lineRule="auto"/>
              <w:rPr>
                <w:sz w:val="10"/>
              </w:rPr>
            </w:pPr>
          </w:p>
        </w:tc>
        <w:tc>
          <w:tcPr>
            <w:tcW w:w="324" w:type="dxa"/>
            <w:tcBorders>
              <w:bottom w:val="single" w:sz="2" w:space="0" w:color="000000"/>
            </w:tcBorders>
          </w:tcPr>
          <w:p>
            <w:pPr>
              <w:pStyle w:val="TableParagraph"/>
              <w:spacing w:line="137" w:lineRule="exact"/>
              <w:ind w:right="127"/>
              <w:jc w:val="right"/>
              <w:rPr>
                <w:sz w:val="14"/>
              </w:rPr>
            </w:pPr>
            <w:r>
              <w:rPr>
                <w:sz w:val="14"/>
              </w:rPr>
              <w:t>4%</w:t>
            </w:r>
          </w:p>
        </w:tc>
        <w:tc>
          <w:tcPr>
            <w:tcW w:w="161" w:type="dxa"/>
          </w:tcPr>
          <w:p>
            <w:pPr>
              <w:pStyle w:val="TableParagraph"/>
              <w:spacing w:line="240" w:lineRule="auto"/>
              <w:rPr>
                <w:sz w:val="10"/>
              </w:rPr>
            </w:pPr>
          </w:p>
        </w:tc>
        <w:tc>
          <w:tcPr>
            <w:tcW w:w="317" w:type="dxa"/>
            <w:tcBorders>
              <w:bottom w:val="single" w:sz="2" w:space="0" w:color="000000"/>
            </w:tcBorders>
          </w:tcPr>
          <w:p>
            <w:pPr>
              <w:pStyle w:val="TableParagraph"/>
              <w:spacing w:line="137" w:lineRule="exact"/>
              <w:ind w:right="101"/>
              <w:jc w:val="right"/>
              <w:rPr>
                <w:sz w:val="14"/>
              </w:rPr>
            </w:pPr>
            <w:r>
              <w:rPr>
                <w:sz w:val="14"/>
              </w:rPr>
              <w:t>4%</w:t>
            </w:r>
          </w:p>
        </w:tc>
      </w:tr>
      <w:tr>
        <w:trPr>
          <w:trHeight w:val="252" w:hRule="atLeast"/>
        </w:trPr>
        <w:tc>
          <w:tcPr>
            <w:tcW w:w="1451" w:type="dxa"/>
          </w:tcPr>
          <w:p>
            <w:pPr>
              <w:pStyle w:val="TableParagraph"/>
              <w:spacing w:line="133" w:lineRule="exact" w:before="99"/>
              <w:ind w:left="50"/>
              <w:rPr>
                <w:sz w:val="14"/>
              </w:rPr>
            </w:pPr>
            <w:r>
              <w:rPr>
                <w:sz w:val="14"/>
              </w:rPr>
              <w:t>2000 Q4</w:t>
            </w:r>
          </w:p>
        </w:tc>
        <w:tc>
          <w:tcPr>
            <w:tcW w:w="317" w:type="dxa"/>
            <w:tcBorders>
              <w:top w:val="single" w:sz="2" w:space="0" w:color="000000"/>
            </w:tcBorders>
          </w:tcPr>
          <w:p>
            <w:pPr>
              <w:pStyle w:val="TableParagraph"/>
              <w:spacing w:line="133" w:lineRule="exact" w:before="99"/>
              <w:ind w:right="87"/>
              <w:jc w:val="right"/>
              <w:rPr>
                <w:sz w:val="14"/>
              </w:rPr>
            </w:pPr>
            <w:r>
              <w:rPr>
                <w:sz w:val="14"/>
              </w:rPr>
              <w:t>&lt; 1</w:t>
            </w:r>
          </w:p>
        </w:tc>
        <w:tc>
          <w:tcPr>
            <w:tcW w:w="222" w:type="dxa"/>
          </w:tcPr>
          <w:p>
            <w:pPr>
              <w:pStyle w:val="TableParagraph"/>
              <w:spacing w:line="240" w:lineRule="auto"/>
              <w:rPr>
                <w:sz w:val="18"/>
              </w:rPr>
            </w:pPr>
          </w:p>
        </w:tc>
        <w:tc>
          <w:tcPr>
            <w:tcW w:w="317" w:type="dxa"/>
            <w:tcBorders>
              <w:top w:val="single" w:sz="2" w:space="0" w:color="000000"/>
            </w:tcBorders>
          </w:tcPr>
          <w:p>
            <w:pPr>
              <w:pStyle w:val="TableParagraph"/>
              <w:spacing w:line="133" w:lineRule="exact" w:before="99"/>
              <w:ind w:right="132"/>
              <w:jc w:val="right"/>
              <w:rPr>
                <w:sz w:val="14"/>
              </w:rPr>
            </w:pPr>
            <w:r>
              <w:rPr>
                <w:sz w:val="14"/>
              </w:rPr>
              <w:t>6</w:t>
            </w:r>
          </w:p>
        </w:tc>
        <w:tc>
          <w:tcPr>
            <w:tcW w:w="160" w:type="dxa"/>
          </w:tcPr>
          <w:p>
            <w:pPr>
              <w:pStyle w:val="TableParagraph"/>
              <w:spacing w:line="240" w:lineRule="auto"/>
              <w:rPr>
                <w:sz w:val="18"/>
              </w:rPr>
            </w:pPr>
          </w:p>
        </w:tc>
        <w:tc>
          <w:tcPr>
            <w:tcW w:w="318" w:type="dxa"/>
            <w:tcBorders>
              <w:top w:val="single" w:sz="2" w:space="0" w:color="000000"/>
            </w:tcBorders>
          </w:tcPr>
          <w:p>
            <w:pPr>
              <w:pStyle w:val="TableParagraph"/>
              <w:spacing w:line="133" w:lineRule="exact" w:before="99"/>
              <w:ind w:left="52"/>
              <w:rPr>
                <w:sz w:val="14"/>
              </w:rPr>
            </w:pPr>
            <w:r>
              <w:rPr>
                <w:sz w:val="14"/>
              </w:rPr>
              <w:t>27</w:t>
            </w:r>
          </w:p>
        </w:tc>
        <w:tc>
          <w:tcPr>
            <w:tcW w:w="179" w:type="dxa"/>
          </w:tcPr>
          <w:p>
            <w:pPr>
              <w:pStyle w:val="TableParagraph"/>
              <w:spacing w:line="240" w:lineRule="auto"/>
              <w:rPr>
                <w:sz w:val="18"/>
              </w:rPr>
            </w:pPr>
          </w:p>
        </w:tc>
        <w:tc>
          <w:tcPr>
            <w:tcW w:w="316" w:type="dxa"/>
            <w:tcBorders>
              <w:top w:val="single" w:sz="2" w:space="0" w:color="000000"/>
            </w:tcBorders>
          </w:tcPr>
          <w:p>
            <w:pPr>
              <w:pStyle w:val="TableParagraph"/>
              <w:spacing w:line="133" w:lineRule="exact" w:before="99"/>
              <w:ind w:left="69"/>
              <w:rPr>
                <w:sz w:val="14"/>
              </w:rPr>
            </w:pPr>
            <w:r>
              <w:rPr>
                <w:sz w:val="14"/>
              </w:rPr>
              <w:t>43</w:t>
            </w:r>
          </w:p>
        </w:tc>
        <w:tc>
          <w:tcPr>
            <w:tcW w:w="191" w:type="dxa"/>
          </w:tcPr>
          <w:p>
            <w:pPr>
              <w:pStyle w:val="TableParagraph"/>
              <w:spacing w:line="240" w:lineRule="auto"/>
              <w:rPr>
                <w:sz w:val="18"/>
              </w:rPr>
            </w:pPr>
          </w:p>
        </w:tc>
        <w:tc>
          <w:tcPr>
            <w:tcW w:w="324" w:type="dxa"/>
            <w:tcBorders>
              <w:top w:val="single" w:sz="2" w:space="0" w:color="000000"/>
            </w:tcBorders>
          </w:tcPr>
          <w:p>
            <w:pPr>
              <w:pStyle w:val="TableParagraph"/>
              <w:spacing w:line="133" w:lineRule="exact" w:before="99"/>
              <w:ind w:right="105"/>
              <w:jc w:val="right"/>
              <w:rPr>
                <w:sz w:val="14"/>
              </w:rPr>
            </w:pPr>
            <w:r>
              <w:rPr>
                <w:sz w:val="14"/>
              </w:rPr>
              <w:t>21</w:t>
            </w:r>
          </w:p>
        </w:tc>
        <w:tc>
          <w:tcPr>
            <w:tcW w:w="161" w:type="dxa"/>
          </w:tcPr>
          <w:p>
            <w:pPr>
              <w:pStyle w:val="TableParagraph"/>
              <w:spacing w:line="240" w:lineRule="auto"/>
              <w:rPr>
                <w:sz w:val="18"/>
              </w:rPr>
            </w:pPr>
          </w:p>
        </w:tc>
        <w:tc>
          <w:tcPr>
            <w:tcW w:w="317" w:type="dxa"/>
            <w:tcBorders>
              <w:top w:val="single" w:sz="2" w:space="0" w:color="000000"/>
            </w:tcBorders>
          </w:tcPr>
          <w:p>
            <w:pPr>
              <w:pStyle w:val="TableParagraph"/>
              <w:spacing w:line="133" w:lineRule="exact" w:before="99"/>
              <w:ind w:right="58"/>
              <w:jc w:val="right"/>
              <w:rPr>
                <w:sz w:val="14"/>
              </w:rPr>
            </w:pPr>
            <w:r>
              <w:rPr>
                <w:sz w:val="14"/>
              </w:rPr>
              <w:t>3</w:t>
            </w:r>
          </w:p>
        </w:tc>
      </w:tr>
      <w:tr>
        <w:trPr>
          <w:trHeight w:val="140" w:hRule="atLeast"/>
        </w:trPr>
        <w:tc>
          <w:tcPr>
            <w:tcW w:w="1451" w:type="dxa"/>
          </w:tcPr>
          <w:p>
            <w:pPr>
              <w:pStyle w:val="TableParagraph"/>
              <w:ind w:left="50"/>
              <w:rPr>
                <w:sz w:val="14"/>
              </w:rPr>
            </w:pPr>
            <w:r>
              <w:rPr>
                <w:sz w:val="14"/>
              </w:rPr>
              <w:t>2001 Q4</w:t>
            </w:r>
          </w:p>
        </w:tc>
        <w:tc>
          <w:tcPr>
            <w:tcW w:w="317" w:type="dxa"/>
          </w:tcPr>
          <w:p>
            <w:pPr>
              <w:pStyle w:val="TableParagraph"/>
              <w:ind w:right="109"/>
              <w:jc w:val="right"/>
              <w:rPr>
                <w:sz w:val="14"/>
              </w:rPr>
            </w:pPr>
            <w:r>
              <w:rPr>
                <w:sz w:val="14"/>
              </w:rPr>
              <w:t>2</w:t>
            </w:r>
          </w:p>
        </w:tc>
        <w:tc>
          <w:tcPr>
            <w:tcW w:w="222" w:type="dxa"/>
          </w:tcPr>
          <w:p>
            <w:pPr>
              <w:pStyle w:val="TableParagraph"/>
              <w:spacing w:line="240" w:lineRule="auto"/>
              <w:rPr>
                <w:sz w:val="8"/>
              </w:rPr>
            </w:pPr>
          </w:p>
        </w:tc>
        <w:tc>
          <w:tcPr>
            <w:tcW w:w="317" w:type="dxa"/>
          </w:tcPr>
          <w:p>
            <w:pPr>
              <w:pStyle w:val="TableParagraph"/>
              <w:ind w:right="156"/>
              <w:jc w:val="right"/>
              <w:rPr>
                <w:sz w:val="14"/>
              </w:rPr>
            </w:pPr>
            <w:r>
              <w:rPr>
                <w:sz w:val="14"/>
              </w:rPr>
              <w:t>8</w:t>
            </w:r>
          </w:p>
        </w:tc>
        <w:tc>
          <w:tcPr>
            <w:tcW w:w="160" w:type="dxa"/>
          </w:tcPr>
          <w:p>
            <w:pPr>
              <w:pStyle w:val="TableParagraph"/>
              <w:spacing w:line="240" w:lineRule="auto"/>
              <w:rPr>
                <w:sz w:val="8"/>
              </w:rPr>
            </w:pPr>
          </w:p>
        </w:tc>
        <w:tc>
          <w:tcPr>
            <w:tcW w:w="318" w:type="dxa"/>
          </w:tcPr>
          <w:p>
            <w:pPr>
              <w:pStyle w:val="TableParagraph"/>
              <w:ind w:left="30"/>
              <w:rPr>
                <w:sz w:val="14"/>
              </w:rPr>
            </w:pPr>
            <w:r>
              <w:rPr>
                <w:sz w:val="14"/>
              </w:rPr>
              <w:t>23</w:t>
            </w:r>
          </w:p>
        </w:tc>
        <w:tc>
          <w:tcPr>
            <w:tcW w:w="179" w:type="dxa"/>
          </w:tcPr>
          <w:p>
            <w:pPr>
              <w:pStyle w:val="TableParagraph"/>
              <w:spacing w:line="240" w:lineRule="auto"/>
              <w:rPr>
                <w:sz w:val="8"/>
              </w:rPr>
            </w:pPr>
          </w:p>
        </w:tc>
        <w:tc>
          <w:tcPr>
            <w:tcW w:w="316" w:type="dxa"/>
          </w:tcPr>
          <w:p>
            <w:pPr>
              <w:pStyle w:val="TableParagraph"/>
              <w:ind w:left="47"/>
              <w:rPr>
                <w:sz w:val="14"/>
              </w:rPr>
            </w:pPr>
            <w:r>
              <w:rPr>
                <w:sz w:val="14"/>
              </w:rPr>
              <w:t>36</w:t>
            </w:r>
          </w:p>
        </w:tc>
        <w:tc>
          <w:tcPr>
            <w:tcW w:w="191" w:type="dxa"/>
          </w:tcPr>
          <w:p>
            <w:pPr>
              <w:pStyle w:val="TableParagraph"/>
              <w:spacing w:line="240" w:lineRule="auto"/>
              <w:rPr>
                <w:sz w:val="8"/>
              </w:rPr>
            </w:pPr>
          </w:p>
        </w:tc>
        <w:tc>
          <w:tcPr>
            <w:tcW w:w="324" w:type="dxa"/>
          </w:tcPr>
          <w:p>
            <w:pPr>
              <w:pStyle w:val="TableParagraph"/>
              <w:ind w:right="127"/>
              <w:jc w:val="right"/>
              <w:rPr>
                <w:sz w:val="14"/>
              </w:rPr>
            </w:pPr>
            <w:r>
              <w:rPr>
                <w:sz w:val="14"/>
              </w:rPr>
              <w:t>25</w:t>
            </w:r>
          </w:p>
        </w:tc>
        <w:tc>
          <w:tcPr>
            <w:tcW w:w="161" w:type="dxa"/>
          </w:tcPr>
          <w:p>
            <w:pPr>
              <w:pStyle w:val="TableParagraph"/>
              <w:spacing w:line="240" w:lineRule="auto"/>
              <w:rPr>
                <w:sz w:val="8"/>
              </w:rPr>
            </w:pPr>
          </w:p>
        </w:tc>
        <w:tc>
          <w:tcPr>
            <w:tcW w:w="317" w:type="dxa"/>
          </w:tcPr>
          <w:p>
            <w:pPr>
              <w:pStyle w:val="TableParagraph"/>
              <w:ind w:right="81"/>
              <w:jc w:val="right"/>
              <w:rPr>
                <w:sz w:val="14"/>
              </w:rPr>
            </w:pPr>
            <w:r>
              <w:rPr>
                <w:sz w:val="14"/>
              </w:rPr>
              <w:t>7</w:t>
            </w:r>
          </w:p>
        </w:tc>
      </w:tr>
      <w:tr>
        <w:trPr>
          <w:trHeight w:val="147" w:hRule="atLeast"/>
        </w:trPr>
        <w:tc>
          <w:tcPr>
            <w:tcW w:w="1451" w:type="dxa"/>
          </w:tcPr>
          <w:p>
            <w:pPr>
              <w:pStyle w:val="TableParagraph"/>
              <w:spacing w:line="128" w:lineRule="exact"/>
              <w:ind w:left="50"/>
              <w:rPr>
                <w:sz w:val="14"/>
              </w:rPr>
            </w:pPr>
            <w:r>
              <w:rPr>
                <w:sz w:val="14"/>
              </w:rPr>
              <w:t>2002 Q2</w:t>
            </w:r>
          </w:p>
        </w:tc>
        <w:tc>
          <w:tcPr>
            <w:tcW w:w="317" w:type="dxa"/>
          </w:tcPr>
          <w:p>
            <w:pPr>
              <w:pStyle w:val="TableParagraph"/>
              <w:spacing w:line="128" w:lineRule="exact"/>
              <w:ind w:right="109"/>
              <w:jc w:val="right"/>
              <w:rPr>
                <w:sz w:val="14"/>
              </w:rPr>
            </w:pPr>
            <w:r>
              <w:rPr>
                <w:sz w:val="14"/>
              </w:rPr>
              <w:t>2</w:t>
            </w:r>
          </w:p>
        </w:tc>
        <w:tc>
          <w:tcPr>
            <w:tcW w:w="222" w:type="dxa"/>
          </w:tcPr>
          <w:p>
            <w:pPr>
              <w:pStyle w:val="TableParagraph"/>
              <w:spacing w:line="240" w:lineRule="auto"/>
              <w:rPr>
                <w:sz w:val="8"/>
              </w:rPr>
            </w:pPr>
          </w:p>
        </w:tc>
        <w:tc>
          <w:tcPr>
            <w:tcW w:w="317" w:type="dxa"/>
          </w:tcPr>
          <w:p>
            <w:pPr>
              <w:pStyle w:val="TableParagraph"/>
              <w:spacing w:line="128" w:lineRule="exact"/>
              <w:ind w:right="156"/>
              <w:jc w:val="right"/>
              <w:rPr>
                <w:sz w:val="14"/>
              </w:rPr>
            </w:pPr>
            <w:r>
              <w:rPr>
                <w:sz w:val="14"/>
              </w:rPr>
              <w:t>9</w:t>
            </w:r>
          </w:p>
        </w:tc>
        <w:tc>
          <w:tcPr>
            <w:tcW w:w="160" w:type="dxa"/>
          </w:tcPr>
          <w:p>
            <w:pPr>
              <w:pStyle w:val="TableParagraph"/>
              <w:spacing w:line="240" w:lineRule="auto"/>
              <w:rPr>
                <w:sz w:val="8"/>
              </w:rPr>
            </w:pPr>
          </w:p>
        </w:tc>
        <w:tc>
          <w:tcPr>
            <w:tcW w:w="318" w:type="dxa"/>
          </w:tcPr>
          <w:p>
            <w:pPr>
              <w:pStyle w:val="TableParagraph"/>
              <w:spacing w:line="128" w:lineRule="exact"/>
              <w:ind w:left="30"/>
              <w:rPr>
                <w:sz w:val="14"/>
              </w:rPr>
            </w:pPr>
            <w:r>
              <w:rPr>
                <w:sz w:val="14"/>
              </w:rPr>
              <w:t>24</w:t>
            </w:r>
          </w:p>
        </w:tc>
        <w:tc>
          <w:tcPr>
            <w:tcW w:w="179" w:type="dxa"/>
          </w:tcPr>
          <w:p>
            <w:pPr>
              <w:pStyle w:val="TableParagraph"/>
              <w:spacing w:line="240" w:lineRule="auto"/>
              <w:rPr>
                <w:sz w:val="8"/>
              </w:rPr>
            </w:pPr>
          </w:p>
        </w:tc>
        <w:tc>
          <w:tcPr>
            <w:tcW w:w="316" w:type="dxa"/>
          </w:tcPr>
          <w:p>
            <w:pPr>
              <w:pStyle w:val="TableParagraph"/>
              <w:spacing w:line="128" w:lineRule="exact"/>
              <w:ind w:left="47"/>
              <w:rPr>
                <w:sz w:val="14"/>
              </w:rPr>
            </w:pPr>
            <w:r>
              <w:rPr>
                <w:sz w:val="14"/>
              </w:rPr>
              <w:t>35</w:t>
            </w:r>
          </w:p>
        </w:tc>
        <w:tc>
          <w:tcPr>
            <w:tcW w:w="191" w:type="dxa"/>
          </w:tcPr>
          <w:p>
            <w:pPr>
              <w:pStyle w:val="TableParagraph"/>
              <w:spacing w:line="240" w:lineRule="auto"/>
              <w:rPr>
                <w:sz w:val="8"/>
              </w:rPr>
            </w:pPr>
          </w:p>
        </w:tc>
        <w:tc>
          <w:tcPr>
            <w:tcW w:w="324" w:type="dxa"/>
          </w:tcPr>
          <w:p>
            <w:pPr>
              <w:pStyle w:val="TableParagraph"/>
              <w:spacing w:line="128" w:lineRule="exact"/>
              <w:ind w:right="127"/>
              <w:jc w:val="right"/>
              <w:rPr>
                <w:sz w:val="14"/>
              </w:rPr>
            </w:pPr>
            <w:r>
              <w:rPr>
                <w:sz w:val="14"/>
              </w:rPr>
              <w:t>24</w:t>
            </w:r>
          </w:p>
        </w:tc>
        <w:tc>
          <w:tcPr>
            <w:tcW w:w="161" w:type="dxa"/>
          </w:tcPr>
          <w:p>
            <w:pPr>
              <w:pStyle w:val="TableParagraph"/>
              <w:spacing w:line="240" w:lineRule="auto"/>
              <w:rPr>
                <w:sz w:val="8"/>
              </w:rPr>
            </w:pPr>
          </w:p>
        </w:tc>
        <w:tc>
          <w:tcPr>
            <w:tcW w:w="317" w:type="dxa"/>
          </w:tcPr>
          <w:p>
            <w:pPr>
              <w:pStyle w:val="TableParagraph"/>
              <w:spacing w:line="128" w:lineRule="exact"/>
              <w:ind w:right="81"/>
              <w:jc w:val="right"/>
              <w:rPr>
                <w:sz w:val="14"/>
              </w:rPr>
            </w:pPr>
            <w:r>
              <w:rPr>
                <w:sz w:val="14"/>
              </w:rPr>
              <w:t>6</w:t>
            </w:r>
          </w:p>
        </w:tc>
      </w:tr>
    </w:tbl>
    <w:p>
      <w:pPr>
        <w:pStyle w:val="BodyText"/>
        <w:spacing w:before="5"/>
        <w:rPr>
          <w:sz w:val="13"/>
        </w:rPr>
      </w:pPr>
    </w:p>
    <w:p>
      <w:pPr>
        <w:spacing w:line="208" w:lineRule="auto" w:before="0"/>
        <w:ind w:left="436" w:right="312" w:hanging="240"/>
        <w:jc w:val="left"/>
        <w:rPr>
          <w:sz w:val="12"/>
        </w:rPr>
      </w:pPr>
      <w:r>
        <w:rPr>
          <w:sz w:val="12"/>
        </w:rPr>
        <w:t>(a) These figures are from the same distributions as the GDP and inflation fan charts, Charts 6.1 and 6.2.</w:t>
      </w:r>
    </w:p>
    <w:p>
      <w:pPr>
        <w:pStyle w:val="BodyText"/>
        <w:rPr>
          <w:sz w:val="12"/>
        </w:rPr>
      </w:pPr>
    </w:p>
    <w:p>
      <w:pPr>
        <w:pStyle w:val="BodyText"/>
        <w:rPr>
          <w:sz w:val="12"/>
        </w:rPr>
      </w:pPr>
    </w:p>
    <w:p>
      <w:pPr>
        <w:pStyle w:val="BodyText"/>
        <w:rPr>
          <w:sz w:val="12"/>
        </w:rPr>
      </w:pPr>
    </w:p>
    <w:p>
      <w:pPr>
        <w:pStyle w:val="BodyText"/>
        <w:spacing w:before="6"/>
        <w:rPr>
          <w:sz w:val="16"/>
        </w:rPr>
      </w:pPr>
    </w:p>
    <w:p>
      <w:pPr>
        <w:spacing w:before="0"/>
        <w:ind w:left="174" w:right="0" w:firstLine="0"/>
        <w:jc w:val="both"/>
        <w:rPr>
          <w:b/>
          <w:sz w:val="20"/>
        </w:rPr>
      </w:pPr>
      <w:r>
        <w:rPr>
          <w:b/>
          <w:color w:val="0092C7"/>
          <w:sz w:val="20"/>
        </w:rPr>
        <w:t>Table 6.B</w:t>
      </w:r>
    </w:p>
    <w:p>
      <w:pPr>
        <w:spacing w:line="249" w:lineRule="auto" w:before="10"/>
        <w:ind w:left="174" w:right="670" w:firstLine="0"/>
        <w:jc w:val="left"/>
        <w:rPr>
          <w:b/>
          <w:sz w:val="20"/>
        </w:rPr>
      </w:pPr>
      <w:r>
        <w:rPr>
          <w:b/>
          <w:color w:val="0092C7"/>
          <w:sz w:val="20"/>
        </w:rPr>
        <w:t>Possible effects on RPIX inflation and GDP growth of the alternative</w:t>
      </w:r>
      <w:r>
        <w:rPr>
          <w:b/>
          <w:color w:val="0092C7"/>
          <w:spacing w:val="-32"/>
          <w:sz w:val="20"/>
        </w:rPr>
        <w:t> </w:t>
      </w:r>
      <w:r>
        <w:rPr>
          <w:b/>
          <w:color w:val="0092C7"/>
          <w:sz w:val="20"/>
        </w:rPr>
        <w:t>assumptions</w:t>
      </w:r>
    </w:p>
    <w:p>
      <w:pPr>
        <w:spacing w:before="98"/>
        <w:ind w:left="174" w:right="0" w:firstLine="0"/>
        <w:jc w:val="left"/>
        <w:rPr>
          <w:sz w:val="14"/>
        </w:rPr>
      </w:pPr>
      <w:r>
        <w:rPr>
          <w:sz w:val="14"/>
        </w:rPr>
        <w:t>Difference from central projection, percentage points</w:t>
      </w:r>
    </w:p>
    <w:p>
      <w:pPr>
        <w:spacing w:before="119"/>
        <w:ind w:left="174" w:right="0" w:firstLine="0"/>
        <w:jc w:val="left"/>
        <w:rPr>
          <w:b/>
          <w:sz w:val="14"/>
        </w:rPr>
      </w:pPr>
      <w:r>
        <w:rPr>
          <w:b/>
          <w:sz w:val="14"/>
        </w:rPr>
        <w:t>RPIX inflation</w:t>
      </w:r>
    </w:p>
    <w:p>
      <w:pPr>
        <w:tabs>
          <w:tab w:pos="1428" w:val="left" w:leader="none"/>
          <w:tab w:pos="2046" w:val="left" w:leader="none"/>
          <w:tab w:pos="2911" w:val="left" w:leader="none"/>
          <w:tab w:pos="3857" w:val="left" w:leader="none"/>
        </w:tabs>
        <w:spacing w:line="208" w:lineRule="auto" w:before="136"/>
        <w:ind w:left="750" w:right="38" w:firstLine="0"/>
        <w:jc w:val="left"/>
        <w:rPr>
          <w:sz w:val="14"/>
        </w:rPr>
      </w:pPr>
      <w:r>
        <w:rPr>
          <w:sz w:val="14"/>
        </w:rPr>
        <w:t>Constant   </w:t>
      </w:r>
      <w:r>
        <w:rPr>
          <w:spacing w:val="32"/>
          <w:sz w:val="14"/>
        </w:rPr>
        <w:t> </w:t>
      </w:r>
      <w:r>
        <w:rPr>
          <w:sz w:val="14"/>
        </w:rPr>
        <w:t>UIP</w:t>
        <w:tab/>
        <w:t>Weaker pass Improvement Weaker exchange    exchange   through from  </w:t>
      </w:r>
      <w:r>
        <w:rPr>
          <w:spacing w:val="10"/>
          <w:sz w:val="14"/>
        </w:rPr>
        <w:t> </w:t>
      </w:r>
      <w:r>
        <w:rPr>
          <w:sz w:val="14"/>
        </w:rPr>
        <w:t>in</w:t>
      </w:r>
      <w:r>
        <w:rPr>
          <w:spacing w:val="-1"/>
          <w:sz w:val="14"/>
        </w:rPr>
        <w:t> </w:t>
      </w:r>
      <w:r>
        <w:rPr>
          <w:sz w:val="14"/>
        </w:rPr>
        <w:t>UK</w:t>
        <w:tab/>
        <w:t>downward rate</w:t>
        <w:tab/>
        <w:t>rate</w:t>
      </w:r>
      <w:r>
        <w:rPr>
          <w:spacing w:val="-1"/>
          <w:sz w:val="14"/>
        </w:rPr>
        <w:t> </w:t>
      </w:r>
      <w:r>
        <w:rPr>
          <w:sz w:val="12"/>
        </w:rPr>
        <w:t>(a)</w:t>
        <w:tab/>
      </w:r>
      <w:r>
        <w:rPr>
          <w:sz w:val="14"/>
        </w:rPr>
        <w:t>earnings</w:t>
      </w:r>
      <w:r>
        <w:rPr>
          <w:spacing w:val="-4"/>
          <w:sz w:val="14"/>
        </w:rPr>
        <w:t> </w:t>
      </w:r>
      <w:r>
        <w:rPr>
          <w:sz w:val="14"/>
        </w:rPr>
        <w:t>to</w:t>
        <w:tab/>
        <w:t>supply-side</w:t>
        <w:tab/>
        <w:t>pressure</w:t>
      </w:r>
      <w:r>
        <w:rPr>
          <w:spacing w:val="-7"/>
          <w:sz w:val="14"/>
        </w:rPr>
        <w:t> </w:t>
      </w:r>
      <w:r>
        <w:rPr>
          <w:sz w:val="14"/>
        </w:rPr>
        <w:t>on</w:t>
      </w:r>
    </w:p>
    <w:p>
      <w:pPr>
        <w:tabs>
          <w:tab w:pos="1262" w:val="left" w:leader="none"/>
          <w:tab w:pos="1944" w:val="left" w:leader="none"/>
          <w:tab w:pos="2759" w:val="left" w:leader="none"/>
        </w:tabs>
        <w:spacing w:line="144" w:lineRule="exact" w:before="0"/>
        <w:ind w:left="745" w:right="0" w:firstLine="0"/>
        <w:jc w:val="left"/>
        <w:rPr>
          <w:sz w:val="14"/>
        </w:rPr>
      </w:pPr>
      <w:r>
        <w:rPr>
          <w:sz w:val="14"/>
          <w:u w:val="single"/>
        </w:rPr>
        <w:t> </w:t>
        <w:tab/>
      </w:r>
      <w:r>
        <w:rPr>
          <w:sz w:val="14"/>
        </w:rPr>
        <w:t>    </w:t>
      </w:r>
      <w:r>
        <w:rPr>
          <w:spacing w:val="-10"/>
          <w:sz w:val="14"/>
        </w:rPr>
        <w:t> </w:t>
      </w:r>
      <w:r>
        <w:rPr>
          <w:sz w:val="14"/>
          <w:u w:val="single"/>
        </w:rPr>
        <w:t> </w:t>
        <w:tab/>
      </w:r>
      <w:r>
        <w:rPr>
          <w:sz w:val="14"/>
        </w:rPr>
        <w:t>  </w:t>
      </w:r>
      <w:r>
        <w:rPr>
          <w:spacing w:val="-4"/>
          <w:sz w:val="14"/>
        </w:rPr>
        <w:t> </w:t>
      </w:r>
      <w:r>
        <w:rPr>
          <w:sz w:val="14"/>
          <w:u w:val="single"/>
        </w:rPr>
        <w:t>prices</w:t>
        <w:tab/>
        <w:t>performance</w:t>
      </w:r>
      <w:r>
        <w:rPr>
          <w:sz w:val="14"/>
        </w:rPr>
        <w:t>     </w:t>
      </w:r>
      <w:r>
        <w:rPr>
          <w:spacing w:val="12"/>
          <w:sz w:val="14"/>
          <w:u w:val="single"/>
        </w:rPr>
        <w:t> </w:t>
      </w:r>
      <w:r>
        <w:rPr>
          <w:sz w:val="14"/>
          <w:u w:val="single"/>
        </w:rPr>
        <w:t>margins</w:t>
      </w:r>
      <w:r>
        <w:rPr>
          <w:spacing w:val="15"/>
          <w:sz w:val="14"/>
          <w:u w:val="single"/>
        </w:rPr>
        <w:t> </w:t>
      </w:r>
    </w:p>
    <w:p>
      <w:pPr>
        <w:tabs>
          <w:tab w:pos="1032" w:val="left" w:leader="none"/>
          <w:tab w:pos="1652" w:val="left" w:leader="none"/>
          <w:tab w:pos="2387" w:val="left" w:leader="none"/>
          <w:tab w:pos="3260" w:val="left" w:leader="none"/>
          <w:tab w:pos="4283" w:val="right" w:leader="none"/>
        </w:tabs>
        <w:spacing w:line="150" w:lineRule="exact" w:before="79"/>
        <w:ind w:left="173" w:right="0" w:firstLine="0"/>
        <w:jc w:val="left"/>
        <w:rPr>
          <w:sz w:val="14"/>
        </w:rPr>
      </w:pPr>
      <w:r>
        <w:rPr>
          <w:sz w:val="14"/>
        </w:rPr>
        <w:t>2001</w:t>
      </w:r>
      <w:r>
        <w:rPr>
          <w:spacing w:val="-3"/>
          <w:sz w:val="14"/>
        </w:rPr>
        <w:t> </w:t>
      </w:r>
      <w:r>
        <w:rPr>
          <w:sz w:val="14"/>
        </w:rPr>
        <w:t>Q2</w:t>
        <w:tab/>
        <w:t>-0.1</w:t>
        <w:tab/>
        <w:t>0.1</w:t>
        <w:tab/>
        <w:t>-0.2</w:t>
        <w:tab/>
        <w:t>-0.1</w:t>
        <w:tab/>
        <w:t>0.1</w:t>
      </w:r>
    </w:p>
    <w:p>
      <w:pPr>
        <w:tabs>
          <w:tab w:pos="1032" w:val="left" w:leader="none"/>
          <w:tab w:pos="1652" w:val="left" w:leader="none"/>
          <w:tab w:pos="2387" w:val="left" w:leader="none"/>
          <w:tab w:pos="3260" w:val="left" w:leader="none"/>
          <w:tab w:pos="4283" w:val="right" w:leader="none"/>
        </w:tabs>
        <w:spacing w:line="150" w:lineRule="exact" w:before="0"/>
        <w:ind w:left="173" w:right="0" w:firstLine="0"/>
        <w:jc w:val="left"/>
        <w:rPr>
          <w:sz w:val="14"/>
        </w:rPr>
      </w:pPr>
      <w:r>
        <w:rPr>
          <w:sz w:val="14"/>
        </w:rPr>
        <w:t>2002</w:t>
      </w:r>
      <w:r>
        <w:rPr>
          <w:spacing w:val="-3"/>
          <w:sz w:val="14"/>
        </w:rPr>
        <w:t> </w:t>
      </w:r>
      <w:r>
        <w:rPr>
          <w:sz w:val="14"/>
        </w:rPr>
        <w:t>Q2</w:t>
        <w:tab/>
        <w:t>-0.2</w:t>
        <w:tab/>
        <w:t>0.2</w:t>
        <w:tab/>
        <w:t>-0.1</w:t>
        <w:tab/>
        <w:t>-0.3</w:t>
        <w:tab/>
        <w:t>0.3</w:t>
      </w:r>
    </w:p>
    <w:p>
      <w:pPr>
        <w:spacing w:before="119"/>
        <w:ind w:left="173" w:right="0" w:firstLine="0"/>
        <w:jc w:val="left"/>
        <w:rPr>
          <w:b/>
          <w:sz w:val="14"/>
        </w:rPr>
      </w:pPr>
      <w:r>
        <w:rPr>
          <w:b/>
          <w:sz w:val="14"/>
        </w:rPr>
        <w:t>GDP growth</w:t>
      </w:r>
    </w:p>
    <w:p>
      <w:pPr>
        <w:tabs>
          <w:tab w:pos="1428" w:val="left" w:leader="none"/>
          <w:tab w:pos="2046" w:val="left" w:leader="none"/>
          <w:tab w:pos="2911" w:val="left" w:leader="none"/>
          <w:tab w:pos="3857" w:val="left" w:leader="none"/>
        </w:tabs>
        <w:spacing w:line="208" w:lineRule="auto" w:before="136"/>
        <w:ind w:left="750" w:right="38" w:firstLine="0"/>
        <w:jc w:val="left"/>
        <w:rPr>
          <w:sz w:val="14"/>
        </w:rPr>
      </w:pPr>
      <w:r>
        <w:rPr>
          <w:sz w:val="14"/>
        </w:rPr>
        <w:t>Constant   </w:t>
      </w:r>
      <w:r>
        <w:rPr>
          <w:spacing w:val="32"/>
          <w:sz w:val="14"/>
        </w:rPr>
        <w:t> </w:t>
      </w:r>
      <w:r>
        <w:rPr>
          <w:sz w:val="14"/>
        </w:rPr>
        <w:t>UIP</w:t>
        <w:tab/>
        <w:t>Weaker pass Improvement Weaker exchange    exchange   through from  </w:t>
      </w:r>
      <w:r>
        <w:rPr>
          <w:spacing w:val="10"/>
          <w:sz w:val="14"/>
        </w:rPr>
        <w:t> </w:t>
      </w:r>
      <w:r>
        <w:rPr>
          <w:sz w:val="14"/>
        </w:rPr>
        <w:t>in</w:t>
      </w:r>
      <w:r>
        <w:rPr>
          <w:spacing w:val="-1"/>
          <w:sz w:val="14"/>
        </w:rPr>
        <w:t> </w:t>
      </w:r>
      <w:r>
        <w:rPr>
          <w:sz w:val="14"/>
        </w:rPr>
        <w:t>UK</w:t>
        <w:tab/>
        <w:t>downward rate</w:t>
        <w:tab/>
        <w:t>rate</w:t>
      </w:r>
      <w:r>
        <w:rPr>
          <w:spacing w:val="-1"/>
          <w:sz w:val="14"/>
        </w:rPr>
        <w:t> </w:t>
      </w:r>
      <w:r>
        <w:rPr>
          <w:sz w:val="12"/>
        </w:rPr>
        <w:t>(a)</w:t>
        <w:tab/>
      </w:r>
      <w:r>
        <w:rPr>
          <w:sz w:val="14"/>
        </w:rPr>
        <w:t>earnings</w:t>
      </w:r>
      <w:r>
        <w:rPr>
          <w:spacing w:val="-4"/>
          <w:sz w:val="14"/>
        </w:rPr>
        <w:t> </w:t>
      </w:r>
      <w:r>
        <w:rPr>
          <w:sz w:val="14"/>
        </w:rPr>
        <w:t>to</w:t>
        <w:tab/>
        <w:t>supply-side</w:t>
        <w:tab/>
        <w:t>pressure</w:t>
      </w:r>
      <w:r>
        <w:rPr>
          <w:spacing w:val="-7"/>
          <w:sz w:val="14"/>
        </w:rPr>
        <w:t> </w:t>
      </w:r>
      <w:r>
        <w:rPr>
          <w:sz w:val="14"/>
        </w:rPr>
        <w:t>on</w:t>
      </w:r>
    </w:p>
    <w:p>
      <w:pPr>
        <w:tabs>
          <w:tab w:pos="2911" w:val="left" w:leader="none"/>
          <w:tab w:pos="3858" w:val="left" w:leader="none"/>
        </w:tabs>
        <w:spacing w:line="144" w:lineRule="exact" w:before="0"/>
        <w:ind w:left="2046" w:right="0" w:firstLine="0"/>
        <w:jc w:val="left"/>
        <w:rPr>
          <w:sz w:val="14"/>
        </w:rPr>
      </w:pPr>
      <w:r>
        <w:rPr>
          <w:sz w:val="14"/>
        </w:rPr>
        <w:t>prices</w:t>
        <w:tab/>
        <w:t>performance</w:t>
        <w:tab/>
        <w:t>margins</w:t>
      </w:r>
    </w:p>
    <w:p>
      <w:pPr>
        <w:pStyle w:val="BodyText"/>
        <w:spacing w:before="6"/>
        <w:rPr>
          <w:sz w:val="2"/>
        </w:r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8"/>
        <w:gridCol w:w="517"/>
        <w:gridCol w:w="164"/>
        <w:gridCol w:w="516"/>
        <w:gridCol w:w="109"/>
        <w:gridCol w:w="704"/>
        <w:gridCol w:w="149"/>
        <w:gridCol w:w="759"/>
        <w:gridCol w:w="164"/>
        <w:gridCol w:w="664"/>
      </w:tblGrid>
      <w:tr>
        <w:trPr>
          <w:trHeight w:val="200" w:hRule="atLeast"/>
        </w:trPr>
        <w:tc>
          <w:tcPr>
            <w:tcW w:w="628" w:type="dxa"/>
          </w:tcPr>
          <w:p>
            <w:pPr>
              <w:pStyle w:val="TableParagraph"/>
              <w:spacing w:line="133" w:lineRule="exact" w:before="47"/>
              <w:ind w:left="50"/>
              <w:rPr>
                <w:sz w:val="14"/>
              </w:rPr>
            </w:pPr>
            <w:r>
              <w:rPr>
                <w:sz w:val="14"/>
              </w:rPr>
              <w:t>2001 Q2</w:t>
            </w:r>
          </w:p>
        </w:tc>
        <w:tc>
          <w:tcPr>
            <w:tcW w:w="517" w:type="dxa"/>
            <w:tcBorders>
              <w:top w:val="single" w:sz="2" w:space="0" w:color="000000"/>
            </w:tcBorders>
          </w:tcPr>
          <w:p>
            <w:pPr>
              <w:pStyle w:val="TableParagraph"/>
              <w:spacing w:line="133" w:lineRule="exact" w:before="47"/>
              <w:ind w:right="21"/>
              <w:jc w:val="right"/>
              <w:rPr>
                <w:sz w:val="14"/>
              </w:rPr>
            </w:pPr>
            <w:r>
              <w:rPr>
                <w:sz w:val="14"/>
              </w:rPr>
              <w:t>0.0</w:t>
            </w:r>
          </w:p>
        </w:tc>
        <w:tc>
          <w:tcPr>
            <w:tcW w:w="164" w:type="dxa"/>
          </w:tcPr>
          <w:p>
            <w:pPr>
              <w:pStyle w:val="TableParagraph"/>
              <w:spacing w:line="240" w:lineRule="auto"/>
              <w:rPr>
                <w:sz w:val="12"/>
              </w:rPr>
            </w:pPr>
          </w:p>
        </w:tc>
        <w:tc>
          <w:tcPr>
            <w:tcW w:w="516" w:type="dxa"/>
            <w:tcBorders>
              <w:top w:val="single" w:sz="2" w:space="0" w:color="000000"/>
            </w:tcBorders>
          </w:tcPr>
          <w:p>
            <w:pPr>
              <w:pStyle w:val="TableParagraph"/>
              <w:spacing w:line="133" w:lineRule="exact" w:before="47"/>
              <w:ind w:right="78"/>
              <w:jc w:val="right"/>
              <w:rPr>
                <w:sz w:val="14"/>
              </w:rPr>
            </w:pPr>
            <w:r>
              <w:rPr>
                <w:sz w:val="14"/>
              </w:rPr>
              <w:t>0.0</w:t>
            </w:r>
          </w:p>
        </w:tc>
        <w:tc>
          <w:tcPr>
            <w:tcW w:w="109" w:type="dxa"/>
          </w:tcPr>
          <w:p>
            <w:pPr>
              <w:pStyle w:val="TableParagraph"/>
              <w:spacing w:line="240" w:lineRule="auto"/>
              <w:rPr>
                <w:sz w:val="12"/>
              </w:rPr>
            </w:pPr>
          </w:p>
        </w:tc>
        <w:tc>
          <w:tcPr>
            <w:tcW w:w="704" w:type="dxa"/>
            <w:tcBorders>
              <w:top w:val="single" w:sz="2" w:space="0" w:color="000000"/>
            </w:tcBorders>
          </w:tcPr>
          <w:p>
            <w:pPr>
              <w:pStyle w:val="TableParagraph"/>
              <w:spacing w:line="133" w:lineRule="exact" w:before="47"/>
              <w:ind w:right="147"/>
              <w:jc w:val="right"/>
              <w:rPr>
                <w:sz w:val="14"/>
              </w:rPr>
            </w:pPr>
            <w:r>
              <w:rPr>
                <w:sz w:val="14"/>
              </w:rPr>
              <w:t>0.1</w:t>
            </w:r>
          </w:p>
        </w:tc>
        <w:tc>
          <w:tcPr>
            <w:tcW w:w="149" w:type="dxa"/>
          </w:tcPr>
          <w:p>
            <w:pPr>
              <w:pStyle w:val="TableParagraph"/>
              <w:spacing w:line="240" w:lineRule="auto"/>
              <w:rPr>
                <w:sz w:val="12"/>
              </w:rPr>
            </w:pPr>
          </w:p>
        </w:tc>
        <w:tc>
          <w:tcPr>
            <w:tcW w:w="759" w:type="dxa"/>
            <w:tcBorders>
              <w:top w:val="single" w:sz="2" w:space="0" w:color="000000"/>
            </w:tcBorders>
          </w:tcPr>
          <w:p>
            <w:pPr>
              <w:pStyle w:val="TableParagraph"/>
              <w:spacing w:line="133" w:lineRule="exact" w:before="47"/>
              <w:ind w:right="166"/>
              <w:jc w:val="right"/>
              <w:rPr>
                <w:sz w:val="14"/>
              </w:rPr>
            </w:pPr>
            <w:r>
              <w:rPr>
                <w:sz w:val="14"/>
              </w:rPr>
              <w:t>0.0</w:t>
            </w:r>
          </w:p>
        </w:tc>
        <w:tc>
          <w:tcPr>
            <w:tcW w:w="164" w:type="dxa"/>
          </w:tcPr>
          <w:p>
            <w:pPr>
              <w:pStyle w:val="TableParagraph"/>
              <w:spacing w:line="240" w:lineRule="auto"/>
              <w:rPr>
                <w:sz w:val="12"/>
              </w:rPr>
            </w:pPr>
          </w:p>
        </w:tc>
        <w:tc>
          <w:tcPr>
            <w:tcW w:w="664" w:type="dxa"/>
            <w:tcBorders>
              <w:top w:val="single" w:sz="2" w:space="0" w:color="000000"/>
            </w:tcBorders>
          </w:tcPr>
          <w:p>
            <w:pPr>
              <w:pStyle w:val="TableParagraph"/>
              <w:spacing w:line="133" w:lineRule="exact" w:before="47"/>
              <w:ind w:right="204"/>
              <w:jc w:val="right"/>
              <w:rPr>
                <w:sz w:val="14"/>
              </w:rPr>
            </w:pPr>
            <w:r>
              <w:rPr>
                <w:sz w:val="14"/>
              </w:rPr>
              <w:t>0.0</w:t>
            </w:r>
          </w:p>
        </w:tc>
      </w:tr>
      <w:tr>
        <w:trPr>
          <w:trHeight w:val="147" w:hRule="atLeast"/>
        </w:trPr>
        <w:tc>
          <w:tcPr>
            <w:tcW w:w="628" w:type="dxa"/>
          </w:tcPr>
          <w:p>
            <w:pPr>
              <w:pStyle w:val="TableParagraph"/>
              <w:spacing w:line="128" w:lineRule="exact"/>
              <w:ind w:left="50"/>
              <w:rPr>
                <w:sz w:val="14"/>
              </w:rPr>
            </w:pPr>
            <w:r>
              <w:rPr>
                <w:sz w:val="14"/>
              </w:rPr>
              <w:t>2002 Q2</w:t>
            </w:r>
          </w:p>
        </w:tc>
        <w:tc>
          <w:tcPr>
            <w:tcW w:w="517" w:type="dxa"/>
          </w:tcPr>
          <w:p>
            <w:pPr>
              <w:pStyle w:val="TableParagraph"/>
              <w:spacing w:line="128" w:lineRule="exact"/>
              <w:ind w:right="21"/>
              <w:jc w:val="right"/>
              <w:rPr>
                <w:sz w:val="14"/>
              </w:rPr>
            </w:pPr>
            <w:r>
              <w:rPr>
                <w:sz w:val="14"/>
              </w:rPr>
              <w:t>-0.1</w:t>
            </w:r>
          </w:p>
        </w:tc>
        <w:tc>
          <w:tcPr>
            <w:tcW w:w="164" w:type="dxa"/>
          </w:tcPr>
          <w:p>
            <w:pPr>
              <w:pStyle w:val="TableParagraph"/>
              <w:spacing w:line="240" w:lineRule="auto"/>
              <w:rPr>
                <w:sz w:val="8"/>
              </w:rPr>
            </w:pPr>
          </w:p>
        </w:tc>
        <w:tc>
          <w:tcPr>
            <w:tcW w:w="516" w:type="dxa"/>
          </w:tcPr>
          <w:p>
            <w:pPr>
              <w:pStyle w:val="TableParagraph"/>
              <w:spacing w:line="128" w:lineRule="exact"/>
              <w:ind w:right="78"/>
              <w:jc w:val="right"/>
              <w:rPr>
                <w:sz w:val="14"/>
              </w:rPr>
            </w:pPr>
            <w:r>
              <w:rPr>
                <w:sz w:val="14"/>
              </w:rPr>
              <w:t>0.1</w:t>
            </w:r>
          </w:p>
        </w:tc>
        <w:tc>
          <w:tcPr>
            <w:tcW w:w="109" w:type="dxa"/>
          </w:tcPr>
          <w:p>
            <w:pPr>
              <w:pStyle w:val="TableParagraph"/>
              <w:spacing w:line="240" w:lineRule="auto"/>
              <w:rPr>
                <w:sz w:val="8"/>
              </w:rPr>
            </w:pPr>
          </w:p>
        </w:tc>
        <w:tc>
          <w:tcPr>
            <w:tcW w:w="704" w:type="dxa"/>
          </w:tcPr>
          <w:p>
            <w:pPr>
              <w:pStyle w:val="TableParagraph"/>
              <w:spacing w:line="128" w:lineRule="exact"/>
              <w:ind w:right="147"/>
              <w:jc w:val="right"/>
              <w:rPr>
                <w:sz w:val="14"/>
              </w:rPr>
            </w:pPr>
            <w:r>
              <w:rPr>
                <w:sz w:val="14"/>
              </w:rPr>
              <w:t>0.1</w:t>
            </w:r>
          </w:p>
        </w:tc>
        <w:tc>
          <w:tcPr>
            <w:tcW w:w="149" w:type="dxa"/>
          </w:tcPr>
          <w:p>
            <w:pPr>
              <w:pStyle w:val="TableParagraph"/>
              <w:spacing w:line="240" w:lineRule="auto"/>
              <w:rPr>
                <w:sz w:val="8"/>
              </w:rPr>
            </w:pPr>
          </w:p>
        </w:tc>
        <w:tc>
          <w:tcPr>
            <w:tcW w:w="759" w:type="dxa"/>
          </w:tcPr>
          <w:p>
            <w:pPr>
              <w:pStyle w:val="TableParagraph"/>
              <w:spacing w:line="128" w:lineRule="exact"/>
              <w:ind w:right="166"/>
              <w:jc w:val="right"/>
              <w:rPr>
                <w:sz w:val="14"/>
              </w:rPr>
            </w:pPr>
            <w:r>
              <w:rPr>
                <w:sz w:val="14"/>
              </w:rPr>
              <w:t>0.1</w:t>
            </w:r>
          </w:p>
        </w:tc>
        <w:tc>
          <w:tcPr>
            <w:tcW w:w="164" w:type="dxa"/>
          </w:tcPr>
          <w:p>
            <w:pPr>
              <w:pStyle w:val="TableParagraph"/>
              <w:spacing w:line="240" w:lineRule="auto"/>
              <w:rPr>
                <w:sz w:val="8"/>
              </w:rPr>
            </w:pPr>
          </w:p>
        </w:tc>
        <w:tc>
          <w:tcPr>
            <w:tcW w:w="664" w:type="dxa"/>
          </w:tcPr>
          <w:p>
            <w:pPr>
              <w:pStyle w:val="TableParagraph"/>
              <w:spacing w:line="128" w:lineRule="exact"/>
              <w:ind w:right="204"/>
              <w:jc w:val="right"/>
              <w:rPr>
                <w:sz w:val="14"/>
              </w:rPr>
            </w:pPr>
            <w:r>
              <w:rPr>
                <w:sz w:val="14"/>
              </w:rPr>
              <w:t>-0.1</w:t>
            </w:r>
          </w:p>
        </w:tc>
      </w:tr>
    </w:tbl>
    <w:p>
      <w:pPr>
        <w:spacing w:line="208" w:lineRule="auto" w:before="132"/>
        <w:ind w:left="414" w:right="698" w:hanging="240"/>
        <w:jc w:val="both"/>
        <w:rPr>
          <w:sz w:val="12"/>
        </w:rPr>
      </w:pPr>
      <w:r>
        <w:rPr>
          <w:sz w:val="12"/>
        </w:rPr>
        <w:t>(a) Assumes the exchange rate moves in line with interest rate differentials (uncovered interest parity), adjusted for the conditioning assumption of constant interest rates in the United Kingdom.</w:t>
      </w:r>
    </w:p>
    <w:p>
      <w:pPr>
        <w:pStyle w:val="Heading6"/>
        <w:spacing w:line="242" w:lineRule="auto" w:before="227"/>
        <w:ind w:left="173" w:right="184"/>
      </w:pPr>
      <w:r>
        <w:rPr/>
        <w:br w:type="column"/>
      </w:r>
      <w:r>
        <w:rPr/>
        <w:t>There is little change to the outlook for inflation over </w:t>
      </w:r>
      <w:r>
        <w:rPr>
          <w:spacing w:val="-6"/>
        </w:rPr>
        <w:t>the </w:t>
      </w:r>
      <w:r>
        <w:rPr/>
        <w:t>next two years. The broad picture is that inflation is most likely to pick up over the next twelve to eighteen months to around the target level of 2</w:t>
      </w:r>
      <w:r>
        <w:rPr>
          <w:position w:val="8"/>
          <w:sz w:val="12"/>
        </w:rPr>
        <w:t>1</w:t>
      </w:r>
      <w:r>
        <w:rPr/>
        <w:t>/</w:t>
      </w:r>
      <w:r>
        <w:rPr>
          <w:sz w:val="12"/>
        </w:rPr>
        <w:t>2</w:t>
      </w:r>
      <w:r>
        <w:rPr/>
        <w:t>% and then to remain relatively stable around that level in the</w:t>
      </w:r>
      <w:r>
        <w:rPr>
          <w:spacing w:val="-12"/>
        </w:rPr>
        <w:t> </w:t>
      </w:r>
      <w:r>
        <w:rPr/>
        <w:t>first</w:t>
      </w:r>
    </w:p>
    <w:p>
      <w:pPr>
        <w:spacing w:line="242" w:lineRule="auto" w:before="6"/>
        <w:ind w:left="174" w:right="181" w:firstLine="0"/>
        <w:jc w:val="left"/>
        <w:rPr>
          <w:sz w:val="24"/>
        </w:rPr>
      </w:pPr>
      <w:r>
        <w:rPr>
          <w:sz w:val="24"/>
        </w:rPr>
        <w:t>half of 2002. In the near term, the strength of sterling and cuts in margins are pressing down on prices and helping to keep inflation below the target. But inflation is likely to rise gradually as capacity utilisation increases and pressures from the tight labour market build, and as the temporary effects on measured</w:t>
      </w:r>
      <w:r>
        <w:rPr>
          <w:spacing w:val="-26"/>
          <w:sz w:val="24"/>
        </w:rPr>
        <w:t> </w:t>
      </w:r>
      <w:r>
        <w:rPr>
          <w:sz w:val="24"/>
        </w:rPr>
        <w:t>inflation of lower domestic utility prices unwind early next </w:t>
      </w:r>
      <w:r>
        <w:rPr>
          <w:spacing w:val="-3"/>
          <w:sz w:val="24"/>
        </w:rPr>
        <w:t>year. </w:t>
      </w:r>
      <w:r>
        <w:rPr>
          <w:sz w:val="24"/>
        </w:rPr>
        <w:t>The changes in assumptions since the February </w:t>
      </w:r>
      <w:r>
        <w:rPr>
          <w:i/>
          <w:sz w:val="24"/>
        </w:rPr>
        <w:t>Report </w:t>
      </w:r>
      <w:r>
        <w:rPr>
          <w:spacing w:val="-3"/>
          <w:sz w:val="24"/>
        </w:rPr>
        <w:t>have </w:t>
      </w:r>
      <w:r>
        <w:rPr>
          <w:sz w:val="24"/>
        </w:rPr>
        <w:t>broadly offsetting influences on inflation prospects. A stronger outlook for world demand and prices, a higher short-run profile for earnings, and somewhat faster domestic demand growth are the main upward forces on inflation. But these influences are counterbalanced by the higher exchange rate profile, and the assumption that temporarily high import margins are likely to</w:t>
      </w:r>
      <w:r>
        <w:rPr>
          <w:spacing w:val="-1"/>
          <w:sz w:val="24"/>
        </w:rPr>
        <w:t> </w:t>
      </w:r>
      <w:r>
        <w:rPr>
          <w:sz w:val="24"/>
        </w:rPr>
        <w:t>unwind.</w:t>
      </w:r>
    </w:p>
    <w:p>
      <w:pPr>
        <w:pStyle w:val="BodyText"/>
        <w:spacing w:before="2"/>
        <w:rPr>
          <w:sz w:val="26"/>
        </w:rPr>
      </w:pPr>
    </w:p>
    <w:p>
      <w:pPr>
        <w:spacing w:line="242" w:lineRule="auto" w:before="0"/>
        <w:ind w:left="174" w:right="446" w:firstLine="0"/>
        <w:jc w:val="left"/>
        <w:rPr>
          <w:sz w:val="24"/>
        </w:rPr>
      </w:pPr>
      <w:r>
        <w:rPr>
          <w:sz w:val="24"/>
        </w:rPr>
        <w:t>Risks around the central projection for activity are weighted to the downside reflecting the possibility of a weaker world growth outlook, which could also prompt falls in domestic asset prices. This outweighs the risk that final domestic demand growth in the United Kingdom could be stronger.</w:t>
      </w:r>
    </w:p>
    <w:p>
      <w:pPr>
        <w:pStyle w:val="BodyText"/>
        <w:rPr>
          <w:sz w:val="25"/>
        </w:rPr>
      </w:pPr>
    </w:p>
    <w:p>
      <w:pPr>
        <w:spacing w:line="242" w:lineRule="auto" w:before="0"/>
        <w:ind w:left="174" w:right="146" w:firstLine="0"/>
        <w:jc w:val="left"/>
        <w:rPr>
          <w:sz w:val="24"/>
        </w:rPr>
      </w:pPr>
      <w:r>
        <w:rPr>
          <w:sz w:val="24"/>
        </w:rPr>
        <w:t>Inflation risks are slightly upwards in the first year as the possibility of stronger domestic spending outweighs the risk of weaker international demand. But inflation risks in the second year are weighted to the downside, as the likelihood of a weaker outlook for global activity is the dominant influence. Charts 6.4 and 6.5 show the overall balance of risks to inflation at the two-year horizon.</w:t>
      </w:r>
    </w:p>
    <w:p>
      <w:pPr>
        <w:spacing w:line="242" w:lineRule="auto" w:before="9"/>
        <w:ind w:left="174" w:right="181" w:firstLine="0"/>
        <w:jc w:val="left"/>
        <w:rPr>
          <w:sz w:val="24"/>
        </w:rPr>
      </w:pPr>
      <w:r>
        <w:rPr>
          <w:sz w:val="24"/>
        </w:rPr>
        <w:t>Table 6.A provides the Committee’s best collective judgment of the probabilities of various outcomes for inflation and GDP growth.</w:t>
      </w:r>
    </w:p>
    <w:p>
      <w:pPr>
        <w:pStyle w:val="BodyText"/>
        <w:spacing w:before="7"/>
        <w:rPr>
          <w:sz w:val="24"/>
        </w:rPr>
      </w:pPr>
    </w:p>
    <w:p>
      <w:pPr>
        <w:spacing w:line="242" w:lineRule="auto" w:before="1"/>
        <w:ind w:left="174" w:right="166" w:firstLine="0"/>
        <w:jc w:val="left"/>
        <w:rPr>
          <w:sz w:val="24"/>
        </w:rPr>
      </w:pPr>
      <w:r>
        <w:rPr>
          <w:sz w:val="24"/>
        </w:rPr>
        <w:t>As already emphasised, there remain a number of major uncertainties in the outlook, and for some </w:t>
      </w:r>
      <w:r>
        <w:rPr>
          <w:spacing w:val="-3"/>
          <w:sz w:val="24"/>
        </w:rPr>
        <w:t>key </w:t>
      </w:r>
      <w:r>
        <w:rPr>
          <w:sz w:val="24"/>
        </w:rPr>
        <w:t>judgments, certain Committee members prefer to make different assumptions to those incorporated in the central projection in forming their best estimate of the most likely outcome. These judgments, covering assumptions on the exchange rate profile, earnings, margins, and productivity, are not incorporated explicitly in the fan charts or in </w:t>
      </w:r>
      <w:r>
        <w:rPr>
          <w:spacing w:val="-4"/>
          <w:sz w:val="24"/>
        </w:rPr>
        <w:t>Table </w:t>
      </w:r>
      <w:r>
        <w:rPr>
          <w:sz w:val="24"/>
        </w:rPr>
        <w:t>6.A, but are shown in </w:t>
      </w:r>
      <w:r>
        <w:rPr>
          <w:spacing w:val="-4"/>
          <w:sz w:val="24"/>
        </w:rPr>
        <w:t>Table </w:t>
      </w:r>
      <w:r>
        <w:rPr>
          <w:sz w:val="24"/>
        </w:rPr>
        <w:t>6.B, </w:t>
      </w:r>
      <w:r>
        <w:rPr>
          <w:spacing w:val="-4"/>
          <w:sz w:val="24"/>
        </w:rPr>
        <w:t>which </w:t>
      </w:r>
      <w:r>
        <w:rPr>
          <w:sz w:val="24"/>
        </w:rPr>
        <w:t>presents illustrative calibrations of the possible effects of the different assumptions taken</w:t>
      </w:r>
      <w:r>
        <w:rPr>
          <w:spacing w:val="-5"/>
          <w:sz w:val="24"/>
        </w:rPr>
        <w:t> </w:t>
      </w:r>
      <w:r>
        <w:rPr>
          <w:sz w:val="24"/>
        </w:rPr>
        <w:t>individually.</w:t>
      </w:r>
    </w:p>
    <w:p>
      <w:pPr>
        <w:spacing w:after="0" w:line="242" w:lineRule="auto"/>
        <w:jc w:val="left"/>
        <w:rPr>
          <w:sz w:val="24"/>
        </w:rPr>
        <w:sectPr>
          <w:type w:val="continuous"/>
          <w:pgSz w:w="11900" w:h="16840"/>
          <w:pgMar w:top="1220" w:bottom="280" w:left="640" w:right="620"/>
          <w:cols w:num="2" w:equalWidth="0">
            <w:col w:w="4541" w:space="280"/>
            <w:col w:w="5819"/>
          </w:cols>
        </w:sectPr>
      </w:pPr>
    </w:p>
    <w:p>
      <w:pPr>
        <w:pStyle w:val="BodyText"/>
        <w:rPr>
          <w:sz w:val="20"/>
        </w:rPr>
      </w:pPr>
    </w:p>
    <w:p>
      <w:pPr>
        <w:spacing w:after="0"/>
        <w:rPr>
          <w:sz w:val="20"/>
        </w:rPr>
        <w:sectPr>
          <w:pgSz w:w="11900" w:h="16840"/>
          <w:pgMar w:header="586" w:footer="617" w:top="780" w:bottom="800" w:left="640" w:right="620"/>
        </w:sectPr>
      </w:pPr>
    </w:p>
    <w:p>
      <w:pPr>
        <w:pStyle w:val="BodyText"/>
        <w:spacing w:before="8"/>
        <w:rPr>
          <w:sz w:val="19"/>
        </w:rPr>
      </w:pPr>
    </w:p>
    <w:p>
      <w:pPr>
        <w:spacing w:before="0"/>
        <w:ind w:left="175" w:right="0" w:firstLine="0"/>
        <w:jc w:val="left"/>
        <w:rPr>
          <w:b/>
          <w:sz w:val="20"/>
        </w:rPr>
      </w:pPr>
      <w:r>
        <w:rPr>
          <w:b/>
          <w:color w:val="0092C7"/>
          <w:sz w:val="20"/>
        </w:rPr>
        <w:t>Chart 6.4</w:t>
      </w:r>
    </w:p>
    <w:p>
      <w:pPr>
        <w:spacing w:line="249" w:lineRule="auto" w:before="10"/>
        <w:ind w:left="175" w:right="123" w:firstLine="0"/>
        <w:jc w:val="left"/>
        <w:rPr>
          <w:b/>
          <w:sz w:val="20"/>
        </w:rPr>
      </w:pPr>
      <w:r>
        <w:rPr>
          <w:b/>
          <w:color w:val="0092C7"/>
          <w:sz w:val="20"/>
        </w:rPr>
        <w:t>Current projection for the percentage increase in RPIX in the year to 2002 Q2</w:t>
      </w:r>
    </w:p>
    <w:p>
      <w:pPr>
        <w:spacing w:line="118" w:lineRule="exact" w:before="40"/>
        <w:ind w:left="2894" w:right="0" w:firstLine="0"/>
        <w:jc w:val="left"/>
        <w:rPr>
          <w:sz w:val="12"/>
        </w:rPr>
      </w:pPr>
      <w:r>
        <w:rPr>
          <w:sz w:val="12"/>
        </w:rPr>
        <w:t>Probability in per cent (a)</w:t>
      </w:r>
    </w:p>
    <w:p>
      <w:pPr>
        <w:spacing w:line="118" w:lineRule="exact" w:before="0"/>
        <w:ind w:left="4199" w:right="0" w:firstLine="0"/>
        <w:jc w:val="left"/>
        <w:rPr>
          <w:sz w:val="12"/>
        </w:rPr>
      </w:pPr>
      <w:r>
        <w:rPr/>
        <w:pict>
          <v:line style="position:absolute;mso-position-horizontal-relative:page;mso-position-vertical-relative:paragraph;z-index:16337408" from="40.505001pt,2.499437pt" to="45.174001pt,2.499437pt" stroked="true" strokeweight=".5pt" strokecolor="#000000">
            <v:stroke dashstyle="solid"/>
            <w10:wrap type="none"/>
          </v:line>
        </w:pict>
      </w:r>
      <w:r>
        <w:rPr/>
        <w:pict>
          <v:line style="position:absolute;mso-position-horizontal-relative:page;mso-position-vertical-relative:paragraph;z-index:16337920" from="233.738998pt,2.503437pt" to="238.406998pt,2.503437pt" stroked="true" strokeweight=".5pt" strokecolor="#000000">
            <v:stroke dashstyle="solid"/>
            <w10:wrap type="none"/>
          </v:line>
        </w:pict>
      </w:r>
      <w:r>
        <w:rPr>
          <w:sz w:val="12"/>
        </w:rPr>
        <w:t>6</w:t>
      </w:r>
    </w:p>
    <w:p>
      <w:pPr>
        <w:pStyle w:val="BodyText"/>
        <w:spacing w:before="8"/>
        <w:rPr>
          <w:sz w:val="19"/>
        </w:rPr>
      </w:pPr>
      <w:r>
        <w:rPr/>
        <w:br w:type="column"/>
      </w:r>
      <w:r>
        <w:rPr>
          <w:sz w:val="19"/>
        </w:rPr>
      </w:r>
    </w:p>
    <w:p>
      <w:pPr>
        <w:spacing w:before="0"/>
        <w:ind w:left="175" w:right="0" w:firstLine="0"/>
        <w:jc w:val="left"/>
        <w:rPr>
          <w:b/>
          <w:sz w:val="20"/>
        </w:rPr>
      </w:pPr>
      <w:r>
        <w:rPr>
          <w:b/>
          <w:color w:val="0092C7"/>
          <w:sz w:val="20"/>
        </w:rPr>
        <w:t>Chart 6.5</w:t>
      </w:r>
    </w:p>
    <w:p>
      <w:pPr>
        <w:spacing w:line="249" w:lineRule="auto" w:before="10"/>
        <w:ind w:left="175" w:right="1547" w:firstLine="0"/>
        <w:jc w:val="left"/>
        <w:rPr>
          <w:b/>
          <w:sz w:val="20"/>
        </w:rPr>
      </w:pPr>
      <w:r>
        <w:rPr>
          <w:b/>
          <w:color w:val="0092C7"/>
          <w:sz w:val="20"/>
        </w:rPr>
        <w:t>February projection for the percentage increase in RPIX in the year to 2002 Q1</w:t>
      </w:r>
    </w:p>
    <w:p>
      <w:pPr>
        <w:spacing w:line="116" w:lineRule="exact" w:before="52"/>
        <w:ind w:left="2775" w:right="0" w:firstLine="0"/>
        <w:jc w:val="left"/>
        <w:rPr>
          <w:sz w:val="12"/>
        </w:rPr>
      </w:pPr>
      <w:r>
        <w:rPr>
          <w:sz w:val="12"/>
        </w:rPr>
        <w:t>Probability in per cent (a)</w:t>
      </w:r>
    </w:p>
    <w:p>
      <w:pPr>
        <w:spacing w:line="116" w:lineRule="exact" w:before="0"/>
        <w:ind w:left="4084" w:right="0" w:firstLine="0"/>
        <w:jc w:val="left"/>
        <w:rPr>
          <w:sz w:val="12"/>
        </w:rPr>
      </w:pPr>
      <w:r>
        <w:rPr/>
        <w:pict>
          <v:line style="position:absolute;mso-position-horizontal-relative:page;mso-position-vertical-relative:paragraph;z-index:16339456" from="280.266998pt,2.737333pt" to="284.016998pt,2.737333pt" stroked="true" strokeweight=".5pt" strokecolor="#000000">
            <v:stroke dashstyle="solid"/>
            <w10:wrap type="none"/>
          </v:line>
        </w:pict>
      </w:r>
      <w:r>
        <w:rPr/>
        <w:pict>
          <v:line style="position:absolute;mso-position-horizontal-relative:page;mso-position-vertical-relative:paragraph;z-index:16339968" from="468.488007pt,2.737333pt" to="472.238007pt,2.737333pt" stroked="true" strokeweight=".5pt" strokecolor="#000000">
            <v:stroke dashstyle="solid"/>
            <w10:wrap type="none"/>
          </v:line>
        </w:pict>
      </w:r>
      <w:r>
        <w:rPr>
          <w:sz w:val="12"/>
        </w:rPr>
        <w:t>6</w:t>
      </w:r>
    </w:p>
    <w:p>
      <w:pPr>
        <w:spacing w:after="0" w:line="116" w:lineRule="exact"/>
        <w:jc w:val="left"/>
        <w:rPr>
          <w:sz w:val="12"/>
        </w:rPr>
        <w:sectPr>
          <w:type w:val="continuous"/>
          <w:pgSz w:w="11900" w:h="16840"/>
          <w:pgMar w:top="1220" w:bottom="280" w:left="640" w:right="620"/>
          <w:cols w:num="2" w:equalWidth="0">
            <w:col w:w="4300" w:space="504"/>
            <w:col w:w="5836"/>
          </w:cols>
        </w:sectPr>
      </w:pPr>
    </w:p>
    <w:p>
      <w:pPr>
        <w:pStyle w:val="BodyText"/>
        <w:spacing w:before="4"/>
        <w:rPr>
          <w:sz w:val="22"/>
        </w:rPr>
      </w:pPr>
    </w:p>
    <w:p>
      <w:pPr>
        <w:tabs>
          <w:tab w:pos="8888" w:val="left" w:leader="none"/>
        </w:tabs>
        <w:spacing w:before="100"/>
        <w:ind w:left="4199" w:right="0" w:firstLine="0"/>
        <w:jc w:val="left"/>
        <w:rPr>
          <w:sz w:val="12"/>
        </w:rPr>
      </w:pPr>
      <w:r>
        <w:rPr/>
        <w:pict>
          <v:group style="position:absolute;margin-left:50.069pt;margin-top:7.218154pt;width:188.35pt;height:129.85pt;mso-position-horizontal-relative:page;mso-position-vertical-relative:paragraph;z-index:16333824" coordorigin="1001,144" coordsize="3767,2597">
            <v:shape style="position:absolute;left:2010;top:1887;width:1143;height:781" coordorigin="2010,1888" coordsize="1143,781" path="m2045,1888l2010,1995,2010,2669,3153,2669,3153,1991,2045,1888xe" filled="true" fillcolor="#ededed" stroked="false">
              <v:path arrowok="t"/>
              <v:fill type="solid"/>
            </v:shape>
            <v:shape style="position:absolute;left:1020;top:2668;width:3580;height:73" coordorigin="1020,2668" coordsize="3580,73" path="m2363,2672l2363,2741m2810,2670l2810,2739m1020,2668l1020,2738m1915,2672l1915,2741m3258,2670l3258,2739m4600,2670l4600,2739m1468,2670l1468,2739m4153,2672l4153,2741m3705,2672l3705,2741e" filled="false" stroked="true" strokeweight=".5pt" strokecolor="#000000">
              <v:path arrowok="t"/>
              <v:stroke dashstyle="solid"/>
            </v:shape>
            <v:line style="position:absolute" from="1014,2671" to="4600,2671" stroked="true" strokeweight=".5pt" strokecolor="#000000">
              <v:stroke dashstyle="solid"/>
            </v:line>
            <v:shape style="position:absolute;left:2044;top:158;width:1113;height:1838" coordorigin="2045,159" coordsize="1113,1838" path="m2627,159l2537,200,2493,276,2449,382,2403,515,2359,671,2312,842,2269,1024,2225,1209,2179,1394,2135,1568,2088,1737,2045,1888,3157,1996,3118,1851,3075,1687,3031,1503,2985,1308,2898,907,2807,546,2761,398,2717,278,2673,198,2627,159xe" filled="true" fillcolor="#ededed" stroked="false">
              <v:path arrowok="t"/>
              <v:fill type="solid"/>
            </v:shape>
            <v:shape style="position:absolute;left:1001;top:2659;width:378;height:11" coordorigin="1001,2659" coordsize="378,11" path="m1001,2670l1065,2670m1045,2667l1112,2667m1092,2667l1155,2667m1135,2667l1199,2667m1179,2667l1245,2667m1225,2665l1289,2665m1269,2662l1336,2662m1316,2659l1379,2659e" filled="false" stroked="true" strokeweight="1.130pt" strokecolor="#de0035">
              <v:path arrowok="t"/>
              <v:stroke dashstyle="solid"/>
            </v:shape>
            <v:shape style="position:absolute;left:1359;top:2650;width:111;height:6" coordorigin="1359,2650" coordsize="111,6" path="m1359,2656l1423,2656m1403,2650l1470,2650e" filled="false" stroked="true" strokeweight="1.26pt" strokecolor="#de0035">
              <v:path arrowok="t"/>
              <v:stroke dashstyle="solid"/>
            </v:shape>
            <v:shape style="position:absolute;left:1459;top:156;width:1121;height:2491" coordorigin="1460,157" coordsize="1121,2491" path="m1460,2648l1503,2637m1503,2637l1550,2627m1550,2627l1593,2609m1593,2609l1637,2585m1637,2585l1684,2557m1684,2557l1727,2518m1727,2518l1774,2471m1774,2471l1818,2411m1818,2411l1861,2336m1861,2336l1908,2247m1908,2247l1951,2143m1951,2143l1998,2021m1998,2021l2042,1883m2042,1883l2085,1733m2085,1733l2132,1564m2132,1564l2175,1389m2175,1389l2222,1205m2222,1205l2266,1020m2266,1020l2309,838m2309,838l2356,667m2356,667l2400,511m2400,511l2446,378m2446,378l2490,271m2490,271l2533,196m2533,196l2580,157e" filled="false" stroked="true" strokeweight="1pt" strokecolor="#de0035">
              <v:path arrowok="t"/>
              <v:stroke dashstyle="solid"/>
            </v:shape>
            <v:line style="position:absolute" from="2570,156" to="2634,156" stroked="true" strokeweight="1.130pt" strokecolor="#de0035">
              <v:stroke dashstyle="solid"/>
            </v:line>
            <v:shape style="position:absolute;left:2623;top:154;width:1077;height:2499" coordorigin="2624,154" coordsize="1077,2499" path="m2624,154l2670,193m2670,193l2714,274m2714,274l2757,394m2757,394l2804,542m2804,542l2848,716m2848,716l2894,903m2894,903l2982,1304m2982,1304l3028,1499m3028,1499l3072,1683m3072,1683l3119,1852m3119,1852l3162,2003m3162,2003l3206,2136m3206,2136l3252,2250m3252,2250l3296,2346m3296,2346l3343,2422m3343,2422l3386,2484m3386,2484l3430,2533m3430,2533l3476,2572m3476,2572l3520,2598m3520,2598l3567,2619m3567,2619l3610,2635m3610,2635l3654,2645m3654,2645l3701,2653e" filled="false" stroked="true" strokeweight="1pt" strokecolor="#de0035">
              <v:path arrowok="t"/>
              <v:stroke dashstyle="solid"/>
            </v:shape>
            <v:line style="position:absolute" from="3691,2656" to="3754,2656" stroked="true" strokeweight="1.26pt" strokecolor="#de0035">
              <v:stroke dashstyle="solid"/>
            </v:line>
            <v:shape style="position:absolute;left:3734;top:2659;width:873;height:11" coordorigin="3734,2659" coordsize="873,11" path="m3734,2659l3801,2659m3781,2662l3844,2662m3824,2665l3888,2665m3868,2667l3935,2667m3915,2667l3978,2667m3958,2667l4025,2667m4005,2670l4069,2670m4049,2670l4112,2670m4092,2670l4159,2670m4139,2670l4202,2670m4182,2670l4249,2670m4229,2670l4293,2670m4273,2670l4336,2670m4316,2670l4383,2670m4363,2670l4426,2670m4406,2670l4473,2670m4453,2670l4517,2670m4497,2670l4560,2670m4540,2670l4607,2670e" filled="false" stroked="true" strokeweight="1.130pt" strokecolor="#de0035">
              <v:path arrowok="t"/>
              <v:stroke dashstyle="solid"/>
            </v:shape>
            <v:line style="position:absolute" from="3444,867" to="2821,1368" stroked="true" strokeweight=".5pt" strokecolor="#000000">
              <v:stroke dashstyle="solid"/>
            </v:line>
            <v:shape style="position:absolute;left:2754;top:1329;width:103;height:93" coordorigin="2755,1329" coordsize="103,93" path="m2819,1329l2780,1391,2755,1422,2764,1417,2820,1392,2857,1381,2819,1329xe" filled="true" fillcolor="#000000" stroked="false">
              <v:path arrowok="t"/>
              <v:fill type="solid"/>
            </v:shape>
            <v:shape style="position:absolute;left:4674;top:167;width:94;height:2509" coordorigin="4675,167" coordsize="94,2509" path="m4675,669l4768,669m4675,2675l4768,2675m4675,1672l4768,1672m4675,1171l4768,1171m4675,2174l4768,2174m4675,167l4768,167e" filled="false" stroked="true" strokeweight=".5pt" strokecolor="#000000">
              <v:path arrowok="t"/>
              <v:stroke dashstyle="solid"/>
            </v:shape>
            <v:shape style="position:absolute;left:3344;top:708;width:967;height:133" type="#_x0000_t202" filled="false" stroked="false">
              <v:textbox inset="0,0,0,0">
                <w:txbxContent>
                  <w:p>
                    <w:pPr>
                      <w:spacing w:line="133" w:lineRule="exact" w:before="0"/>
                      <w:ind w:left="0" w:right="0" w:firstLine="0"/>
                      <w:jc w:val="left"/>
                      <w:rPr>
                        <w:sz w:val="12"/>
                      </w:rPr>
                    </w:pPr>
                    <w:r>
                      <w:rPr>
                        <w:sz w:val="12"/>
                      </w:rPr>
                      <w:t>90% probability (b)</w:t>
                    </w:r>
                  </w:p>
                </w:txbxContent>
              </v:textbox>
              <w10:wrap type="none"/>
            </v:shape>
            <w10:wrap type="none"/>
          </v:group>
        </w:pict>
      </w:r>
      <w:r>
        <w:rPr/>
        <w:pict>
          <v:line style="position:absolute;mso-position-horizontal-relative:page;mso-position-vertical-relative:paragraph;z-index:16336896" from="40.505001pt,8.360154pt" to="45.174001pt,8.360154pt" stroked="true" strokeweight=".5pt" strokecolor="#000000">
            <v:stroke dashstyle="solid"/>
            <w10:wrap type="none"/>
          </v:line>
        </w:pict>
      </w:r>
      <w:r>
        <w:rPr/>
        <w:pict>
          <v:group style="position:absolute;margin-left:280.266998pt;margin-top:4.459154pt;width:192pt;height:131.35pt;mso-position-horizontal-relative:page;mso-position-vertical-relative:paragraph;z-index:-22272512" coordorigin="5605,89" coordsize="3840,2627">
            <v:shape style="position:absolute;left:6864;top:105;width:1127;height:2549" coordorigin="6865,106" coordsize="1127,2549" path="m7363,106l7351,106,7325,118,7296,143,7272,195,7229,311,7193,451,7162,558,7138,662,7095,869,7054,1092,7030,1208,7001,1322,6983,1416,6963,1532,6940,1634,6919,1739,6879,1914,6865,1957,6865,2650,7986,2654,7986,1984,7985,1977,7991,1989,7985,1971,7943,1849,7918,1779,7891,1700,7870,1619,7851,1532,7810,1361,7769,1193,7743,1104,7716,1010,7675,845,7635,674,7608,598,7539,390,7518,320,7493,268,7447,182,7407,131,7385,111,7363,106xe" filled="true" fillcolor="#ededed" stroked="false">
              <v:path arrowok="t"/>
              <v:fill type="solid"/>
            </v:shape>
            <v:shape style="position:absolute;left:5758;top:99;width:3560;height:2542" coordorigin="5759,99" coordsize="3560,2542" path="m5759,2639l5797,2641,5826,2639,5850,2639,5893,2641,5934,2641,5960,2639,5987,2639,6028,2641,6109,2641,6139,2637,6161,2637,6210,2637,6236,2635,6263,2635,6290,2633,6315,2631,6346,2631,6378,2628,6410,2623,6438,2616,6466,2606,6486,2600,6561,2553,6606,2511,6649,2459,6690,2396,6740,2301,6781,2200,6824,2071,6848,1990,6875,1907,6916,1733,6936,1628,6959,1525,6979,1410,6997,1315,7026,1201,7050,1085,7091,863,7134,655,7158,551,7189,444,7225,304,7268,188,7292,136,7321,112,7348,99,7360,99,7424,148,7468,215,7489,262,7514,313,7535,383,7578,512,7604,591,7631,668,7672,838,7712,1004,7739,1097,7765,1186,7806,1354,7847,1525,7866,1612,7888,1693,7914,1772,7939,1842,7981,1965,8024,2083,8048,2135,8075,2187,8116,2276,8156,2353,8208,2422,8250,2471,8334,2536,8430,2582,8466,2600,8493,2606,8521,2612,8559,2619,8600,2628,8630,2631,8656,2631,8686,2635,8705,2635,8741,2637,8776,2641,8804,2639,8831,2639,8872,2641,8910,2641,8939,2639,8965,2639,9006,2641,9085,2641,9114,2639,9140,2639,9181,2641,9209,2640,9248,2639,9318,2639e" filled="false" stroked="true" strokeweight="1pt" strokecolor="#de0035">
              <v:path arrowok="t"/>
              <v:stroke dashstyle="solid"/>
            </v:shape>
            <v:shape style="position:absolute;left:5605;top:168;width:3840;height:2481" coordorigin="5605,169" coordsize="3840,2481" path="m5605,657l5680,657m5605,2649l5680,2649m5605,1658l5680,1658m5605,1169l5680,1169m5605,2155l5680,2155m5605,169l5680,169m9370,657l9445,657m9370,2649l9445,2649m9370,1658l9445,1658m9370,1169l9445,1169m9370,2155l9445,2155m9370,169l9445,169e" filled="false" stroked="true" strokeweight=".5pt" strokecolor="#000000">
              <v:path arrowok="t"/>
              <v:stroke dashstyle="solid"/>
            </v:shape>
            <v:line style="position:absolute" from="5756,2649" to="9311,2649" stroked="true" strokeweight=".5pt" strokecolor="#000000">
              <v:stroke dashstyle="solid"/>
            </v:line>
            <v:shape style="position:absolute;left:5755;top:2645;width:3561;height:70" coordorigin="5756,2646" coordsize="3561,70" path="m5756,2646l5756,2712m6650,2649l6650,2716m7983,2647l7983,2714m9316,2647l9316,2714m6204,2647l6204,2714m7093,2649l7093,2716m7536,2647l7536,2714m8427,2649l8427,2716m8873,2649l8873,2715e" filled="false" stroked="true" strokeweight=".5pt" strokecolor="#000000">
              <v:path arrowok="t"/>
              <v:stroke dashstyle="solid"/>
            </v:shape>
            <v:line style="position:absolute" from="7970,364" to="7470,846" stroked="true" strokeweight=".5pt" strokecolor="#000000">
              <v:stroke dashstyle="solid"/>
            </v:line>
            <v:shape style="position:absolute;left:7416;top:807;width:83;height:90" coordorigin="7416,808" coordsize="83,90" path="m7468,808l7437,867,7416,897,7424,892,7499,858,7468,808xe" filled="true" fillcolor="#000000" stroked="false">
              <v:path arrowok="t"/>
              <v:fill type="solid"/>
            </v:shape>
            <v:shape style="position:absolute;left:7889;top:207;width:967;height:133" type="#_x0000_t202" filled="false" stroked="false">
              <v:textbox inset="0,0,0,0">
                <w:txbxContent>
                  <w:p>
                    <w:pPr>
                      <w:spacing w:line="133" w:lineRule="exact" w:before="0"/>
                      <w:ind w:left="0" w:right="0" w:firstLine="0"/>
                      <w:jc w:val="left"/>
                      <w:rPr>
                        <w:sz w:val="12"/>
                      </w:rPr>
                    </w:pPr>
                    <w:r>
                      <w:rPr>
                        <w:sz w:val="12"/>
                      </w:rPr>
                      <w:t>90% probability (b)</w:t>
                    </w:r>
                  </w:p>
                </w:txbxContent>
              </v:textbox>
              <w10:wrap type="none"/>
            </v:shape>
            <w10:wrap type="none"/>
          </v:group>
        </w:pict>
      </w:r>
      <w:r>
        <w:rPr>
          <w:sz w:val="12"/>
        </w:rPr>
        <w:t>5</w:t>
        <w:tab/>
        <w:t>5</w:t>
      </w:r>
    </w:p>
    <w:p>
      <w:pPr>
        <w:pStyle w:val="BodyText"/>
        <w:spacing w:before="5"/>
        <w:rPr>
          <w:sz w:val="22"/>
        </w:rPr>
      </w:pPr>
    </w:p>
    <w:p>
      <w:pPr>
        <w:tabs>
          <w:tab w:pos="8888" w:val="left" w:leader="none"/>
        </w:tabs>
        <w:spacing w:before="99"/>
        <w:ind w:left="4199" w:right="0" w:firstLine="0"/>
        <w:jc w:val="left"/>
        <w:rPr>
          <w:sz w:val="12"/>
        </w:rPr>
      </w:pPr>
      <w:r>
        <w:rPr/>
        <w:pict>
          <v:line style="position:absolute;mso-position-horizontal-relative:page;mso-position-vertical-relative:paragraph;z-index:16334336" from="40.505001pt,8.628336pt" to="45.174001pt,8.628336pt" stroked="true" strokeweight=".5pt" strokecolor="#000000">
            <v:stroke dashstyle="solid"/>
            <w10:wrap type="none"/>
          </v:line>
        </w:pict>
      </w:r>
      <w:r>
        <w:rPr>
          <w:sz w:val="12"/>
        </w:rPr>
        <w:t>4</w:t>
        <w:tab/>
        <w:t>4</w:t>
      </w:r>
    </w:p>
    <w:p>
      <w:pPr>
        <w:pStyle w:val="BodyText"/>
        <w:spacing w:before="3"/>
        <w:rPr>
          <w:sz w:val="23"/>
        </w:rPr>
      </w:pPr>
    </w:p>
    <w:p>
      <w:pPr>
        <w:tabs>
          <w:tab w:pos="8888" w:val="left" w:leader="none"/>
        </w:tabs>
        <w:spacing w:before="98"/>
        <w:ind w:left="4199" w:right="0" w:firstLine="0"/>
        <w:jc w:val="left"/>
        <w:rPr>
          <w:sz w:val="12"/>
        </w:rPr>
      </w:pPr>
      <w:r>
        <w:rPr/>
        <w:pict>
          <v:line style="position:absolute;mso-position-horizontal-relative:page;mso-position-vertical-relative:paragraph;z-index:16335872" from="40.505001pt,8.507542pt" to="45.174001pt,8.507542pt" stroked="true" strokeweight=".5pt" strokecolor="#000000">
            <v:stroke dashstyle="solid"/>
            <w10:wrap type="none"/>
          </v:line>
        </w:pict>
      </w:r>
      <w:r>
        <w:rPr>
          <w:sz w:val="12"/>
        </w:rPr>
        <w:t>3</w:t>
        <w:tab/>
        <w:t>3</w:t>
      </w:r>
    </w:p>
    <w:p>
      <w:pPr>
        <w:pStyle w:val="BodyText"/>
        <w:spacing w:before="5"/>
        <w:rPr>
          <w:sz w:val="22"/>
        </w:rPr>
      </w:pPr>
    </w:p>
    <w:p>
      <w:pPr>
        <w:tabs>
          <w:tab w:pos="8888" w:val="left" w:leader="none"/>
        </w:tabs>
        <w:spacing w:before="91"/>
        <w:ind w:left="4199" w:right="0" w:firstLine="0"/>
        <w:jc w:val="left"/>
        <w:rPr>
          <w:sz w:val="12"/>
        </w:rPr>
      </w:pPr>
      <w:r>
        <w:rPr/>
        <w:pict>
          <v:line style="position:absolute;mso-position-horizontal-relative:page;mso-position-vertical-relative:paragraph;z-index:16335360" from="40.505001pt,8.884989pt" to="45.174001pt,8.884989pt" stroked="true" strokeweight=".5pt" strokecolor="#000000">
            <v:stroke dashstyle="solid"/>
            <w10:wrap type="none"/>
          </v:line>
        </w:pict>
      </w:r>
      <w:r>
        <w:rPr>
          <w:sz w:val="12"/>
        </w:rPr>
        <w:t>2</w:t>
        <w:tab/>
      </w:r>
      <w:r>
        <w:rPr>
          <w:position w:val="1"/>
          <w:sz w:val="12"/>
        </w:rPr>
        <w:t>2</w:t>
      </w:r>
    </w:p>
    <w:p>
      <w:pPr>
        <w:pStyle w:val="BodyText"/>
        <w:rPr>
          <w:sz w:val="22"/>
        </w:rPr>
      </w:pPr>
    </w:p>
    <w:p>
      <w:pPr>
        <w:tabs>
          <w:tab w:pos="8888" w:val="left" w:leader="none"/>
        </w:tabs>
        <w:spacing w:before="99"/>
        <w:ind w:left="4199" w:right="0" w:firstLine="0"/>
        <w:jc w:val="left"/>
        <w:rPr>
          <w:sz w:val="12"/>
        </w:rPr>
      </w:pPr>
      <w:r>
        <w:rPr/>
        <w:pict>
          <v:line style="position:absolute;mso-position-horizontal-relative:page;mso-position-vertical-relative:paragraph;z-index:16336384" from="40.505001pt,9.362754pt" to="45.174001pt,9.362754pt" stroked="true" strokeweight=".5pt" strokecolor="#000000">
            <v:stroke dashstyle="solid"/>
            <w10:wrap type="none"/>
          </v:line>
        </w:pict>
      </w:r>
      <w:r>
        <w:rPr>
          <w:sz w:val="12"/>
        </w:rPr>
        <w:t>1</w:t>
        <w:tab/>
      </w:r>
      <w:r>
        <w:rPr>
          <w:position w:val="1"/>
          <w:sz w:val="12"/>
        </w:rPr>
        <w:t>1</w:t>
      </w:r>
    </w:p>
    <w:p>
      <w:pPr>
        <w:pStyle w:val="BodyText"/>
        <w:spacing w:before="6"/>
        <w:rPr>
          <w:sz w:val="21"/>
        </w:rPr>
      </w:pPr>
    </w:p>
    <w:p>
      <w:pPr>
        <w:spacing w:after="0"/>
        <w:rPr>
          <w:sz w:val="21"/>
        </w:rPr>
        <w:sectPr>
          <w:type w:val="continuous"/>
          <w:pgSz w:w="11900" w:h="16840"/>
          <w:pgMar w:top="1220" w:bottom="280" w:left="640" w:right="620"/>
        </w:sectPr>
      </w:pPr>
    </w:p>
    <w:p>
      <w:pPr>
        <w:pStyle w:val="BodyText"/>
        <w:spacing w:before="11"/>
        <w:rPr>
          <w:sz w:val="9"/>
        </w:rPr>
      </w:pPr>
    </w:p>
    <w:p>
      <w:pPr>
        <w:spacing w:before="0"/>
        <w:ind w:left="4199" w:right="0" w:firstLine="0"/>
        <w:jc w:val="left"/>
        <w:rPr>
          <w:sz w:val="12"/>
        </w:rPr>
      </w:pPr>
      <w:r>
        <w:rPr/>
        <w:pict>
          <v:line style="position:absolute;mso-position-horizontal-relative:page;mso-position-vertical-relative:paragraph;z-index:16334848" from="40.505001pt,3.99158pt" to="45.174001pt,3.99158pt" stroked="true" strokeweight=".5pt" strokecolor="#000000">
            <v:stroke dashstyle="solid"/>
            <w10:wrap type="none"/>
          </v:line>
        </w:pict>
      </w:r>
      <w:r>
        <w:rPr>
          <w:sz w:val="12"/>
        </w:rPr>
        <w:t>0</w:t>
      </w:r>
    </w:p>
    <w:p>
      <w:pPr>
        <w:tabs>
          <w:tab w:pos="792" w:val="left" w:leader="none"/>
          <w:tab w:pos="1241" w:val="left" w:leader="none"/>
          <w:tab w:pos="1691" w:val="left" w:leader="none"/>
          <w:tab w:pos="2140" w:val="left" w:leader="none"/>
          <w:tab w:pos="2590" w:val="left" w:leader="none"/>
          <w:tab w:pos="3039" w:val="left" w:leader="none"/>
          <w:tab w:pos="3488" w:val="left" w:leader="none"/>
          <w:tab w:pos="3938" w:val="left" w:leader="none"/>
        </w:tabs>
        <w:spacing w:line="135" w:lineRule="exact" w:before="18"/>
        <w:ind w:left="318" w:right="0" w:firstLine="0"/>
        <w:jc w:val="left"/>
        <w:rPr>
          <w:sz w:val="12"/>
        </w:rPr>
      </w:pPr>
      <w:r>
        <w:rPr>
          <w:sz w:val="12"/>
        </w:rPr>
        <w:t>-1</w:t>
        <w:tab/>
        <w:t>0</w:t>
        <w:tab/>
        <w:t>1</w:t>
        <w:tab/>
        <w:t>2</w:t>
        <w:tab/>
        <w:t>3</w:t>
        <w:tab/>
        <w:t>4</w:t>
        <w:tab/>
        <w:t>5</w:t>
        <w:tab/>
        <w:t>6</w:t>
        <w:tab/>
        <w:t>7</w:t>
      </w:r>
    </w:p>
    <w:p>
      <w:pPr>
        <w:spacing w:line="135" w:lineRule="exact" w:before="0"/>
        <w:ind w:left="1852" w:right="0" w:firstLine="0"/>
        <w:jc w:val="left"/>
        <w:rPr>
          <w:sz w:val="12"/>
        </w:rPr>
      </w:pPr>
      <w:r>
        <w:rPr>
          <w:sz w:val="12"/>
        </w:rPr>
        <w:t>Inflation</w:t>
      </w:r>
    </w:p>
    <w:p>
      <w:pPr>
        <w:spacing w:before="95"/>
        <w:ind w:left="0" w:right="1689" w:firstLine="0"/>
        <w:jc w:val="right"/>
        <w:rPr>
          <w:sz w:val="12"/>
        </w:rPr>
      </w:pPr>
      <w:r>
        <w:rPr/>
        <w:br w:type="column"/>
      </w:r>
      <w:r>
        <w:rPr>
          <w:sz w:val="12"/>
        </w:rPr>
        <w:t>0</w:t>
      </w:r>
    </w:p>
    <w:p>
      <w:pPr>
        <w:tabs>
          <w:tab w:pos="490" w:val="left" w:leader="none"/>
          <w:tab w:pos="934" w:val="left" w:leader="none"/>
          <w:tab w:pos="1378" w:val="left" w:leader="none"/>
          <w:tab w:pos="1804" w:val="left" w:leader="none"/>
          <w:tab w:pos="2248" w:val="left" w:leader="none"/>
          <w:tab w:pos="2695" w:val="left" w:leader="none"/>
          <w:tab w:pos="3139" w:val="left" w:leader="none"/>
          <w:tab w:pos="3583" w:val="left" w:leader="none"/>
        </w:tabs>
        <w:spacing w:line="130" w:lineRule="exact" w:before="70"/>
        <w:ind w:left="0" w:right="1624" w:firstLine="0"/>
        <w:jc w:val="center"/>
        <w:rPr>
          <w:sz w:val="12"/>
        </w:rPr>
      </w:pPr>
      <w:r>
        <w:rPr>
          <w:sz w:val="12"/>
        </w:rPr>
        <w:t>-1</w:t>
        <w:tab/>
        <w:t>0</w:t>
        <w:tab/>
        <w:t>1</w:t>
        <w:tab/>
        <w:t>2</w:t>
        <w:tab/>
        <w:t>3</w:t>
        <w:tab/>
        <w:t>4</w:t>
        <w:tab/>
        <w:t>5</w:t>
        <w:tab/>
        <w:t>6</w:t>
        <w:tab/>
        <w:t>7</w:t>
      </w:r>
    </w:p>
    <w:p>
      <w:pPr>
        <w:spacing w:line="130" w:lineRule="exact" w:before="0"/>
        <w:ind w:left="0" w:right="1605" w:firstLine="0"/>
        <w:jc w:val="center"/>
        <w:rPr>
          <w:sz w:val="12"/>
        </w:rPr>
      </w:pPr>
      <w:r>
        <w:rPr>
          <w:sz w:val="12"/>
        </w:rPr>
        <w:t>Inflation</w:t>
      </w:r>
    </w:p>
    <w:p>
      <w:pPr>
        <w:spacing w:after="0" w:line="130" w:lineRule="exact"/>
        <w:jc w:val="center"/>
        <w:rPr>
          <w:sz w:val="12"/>
        </w:rPr>
        <w:sectPr>
          <w:type w:val="continuous"/>
          <w:pgSz w:w="11900" w:h="16840"/>
          <w:pgMar w:top="1220" w:bottom="280" w:left="640" w:right="620"/>
          <w:cols w:num="2" w:equalWidth="0">
            <w:col w:w="4300" w:space="433"/>
            <w:col w:w="5907"/>
          </w:cols>
        </w:sectPr>
      </w:pPr>
    </w:p>
    <w:p>
      <w:pPr>
        <w:pStyle w:val="BodyText"/>
        <w:spacing w:before="1"/>
        <w:rPr>
          <w:sz w:val="21"/>
        </w:rPr>
      </w:pPr>
    </w:p>
    <w:p>
      <w:pPr>
        <w:spacing w:before="93"/>
        <w:ind w:left="205" w:right="0" w:firstLine="0"/>
        <w:jc w:val="left"/>
        <w:rPr>
          <w:sz w:val="16"/>
        </w:rPr>
      </w:pPr>
      <w:r>
        <w:rPr>
          <w:sz w:val="16"/>
        </w:rPr>
        <w:t>Source: Bank of England.</w:t>
      </w:r>
    </w:p>
    <w:p>
      <w:pPr>
        <w:pStyle w:val="ListParagraph"/>
        <w:numPr>
          <w:ilvl w:val="0"/>
          <w:numId w:val="40"/>
        </w:numPr>
        <w:tabs>
          <w:tab w:pos="446" w:val="left" w:leader="none"/>
        </w:tabs>
        <w:spacing w:line="208" w:lineRule="auto" w:before="156" w:after="0"/>
        <w:ind w:left="445" w:right="1389" w:hanging="240"/>
        <w:jc w:val="left"/>
        <w:rPr>
          <w:sz w:val="16"/>
        </w:rPr>
      </w:pPr>
      <w:r>
        <w:rPr>
          <w:sz w:val="16"/>
        </w:rPr>
        <w:t>Probability of inflation being within ±0.05 percentage points of any given inflation rate, specified to one decimal place. For example, </w:t>
      </w:r>
      <w:r>
        <w:rPr>
          <w:spacing w:val="-5"/>
          <w:sz w:val="16"/>
        </w:rPr>
        <w:t>the </w:t>
      </w:r>
      <w:r>
        <w:rPr>
          <w:sz w:val="16"/>
        </w:rPr>
        <w:t>probability of inflation being 2.5% (between 2.45% and 2.55%) in the current projection is around 5%.</w:t>
      </w:r>
    </w:p>
    <w:p>
      <w:pPr>
        <w:pStyle w:val="ListParagraph"/>
        <w:numPr>
          <w:ilvl w:val="0"/>
          <w:numId w:val="40"/>
        </w:numPr>
        <w:tabs>
          <w:tab w:pos="446" w:val="left" w:leader="none"/>
        </w:tabs>
        <w:spacing w:line="208" w:lineRule="auto" w:before="0" w:after="0"/>
        <w:ind w:left="445" w:right="1306" w:hanging="240"/>
        <w:jc w:val="left"/>
        <w:rPr>
          <w:sz w:val="16"/>
        </w:rPr>
      </w:pPr>
      <w:r>
        <w:rPr>
          <w:sz w:val="16"/>
        </w:rPr>
        <w:t>The areas shaded light grey contain 90% of the probability, and are consistent with the widest bands shown in Charts 6.2 and 6.3. For further details see ‘The </w:t>
      </w:r>
      <w:r>
        <w:rPr>
          <w:i/>
          <w:sz w:val="16"/>
        </w:rPr>
        <w:t>Inflation Report </w:t>
      </w:r>
      <w:r>
        <w:rPr>
          <w:sz w:val="16"/>
        </w:rPr>
        <w:t>projections: understanding the fan chart’, February 1998 </w:t>
      </w:r>
      <w:r>
        <w:rPr>
          <w:i/>
          <w:sz w:val="16"/>
        </w:rPr>
        <w:t>Quarterly Bulletin</w:t>
      </w:r>
      <w:r>
        <w:rPr>
          <w:sz w:val="16"/>
        </w:rPr>
        <w:t>, pages 30–37, and the box on page 52 of the February 1999 </w:t>
      </w:r>
      <w:r>
        <w:rPr>
          <w:i/>
          <w:sz w:val="16"/>
        </w:rPr>
        <w:t>Inflation</w:t>
      </w:r>
      <w:r>
        <w:rPr>
          <w:i/>
          <w:spacing w:val="-3"/>
          <w:sz w:val="16"/>
        </w:rPr>
        <w:t> </w:t>
      </w:r>
      <w:r>
        <w:rPr>
          <w:i/>
          <w:sz w:val="16"/>
        </w:rPr>
        <w:t>Report</w:t>
      </w:r>
      <w:r>
        <w:rPr>
          <w:sz w:val="16"/>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p>
    <w:p>
      <w:pPr>
        <w:spacing w:after="0"/>
        <w:rPr>
          <w:sz w:val="20"/>
        </w:rPr>
        <w:sectPr>
          <w:type w:val="continuous"/>
          <w:pgSz w:w="11900" w:h="16840"/>
          <w:pgMar w:top="1220" w:bottom="2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
        <w:rPr>
          <w:sz w:val="31"/>
        </w:rPr>
      </w:pPr>
    </w:p>
    <w:p>
      <w:pPr>
        <w:spacing w:before="0"/>
        <w:ind w:left="140" w:right="0" w:firstLine="0"/>
        <w:jc w:val="left"/>
        <w:rPr>
          <w:b/>
          <w:sz w:val="20"/>
        </w:rPr>
      </w:pPr>
      <w:r>
        <w:rPr>
          <w:b/>
          <w:color w:val="0092C7"/>
          <w:sz w:val="20"/>
        </w:rPr>
        <w:t>Table 6.C</w:t>
      </w:r>
    </w:p>
    <w:p>
      <w:pPr>
        <w:spacing w:line="249" w:lineRule="auto" w:before="10"/>
        <w:ind w:left="140" w:right="491" w:firstLine="0"/>
        <w:jc w:val="left"/>
        <w:rPr>
          <w:sz w:val="12"/>
        </w:rPr>
      </w:pPr>
      <w:r>
        <w:rPr>
          <w:b/>
          <w:color w:val="0092C7"/>
          <w:sz w:val="20"/>
        </w:rPr>
        <w:t>Market expectations of the Bank’s official interest rate</w:t>
      </w:r>
      <w:r>
        <w:rPr>
          <w:position w:val="4"/>
          <w:sz w:val="12"/>
        </w:rPr>
        <w:t>(a)</w:t>
      </w:r>
    </w:p>
    <w:p>
      <w:pPr>
        <w:spacing w:before="98"/>
        <w:ind w:left="140" w:right="0" w:firstLine="0"/>
        <w:jc w:val="left"/>
        <w:rPr>
          <w:sz w:val="14"/>
        </w:rPr>
      </w:pPr>
      <w:r>
        <w:rPr>
          <w:sz w:val="14"/>
        </w:rPr>
        <w:t>Per cent</w:t>
      </w:r>
    </w:p>
    <w:p>
      <w:pPr>
        <w:tabs>
          <w:tab w:pos="1307" w:val="left" w:leader="none"/>
          <w:tab w:pos="1557" w:val="left" w:leader="none"/>
          <w:tab w:pos="3207" w:val="left" w:leader="none"/>
          <w:tab w:pos="3491" w:val="left" w:leader="none"/>
          <w:tab w:pos="4182" w:val="left" w:leader="none"/>
        </w:tabs>
        <w:spacing w:before="119"/>
        <w:ind w:left="122" w:right="0" w:firstLine="0"/>
        <w:jc w:val="left"/>
        <w:rPr>
          <w:sz w:val="14"/>
        </w:rPr>
      </w:pPr>
      <w:r>
        <w:rPr>
          <w:spacing w:val="-18"/>
          <w:sz w:val="14"/>
          <w:u w:val="single"/>
        </w:rPr>
        <w:t> </w:t>
      </w:r>
      <w:r>
        <w:rPr>
          <w:sz w:val="14"/>
          <w:u w:val="single"/>
        </w:rPr>
        <w:t>2000</w:t>
        <w:tab/>
      </w:r>
      <w:r>
        <w:rPr>
          <w:sz w:val="14"/>
        </w:rPr>
        <w:tab/>
      </w:r>
      <w:r>
        <w:rPr>
          <w:sz w:val="14"/>
          <w:u w:val="single"/>
        </w:rPr>
        <w:t>2001</w:t>
        <w:tab/>
      </w:r>
      <w:r>
        <w:rPr>
          <w:sz w:val="14"/>
        </w:rPr>
        <w:tab/>
      </w:r>
      <w:r>
        <w:rPr>
          <w:sz w:val="14"/>
          <w:u w:val="single"/>
        </w:rPr>
        <w:t>2002</w:t>
        <w:tab/>
      </w:r>
    </w:p>
    <w:p>
      <w:pPr>
        <w:pStyle w:val="BodyText"/>
        <w:spacing w:before="10"/>
        <w:rPr>
          <w:sz w:val="3"/>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
        <w:gridCol w:w="248"/>
        <w:gridCol w:w="223"/>
        <w:gridCol w:w="263"/>
        <w:gridCol w:w="225"/>
        <w:gridCol w:w="242"/>
        <w:gridCol w:w="222"/>
        <w:gridCol w:w="279"/>
        <w:gridCol w:w="244"/>
        <w:gridCol w:w="234"/>
        <w:gridCol w:w="222"/>
        <w:gridCol w:w="227"/>
        <w:gridCol w:w="224"/>
        <w:gridCol w:w="269"/>
        <w:gridCol w:w="221"/>
        <w:gridCol w:w="251"/>
        <w:gridCol w:w="223"/>
      </w:tblGrid>
      <w:tr>
        <w:trPr>
          <w:trHeight w:val="179" w:hRule="atLeast"/>
        </w:trPr>
        <w:tc>
          <w:tcPr>
            <w:tcW w:w="225" w:type="dxa"/>
            <w:tcBorders>
              <w:bottom w:val="single" w:sz="2" w:space="0" w:color="000000"/>
            </w:tcBorders>
          </w:tcPr>
          <w:p>
            <w:pPr>
              <w:pStyle w:val="TableParagraph"/>
              <w:spacing w:line="155" w:lineRule="exact"/>
              <w:ind w:right="36"/>
              <w:jc w:val="center"/>
              <w:rPr>
                <w:sz w:val="14"/>
              </w:rPr>
            </w:pPr>
            <w:r>
              <w:rPr>
                <w:sz w:val="14"/>
              </w:rPr>
              <w:t>Q2</w:t>
            </w:r>
          </w:p>
        </w:tc>
        <w:tc>
          <w:tcPr>
            <w:tcW w:w="248" w:type="dxa"/>
          </w:tcPr>
          <w:p>
            <w:pPr>
              <w:pStyle w:val="TableParagraph"/>
              <w:spacing w:line="240" w:lineRule="auto"/>
              <w:rPr>
                <w:sz w:val="12"/>
              </w:rPr>
            </w:pPr>
          </w:p>
        </w:tc>
        <w:tc>
          <w:tcPr>
            <w:tcW w:w="223" w:type="dxa"/>
            <w:tcBorders>
              <w:bottom w:val="single" w:sz="2" w:space="0" w:color="000000"/>
            </w:tcBorders>
          </w:tcPr>
          <w:p>
            <w:pPr>
              <w:pStyle w:val="TableParagraph"/>
              <w:spacing w:line="155" w:lineRule="exact"/>
              <w:ind w:right="20"/>
              <w:jc w:val="center"/>
              <w:rPr>
                <w:sz w:val="14"/>
              </w:rPr>
            </w:pPr>
            <w:r>
              <w:rPr>
                <w:sz w:val="14"/>
              </w:rPr>
              <w:t>Q3</w:t>
            </w:r>
          </w:p>
        </w:tc>
        <w:tc>
          <w:tcPr>
            <w:tcW w:w="263" w:type="dxa"/>
          </w:tcPr>
          <w:p>
            <w:pPr>
              <w:pStyle w:val="TableParagraph"/>
              <w:spacing w:line="240" w:lineRule="auto"/>
              <w:rPr>
                <w:sz w:val="12"/>
              </w:rPr>
            </w:pPr>
          </w:p>
        </w:tc>
        <w:tc>
          <w:tcPr>
            <w:tcW w:w="225" w:type="dxa"/>
            <w:tcBorders>
              <w:bottom w:val="single" w:sz="2" w:space="0" w:color="000000"/>
            </w:tcBorders>
          </w:tcPr>
          <w:p>
            <w:pPr>
              <w:pStyle w:val="TableParagraph"/>
              <w:spacing w:line="155" w:lineRule="exact"/>
              <w:ind w:right="35"/>
              <w:jc w:val="center"/>
              <w:rPr>
                <w:sz w:val="14"/>
              </w:rPr>
            </w:pPr>
            <w:r>
              <w:rPr>
                <w:sz w:val="14"/>
              </w:rPr>
              <w:t>Q4</w:t>
            </w:r>
          </w:p>
        </w:tc>
        <w:tc>
          <w:tcPr>
            <w:tcW w:w="242" w:type="dxa"/>
          </w:tcPr>
          <w:p>
            <w:pPr>
              <w:pStyle w:val="TableParagraph"/>
              <w:spacing w:line="240" w:lineRule="auto"/>
              <w:rPr>
                <w:sz w:val="12"/>
              </w:rPr>
            </w:pPr>
          </w:p>
        </w:tc>
        <w:tc>
          <w:tcPr>
            <w:tcW w:w="222" w:type="dxa"/>
            <w:tcBorders>
              <w:bottom w:val="single" w:sz="2" w:space="0" w:color="000000"/>
            </w:tcBorders>
          </w:tcPr>
          <w:p>
            <w:pPr>
              <w:pStyle w:val="TableParagraph"/>
              <w:spacing w:line="155" w:lineRule="exact"/>
              <w:ind w:right="27"/>
              <w:jc w:val="right"/>
              <w:rPr>
                <w:sz w:val="14"/>
              </w:rPr>
            </w:pPr>
            <w:r>
              <w:rPr>
                <w:w w:val="95"/>
                <w:sz w:val="14"/>
              </w:rPr>
              <w:t>Q1</w:t>
            </w:r>
          </w:p>
        </w:tc>
        <w:tc>
          <w:tcPr>
            <w:tcW w:w="279" w:type="dxa"/>
          </w:tcPr>
          <w:p>
            <w:pPr>
              <w:pStyle w:val="TableParagraph"/>
              <w:spacing w:line="240" w:lineRule="auto"/>
              <w:rPr>
                <w:sz w:val="12"/>
              </w:rPr>
            </w:pPr>
          </w:p>
        </w:tc>
        <w:tc>
          <w:tcPr>
            <w:tcW w:w="244" w:type="dxa"/>
            <w:tcBorders>
              <w:bottom w:val="single" w:sz="2" w:space="0" w:color="000000"/>
            </w:tcBorders>
          </w:tcPr>
          <w:p>
            <w:pPr>
              <w:pStyle w:val="TableParagraph"/>
              <w:spacing w:line="155" w:lineRule="exact"/>
              <w:rPr>
                <w:sz w:val="14"/>
              </w:rPr>
            </w:pPr>
            <w:r>
              <w:rPr>
                <w:sz w:val="14"/>
              </w:rPr>
              <w:t>Q2</w:t>
            </w:r>
          </w:p>
        </w:tc>
        <w:tc>
          <w:tcPr>
            <w:tcW w:w="234" w:type="dxa"/>
          </w:tcPr>
          <w:p>
            <w:pPr>
              <w:pStyle w:val="TableParagraph"/>
              <w:spacing w:line="240" w:lineRule="auto"/>
              <w:rPr>
                <w:sz w:val="12"/>
              </w:rPr>
            </w:pPr>
          </w:p>
        </w:tc>
        <w:tc>
          <w:tcPr>
            <w:tcW w:w="222" w:type="dxa"/>
            <w:tcBorders>
              <w:bottom w:val="single" w:sz="2" w:space="0" w:color="000000"/>
            </w:tcBorders>
          </w:tcPr>
          <w:p>
            <w:pPr>
              <w:pStyle w:val="TableParagraph"/>
              <w:spacing w:line="155" w:lineRule="exact"/>
              <w:ind w:left="2"/>
              <w:rPr>
                <w:sz w:val="14"/>
              </w:rPr>
            </w:pPr>
            <w:r>
              <w:rPr>
                <w:sz w:val="14"/>
              </w:rPr>
              <w:t>Q3</w:t>
            </w:r>
          </w:p>
        </w:tc>
        <w:tc>
          <w:tcPr>
            <w:tcW w:w="227" w:type="dxa"/>
          </w:tcPr>
          <w:p>
            <w:pPr>
              <w:pStyle w:val="TableParagraph"/>
              <w:spacing w:line="240" w:lineRule="auto"/>
              <w:rPr>
                <w:sz w:val="12"/>
              </w:rPr>
            </w:pPr>
          </w:p>
        </w:tc>
        <w:tc>
          <w:tcPr>
            <w:tcW w:w="224" w:type="dxa"/>
            <w:tcBorders>
              <w:bottom w:val="single" w:sz="2" w:space="0" w:color="000000"/>
            </w:tcBorders>
          </w:tcPr>
          <w:p>
            <w:pPr>
              <w:pStyle w:val="TableParagraph"/>
              <w:spacing w:line="155" w:lineRule="exact"/>
              <w:ind w:right="17"/>
              <w:jc w:val="right"/>
              <w:rPr>
                <w:sz w:val="14"/>
              </w:rPr>
            </w:pPr>
            <w:r>
              <w:rPr>
                <w:w w:val="95"/>
                <w:sz w:val="14"/>
              </w:rPr>
              <w:t>Q4</w:t>
            </w:r>
          </w:p>
        </w:tc>
        <w:tc>
          <w:tcPr>
            <w:tcW w:w="269" w:type="dxa"/>
          </w:tcPr>
          <w:p>
            <w:pPr>
              <w:pStyle w:val="TableParagraph"/>
              <w:spacing w:line="240" w:lineRule="auto"/>
              <w:rPr>
                <w:sz w:val="12"/>
              </w:rPr>
            </w:pPr>
          </w:p>
        </w:tc>
        <w:tc>
          <w:tcPr>
            <w:tcW w:w="221" w:type="dxa"/>
            <w:tcBorders>
              <w:bottom w:val="single" w:sz="2" w:space="0" w:color="000000"/>
            </w:tcBorders>
          </w:tcPr>
          <w:p>
            <w:pPr>
              <w:pStyle w:val="TableParagraph"/>
              <w:spacing w:line="155" w:lineRule="exact"/>
              <w:ind w:left="1" w:right="8"/>
              <w:jc w:val="center"/>
              <w:rPr>
                <w:sz w:val="14"/>
              </w:rPr>
            </w:pPr>
            <w:r>
              <w:rPr>
                <w:sz w:val="14"/>
              </w:rPr>
              <w:t>Q1</w:t>
            </w:r>
          </w:p>
        </w:tc>
        <w:tc>
          <w:tcPr>
            <w:tcW w:w="251" w:type="dxa"/>
          </w:tcPr>
          <w:p>
            <w:pPr>
              <w:pStyle w:val="TableParagraph"/>
              <w:spacing w:line="240" w:lineRule="auto"/>
              <w:rPr>
                <w:sz w:val="12"/>
              </w:rPr>
            </w:pPr>
          </w:p>
        </w:tc>
        <w:tc>
          <w:tcPr>
            <w:tcW w:w="223" w:type="dxa"/>
            <w:tcBorders>
              <w:bottom w:val="single" w:sz="2" w:space="0" w:color="000000"/>
            </w:tcBorders>
          </w:tcPr>
          <w:p>
            <w:pPr>
              <w:pStyle w:val="TableParagraph"/>
              <w:spacing w:line="155" w:lineRule="exact"/>
              <w:ind w:left="4"/>
              <w:jc w:val="center"/>
              <w:rPr>
                <w:sz w:val="14"/>
              </w:rPr>
            </w:pPr>
            <w:r>
              <w:rPr>
                <w:sz w:val="14"/>
              </w:rPr>
              <w:t>Q2</w:t>
            </w:r>
          </w:p>
        </w:tc>
      </w:tr>
      <w:tr>
        <w:trPr>
          <w:trHeight w:val="250" w:hRule="atLeast"/>
        </w:trPr>
        <w:tc>
          <w:tcPr>
            <w:tcW w:w="225" w:type="dxa"/>
            <w:tcBorders>
              <w:top w:val="single" w:sz="2" w:space="0" w:color="000000"/>
            </w:tcBorders>
          </w:tcPr>
          <w:p>
            <w:pPr>
              <w:pStyle w:val="TableParagraph"/>
              <w:spacing w:line="141" w:lineRule="exact" w:before="86"/>
              <w:ind w:right="32"/>
              <w:jc w:val="center"/>
              <w:rPr>
                <w:sz w:val="14"/>
              </w:rPr>
            </w:pPr>
            <w:r>
              <w:rPr>
                <w:sz w:val="14"/>
              </w:rPr>
              <w:t>6.0</w:t>
            </w:r>
          </w:p>
        </w:tc>
        <w:tc>
          <w:tcPr>
            <w:tcW w:w="248" w:type="dxa"/>
          </w:tcPr>
          <w:p>
            <w:pPr>
              <w:pStyle w:val="TableParagraph"/>
              <w:spacing w:line="240" w:lineRule="auto"/>
              <w:rPr>
                <w:sz w:val="18"/>
              </w:rPr>
            </w:pPr>
          </w:p>
        </w:tc>
        <w:tc>
          <w:tcPr>
            <w:tcW w:w="223" w:type="dxa"/>
            <w:tcBorders>
              <w:top w:val="single" w:sz="2" w:space="0" w:color="000000"/>
            </w:tcBorders>
          </w:tcPr>
          <w:p>
            <w:pPr>
              <w:pStyle w:val="TableParagraph"/>
              <w:spacing w:line="141" w:lineRule="exact" w:before="89"/>
              <w:ind w:right="16"/>
              <w:jc w:val="center"/>
              <w:rPr>
                <w:sz w:val="14"/>
              </w:rPr>
            </w:pPr>
            <w:r>
              <w:rPr>
                <w:sz w:val="14"/>
              </w:rPr>
              <w:t>6.3</w:t>
            </w:r>
          </w:p>
        </w:tc>
        <w:tc>
          <w:tcPr>
            <w:tcW w:w="263" w:type="dxa"/>
          </w:tcPr>
          <w:p>
            <w:pPr>
              <w:pStyle w:val="TableParagraph"/>
              <w:spacing w:line="240" w:lineRule="auto"/>
              <w:rPr>
                <w:sz w:val="18"/>
              </w:rPr>
            </w:pPr>
          </w:p>
        </w:tc>
        <w:tc>
          <w:tcPr>
            <w:tcW w:w="225" w:type="dxa"/>
            <w:tcBorders>
              <w:top w:val="single" w:sz="2" w:space="0" w:color="000000"/>
            </w:tcBorders>
          </w:tcPr>
          <w:p>
            <w:pPr>
              <w:pStyle w:val="TableParagraph"/>
              <w:spacing w:line="141" w:lineRule="exact" w:before="86"/>
              <w:ind w:right="30"/>
              <w:jc w:val="center"/>
              <w:rPr>
                <w:sz w:val="14"/>
              </w:rPr>
            </w:pPr>
            <w:r>
              <w:rPr>
                <w:sz w:val="14"/>
              </w:rPr>
              <w:t>6.4</w:t>
            </w:r>
          </w:p>
        </w:tc>
        <w:tc>
          <w:tcPr>
            <w:tcW w:w="242" w:type="dxa"/>
          </w:tcPr>
          <w:p>
            <w:pPr>
              <w:pStyle w:val="TableParagraph"/>
              <w:spacing w:line="240" w:lineRule="auto"/>
              <w:rPr>
                <w:sz w:val="18"/>
              </w:rPr>
            </w:pPr>
          </w:p>
        </w:tc>
        <w:tc>
          <w:tcPr>
            <w:tcW w:w="222" w:type="dxa"/>
            <w:tcBorders>
              <w:top w:val="single" w:sz="2" w:space="0" w:color="000000"/>
            </w:tcBorders>
          </w:tcPr>
          <w:p>
            <w:pPr>
              <w:pStyle w:val="TableParagraph"/>
              <w:spacing w:line="141" w:lineRule="exact" w:before="89"/>
              <w:ind w:right="23"/>
              <w:jc w:val="right"/>
              <w:rPr>
                <w:sz w:val="14"/>
              </w:rPr>
            </w:pPr>
            <w:r>
              <w:rPr>
                <w:sz w:val="14"/>
              </w:rPr>
              <w:t>6.4</w:t>
            </w:r>
          </w:p>
        </w:tc>
        <w:tc>
          <w:tcPr>
            <w:tcW w:w="279" w:type="dxa"/>
          </w:tcPr>
          <w:p>
            <w:pPr>
              <w:pStyle w:val="TableParagraph"/>
              <w:spacing w:line="240" w:lineRule="auto"/>
              <w:rPr>
                <w:sz w:val="18"/>
              </w:rPr>
            </w:pPr>
          </w:p>
        </w:tc>
        <w:tc>
          <w:tcPr>
            <w:tcW w:w="244" w:type="dxa"/>
            <w:tcBorders>
              <w:top w:val="single" w:sz="2" w:space="0" w:color="000000"/>
            </w:tcBorders>
          </w:tcPr>
          <w:p>
            <w:pPr>
              <w:pStyle w:val="TableParagraph"/>
              <w:spacing w:line="141" w:lineRule="exact" w:before="86"/>
              <w:rPr>
                <w:sz w:val="14"/>
              </w:rPr>
            </w:pPr>
            <w:r>
              <w:rPr>
                <w:sz w:val="14"/>
              </w:rPr>
              <w:t>6.4</w:t>
            </w:r>
          </w:p>
        </w:tc>
        <w:tc>
          <w:tcPr>
            <w:tcW w:w="234" w:type="dxa"/>
          </w:tcPr>
          <w:p>
            <w:pPr>
              <w:pStyle w:val="TableParagraph"/>
              <w:spacing w:line="240" w:lineRule="auto"/>
              <w:rPr>
                <w:sz w:val="18"/>
              </w:rPr>
            </w:pPr>
          </w:p>
        </w:tc>
        <w:tc>
          <w:tcPr>
            <w:tcW w:w="222" w:type="dxa"/>
            <w:tcBorders>
              <w:top w:val="single" w:sz="2" w:space="0" w:color="000000"/>
            </w:tcBorders>
          </w:tcPr>
          <w:p>
            <w:pPr>
              <w:pStyle w:val="TableParagraph"/>
              <w:spacing w:line="141" w:lineRule="exact" w:before="89"/>
              <w:ind w:left="2"/>
              <w:rPr>
                <w:sz w:val="14"/>
              </w:rPr>
            </w:pPr>
            <w:r>
              <w:rPr>
                <w:sz w:val="14"/>
              </w:rPr>
              <w:t>6.4</w:t>
            </w:r>
          </w:p>
        </w:tc>
        <w:tc>
          <w:tcPr>
            <w:tcW w:w="227" w:type="dxa"/>
          </w:tcPr>
          <w:p>
            <w:pPr>
              <w:pStyle w:val="TableParagraph"/>
              <w:spacing w:line="240" w:lineRule="auto"/>
              <w:rPr>
                <w:sz w:val="18"/>
              </w:rPr>
            </w:pPr>
          </w:p>
        </w:tc>
        <w:tc>
          <w:tcPr>
            <w:tcW w:w="224" w:type="dxa"/>
            <w:tcBorders>
              <w:top w:val="single" w:sz="2" w:space="0" w:color="000000"/>
            </w:tcBorders>
          </w:tcPr>
          <w:p>
            <w:pPr>
              <w:pStyle w:val="TableParagraph"/>
              <w:spacing w:line="141" w:lineRule="exact" w:before="89"/>
              <w:ind w:right="13"/>
              <w:jc w:val="right"/>
              <w:rPr>
                <w:sz w:val="14"/>
              </w:rPr>
            </w:pPr>
            <w:r>
              <w:rPr>
                <w:sz w:val="14"/>
              </w:rPr>
              <w:t>6.3</w:t>
            </w:r>
          </w:p>
        </w:tc>
        <w:tc>
          <w:tcPr>
            <w:tcW w:w="269" w:type="dxa"/>
          </w:tcPr>
          <w:p>
            <w:pPr>
              <w:pStyle w:val="TableParagraph"/>
              <w:spacing w:line="240" w:lineRule="auto"/>
              <w:rPr>
                <w:sz w:val="18"/>
              </w:rPr>
            </w:pPr>
          </w:p>
        </w:tc>
        <w:tc>
          <w:tcPr>
            <w:tcW w:w="221" w:type="dxa"/>
            <w:tcBorders>
              <w:top w:val="single" w:sz="2" w:space="0" w:color="000000"/>
            </w:tcBorders>
          </w:tcPr>
          <w:p>
            <w:pPr>
              <w:pStyle w:val="TableParagraph"/>
              <w:spacing w:line="141" w:lineRule="exact" w:before="86"/>
              <w:ind w:left="1" w:right="3"/>
              <w:jc w:val="center"/>
              <w:rPr>
                <w:sz w:val="14"/>
              </w:rPr>
            </w:pPr>
            <w:r>
              <w:rPr>
                <w:sz w:val="14"/>
              </w:rPr>
              <w:t>6.2</w:t>
            </w:r>
          </w:p>
        </w:tc>
        <w:tc>
          <w:tcPr>
            <w:tcW w:w="251" w:type="dxa"/>
          </w:tcPr>
          <w:p>
            <w:pPr>
              <w:pStyle w:val="TableParagraph"/>
              <w:spacing w:line="240" w:lineRule="auto"/>
              <w:rPr>
                <w:sz w:val="18"/>
              </w:rPr>
            </w:pPr>
          </w:p>
        </w:tc>
        <w:tc>
          <w:tcPr>
            <w:tcW w:w="223" w:type="dxa"/>
            <w:tcBorders>
              <w:top w:val="single" w:sz="2" w:space="0" w:color="000000"/>
            </w:tcBorders>
          </w:tcPr>
          <w:p>
            <w:pPr>
              <w:pStyle w:val="TableParagraph"/>
              <w:spacing w:line="141" w:lineRule="exact" w:before="89"/>
              <w:ind w:left="9"/>
              <w:jc w:val="center"/>
              <w:rPr>
                <w:sz w:val="14"/>
              </w:rPr>
            </w:pPr>
            <w:r>
              <w:rPr>
                <w:sz w:val="14"/>
              </w:rPr>
              <w:t>6.1</w:t>
            </w:r>
          </w:p>
        </w:tc>
      </w:tr>
    </w:tbl>
    <w:p>
      <w:pPr>
        <w:pStyle w:val="ListParagraph"/>
        <w:numPr>
          <w:ilvl w:val="0"/>
          <w:numId w:val="41"/>
        </w:numPr>
        <w:tabs>
          <w:tab w:pos="380" w:val="left" w:leader="none"/>
        </w:tabs>
        <w:spacing w:line="208" w:lineRule="auto" w:before="133" w:after="0"/>
        <w:ind w:left="380" w:right="217" w:hanging="240"/>
        <w:jc w:val="left"/>
        <w:rPr>
          <w:sz w:val="12"/>
        </w:rPr>
      </w:pPr>
      <w:r>
        <w:rPr>
          <w:sz w:val="12"/>
        </w:rPr>
        <w:t>Based on the interest rate available on gilt-edged securities, including </w:t>
      </w:r>
      <w:r>
        <w:rPr>
          <w:spacing w:val="-4"/>
          <w:sz w:val="12"/>
        </w:rPr>
        <w:t>those </w:t>
      </w:r>
      <w:r>
        <w:rPr>
          <w:sz w:val="12"/>
        </w:rPr>
        <w:t>used as collateral in short-term repurchase contracts, plus a small upward adjustment to allow for the average difference between this rate and the Bank’s official interest rate. The data are 15-day averages to 3 May.</w:t>
      </w:r>
    </w:p>
    <w:p>
      <w:pPr>
        <w:pStyle w:val="Heading6"/>
        <w:spacing w:line="242" w:lineRule="auto" w:before="90"/>
        <w:ind w:left="122" w:right="262"/>
      </w:pPr>
      <w:r>
        <w:rPr/>
        <w:br w:type="column"/>
      </w:r>
      <w:r>
        <w:rPr/>
        <w:t>The alternative assumptions presented in the table are regarded by the Committee as a series of separate judgments. The net effect of the alternative assumptions favoured by different Committee members leads to a range of views about inflation prospects, highlighting the uncertainties in forming judgments on the outlook.</w:t>
      </w:r>
    </w:p>
    <w:p>
      <w:pPr>
        <w:spacing w:line="242" w:lineRule="auto" w:before="8"/>
        <w:ind w:left="122" w:right="296" w:firstLine="0"/>
        <w:jc w:val="left"/>
        <w:rPr>
          <w:sz w:val="24"/>
        </w:rPr>
      </w:pPr>
      <w:r>
        <w:rPr>
          <w:sz w:val="24"/>
        </w:rPr>
        <w:t>Based on the alternative assumptions, the inflation profile at the two-year horizon could be up to </w:t>
      </w:r>
      <w:r>
        <w:rPr>
          <w:position w:val="8"/>
          <w:sz w:val="12"/>
        </w:rPr>
        <w:t>1</w:t>
      </w:r>
      <w:r>
        <w:rPr>
          <w:sz w:val="24"/>
        </w:rPr>
        <w:t>/</w:t>
      </w:r>
      <w:r>
        <w:rPr>
          <w:sz w:val="12"/>
        </w:rPr>
        <w:t>2</w:t>
      </w:r>
      <w:r>
        <w:rPr>
          <w:sz w:val="24"/>
        </w:rPr>
        <w:t>% higher or lower than in the central projection portrayed in Chart 6.2.</w:t>
      </w:r>
    </w:p>
    <w:p>
      <w:pPr>
        <w:pStyle w:val="BodyText"/>
        <w:spacing w:before="9"/>
        <w:rPr>
          <w:sz w:val="24"/>
        </w:rPr>
      </w:pPr>
    </w:p>
    <w:p>
      <w:pPr>
        <w:spacing w:line="242" w:lineRule="auto" w:before="0"/>
        <w:ind w:left="122" w:right="226" w:firstLine="0"/>
        <w:jc w:val="left"/>
        <w:rPr>
          <w:sz w:val="24"/>
        </w:rPr>
      </w:pPr>
      <w:r>
        <w:rPr>
          <w:sz w:val="24"/>
        </w:rPr>
        <w:t>Financial market expectations of the likely future path </w:t>
      </w:r>
      <w:r>
        <w:rPr>
          <w:spacing w:val="-8"/>
          <w:sz w:val="24"/>
        </w:rPr>
        <w:t>of </w:t>
      </w:r>
      <w:r>
        <w:rPr>
          <w:sz w:val="24"/>
        </w:rPr>
        <w:t>official rates are lower than in </w:t>
      </w:r>
      <w:r>
        <w:rPr>
          <w:spacing w:val="-3"/>
          <w:sz w:val="24"/>
        </w:rPr>
        <w:t>February. </w:t>
      </w:r>
      <w:r>
        <w:rPr>
          <w:sz w:val="24"/>
        </w:rPr>
        <w:t>Drawing on information from the government bond and gilt repo curve, market expectations are for official rates to rise over the next six to nine months to a peak of around 6</w:t>
      </w:r>
      <w:r>
        <w:rPr>
          <w:position w:val="8"/>
          <w:sz w:val="12"/>
        </w:rPr>
        <w:t>1</w:t>
      </w:r>
      <w:r>
        <w:rPr>
          <w:sz w:val="24"/>
        </w:rPr>
        <w:t>/</w:t>
      </w:r>
      <w:r>
        <w:rPr>
          <w:sz w:val="12"/>
        </w:rPr>
        <w:t>2</w:t>
      </w:r>
      <w:r>
        <w:rPr>
          <w:sz w:val="24"/>
        </w:rPr>
        <w:t>%, before drifting down slightly over the subsequent twelve months (see </w:t>
      </w:r>
      <w:r>
        <w:rPr>
          <w:spacing w:val="-5"/>
          <w:sz w:val="24"/>
        </w:rPr>
        <w:t>Table </w:t>
      </w:r>
      <w:r>
        <w:rPr>
          <w:sz w:val="24"/>
        </w:rPr>
        <w:t>6.C). The </w:t>
      </w:r>
      <w:r>
        <w:rPr>
          <w:spacing w:val="-3"/>
          <w:sz w:val="24"/>
        </w:rPr>
        <w:t>Committee’s </w:t>
      </w:r>
      <w:r>
        <w:rPr>
          <w:sz w:val="24"/>
        </w:rPr>
        <w:t>projections based on the assumption that</w:t>
      </w:r>
      <w:r>
        <w:rPr>
          <w:spacing w:val="-4"/>
          <w:sz w:val="24"/>
        </w:rPr>
        <w:t> </w:t>
      </w:r>
      <w:r>
        <w:rPr>
          <w:sz w:val="24"/>
        </w:rPr>
        <w:t>official</w:t>
      </w:r>
    </w:p>
    <w:p>
      <w:pPr>
        <w:spacing w:line="242" w:lineRule="auto" w:before="10"/>
        <w:ind w:left="122" w:right="453" w:firstLine="0"/>
        <w:jc w:val="left"/>
        <w:rPr>
          <w:sz w:val="24"/>
        </w:rPr>
      </w:pPr>
      <w:r>
        <w:rPr>
          <w:sz w:val="24"/>
        </w:rPr>
        <w:t>rates move in line with inferred market </w:t>
      </w:r>
      <w:r>
        <w:rPr>
          <w:spacing w:val="-3"/>
          <w:sz w:val="24"/>
        </w:rPr>
        <w:t>expectations </w:t>
      </w:r>
      <w:r>
        <w:rPr>
          <w:sz w:val="24"/>
        </w:rPr>
        <w:t>are shown in Charts 6.6 and 6.7. These projections continue to show a lower profile for inflation</w:t>
      </w:r>
      <w:r>
        <w:rPr>
          <w:spacing w:val="-37"/>
          <w:sz w:val="24"/>
        </w:rPr>
        <w:t> </w:t>
      </w:r>
      <w:r>
        <w:rPr>
          <w:sz w:val="24"/>
        </w:rPr>
        <w:t>and</w:t>
      </w:r>
    </w:p>
    <w:p>
      <w:pPr>
        <w:spacing w:line="242" w:lineRule="auto" w:before="4"/>
        <w:ind w:left="122" w:right="249" w:firstLine="0"/>
        <w:jc w:val="left"/>
        <w:rPr>
          <w:sz w:val="24"/>
        </w:rPr>
      </w:pPr>
      <w:r>
        <w:rPr>
          <w:sz w:val="24"/>
        </w:rPr>
        <w:t>output than in the projections based on constant nominal rates. The difference between the projections has narrowed, however, as market interest rate expectations have fallen.</w:t>
      </w:r>
    </w:p>
    <w:p>
      <w:pPr>
        <w:spacing w:after="0" w:line="242" w:lineRule="auto"/>
        <w:jc w:val="left"/>
        <w:rPr>
          <w:sz w:val="24"/>
        </w:rPr>
        <w:sectPr>
          <w:type w:val="continuous"/>
          <w:pgSz w:w="11900" w:h="16840"/>
          <w:pgMar w:top="1220" w:bottom="280" w:left="640" w:right="620"/>
          <w:cols w:num="2" w:equalWidth="0">
            <w:col w:w="4223" w:space="600"/>
            <w:col w:w="5817"/>
          </w:cols>
        </w:sectPr>
      </w:pPr>
    </w:p>
    <w:p>
      <w:pPr>
        <w:pStyle w:val="BodyText"/>
        <w:rPr>
          <w:sz w:val="20"/>
        </w:rPr>
      </w:pPr>
    </w:p>
    <w:p>
      <w:pPr>
        <w:spacing w:after="0"/>
        <w:rPr>
          <w:sz w:val="20"/>
        </w:rPr>
        <w:sectPr>
          <w:pgSz w:w="11900" w:h="16840"/>
          <w:pgMar w:header="586" w:footer="597" w:top="780" w:bottom="780" w:left="640" w:right="620"/>
        </w:sectPr>
      </w:pPr>
    </w:p>
    <w:p>
      <w:pPr>
        <w:pStyle w:val="BodyText"/>
        <w:spacing w:before="5"/>
        <w:rPr>
          <w:sz w:val="21"/>
        </w:rPr>
      </w:pPr>
    </w:p>
    <w:p>
      <w:pPr>
        <w:spacing w:before="0"/>
        <w:ind w:left="170" w:right="0" w:firstLine="0"/>
        <w:jc w:val="left"/>
        <w:rPr>
          <w:b/>
          <w:sz w:val="20"/>
        </w:rPr>
      </w:pPr>
      <w:bookmarkStart w:name="Other forecasts" w:id="89"/>
      <w:bookmarkEnd w:id="89"/>
      <w:r>
        <w:rPr/>
      </w:r>
      <w:bookmarkStart w:name="_bookmark44" w:id="90"/>
      <w:bookmarkEnd w:id="90"/>
      <w:r>
        <w:rPr/>
      </w:r>
      <w:r>
        <w:rPr>
          <w:b/>
          <w:color w:val="0092C7"/>
          <w:sz w:val="20"/>
        </w:rPr>
        <w:t>Chart 6.6</w:t>
      </w:r>
    </w:p>
    <w:p>
      <w:pPr>
        <w:spacing w:line="249" w:lineRule="auto" w:before="10"/>
        <w:ind w:left="170" w:right="364" w:firstLine="0"/>
        <w:jc w:val="left"/>
        <w:rPr>
          <w:b/>
          <w:sz w:val="20"/>
        </w:rPr>
      </w:pPr>
      <w:r>
        <w:rPr>
          <w:b/>
          <w:color w:val="0092C7"/>
          <w:sz w:val="20"/>
        </w:rPr>
        <w:t>Current RPIX inflation projection based on market interest rate expectations</w:t>
      </w:r>
    </w:p>
    <w:p>
      <w:pPr>
        <w:spacing w:before="127"/>
        <w:ind w:left="1937" w:right="0" w:firstLine="0"/>
        <w:jc w:val="left"/>
        <w:rPr>
          <w:sz w:val="12"/>
        </w:rPr>
      </w:pPr>
      <w:r>
        <w:rPr/>
        <w:pict>
          <v:line style="position:absolute;mso-position-horizontal-relative:page;mso-position-vertical-relative:paragraph;z-index:16343552" from="41.477001pt,13.911585pt" to="46.168001pt,13.911585pt" stroked="true" strokeweight=".5pt" strokecolor="#000000">
            <v:stroke dashstyle="solid"/>
            <w10:wrap type="none"/>
          </v:line>
        </w:pict>
      </w:r>
      <w:r>
        <w:rPr>
          <w:sz w:val="12"/>
        </w:rPr>
        <w:t>Percentage increase in prices on a year earl</w:t>
      </w:r>
      <w:r>
        <w:rPr>
          <w:sz w:val="12"/>
          <w:u w:val="single"/>
        </w:rPr>
        <w:t>ie</w:t>
      </w:r>
      <w:r>
        <w:rPr>
          <w:sz w:val="12"/>
        </w:rPr>
        <w:t>r </w:t>
      </w:r>
      <w:r>
        <w:rPr>
          <w:position w:val="-6"/>
          <w:sz w:val="12"/>
        </w:rPr>
        <w:t>5</w:t>
      </w:r>
    </w:p>
    <w:p>
      <w:pPr>
        <w:pStyle w:val="BodyText"/>
        <w:spacing w:before="5"/>
        <w:rPr>
          <w:sz w:val="21"/>
        </w:rPr>
      </w:pPr>
      <w:r>
        <w:rPr/>
        <w:br w:type="column"/>
      </w:r>
      <w:r>
        <w:rPr>
          <w:sz w:val="21"/>
        </w:rPr>
      </w:r>
    </w:p>
    <w:p>
      <w:pPr>
        <w:spacing w:before="0"/>
        <w:ind w:left="170" w:right="0" w:firstLine="0"/>
        <w:jc w:val="left"/>
        <w:rPr>
          <w:b/>
          <w:sz w:val="20"/>
        </w:rPr>
      </w:pPr>
      <w:r>
        <w:rPr>
          <w:b/>
          <w:color w:val="0092C7"/>
          <w:sz w:val="20"/>
        </w:rPr>
        <w:t>Chart 6.7</w:t>
      </w:r>
    </w:p>
    <w:p>
      <w:pPr>
        <w:spacing w:line="249" w:lineRule="auto" w:before="10"/>
        <w:ind w:left="170" w:right="1384" w:firstLine="0"/>
        <w:jc w:val="left"/>
        <w:rPr>
          <w:b/>
          <w:sz w:val="20"/>
        </w:rPr>
      </w:pPr>
      <w:r>
        <w:rPr>
          <w:b/>
          <w:color w:val="0092C7"/>
          <w:sz w:val="20"/>
        </w:rPr>
        <w:t>Current GDP projection based on market interest rate expectations</w:t>
      </w:r>
    </w:p>
    <w:p>
      <w:pPr>
        <w:spacing w:before="128"/>
        <w:ind w:left="1907" w:right="0" w:firstLine="0"/>
        <w:jc w:val="left"/>
        <w:rPr>
          <w:sz w:val="12"/>
        </w:rPr>
      </w:pPr>
      <w:r>
        <w:rPr/>
        <w:pict>
          <v:line style="position:absolute;mso-position-horizontal-relative:page;mso-position-vertical-relative:paragraph;z-index:16350720" from="282.959991pt,14.918554pt" to="287.651991pt,14.918554pt" stroked="true" strokeweight=".5pt" strokecolor="#000000">
            <v:stroke dashstyle="solid"/>
            <w10:wrap type="none"/>
          </v:line>
        </w:pict>
      </w:r>
      <w:r>
        <w:rPr/>
        <w:pict>
          <v:line style="position:absolute;mso-position-horizontal-relative:page;mso-position-vertical-relative:paragraph;z-index:-22259712" from="479.213003pt,14.918554pt" to="474.522003pt,14.918554pt" stroked="true" strokeweight=".5pt" strokecolor="#000000">
            <v:stroke dashstyle="solid"/>
            <w10:wrap type="none"/>
          </v:line>
        </w:pict>
      </w:r>
      <w:r>
        <w:rPr>
          <w:sz w:val="12"/>
        </w:rPr>
        <w:t>Percentage increase in output on a year earlier </w:t>
      </w:r>
      <w:r>
        <w:rPr>
          <w:position w:val="-8"/>
          <w:sz w:val="12"/>
        </w:rPr>
        <w:t>6</w:t>
      </w:r>
    </w:p>
    <w:p>
      <w:pPr>
        <w:spacing w:after="0"/>
        <w:jc w:val="left"/>
        <w:rPr>
          <w:sz w:val="12"/>
        </w:rPr>
        <w:sectPr>
          <w:type w:val="continuous"/>
          <w:pgSz w:w="11900" w:h="16840"/>
          <w:pgMar w:top="1220" w:bottom="280" w:left="640" w:right="620"/>
          <w:cols w:num="2" w:equalWidth="0">
            <w:col w:w="4293" w:space="507"/>
            <w:col w:w="5840"/>
          </w:cols>
        </w:sectPr>
      </w:pPr>
    </w:p>
    <w:p>
      <w:pPr>
        <w:pStyle w:val="BodyText"/>
        <w:spacing w:before="3"/>
        <w:rPr>
          <w:sz w:val="15"/>
        </w:rPr>
      </w:pPr>
    </w:p>
    <w:p>
      <w:pPr>
        <w:spacing w:before="95"/>
        <w:ind w:left="7387" w:right="0" w:firstLine="0"/>
        <w:jc w:val="center"/>
        <w:rPr>
          <w:sz w:val="12"/>
        </w:rPr>
      </w:pPr>
      <w:r>
        <w:rPr/>
        <w:pict>
          <v:line style="position:absolute;mso-position-horizontal-relative:page;mso-position-vertical-relative:paragraph;z-index:16350208" from="282.959991pt,8.898149pt" to="287.651991pt,8.898149pt" stroked="true" strokeweight=".5pt" strokecolor="#000000">
            <v:stroke dashstyle="solid"/>
            <w10:wrap type="none"/>
          </v:line>
        </w:pict>
      </w:r>
      <w:r>
        <w:rPr/>
        <w:pict>
          <v:line style="position:absolute;mso-position-horizontal-relative:page;mso-position-vertical-relative:paragraph;z-index:16351232" from="479.213003pt,8.898149pt" to="474.522003pt,8.898149pt" stroked="true" strokeweight=".5pt" strokecolor="#000000">
            <v:stroke dashstyle="solid"/>
            <w10:wrap type="none"/>
          </v:line>
        </w:pict>
      </w:r>
      <w:r>
        <w:rPr>
          <w:sz w:val="12"/>
        </w:rPr>
        <w:t>5</w:t>
      </w:r>
    </w:p>
    <w:p>
      <w:pPr>
        <w:spacing w:before="7"/>
        <w:ind w:left="0" w:right="2193" w:firstLine="0"/>
        <w:jc w:val="center"/>
        <w:rPr>
          <w:sz w:val="12"/>
        </w:rPr>
      </w:pPr>
      <w:r>
        <w:rPr/>
        <w:pict>
          <v:line style="position:absolute;mso-position-horizontal-relative:page;mso-position-vertical-relative:paragraph;z-index:16343040" from="41.477001pt,4.497534pt" to="46.168001pt,4.497534pt" stroked="true" strokeweight=".5pt" strokecolor="#000000">
            <v:stroke dashstyle="solid"/>
            <w10:wrap type="none"/>
          </v:line>
        </w:pict>
      </w:r>
      <w:r>
        <w:rPr/>
        <w:pict>
          <v:line style="position:absolute;mso-position-horizontal-relative:page;mso-position-vertical-relative:paragraph;z-index:16345600" from="233.992996pt,4.497534pt" to="238.683996pt,4.497534pt" stroked="true" strokeweight=".5pt" strokecolor="#000000">
            <v:stroke dashstyle="solid"/>
            <w10:wrap type="none"/>
          </v:line>
        </w:pict>
      </w:r>
      <w:r>
        <w:rPr>
          <w:sz w:val="12"/>
        </w:rPr>
        <w:t>4</w:t>
      </w:r>
    </w:p>
    <w:p>
      <w:pPr>
        <w:pStyle w:val="BodyText"/>
        <w:spacing w:before="2"/>
        <w:rPr>
          <w:sz w:val="11"/>
        </w:rPr>
      </w:pPr>
    </w:p>
    <w:p>
      <w:pPr>
        <w:spacing w:before="0"/>
        <w:ind w:left="0" w:right="1594" w:firstLine="0"/>
        <w:jc w:val="right"/>
        <w:rPr>
          <w:sz w:val="12"/>
        </w:rPr>
      </w:pPr>
      <w:r>
        <w:rPr/>
        <w:pict>
          <v:group style="position:absolute;margin-left:41.933998pt;margin-top:1.337333pt;width:188.45pt;height:75.2pt;mso-position-horizontal-relative:page;mso-position-vertical-relative:paragraph;z-index:16340480" coordorigin="839,27" coordsize="3769,1504">
            <v:shape style="position:absolute;left:3307;top:26;width:1300;height:1504" coordorigin="3308,27" coordsize="1300,1504" path="m4607,27l4462,61,4318,79,4174,113,4029,165,3885,361,3741,534,3596,735,3452,873,3308,902,3452,1190,3596,1259,3741,1265,3885,1305,4029,1213,4174,1254,4318,1357,4462,1473,4607,1530,4607,27xe" filled="true" fillcolor="#fdeee8" stroked="false">
              <v:path arrowok="t"/>
              <v:fill type="solid"/>
            </v:shape>
            <v:shape style="position:absolute;left:3307;top:183;width:1300;height:1170" coordorigin="3308,184" coordsize="1300,1170" path="m4607,184l4462,207,4318,219,4174,242,4029,282,3885,466,3741,616,3596,795,3452,910,3308,898,3452,1152,3596,1203,3741,1186,3885,1203,4029,1100,4174,1129,4318,1209,4462,1307,4607,1353,4607,184xe" filled="true" fillcolor="#fcdfd1" stroked="false">
              <v:path arrowok="t"/>
              <v:fill type="solid"/>
            </v:shape>
            <v:shape style="position:absolute;left:3307;top:288;width:1300;height:951" coordorigin="3308,289" coordsize="1300,951" path="m4607,289l4462,312,4318,312,4174,329,4029,364,3885,542,3741,669,3596,836,3452,934,3308,899,3452,1130,3596,1164,3741,1135,3885,1135,4029,1026,4174,1049,4318,1118,4462,1204,4607,1239,4607,289xe" filled="true" fillcolor="#facfb9" stroked="false">
              <v:path arrowok="t"/>
              <v:fill type="solid"/>
            </v:shape>
            <v:shape style="position:absolute;left:3307;top:375;width:1300;height:772" coordorigin="3308,375" coordsize="1300,772" path="m4607,375l4462,393,4318,387,4174,393,4029,427,3885,600,3741,715,3596,865,3452,951,3308,900,3452,1113,3596,1136,3741,1095,3885,1084,4029,969,4174,980,4318,1044,4462,1118,4607,1147,4607,375xe" filled="true" fillcolor="#f8bda3" stroked="false">
              <v:path arrowok="t"/>
              <v:fill type="solid"/>
            </v:shape>
            <v:shape style="position:absolute;left:3307;top:450;width:1300;height:663" coordorigin="3308,450" coordsize="1300,663" path="m4607,450l4462,462,4318,450,4174,456,4029,485,3885,652,3741,755,3596,894,3452,969,3308,899,3452,1101,3596,1113,3741,1061,3885,1038,4029,917,4174,922,4318,974,4462,1043,4607,1066,4607,450xe" filled="true" fillcolor="#f6ab8e" stroked="false">
              <v:path arrowok="t"/>
              <v:fill type="solid"/>
            </v:shape>
            <v:shape style="position:absolute;left:3307;top:505;width:1300;height:582" coordorigin="3308,505" coordsize="1300,582" path="m4318,505l4174,505,4029,534,3885,695,3741,787,3596,920,3452,983,3308,897,3452,1081,3596,1087,3741,1023,3885,995,4029,868,4174,874,4318,914,4462,977,4607,995,4607,511,4462,522,4318,505xe" filled="true" fillcolor="#f19779" stroked="false">
              <v:path arrowok="t"/>
              <v:fill type="solid"/>
            </v:shape>
            <v:shape style="position:absolute;left:3307;top:557;width:1300;height:513" coordorigin="3308,558" coordsize="1300,513" path="m4318,558l4174,558,4029,581,3885,736,3741,823,3596,944,3452,996,3308,898,3452,1071,3596,1065,3741,996,3885,961,4029,829,4174,829,4318,863,4462,915,4607,927,4607,569,4462,575,4318,558xe" filled="true" fillcolor="#ed8267" stroked="false">
              <v:path arrowok="t"/>
              <v:fill type="solid"/>
            </v:shape>
            <v:shape style="position:absolute;left:3307;top:606;width:1300;height:456" coordorigin="3308,607" coordsize="1300,456" path="m4174,607l4029,630,3885,780,3741,860,3596,970,3452,1016,3308,900,3452,1062,3596,1050,3741,975,3885,929,4029,797,4174,791,4318,814,4462,860,4607,866,4607,630,4462,636,4318,612,4174,607xe" filled="true" fillcolor="#ea6b54" stroked="false">
              <v:path arrowok="t"/>
              <v:fill type="solid"/>
            </v:shape>
            <v:shape style="position:absolute;left:3307;top:656;width:1300;height:392" coordorigin="3308,657" coordsize="1300,392" path="m4174,657l4029,674,3885,824,3741,887,3596,991,3452,1025,3308,899,3452,1048,3596,1031,3741,945,3885,893,4029,755,4174,743,4318,760,4462,795,4607,801,4607,686,4462,691,4318,663,4174,657xe" filled="true" fillcolor="#de0035" stroked="false">
              <v:path arrowok="t"/>
              <v:fill type="solid"/>
            </v:shape>
            <v:shape style="position:absolute;left:997;top:265;width:2021;height:605" coordorigin="997,265" coordsize="2021,605" path="m997,490l1142,513m1142,513l1286,467m1430,265l1286,467m1430,265l1575,473m1719,646l1575,473m1863,484l1719,646m1863,484l2008,536m2008,536l2152,651m2296,398l2152,651m2296,398l2441,640m2441,640l2585,663m2729,663l2585,663m2729,663l2874,795m3018,870l2874,795e" filled="false" stroked="true" strokeweight="1pt" strokecolor="#de0035">
              <v:path arrowok="t"/>
              <v:stroke dashstyle="solid"/>
            </v:shape>
            <v:line style="position:absolute" from="3008,873" to="3172,873" stroked="true" strokeweight="1.288pt" strokecolor="#de0035">
              <v:stroke dashstyle="solid"/>
            </v:line>
            <v:line style="position:absolute" from="3163,876" to="3307,899" stroked="true" strokeweight="1.0pt" strokecolor="#de0035">
              <v:stroke dashstyle="solid"/>
            </v:line>
            <v:shape style="position:absolute;left:3306;top:697;width:1300;height:340" coordorigin="3307,697" coordsize="1300,340" path="m3451,1037l3307,899m3596,1008l3451,1037m3596,1008l3740,916m3884,859l3740,916m3884,859l4029,715m4173,697l4029,715m4173,697l4317,715m4317,715l4462,743m4606,743l4462,743e" filled="false" stroked="true" strokeweight=".580pt" strokecolor="#de0035">
              <v:path arrowok="t"/>
              <v:stroke dashstyle="solid"/>
            </v:shape>
            <v:shape style="position:absolute;left:838;top:676;width:3767;height:6" coordorigin="839,677" coordsize="3767,6" path="m989,677l4605,677m839,683l932,683e" filled="false" stroked="true" strokeweight=".5pt" strokecolor="#000000">
              <v:path arrowok="t"/>
              <v:stroke dashstyle="solid"/>
            </v:shape>
            <w10:wrap type="none"/>
          </v:group>
        </w:pict>
      </w:r>
      <w:r>
        <w:rPr/>
        <w:pict>
          <v:group style="position:absolute;margin-left:290.843994pt;margin-top:-.056667pt;width:188.4pt;height:75.5pt;mso-position-horizontal-relative:page;mso-position-vertical-relative:paragraph;z-index:-22264832" coordorigin="5817,-1" coordsize="3768,1510">
            <v:shape style="position:absolute;left:8137;top:-2;width:1300;height:1510" coordorigin="8137,-1" coordsize="1300,1510" path="m8859,-1l8715,40,8570,188,8426,262,8282,316,8137,480,8282,760,8426,1143,8570,1365,8715,1443,8859,1472,9003,1484,9148,1492,9292,1496,9436,1509,9436,44,9292,32,9003,15,8859,-1xe" filled="true" fillcolor="#eaf0ec" stroked="false">
              <v:path arrowok="t"/>
              <v:fill type="solid"/>
            </v:shape>
            <v:shape style="position:absolute;left:8137;top:151;width:1300;height:1165" coordorigin="8137,152" coordsize="1300,1165" path="m8859,152l8715,189,8570,308,8426,349,8282,361,8137,477,8282,703,8426,1040,8570,1225,8715,1279,8859,1300,9003,1304,9292,1304,9436,1316,9436,176,9292,164,9148,164,9003,160,8859,152xe" filled="true" fillcolor="#d4e3dc" stroked="false">
              <v:path arrowok="t"/>
              <v:fill type="solid"/>
            </v:shape>
            <v:shape style="position:absolute;left:8137;top:255;width:1300;height:934" coordorigin="8137,256" coordsize="1300,934" path="m9292,256l9148,260,9003,260,8859,256,8715,284,8570,391,8426,412,8282,391,8137,478,8282,671,8426,967,8570,1132,8715,1165,8859,1181,9003,1185,9292,1177,9436,1190,9436,268,9292,256xe" filled="true" fillcolor="#bdd6c9" stroked="false">
              <v:path arrowok="t"/>
              <v:fill type="solid"/>
            </v:shape>
            <v:shape style="position:absolute;left:8137;top:323;width:1300;height:766" coordorigin="8137,324" coordsize="1300,766" path="m9292,324l9148,332,9003,336,8859,336,8715,361,8570,455,8426,459,8282,414,8137,476,8282,641,8426,912,8570,1060,8715,1077,8859,1089,9003,1089,9292,1073,9436,1085,9436,336,9292,324xe" filled="true" fillcolor="#a7c9b8" stroked="false">
              <v:path arrowok="t"/>
              <v:fill type="solid"/>
            </v:shape>
            <v:shape style="position:absolute;left:8137;top:388;width:1300;height:626" coordorigin="8137,388" coordsize="1300,626" path="m9292,388l9148,396,9003,409,8859,409,8715,429,8570,516,8426,508,8282,438,8137,479,8282,619,8426,870,8570,997,8859,1014,9003,1009,9148,1001,9292,989,9436,1001,9436,401,9292,388xe" filled="true" fillcolor="#8dbda9" stroked="false">
              <v:path arrowok="t"/>
              <v:fill type="solid"/>
            </v:shape>
            <v:shape style="position:absolute;left:8137;top:441;width:1300;height:498" coordorigin="8137,441" coordsize="1300,498" path="m9292,441l9003,466,8859,470,8715,491,8570,565,8426,544,8282,458,8137,478,8282,598,8426,824,8570,939,8715,935,8859,939,9003,935,9292,910,9436,923,9436,454,9292,441xe" filled="true" fillcolor="#76b19a" stroked="false">
              <v:path arrowok="t"/>
              <v:fill type="solid"/>
            </v:shape>
            <v:shape style="position:absolute;left:8137;top:473;width:1300;height:412" coordorigin="8137,474" coordsize="1300,412" path="m8282,474l8137,478,8282,576,8426,782,8570,885,8715,873,8859,873,9003,864,9148,848,9292,836,9436,848,9436,502,9292,490,9148,502,9003,519,8859,527,8715,543,8570,609,8426,576,8282,474xe" filled="true" fillcolor="#57a68a" stroked="false">
              <v:path arrowok="t"/>
              <v:fill type="solid"/>
            </v:shape>
            <v:shape style="position:absolute;left:8137;top:477;width:1300;height:358" coordorigin="8137,478" coordsize="1300,358" path="m8137,478l8282,560,8426,745,8570,836,8715,815,8859,811,9003,803,9148,782,9292,766,9436,778,9436,552,9292,539,9148,556,9003,577,8859,585,8715,597,8570,655,8426,609,8282,490,8137,478xe" filled="true" fillcolor="#309a7b" stroked="false">
              <v:path arrowok="t"/>
              <v:fill type="solid"/>
            </v:shape>
            <v:shape style="position:absolute;left:8137;top:478;width:1300;height:313" coordorigin="8137,478" coordsize="1300,313" path="m8137,478l8282,540,8426,713,8570,791,8715,758,8859,754,9003,742,9292,701,9436,713,9436,598,9292,585,9003,626,8715,651,8570,701,8426,643,8282,507,8137,478xe" filled="true" fillcolor="#008360" stroked="false">
              <v:path arrowok="t"/>
              <v:fill type="solid"/>
            </v:shape>
            <v:shape style="position:absolute;left:9490;top:82;width:94;height:1235" coordorigin="9490,83" coordsize="94,1235" path="m9490,1317l9584,1317m9490,906l9584,906m9490,494l9584,494m9490,83l9584,83e" filled="false" stroked="true" strokeweight=".5pt" strokecolor="#000000">
              <v:path arrowok="t"/>
              <v:stroke dashstyle="solid"/>
            </v:shape>
            <v:shape style="position:absolute;left:5826;top:128;width:1588;height:988" coordorigin="5827,128" coordsize="1588,988" path="m5971,725l5827,786m5971,725l6116,655m6116,655l6260,540m6404,420l6260,540m6404,420l6549,280m6693,128l6549,280m6693,128l6837,313m6837,313l6982,593m7126,708l6982,593m7126,708l7270,930m7415,1116l7270,930e" filled="false" stroked="true" strokeweight="1pt" strokecolor="#008360">
              <v:path arrowok="t"/>
              <v:stroke dashstyle="solid"/>
            </v:shape>
            <v:line style="position:absolute" from="7405,1120" to="7569,1120" stroked="true" strokeweight="1.412pt" strokecolor="#008360">
              <v:stroke dashstyle="solid"/>
            </v:line>
            <v:shape style="position:absolute;left:7559;top:477;width:578;height:646" coordorigin="7559,478" coordsize="578,646" path="m7703,1054l7559,1124m7703,1054l7848,828m7992,515l7848,828m7992,515l8137,478e" filled="false" stroked="true" strokeweight="1pt" strokecolor="#008360">
              <v:path arrowok="t"/>
              <v:stroke dashstyle="solid"/>
            </v:shape>
            <v:shape style="position:absolute;left:8136;top:477;width:578;height:264" coordorigin="8137,478" coordsize="578,264" path="m8281,523l8137,478m8425,675l8281,523m8425,675l8570,741m8570,741l8714,700e" filled="false" stroked="true" strokeweight=".580pt" strokecolor="#008360">
              <v:path arrowok="t"/>
              <v:stroke dashstyle="solid"/>
            </v:shape>
            <v:line style="position:absolute" from="8708,696" to="8864,696" stroked="true" strokeweight=".991pt" strokecolor="#008360">
              <v:stroke dashstyle="solid"/>
            </v:line>
            <v:line style="position:absolute" from="8852,686" to="9008,686" stroked="true" strokeweight="1.198pt" strokecolor="#008360">
              <v:stroke dashstyle="solid"/>
            </v:line>
            <v:shape style="position:absolute;left:9002;top:634;width:289;height:46" coordorigin="9003,634" coordsize="289,46" path="m9003,680l9147,655m9147,655l9291,634e" filled="false" stroked="true" strokeweight=".580pt" strokecolor="#008360">
              <v:path arrowok="t"/>
              <v:stroke dashstyle="solid"/>
            </v:shape>
            <v:line style="position:absolute" from="9286,640" to="9441,640" stroked="true" strokeweight="1.197pt" strokecolor="#008360">
              <v:stroke dashstyle="solid"/>
            </v:line>
            <w10:wrap type="none"/>
          </v:group>
        </w:pict>
      </w:r>
      <w:r>
        <w:rPr/>
        <w:pict>
          <v:line style="position:absolute;mso-position-horizontal-relative:page;mso-position-vertical-relative:paragraph;z-index:16349696" from="287.651991pt,4.148334pt" to="282.959991pt,4.148334pt" stroked="true" strokeweight=".5pt" strokecolor="#000000">
            <v:stroke dashstyle="solid"/>
            <w10:wrap type="none"/>
          </v:line>
        </w:pict>
      </w:r>
      <w:r>
        <w:rPr>
          <w:sz w:val="12"/>
        </w:rPr>
        <w:t>4</w:t>
      </w:r>
    </w:p>
    <w:p>
      <w:pPr>
        <w:pStyle w:val="BodyText"/>
        <w:spacing w:before="10"/>
        <w:rPr>
          <w:sz w:val="14"/>
        </w:rPr>
      </w:pPr>
    </w:p>
    <w:p>
      <w:pPr>
        <w:spacing w:line="120" w:lineRule="exact" w:before="1"/>
        <w:ind w:left="0" w:right="2193" w:firstLine="0"/>
        <w:jc w:val="center"/>
        <w:rPr>
          <w:sz w:val="12"/>
        </w:rPr>
      </w:pPr>
      <w:r>
        <w:rPr/>
        <w:pict>
          <v:line style="position:absolute;mso-position-horizontal-relative:page;mso-position-vertical-relative:paragraph;z-index:16342528" from="41.477001pt,4.197157pt" to="46.168001pt,4.197157pt" stroked="true" strokeweight=".5pt" strokecolor="#000000">
            <v:stroke dashstyle="solid"/>
            <w10:wrap type="none"/>
          </v:line>
        </w:pict>
      </w:r>
      <w:r>
        <w:rPr/>
        <w:pict>
          <v:line style="position:absolute;mso-position-horizontal-relative:page;mso-position-vertical-relative:paragraph;z-index:16345088" from="233.992996pt,4.197157pt" to="238.683996pt,4.197157pt" stroked="true" strokeweight=".5pt" strokecolor="#000000">
            <v:stroke dashstyle="solid"/>
            <w10:wrap type="none"/>
          </v:line>
        </w:pict>
      </w:r>
      <w:r>
        <w:rPr>
          <w:sz w:val="12"/>
        </w:rPr>
        <w:t>3</w:t>
      </w:r>
    </w:p>
    <w:p>
      <w:pPr>
        <w:spacing w:line="120" w:lineRule="exact" w:before="0"/>
        <w:ind w:left="7387" w:right="0" w:firstLine="0"/>
        <w:jc w:val="center"/>
        <w:rPr>
          <w:sz w:val="12"/>
        </w:rPr>
      </w:pPr>
      <w:r>
        <w:rPr/>
        <w:pict>
          <v:line style="position:absolute;mso-position-horizontal-relative:page;mso-position-vertical-relative:paragraph;z-index:16349184" from="287.651991pt,3.256046pt" to="282.959991pt,3.256046pt" stroked="true" strokeweight=".5pt" strokecolor="#000000">
            <v:stroke dashstyle="solid"/>
            <w10:wrap type="none"/>
          </v:line>
        </w:pict>
      </w:r>
      <w:r>
        <w:rPr>
          <w:sz w:val="12"/>
        </w:rPr>
        <w:t>3</w:t>
      </w:r>
    </w:p>
    <w:p>
      <w:pPr>
        <w:spacing w:before="55"/>
        <w:ind w:left="421" w:right="2538" w:firstLine="0"/>
        <w:jc w:val="center"/>
        <w:rPr>
          <w:sz w:val="12"/>
        </w:rPr>
      </w:pPr>
      <w:r>
        <w:rPr/>
        <w:pict>
          <v:line style="position:absolute;mso-position-horizontal-relative:page;mso-position-vertical-relative:paragraph;z-index:16346112" from="233.871994pt,6.643555pt" to="238.562994pt,6.643555pt" stroked="true" strokeweight=".5pt" strokecolor="#000000">
            <v:stroke dashstyle="solid"/>
            <w10:wrap type="none"/>
          </v:line>
        </w:pict>
      </w:r>
      <w:r>
        <w:rPr>
          <w:sz w:val="12"/>
        </w:rPr>
        <w:t>2.5</w:t>
      </w:r>
    </w:p>
    <w:p>
      <w:pPr>
        <w:tabs>
          <w:tab w:pos="8983" w:val="left" w:leader="none"/>
        </w:tabs>
        <w:spacing w:before="80"/>
        <w:ind w:left="4192" w:right="0" w:firstLine="0"/>
        <w:jc w:val="left"/>
        <w:rPr>
          <w:sz w:val="12"/>
        </w:rPr>
      </w:pPr>
      <w:r>
        <w:rPr/>
        <w:pict>
          <v:line style="position:absolute;mso-position-horizontal-relative:page;mso-position-vertical-relative:paragraph;z-index:16342016" from="46.168001pt,11.263366pt" to="41.477001pt,11.263366pt" stroked="true" strokeweight=".5pt" strokecolor="#000000">
            <v:stroke dashstyle="solid"/>
            <w10:wrap type="none"/>
          </v:line>
        </w:pict>
      </w:r>
      <w:r>
        <w:rPr/>
        <w:pict>
          <v:line style="position:absolute;mso-position-horizontal-relative:page;mso-position-vertical-relative:paragraph;z-index:16344576" from="238.683996pt,11.263366pt" to="233.992996pt,11.263366pt" stroked="true" strokeweight=".5pt" strokecolor="#000000">
            <v:stroke dashstyle="solid"/>
            <w10:wrap type="none"/>
          </v:line>
        </w:pict>
      </w:r>
      <w:r>
        <w:rPr/>
        <w:pict>
          <v:line style="position:absolute;mso-position-horizontal-relative:page;mso-position-vertical-relative:paragraph;z-index:-22262784" from="287.651991pt,8.147366pt" to="282.959991pt,8.147366pt" stroked="true" strokeweight=".5pt" strokecolor="#000000">
            <v:stroke dashstyle="solid"/>
            <w10:wrap type="none"/>
          </v:line>
        </w:pict>
      </w:r>
      <w:r>
        <w:rPr>
          <w:position w:val="-5"/>
          <w:sz w:val="12"/>
        </w:rPr>
        <w:t>2</w:t>
        <w:tab/>
      </w:r>
      <w:r>
        <w:rPr>
          <w:sz w:val="12"/>
        </w:rPr>
        <w:t>2</w:t>
      </w:r>
    </w:p>
    <w:p>
      <w:pPr>
        <w:pStyle w:val="BodyText"/>
        <w:spacing w:before="3"/>
        <w:rPr>
          <w:sz w:val="10"/>
        </w:rPr>
      </w:pPr>
    </w:p>
    <w:p>
      <w:pPr>
        <w:spacing w:before="95"/>
        <w:ind w:left="0" w:right="1594" w:firstLine="0"/>
        <w:jc w:val="right"/>
        <w:rPr>
          <w:sz w:val="12"/>
        </w:rPr>
      </w:pPr>
      <w:r>
        <w:rPr/>
        <w:pict>
          <v:line style="position:absolute;mso-position-horizontal-relative:page;mso-position-vertical-relative:paragraph;z-index:16348160" from="287.651991pt,8.897382pt" to="282.959991pt,8.897382pt" stroked="true" strokeweight=".5pt" strokecolor="#000000">
            <v:stroke dashstyle="solid"/>
            <w10:wrap type="none"/>
          </v:line>
        </w:pict>
      </w:r>
      <w:r>
        <w:rPr>
          <w:sz w:val="12"/>
        </w:rPr>
        <w:t>1</w:t>
      </w:r>
    </w:p>
    <w:p>
      <w:pPr>
        <w:tabs>
          <w:tab w:pos="8892" w:val="left" w:leader="none"/>
        </w:tabs>
        <w:spacing w:before="82"/>
        <w:ind w:left="4192" w:right="0" w:firstLine="0"/>
        <w:jc w:val="left"/>
        <w:rPr>
          <w:sz w:val="16"/>
        </w:rPr>
      </w:pPr>
      <w:r>
        <w:rPr/>
        <w:pict>
          <v:line style="position:absolute;mso-position-horizontal-relative:page;mso-position-vertical-relative:paragraph;z-index:16341504" from="46.168001pt,8.614148pt" to="41.477001pt,8.614148pt" stroked="true" strokeweight=".5pt" strokecolor="#000000">
            <v:stroke dashstyle="solid"/>
            <w10:wrap type="none"/>
          </v:line>
        </w:pict>
      </w:r>
      <w:r>
        <w:rPr/>
        <w:pict>
          <v:line style="position:absolute;mso-position-horizontal-relative:page;mso-position-vertical-relative:paragraph;z-index:16344064" from="233.992996pt,8.614148pt" to="238.683996pt,8.614148pt" stroked="true" strokeweight=".5pt" strokecolor="#000000">
            <v:stroke dashstyle="solid"/>
            <w10:wrap type="none"/>
          </v:line>
        </w:pict>
      </w:r>
      <w:r>
        <w:rPr>
          <w:sz w:val="12"/>
        </w:rPr>
        <w:t>1</w:t>
        <w:tab/>
      </w:r>
      <w:r>
        <w:rPr>
          <w:position w:val="-2"/>
          <w:sz w:val="16"/>
        </w:rPr>
        <w:t>+</w:t>
      </w:r>
    </w:p>
    <w:p>
      <w:pPr>
        <w:spacing w:after="0"/>
        <w:jc w:val="left"/>
        <w:rPr>
          <w:sz w:val="16"/>
        </w:rPr>
        <w:sectPr>
          <w:type w:val="continuous"/>
          <w:pgSz w:w="11900" w:h="16840"/>
          <w:pgMar w:top="1220" w:bottom="280" w:left="640" w:right="620"/>
        </w:sectPr>
      </w:pPr>
    </w:p>
    <w:p>
      <w:pPr>
        <w:pStyle w:val="BodyText"/>
        <w:rPr>
          <w:sz w:val="12"/>
        </w:rPr>
      </w:pPr>
    </w:p>
    <w:p>
      <w:pPr>
        <w:pStyle w:val="BodyText"/>
        <w:rPr>
          <w:sz w:val="12"/>
        </w:rPr>
      </w:pPr>
    </w:p>
    <w:p>
      <w:pPr>
        <w:pStyle w:val="BodyText"/>
        <w:spacing w:before="8"/>
        <w:rPr>
          <w:sz w:val="10"/>
        </w:rPr>
      </w:pPr>
    </w:p>
    <w:p>
      <w:pPr>
        <w:spacing w:line="132" w:lineRule="exact" w:before="0"/>
        <w:ind w:left="4192" w:right="0" w:firstLine="0"/>
        <w:jc w:val="left"/>
        <w:rPr>
          <w:sz w:val="12"/>
        </w:rPr>
      </w:pPr>
      <w:r>
        <w:rPr/>
        <w:pict>
          <v:group style="position:absolute;margin-left:41.477001pt;margin-top:-.685417pt;width:197.25pt;height:5.25pt;mso-position-horizontal-relative:page;mso-position-vertical-relative:paragraph;z-index:16340992" coordorigin="830,-14" coordsize="3945,105">
            <v:line style="position:absolute" from="997,-14" to="997,83" stroked="true" strokeweight=".580pt" strokecolor="#000000">
              <v:stroke dashstyle="solid"/>
            </v:line>
            <v:line style="position:absolute" from="830,83" to="923,83" stroked="true" strokeweight=".5pt" strokecolor="#000000">
              <v:stroke dashstyle="solid"/>
            </v:line>
            <v:shape style="position:absolute;left:1141;top:-14;width:3465;height:97" coordorigin="1142,-14" coordsize="3465,97" path="m1142,31l1142,83m1286,83l1286,31m1430,31l1430,83m1575,-14l1575,83m1719,31l1719,83m1863,83l1863,31m2008,83l2008,31m2152,-14l2152,83m2296,83l2296,31m2441,83l2441,31m2585,31l2585,83m2729,-14l2729,83m2874,31l2874,83m3018,31l3018,83m3162,83l3162,31m3307,-14l3307,83m3451,83l3451,31m3596,83l3596,31m3740,83l3740,31m3884,-14l3884,83m4029,31l4029,83m4173,83l4173,31m4317,31l4317,83m4462,83l4462,-14m4606,83l4606,31e" filled="false" stroked="true" strokeweight=".580pt" strokecolor="#000000">
              <v:path arrowok="t"/>
              <v:stroke dashstyle="solid"/>
            </v:shape>
            <v:shape style="position:absolute;left:994;top:82;width:3780;height:4" coordorigin="995,83" coordsize="3780,4" path="m4774,83l4680,83m995,86l4611,86e" filled="false" stroked="true" strokeweight=".5pt" strokecolor="#000000">
              <v:path arrowok="t"/>
              <v:stroke dashstyle="solid"/>
            </v:shape>
            <w10:wrap type="none"/>
          </v:group>
        </w:pict>
      </w:r>
      <w:r>
        <w:rPr>
          <w:sz w:val="12"/>
        </w:rPr>
        <w:t>0</w:t>
      </w:r>
    </w:p>
    <w:p>
      <w:pPr>
        <w:tabs>
          <w:tab w:pos="1150" w:val="left" w:leader="none"/>
          <w:tab w:pos="1730" w:val="left" w:leader="none"/>
          <w:tab w:pos="2322" w:val="left" w:leader="none"/>
          <w:tab w:pos="2837" w:val="left" w:leader="none"/>
          <w:tab w:pos="3455" w:val="left" w:leader="none"/>
          <w:tab w:pos="3856" w:val="left" w:leader="none"/>
        </w:tabs>
        <w:spacing w:line="132" w:lineRule="exact" w:before="0"/>
        <w:ind w:left="520" w:right="0" w:firstLine="0"/>
        <w:jc w:val="left"/>
        <w:rPr>
          <w:sz w:val="12"/>
        </w:rPr>
      </w:pPr>
      <w:r>
        <w:rPr>
          <w:sz w:val="12"/>
        </w:rPr>
        <w:t>1996</w:t>
        <w:tab/>
        <w:t>97</w:t>
        <w:tab/>
        <w:t>98</w:t>
        <w:tab/>
        <w:t>99</w:t>
        <w:tab/>
        <w:t>2000</w:t>
        <w:tab/>
        <w:t>01</w:t>
        <w:tab/>
        <w:t>02</w:t>
      </w:r>
    </w:p>
    <w:p>
      <w:pPr>
        <w:tabs>
          <w:tab w:pos="3765" w:val="left" w:leader="none"/>
        </w:tabs>
        <w:spacing w:line="133" w:lineRule="exact" w:before="8"/>
        <w:ind w:left="0" w:right="1073" w:firstLine="0"/>
        <w:jc w:val="center"/>
        <w:rPr>
          <w:sz w:val="12"/>
        </w:rPr>
      </w:pPr>
      <w:r>
        <w:rPr/>
        <w:br w:type="column"/>
      </w:r>
      <w:r>
        <w:rPr>
          <w:sz w:val="12"/>
          <w:u w:val="single"/>
        </w:rPr>
        <w:t> </w:t>
        <w:tab/>
      </w:r>
      <w:r>
        <w:rPr>
          <w:spacing w:val="9"/>
          <w:sz w:val="12"/>
        </w:rPr>
        <w:t> </w:t>
      </w:r>
      <w:r>
        <w:rPr>
          <w:sz w:val="12"/>
        </w:rPr>
        <w:t>0</w:t>
      </w:r>
    </w:p>
    <w:p>
      <w:pPr>
        <w:spacing w:line="179" w:lineRule="exact" w:before="0"/>
        <w:ind w:left="4234" w:right="0" w:firstLine="0"/>
        <w:jc w:val="left"/>
        <w:rPr>
          <w:sz w:val="16"/>
        </w:rPr>
      </w:pPr>
      <w:r>
        <w:rPr/>
        <w:pict>
          <v:line style="position:absolute;mso-position-horizontal-relative:page;mso-position-vertical-relative:paragraph;z-index:16347648" from="287.651991pt,-2.510545pt" to="282.959991pt,-2.510545pt" stroked="true" strokeweight=".5pt" strokecolor="#000000">
            <v:stroke dashstyle="solid"/>
            <w10:wrap type="none"/>
          </v:line>
        </w:pict>
      </w:r>
      <w:r>
        <w:rPr>
          <w:sz w:val="16"/>
        </w:rPr>
        <w:t>–</w:t>
      </w:r>
    </w:p>
    <w:p>
      <w:pPr>
        <w:spacing w:line="134" w:lineRule="exact" w:before="99"/>
        <w:ind w:left="4326" w:right="0" w:firstLine="0"/>
        <w:jc w:val="left"/>
        <w:rPr>
          <w:sz w:val="12"/>
        </w:rPr>
      </w:pPr>
      <w:r>
        <w:rPr/>
        <w:pict>
          <v:shape style="position:absolute;margin-left:282.959991pt;margin-top:4.264583pt;width:196.3pt;height:5pt;mso-position-horizontal-relative:page;mso-position-vertical-relative:paragraph;z-index:16347136" coordorigin="5659,85" coordsize="3926,100" path="m5827,85l5827,185m5659,182l5753,182m5971,133l5971,185m6116,185l6116,133m6260,185l6260,133m6404,85l6404,185m6549,185l6549,133m6693,185l6693,133m6837,133l6837,185m6982,185l6982,85m7126,185l7126,133m7270,133l7270,185m7415,185l7415,133m7559,185l7559,85m7703,133l7703,185m7848,133l7848,185m7992,185l7992,133m8136,85l8136,185m8281,133l8281,185m8425,133l8425,185m8570,133l8570,185m8714,185l8714,85m8858,133l8858,185m9003,133l9003,185m9147,185l9147,133m9291,185l9291,85m9436,133l9436,185m9584,182l9490,182m5818,185l9436,185e" filled="false" stroked="true" strokeweight=".5pt" strokecolor="#000000">
            <v:path arrowok="t"/>
            <v:stroke dashstyle="solid"/>
            <w10:wrap type="none"/>
          </v:shape>
        </w:pict>
      </w:r>
      <w:r>
        <w:rPr>
          <w:sz w:val="12"/>
        </w:rPr>
        <w:t>1</w:t>
      </w:r>
    </w:p>
    <w:p>
      <w:pPr>
        <w:tabs>
          <w:tab w:pos="642" w:val="left" w:leader="none"/>
          <w:tab w:pos="1227" w:val="left" w:leader="none"/>
          <w:tab w:pos="1806" w:val="left" w:leader="none"/>
          <w:tab w:pos="2318" w:val="left" w:leader="none"/>
          <w:tab w:pos="2936" w:val="left" w:leader="none"/>
          <w:tab w:pos="3316" w:val="left" w:leader="none"/>
        </w:tabs>
        <w:spacing w:line="134" w:lineRule="exact" w:before="0"/>
        <w:ind w:left="0" w:right="1137" w:firstLine="0"/>
        <w:jc w:val="center"/>
        <w:rPr>
          <w:sz w:val="12"/>
        </w:rPr>
      </w:pPr>
      <w:r>
        <w:rPr>
          <w:sz w:val="12"/>
        </w:rPr>
        <w:t>1996</w:t>
        <w:tab/>
        <w:t>97</w:t>
        <w:tab/>
        <w:t>98</w:t>
        <w:tab/>
        <w:t>99</w:t>
        <w:tab/>
        <w:t>2000</w:t>
        <w:tab/>
        <w:t>01</w:t>
        <w:tab/>
        <w:t>02</w:t>
      </w:r>
    </w:p>
    <w:p>
      <w:pPr>
        <w:spacing w:after="0" w:line="134" w:lineRule="exact"/>
        <w:jc w:val="center"/>
        <w:rPr>
          <w:sz w:val="12"/>
        </w:rPr>
        <w:sectPr>
          <w:type w:val="continuous"/>
          <w:pgSz w:w="11900" w:h="16840"/>
          <w:pgMar w:top="1220" w:bottom="280" w:left="640" w:right="620"/>
          <w:cols w:num="2" w:equalWidth="0">
            <w:col w:w="4293" w:space="365"/>
            <w:col w:w="5982"/>
          </w:cols>
        </w:sectPr>
      </w:pPr>
    </w:p>
    <w:p>
      <w:pPr>
        <w:pStyle w:val="BodyText"/>
        <w:rPr>
          <w:sz w:val="20"/>
        </w:rPr>
      </w:pPr>
    </w:p>
    <w:p>
      <w:pPr>
        <w:pStyle w:val="BodyText"/>
        <w:rPr>
          <w:sz w:val="20"/>
        </w:rPr>
      </w:pPr>
    </w:p>
    <w:p>
      <w:pPr>
        <w:pStyle w:val="BodyText"/>
        <w:spacing w:before="11"/>
        <w:rPr>
          <w:sz w:val="27"/>
        </w:rPr>
      </w:pPr>
    </w:p>
    <w:p>
      <w:pPr>
        <w:spacing w:after="0"/>
        <w:rPr>
          <w:sz w:val="27"/>
        </w:rPr>
        <w:sectPr>
          <w:type w:val="continuous"/>
          <w:pgSz w:w="11900" w:h="16840"/>
          <w:pgMar w:top="1220" w:bottom="280" w:left="640" w:right="620"/>
        </w:sectPr>
      </w:pPr>
    </w:p>
    <w:p>
      <w:pPr>
        <w:spacing w:before="91"/>
        <w:ind w:left="205" w:right="0" w:firstLine="0"/>
        <w:jc w:val="left"/>
        <w:rPr>
          <w:b/>
          <w:sz w:val="20"/>
        </w:rPr>
      </w:pPr>
      <w:r>
        <w:rPr>
          <w:b/>
          <w:color w:val="0092C7"/>
          <w:sz w:val="20"/>
        </w:rPr>
        <w:t>Chart 6.8</w:t>
      </w:r>
    </w:p>
    <w:p>
      <w:pPr>
        <w:spacing w:line="249" w:lineRule="auto" w:before="10"/>
        <w:ind w:left="205" w:right="20" w:firstLine="0"/>
        <w:jc w:val="left"/>
        <w:rPr>
          <w:b/>
          <w:sz w:val="20"/>
        </w:rPr>
      </w:pPr>
      <w:r>
        <w:rPr>
          <w:b/>
          <w:color w:val="0092C7"/>
          <w:sz w:val="20"/>
        </w:rPr>
        <w:t>Distribution of RPIX inflation forecasts for 2002 Q2</w:t>
      </w:r>
    </w:p>
    <w:p>
      <w:pPr>
        <w:pStyle w:val="BodyText"/>
        <w:spacing w:before="10"/>
        <w:rPr>
          <w:b/>
          <w:sz w:val="26"/>
        </w:rPr>
      </w:pPr>
      <w:r>
        <w:rPr/>
        <w:br w:type="column"/>
      </w:r>
      <w:r>
        <w:rPr>
          <w:b/>
          <w:sz w:val="26"/>
        </w:rPr>
      </w:r>
    </w:p>
    <w:p>
      <w:pPr>
        <w:pStyle w:val="ListParagraph"/>
        <w:numPr>
          <w:ilvl w:val="1"/>
          <w:numId w:val="39"/>
        </w:numPr>
        <w:tabs>
          <w:tab w:pos="3654" w:val="left" w:leader="none"/>
          <w:tab w:pos="3655" w:val="left" w:leader="none"/>
          <w:tab w:pos="5685" w:val="left" w:leader="none"/>
        </w:tabs>
        <w:spacing w:line="240" w:lineRule="auto" w:before="0" w:after="0"/>
        <w:ind w:left="3654" w:right="0" w:hanging="3450"/>
        <w:jc w:val="left"/>
        <w:rPr>
          <w:b/>
          <w:color w:val="009391"/>
          <w:sz w:val="28"/>
        </w:rPr>
      </w:pPr>
      <w:r>
        <w:rPr>
          <w:b/>
          <w:color w:val="009391"/>
          <w:sz w:val="28"/>
          <w:u w:val="thick" w:color="0092C7"/>
        </w:rPr>
        <w:t>Other</w:t>
      </w:r>
      <w:r>
        <w:rPr>
          <w:b/>
          <w:color w:val="009391"/>
          <w:spacing w:val="3"/>
          <w:sz w:val="28"/>
          <w:u w:val="thick" w:color="0092C7"/>
        </w:rPr>
        <w:t> </w:t>
      </w:r>
      <w:r>
        <w:rPr>
          <w:b/>
          <w:color w:val="009391"/>
          <w:spacing w:val="-3"/>
          <w:sz w:val="28"/>
          <w:u w:val="thick" w:color="0092C7"/>
        </w:rPr>
        <w:t>forecasts</w:t>
        <w:tab/>
      </w:r>
    </w:p>
    <w:p>
      <w:pPr>
        <w:spacing w:after="0" w:line="240" w:lineRule="auto"/>
        <w:jc w:val="left"/>
        <w:rPr>
          <w:sz w:val="28"/>
        </w:rPr>
        <w:sectPr>
          <w:type w:val="continuous"/>
          <w:pgSz w:w="11900" w:h="16840"/>
          <w:pgMar w:top="1220" w:bottom="280" w:left="640" w:right="620"/>
          <w:cols w:num="2" w:equalWidth="0">
            <w:col w:w="3928" w:space="862"/>
            <w:col w:w="5850"/>
          </w:cols>
        </w:sectPr>
      </w:pPr>
    </w:p>
    <w:p>
      <w:pPr>
        <w:spacing w:line="120" w:lineRule="exact" w:before="42"/>
        <w:ind w:left="2369" w:right="0" w:firstLine="0"/>
        <w:jc w:val="left"/>
        <w:rPr>
          <w:sz w:val="12"/>
        </w:rPr>
      </w:pPr>
      <w:r>
        <w:rPr>
          <w:sz w:val="12"/>
        </w:rPr>
        <w:t>Number of forecasts</w:t>
      </w:r>
    </w:p>
    <w:p>
      <w:pPr>
        <w:spacing w:line="120" w:lineRule="exact" w:before="0"/>
        <w:ind w:left="3399" w:right="0" w:firstLine="0"/>
        <w:jc w:val="left"/>
        <w:rPr>
          <w:sz w:val="12"/>
        </w:rPr>
      </w:pPr>
      <w:r>
        <w:rPr/>
        <w:pict>
          <v:group style="position:absolute;margin-left:41.5pt;margin-top:3.209586pt;width:158.950pt;height:147.550pt;mso-position-horizontal-relative:page;mso-position-vertical-relative:paragraph;z-index:16352256" coordorigin="830,64" coordsize="3179,2951">
            <v:rect style="position:absolute;left:1470;top:2759;width:461;height:188" filled="true" fillcolor="#de0035" stroked="false">
              <v:fill type="solid"/>
            </v:rect>
            <v:rect style="position:absolute;left:1470;top:2759;width:461;height:188" filled="false" stroked="true" strokeweight=".5pt" strokecolor="#000000">
              <v:stroke dashstyle="solid"/>
            </v:rect>
            <v:rect style="position:absolute;left:1949;top:1146;width:461;height:1800" filled="true" fillcolor="#de0035" stroked="false">
              <v:fill type="solid"/>
            </v:rect>
            <v:rect style="position:absolute;left:1949;top:1146;width:461;height:1800" filled="false" stroked="true" strokeweight=".5pt" strokecolor="#000000">
              <v:stroke dashstyle="solid"/>
            </v:rect>
            <v:rect style="position:absolute;left:2428;top:74;width:461;height:2873" filled="true" fillcolor="#de0035" stroked="false">
              <v:fill type="solid"/>
            </v:rect>
            <v:rect style="position:absolute;left:2428;top:74;width:461;height:2873" filled="false" stroked="true" strokeweight=".5pt" strokecolor="#000000">
              <v:stroke dashstyle="solid"/>
            </v:rect>
            <v:rect style="position:absolute;left:2907;top:2591;width:461;height:355" filled="true" fillcolor="#de0035" stroked="false">
              <v:fill type="solid"/>
            </v:rect>
            <v:shape style="position:absolute;left:830;top:69;width:3179;height:2946" coordorigin="830,69" coordsize="3179,2946" path="m2907,2592l3368,2592,3368,2947,2907,2947,2907,2592xm993,2949l3852,2949m990,2947l990,3014m1467,2947l1467,3014m1944,2947l1944,3014m2421,2947l2421,3014m2898,2947l2898,3014m3375,2947l3375,3014m3853,2947l3853,3014m830,429l917,429m830,789l917,789m830,1149l917,1149m830,1509l917,1509m830,1869l917,1869m830,2589l917,2589m830,2229l917,2229m830,2949l917,2949m830,69l917,69m3922,429l4008,429m3922,789l4008,789m3922,1149l4008,1149m3922,1509l4008,1509m3922,1869l4008,1869m3922,2589l4008,2589m3922,2229l4008,2229m3922,2949l4008,2949m3922,69l4008,69e" filled="false" stroked="true" strokeweight=".5pt" strokecolor="#000000">
              <v:path arrowok="t"/>
              <v:stroke dashstyle="solid"/>
            </v:shape>
            <w10:wrap type="none"/>
          </v:group>
        </w:pict>
      </w:r>
      <w:r>
        <w:rPr>
          <w:sz w:val="12"/>
        </w:rPr>
        <w:t>16</w:t>
      </w:r>
    </w:p>
    <w:p>
      <w:pPr>
        <w:pStyle w:val="BodyText"/>
        <w:rPr>
          <w:sz w:val="12"/>
        </w:rPr>
      </w:pPr>
    </w:p>
    <w:p>
      <w:pPr>
        <w:spacing w:before="83"/>
        <w:ind w:left="0" w:right="0" w:firstLine="0"/>
        <w:jc w:val="right"/>
        <w:rPr>
          <w:sz w:val="12"/>
        </w:rPr>
      </w:pPr>
      <w:r>
        <w:rPr>
          <w:sz w:val="12"/>
        </w:rPr>
        <w:t>14</w:t>
      </w:r>
    </w:p>
    <w:p>
      <w:pPr>
        <w:pStyle w:val="BodyText"/>
        <w:rPr>
          <w:sz w:val="12"/>
        </w:rPr>
      </w:pPr>
    </w:p>
    <w:p>
      <w:pPr>
        <w:spacing w:before="82"/>
        <w:ind w:left="0" w:right="0" w:firstLine="0"/>
        <w:jc w:val="right"/>
        <w:rPr>
          <w:sz w:val="12"/>
        </w:rPr>
      </w:pPr>
      <w:r>
        <w:rPr>
          <w:sz w:val="12"/>
        </w:rPr>
        <w:t>12</w:t>
      </w:r>
    </w:p>
    <w:p>
      <w:pPr>
        <w:pStyle w:val="BodyText"/>
        <w:rPr>
          <w:sz w:val="12"/>
        </w:rPr>
      </w:pPr>
    </w:p>
    <w:p>
      <w:pPr>
        <w:spacing w:before="83"/>
        <w:ind w:left="0" w:right="0" w:firstLine="0"/>
        <w:jc w:val="right"/>
        <w:rPr>
          <w:sz w:val="12"/>
        </w:rPr>
      </w:pPr>
      <w:r>
        <w:rPr>
          <w:sz w:val="12"/>
        </w:rPr>
        <w:t>10</w:t>
      </w:r>
    </w:p>
    <w:p>
      <w:pPr>
        <w:pStyle w:val="BodyText"/>
        <w:rPr>
          <w:sz w:val="12"/>
        </w:rPr>
      </w:pPr>
    </w:p>
    <w:p>
      <w:pPr>
        <w:spacing w:before="83"/>
        <w:ind w:left="0" w:right="0" w:firstLine="0"/>
        <w:jc w:val="right"/>
        <w:rPr>
          <w:sz w:val="12"/>
        </w:rPr>
      </w:pPr>
      <w:r>
        <w:rPr>
          <w:sz w:val="12"/>
        </w:rPr>
        <w:t>8</w:t>
      </w:r>
    </w:p>
    <w:p>
      <w:pPr>
        <w:pStyle w:val="BodyText"/>
        <w:rPr>
          <w:sz w:val="12"/>
        </w:rPr>
      </w:pPr>
    </w:p>
    <w:p>
      <w:pPr>
        <w:spacing w:before="83"/>
        <w:ind w:left="0" w:right="0" w:firstLine="0"/>
        <w:jc w:val="right"/>
        <w:rPr>
          <w:sz w:val="12"/>
        </w:rPr>
      </w:pPr>
      <w:r>
        <w:rPr>
          <w:sz w:val="12"/>
        </w:rPr>
        <w:t>6</w:t>
      </w:r>
    </w:p>
    <w:p>
      <w:pPr>
        <w:pStyle w:val="BodyText"/>
        <w:rPr>
          <w:sz w:val="12"/>
        </w:rPr>
      </w:pPr>
    </w:p>
    <w:p>
      <w:pPr>
        <w:spacing w:before="83"/>
        <w:ind w:left="0" w:right="0" w:firstLine="0"/>
        <w:jc w:val="right"/>
        <w:rPr>
          <w:sz w:val="12"/>
        </w:rPr>
      </w:pPr>
      <w:r>
        <w:rPr>
          <w:sz w:val="12"/>
        </w:rPr>
        <w:t>4</w:t>
      </w:r>
    </w:p>
    <w:p>
      <w:pPr>
        <w:pStyle w:val="BodyText"/>
        <w:rPr>
          <w:sz w:val="12"/>
        </w:rPr>
      </w:pPr>
    </w:p>
    <w:p>
      <w:pPr>
        <w:spacing w:before="82"/>
        <w:ind w:left="0" w:right="0" w:firstLine="0"/>
        <w:jc w:val="right"/>
        <w:rPr>
          <w:sz w:val="12"/>
        </w:rPr>
      </w:pPr>
      <w:r>
        <w:rPr>
          <w:sz w:val="12"/>
        </w:rPr>
        <w:t>2</w:t>
      </w:r>
    </w:p>
    <w:p>
      <w:pPr>
        <w:pStyle w:val="BodyText"/>
        <w:rPr>
          <w:sz w:val="12"/>
        </w:rPr>
      </w:pPr>
    </w:p>
    <w:p>
      <w:pPr>
        <w:spacing w:before="83"/>
        <w:ind w:left="0" w:right="0" w:firstLine="0"/>
        <w:jc w:val="right"/>
        <w:rPr>
          <w:sz w:val="12"/>
        </w:rPr>
      </w:pPr>
      <w:r>
        <w:rPr>
          <w:sz w:val="12"/>
        </w:rPr>
        <w:t>0</w:t>
      </w:r>
    </w:p>
    <w:p>
      <w:pPr>
        <w:pStyle w:val="Heading6"/>
        <w:spacing w:line="242" w:lineRule="auto" w:before="97"/>
        <w:ind w:left="1434" w:right="193"/>
      </w:pPr>
      <w:r>
        <w:rPr/>
        <w:br w:type="column"/>
      </w:r>
      <w:r>
        <w:rPr/>
        <w:t>In late April, the Bank asked a sample of 29 external forecasters for their latest projections of inflation and output. Based on this survey, the mean forecast for the twelve-month rate of RPIX inflation in 2000 Q4 is 2.1% (with a range of 1.3% to 2.6%), rising to 2.4% in</w:t>
      </w:r>
    </w:p>
    <w:p>
      <w:pPr>
        <w:spacing w:line="242" w:lineRule="auto" w:before="6"/>
        <w:ind w:left="1434" w:right="206" w:firstLine="0"/>
        <w:jc w:val="left"/>
        <w:rPr>
          <w:sz w:val="24"/>
        </w:rPr>
      </w:pPr>
      <w:r>
        <w:rPr>
          <w:sz w:val="24"/>
        </w:rPr>
        <w:t>2001 Q4 (with a range of 1.9% to 2.7%) and remaining at 2.4% in 2002 Q2 (with a range of 1.8% to 2.9%). </w:t>
      </w:r>
      <w:r>
        <w:rPr>
          <w:spacing w:val="-6"/>
          <w:sz w:val="24"/>
        </w:rPr>
        <w:t>The </w:t>
      </w:r>
      <w:r>
        <w:rPr>
          <w:sz w:val="24"/>
        </w:rPr>
        <w:t>distribution of central projections in 2002 Q2 is shown in Chart 6.8. Compared with the survey results in the February </w:t>
      </w:r>
      <w:r>
        <w:rPr>
          <w:i/>
          <w:sz w:val="24"/>
        </w:rPr>
        <w:t>Report</w:t>
      </w:r>
      <w:r>
        <w:rPr>
          <w:sz w:val="24"/>
        </w:rPr>
        <w:t>, the average forecast over</w:t>
      </w:r>
      <w:r>
        <w:rPr>
          <w:spacing w:val="-8"/>
          <w:sz w:val="24"/>
        </w:rPr>
        <w:t> </w:t>
      </w:r>
      <w:r>
        <w:rPr>
          <w:sz w:val="24"/>
        </w:rPr>
        <w:t>an</w:t>
      </w:r>
    </w:p>
    <w:p>
      <w:pPr>
        <w:spacing w:before="7"/>
        <w:ind w:left="1434" w:right="0" w:firstLine="0"/>
        <w:jc w:val="left"/>
        <w:rPr>
          <w:sz w:val="24"/>
        </w:rPr>
      </w:pPr>
      <w:r>
        <w:rPr>
          <w:sz w:val="24"/>
        </w:rPr>
        <w:t>eighteen-month to two-year horizon has not changed.</w:t>
      </w:r>
    </w:p>
    <w:p>
      <w:pPr>
        <w:spacing w:after="0"/>
        <w:jc w:val="left"/>
        <w:rPr>
          <w:sz w:val="24"/>
        </w:rPr>
        <w:sectPr>
          <w:type w:val="continuous"/>
          <w:pgSz w:w="11900" w:h="16840"/>
          <w:pgMar w:top="1220" w:bottom="280" w:left="640" w:right="620"/>
          <w:cols w:num="2" w:equalWidth="0">
            <w:col w:w="3520" w:space="40"/>
            <w:col w:w="7080"/>
          </w:cols>
        </w:sectPr>
      </w:pPr>
    </w:p>
    <w:p>
      <w:pPr>
        <w:tabs>
          <w:tab w:pos="742" w:val="left" w:leader="none"/>
          <w:tab w:pos="1222" w:val="left" w:leader="none"/>
          <w:tab w:pos="1702" w:val="left" w:leader="none"/>
          <w:tab w:pos="2182" w:val="left" w:leader="none"/>
          <w:tab w:pos="2662" w:val="left" w:leader="none"/>
        </w:tabs>
        <w:spacing w:before="9"/>
        <w:ind w:left="262" w:right="0" w:firstLine="0"/>
        <w:jc w:val="left"/>
        <w:rPr>
          <w:sz w:val="12"/>
        </w:rPr>
      </w:pPr>
      <w:r>
        <w:rPr>
          <w:sz w:val="12"/>
        </w:rPr>
        <w:t>1.5</w:t>
        <w:tab/>
        <w:t>1.8</w:t>
        <w:tab/>
        <w:t>2.1</w:t>
        <w:tab/>
        <w:t>2.4</w:t>
        <w:tab/>
        <w:t>2.7</w:t>
        <w:tab/>
      </w:r>
      <w:r>
        <w:rPr>
          <w:spacing w:val="-7"/>
          <w:sz w:val="12"/>
        </w:rPr>
        <w:t>3.0</w:t>
      </w:r>
    </w:p>
    <w:p>
      <w:pPr>
        <w:spacing w:line="115" w:lineRule="exact" w:before="32"/>
        <w:ind w:left="1376" w:right="0" w:firstLine="0"/>
        <w:jc w:val="left"/>
        <w:rPr>
          <w:sz w:val="12"/>
        </w:rPr>
      </w:pPr>
      <w:r>
        <w:rPr>
          <w:sz w:val="12"/>
        </w:rPr>
        <w:t>Range of forecasts</w:t>
      </w:r>
    </w:p>
    <w:p>
      <w:pPr>
        <w:spacing w:before="9"/>
        <w:ind w:left="262" w:right="0" w:firstLine="0"/>
        <w:jc w:val="left"/>
        <w:rPr>
          <w:sz w:val="12"/>
        </w:rPr>
      </w:pPr>
      <w:r>
        <w:rPr/>
        <w:br w:type="column"/>
      </w:r>
      <w:r>
        <w:rPr>
          <w:sz w:val="12"/>
        </w:rPr>
        <w:t>3.3</w:t>
      </w:r>
    </w:p>
    <w:p>
      <w:pPr>
        <w:pStyle w:val="Heading6"/>
        <w:spacing w:before="4"/>
        <w:ind w:left="262"/>
      </w:pPr>
      <w:r>
        <w:rPr/>
        <w:br w:type="column"/>
      </w:r>
      <w:r>
        <w:rPr/>
        <w:t>On average, external forecasters see a 45% probability</w:t>
      </w:r>
    </w:p>
    <w:p>
      <w:pPr>
        <w:spacing w:after="0"/>
        <w:sectPr>
          <w:type w:val="continuous"/>
          <w:pgSz w:w="11900" w:h="16840"/>
          <w:pgMar w:top="1220" w:bottom="280" w:left="640" w:right="620"/>
          <w:cols w:num="3" w:equalWidth="0">
            <w:col w:w="2813" w:space="67"/>
            <w:col w:w="453" w:space="1399"/>
            <w:col w:w="5908"/>
          </w:cols>
        </w:sectPr>
      </w:pPr>
    </w:p>
    <w:p>
      <w:pPr>
        <w:pStyle w:val="BodyText"/>
        <w:rPr>
          <w:sz w:val="12"/>
        </w:rPr>
      </w:pPr>
    </w:p>
    <w:p>
      <w:pPr>
        <w:spacing w:before="0"/>
        <w:ind w:left="205" w:right="0" w:firstLine="0"/>
        <w:jc w:val="left"/>
        <w:rPr>
          <w:sz w:val="12"/>
        </w:rPr>
      </w:pPr>
      <w:r>
        <w:rPr>
          <w:sz w:val="12"/>
        </w:rPr>
        <w:t>Source: Survey of 29 outside forecasters as of 25 April 2000.</w:t>
      </w:r>
    </w:p>
    <w:p>
      <w:pPr>
        <w:pStyle w:val="BodyText"/>
        <w:rPr>
          <w:sz w:val="12"/>
        </w:rPr>
      </w:pPr>
    </w:p>
    <w:p>
      <w:pPr>
        <w:pStyle w:val="BodyText"/>
        <w:spacing w:before="8"/>
        <w:rPr>
          <w:sz w:val="11"/>
        </w:rPr>
      </w:pPr>
    </w:p>
    <w:p>
      <w:pPr>
        <w:spacing w:before="0"/>
        <w:ind w:left="187" w:right="0" w:firstLine="0"/>
        <w:jc w:val="left"/>
        <w:rPr>
          <w:b/>
          <w:sz w:val="20"/>
        </w:rPr>
      </w:pPr>
      <w:r>
        <w:rPr>
          <w:b/>
          <w:color w:val="0092C7"/>
          <w:sz w:val="20"/>
        </w:rPr>
        <w:t>Table 6.D</w:t>
      </w:r>
    </w:p>
    <w:p>
      <w:pPr>
        <w:spacing w:line="249" w:lineRule="auto" w:before="10"/>
        <w:ind w:left="187" w:right="19" w:firstLine="0"/>
        <w:jc w:val="left"/>
        <w:rPr>
          <w:sz w:val="12"/>
        </w:rPr>
      </w:pPr>
      <w:r>
        <w:rPr>
          <w:b/>
          <w:color w:val="0092C7"/>
          <w:sz w:val="20"/>
        </w:rPr>
        <w:t>Other forecasters’ expectations of RPIX inflation and GDP growth</w:t>
      </w:r>
      <w:r>
        <w:rPr>
          <w:position w:val="4"/>
          <w:sz w:val="12"/>
        </w:rPr>
        <w:t>(a)</w:t>
      </w:r>
    </w:p>
    <w:p>
      <w:pPr>
        <w:spacing w:before="98"/>
        <w:ind w:left="187" w:right="0" w:firstLine="0"/>
        <w:jc w:val="left"/>
        <w:rPr>
          <w:b/>
          <w:sz w:val="14"/>
        </w:rPr>
      </w:pPr>
      <w:r>
        <w:rPr>
          <w:b/>
          <w:sz w:val="14"/>
        </w:rPr>
        <w:t>RPIX inflation</w:t>
      </w:r>
    </w:p>
    <w:p>
      <w:pPr>
        <w:pStyle w:val="Heading6"/>
        <w:spacing w:line="242" w:lineRule="auto"/>
        <w:ind w:left="187" w:right="511"/>
      </w:pPr>
      <w:r>
        <w:rPr/>
        <w:br w:type="column"/>
      </w:r>
      <w:r>
        <w:rPr/>
        <w:t>of inflation being above 2.5% in 2002 Q2, and a </w:t>
      </w:r>
      <w:r>
        <w:rPr>
          <w:spacing w:val="-6"/>
        </w:rPr>
        <w:t>55% </w:t>
      </w:r>
      <w:r>
        <w:rPr/>
        <w:t>probability of it being below (see </w:t>
      </w:r>
      <w:r>
        <w:rPr>
          <w:spacing w:val="-4"/>
        </w:rPr>
        <w:t>Table </w:t>
      </w:r>
      <w:r>
        <w:rPr/>
        <w:t>6.D). This judgment is similar to that held three months ago.</w:t>
      </w:r>
    </w:p>
    <w:p>
      <w:pPr>
        <w:pStyle w:val="BodyText"/>
        <w:spacing w:before="7"/>
        <w:rPr>
          <w:sz w:val="24"/>
        </w:rPr>
      </w:pPr>
    </w:p>
    <w:p>
      <w:pPr>
        <w:spacing w:line="242" w:lineRule="auto" w:before="0"/>
        <w:ind w:left="187" w:right="0" w:firstLine="0"/>
        <w:jc w:val="left"/>
        <w:rPr>
          <w:sz w:val="24"/>
        </w:rPr>
      </w:pPr>
      <w:r>
        <w:rPr>
          <w:sz w:val="24"/>
        </w:rPr>
        <w:t>The</w:t>
      </w:r>
      <w:r>
        <w:rPr>
          <w:spacing w:val="-9"/>
          <w:sz w:val="24"/>
        </w:rPr>
        <w:t> </w:t>
      </w:r>
      <w:r>
        <w:rPr>
          <w:sz w:val="24"/>
        </w:rPr>
        <w:t>forecasters’</w:t>
      </w:r>
      <w:r>
        <w:rPr>
          <w:spacing w:val="-9"/>
          <w:sz w:val="24"/>
        </w:rPr>
        <w:t> </w:t>
      </w:r>
      <w:r>
        <w:rPr>
          <w:sz w:val="24"/>
        </w:rPr>
        <w:t>average</w:t>
      </w:r>
      <w:r>
        <w:rPr>
          <w:spacing w:val="-9"/>
          <w:sz w:val="24"/>
        </w:rPr>
        <w:t> </w:t>
      </w:r>
      <w:r>
        <w:rPr>
          <w:sz w:val="24"/>
        </w:rPr>
        <w:t>projection</w:t>
      </w:r>
      <w:r>
        <w:rPr>
          <w:spacing w:val="-9"/>
          <w:sz w:val="24"/>
        </w:rPr>
        <w:t> </w:t>
      </w:r>
      <w:r>
        <w:rPr>
          <w:sz w:val="24"/>
        </w:rPr>
        <w:t>for</w:t>
      </w:r>
      <w:r>
        <w:rPr>
          <w:spacing w:val="-9"/>
          <w:sz w:val="24"/>
        </w:rPr>
        <w:t> </w:t>
      </w:r>
      <w:r>
        <w:rPr>
          <w:sz w:val="24"/>
        </w:rPr>
        <w:t>four-quarter</w:t>
      </w:r>
      <w:r>
        <w:rPr>
          <w:spacing w:val="-9"/>
          <w:sz w:val="24"/>
        </w:rPr>
        <w:t> </w:t>
      </w:r>
      <w:r>
        <w:rPr>
          <w:sz w:val="24"/>
        </w:rPr>
        <w:t>GDP growth in 2000 Q4 is 3% (with a range of 2</w:t>
      </w:r>
      <w:r>
        <w:rPr>
          <w:position w:val="8"/>
          <w:sz w:val="12"/>
        </w:rPr>
        <w:t>1</w:t>
      </w:r>
      <w:r>
        <w:rPr>
          <w:sz w:val="24"/>
        </w:rPr>
        <w:t>/</w:t>
      </w:r>
      <w:r>
        <w:rPr>
          <w:sz w:val="12"/>
        </w:rPr>
        <w:t>4</w:t>
      </w:r>
      <w:r>
        <w:rPr>
          <w:sz w:val="24"/>
        </w:rPr>
        <w:t>%</w:t>
      </w:r>
      <w:r>
        <w:rPr>
          <w:spacing w:val="-23"/>
          <w:sz w:val="24"/>
        </w:rPr>
        <w:t> </w:t>
      </w:r>
      <w:r>
        <w:rPr>
          <w:sz w:val="24"/>
        </w:rPr>
        <w:t>to</w:t>
      </w:r>
    </w:p>
    <w:p>
      <w:pPr>
        <w:spacing w:after="0" w:line="242" w:lineRule="auto"/>
        <w:jc w:val="left"/>
        <w:rPr>
          <w:sz w:val="24"/>
        </w:rPr>
        <w:sectPr>
          <w:type w:val="continuous"/>
          <w:pgSz w:w="11900" w:h="16840"/>
          <w:pgMar w:top="1220" w:bottom="280" w:left="640" w:right="620"/>
          <w:cols w:num="2" w:equalWidth="0">
            <w:col w:w="4420" w:space="387"/>
            <w:col w:w="5833"/>
          </w:cols>
        </w:sectPr>
      </w:pPr>
    </w:p>
    <w:p>
      <w:pPr>
        <w:tabs>
          <w:tab w:pos="1556" w:val="left" w:leader="none"/>
          <w:tab w:pos="4432" w:val="left" w:leader="none"/>
          <w:tab w:pos="5114" w:val="left" w:leader="none"/>
          <w:tab w:pos="7060" w:val="right" w:leader="none"/>
        </w:tabs>
        <w:spacing w:line="13" w:lineRule="exact" w:before="0"/>
        <w:ind w:left="187" w:right="0" w:firstLine="0"/>
        <w:jc w:val="left"/>
        <w:rPr>
          <w:sz w:val="12"/>
        </w:rPr>
      </w:pPr>
      <w:r>
        <w:rPr>
          <w:sz w:val="14"/>
        </w:rPr>
        <w:t>Probability, per cent</w:t>
        <w:tab/>
      </w:r>
      <w:r>
        <w:rPr>
          <w:sz w:val="14"/>
          <w:u w:val="single"/>
        </w:rPr>
        <w:t>Range:</w:t>
        <w:tab/>
      </w:r>
      <w:r>
        <w:rPr>
          <w:sz w:val="14"/>
        </w:rPr>
        <w:tab/>
      </w:r>
      <w:r>
        <w:rPr>
          <w:position w:val="-4"/>
          <w:sz w:val="12"/>
        </w:rPr>
        <w:t>3</w:t>
        <w:tab/>
        <w:t>3</w:t>
      </w:r>
    </w:p>
    <w:p>
      <w:pPr>
        <w:spacing w:after="0" w:line="13" w:lineRule="exact"/>
        <w:jc w:val="left"/>
        <w:rPr>
          <w:sz w:val="12"/>
        </w:rPr>
        <w:sectPr>
          <w:type w:val="continuous"/>
          <w:pgSz w:w="11900" w:h="16840"/>
          <w:pgMar w:top="1220" w:bottom="280" w:left="640" w:right="620"/>
        </w:sectPr>
      </w:pPr>
    </w:p>
    <w:p>
      <w:pPr>
        <w:tabs>
          <w:tab w:pos="2091" w:val="left" w:leader="none"/>
          <w:tab w:pos="2657" w:val="left" w:leader="none"/>
          <w:tab w:pos="3187" w:val="left" w:leader="none"/>
          <w:tab w:pos="4152" w:val="left" w:leader="none"/>
        </w:tabs>
        <w:spacing w:before="135"/>
        <w:ind w:left="1567" w:right="0" w:firstLine="0"/>
        <w:jc w:val="left"/>
        <w:rPr>
          <w:sz w:val="14"/>
        </w:rPr>
      </w:pPr>
      <w:r>
        <w:rPr>
          <w:sz w:val="14"/>
        </w:rPr>
        <w:t>less</w:t>
        <w:tab/>
        <w:t>1.5%</w:t>
        <w:tab/>
        <w:t>2.0%</w:t>
        <w:tab/>
        <w:t>2.5%    </w:t>
      </w:r>
      <w:r>
        <w:rPr>
          <w:spacing w:val="3"/>
          <w:sz w:val="14"/>
        </w:rPr>
        <w:t> </w:t>
      </w:r>
      <w:r>
        <w:rPr>
          <w:sz w:val="14"/>
        </w:rPr>
        <w:t>3.0%</w:t>
        <w:tab/>
        <w:t>more</w:t>
      </w:r>
    </w:p>
    <w:tbl>
      <w:tblPr>
        <w:tblW w:w="0" w:type="auto"/>
        <w:jc w:val="left"/>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1"/>
        <w:gridCol w:w="461"/>
        <w:gridCol w:w="549"/>
        <w:gridCol w:w="535"/>
        <w:gridCol w:w="504"/>
        <w:gridCol w:w="486"/>
        <w:gridCol w:w="464"/>
      </w:tblGrid>
      <w:tr>
        <w:trPr>
          <w:trHeight w:val="147" w:hRule="atLeast"/>
        </w:trPr>
        <w:tc>
          <w:tcPr>
            <w:tcW w:w="1361" w:type="dxa"/>
            <w:vMerge w:val="restart"/>
          </w:tcPr>
          <w:p>
            <w:pPr>
              <w:pStyle w:val="TableParagraph"/>
              <w:spacing w:line="240" w:lineRule="auto"/>
              <w:rPr>
                <w:sz w:val="18"/>
              </w:rPr>
            </w:pPr>
          </w:p>
        </w:tc>
        <w:tc>
          <w:tcPr>
            <w:tcW w:w="461" w:type="dxa"/>
          </w:tcPr>
          <w:p>
            <w:pPr>
              <w:pStyle w:val="TableParagraph"/>
              <w:spacing w:line="128" w:lineRule="exact"/>
              <w:ind w:left="68"/>
              <w:rPr>
                <w:sz w:val="14"/>
              </w:rPr>
            </w:pPr>
            <w:r>
              <w:rPr>
                <w:sz w:val="14"/>
              </w:rPr>
              <w:t>than</w:t>
            </w:r>
          </w:p>
        </w:tc>
        <w:tc>
          <w:tcPr>
            <w:tcW w:w="549" w:type="dxa"/>
          </w:tcPr>
          <w:p>
            <w:pPr>
              <w:pStyle w:val="TableParagraph"/>
              <w:spacing w:line="128" w:lineRule="exact"/>
              <w:ind w:left="132"/>
              <w:rPr>
                <w:sz w:val="14"/>
              </w:rPr>
            </w:pPr>
            <w:r>
              <w:rPr>
                <w:sz w:val="14"/>
              </w:rPr>
              <w:t>to</w:t>
            </w:r>
          </w:p>
        </w:tc>
        <w:tc>
          <w:tcPr>
            <w:tcW w:w="535" w:type="dxa"/>
          </w:tcPr>
          <w:p>
            <w:pPr>
              <w:pStyle w:val="TableParagraph"/>
              <w:spacing w:line="128" w:lineRule="exact"/>
              <w:ind w:left="149"/>
              <w:rPr>
                <w:sz w:val="14"/>
              </w:rPr>
            </w:pPr>
            <w:r>
              <w:rPr>
                <w:sz w:val="14"/>
              </w:rPr>
              <w:t>to</w:t>
            </w:r>
          </w:p>
        </w:tc>
        <w:tc>
          <w:tcPr>
            <w:tcW w:w="504" w:type="dxa"/>
          </w:tcPr>
          <w:p>
            <w:pPr>
              <w:pStyle w:val="TableParagraph"/>
              <w:spacing w:line="128" w:lineRule="exact"/>
              <w:ind w:left="27" w:right="132"/>
              <w:jc w:val="center"/>
              <w:rPr>
                <w:sz w:val="14"/>
              </w:rPr>
            </w:pPr>
            <w:r>
              <w:rPr>
                <w:sz w:val="14"/>
              </w:rPr>
              <w:t>to</w:t>
            </w:r>
          </w:p>
        </w:tc>
        <w:tc>
          <w:tcPr>
            <w:tcW w:w="486" w:type="dxa"/>
          </w:tcPr>
          <w:p>
            <w:pPr>
              <w:pStyle w:val="TableParagraph"/>
              <w:spacing w:line="128" w:lineRule="exact"/>
              <w:ind w:left="110"/>
              <w:rPr>
                <w:sz w:val="14"/>
              </w:rPr>
            </w:pPr>
            <w:r>
              <w:rPr>
                <w:sz w:val="14"/>
              </w:rPr>
              <w:t>to</w:t>
            </w:r>
          </w:p>
        </w:tc>
        <w:tc>
          <w:tcPr>
            <w:tcW w:w="464" w:type="dxa"/>
          </w:tcPr>
          <w:p>
            <w:pPr>
              <w:pStyle w:val="TableParagraph"/>
              <w:spacing w:line="128" w:lineRule="exact"/>
              <w:ind w:left="119"/>
              <w:rPr>
                <w:sz w:val="14"/>
              </w:rPr>
            </w:pPr>
            <w:r>
              <w:rPr>
                <w:sz w:val="14"/>
              </w:rPr>
              <w:t>than</w:t>
            </w:r>
          </w:p>
        </w:tc>
      </w:tr>
      <w:tr>
        <w:trPr>
          <w:trHeight w:val="140" w:hRule="atLeast"/>
        </w:trPr>
        <w:tc>
          <w:tcPr>
            <w:tcW w:w="1361" w:type="dxa"/>
            <w:vMerge/>
            <w:tcBorders>
              <w:top w:val="nil"/>
            </w:tcBorders>
          </w:tcPr>
          <w:p>
            <w:pPr>
              <w:rPr>
                <w:sz w:val="2"/>
                <w:szCs w:val="2"/>
              </w:rPr>
            </w:pPr>
          </w:p>
        </w:tc>
        <w:tc>
          <w:tcPr>
            <w:tcW w:w="461" w:type="dxa"/>
          </w:tcPr>
          <w:p>
            <w:pPr>
              <w:pStyle w:val="TableParagraph"/>
              <w:ind w:right="98"/>
              <w:jc w:val="right"/>
              <w:rPr>
                <w:sz w:val="14"/>
              </w:rPr>
            </w:pPr>
            <w:r>
              <w:rPr>
                <w:sz w:val="14"/>
                <w:u w:val="single"/>
              </w:rPr>
              <w:t>1.5%</w:t>
            </w:r>
          </w:p>
        </w:tc>
        <w:tc>
          <w:tcPr>
            <w:tcW w:w="549" w:type="dxa"/>
          </w:tcPr>
          <w:p>
            <w:pPr>
              <w:pStyle w:val="TableParagraph"/>
              <w:ind w:left="132"/>
              <w:rPr>
                <w:sz w:val="14"/>
              </w:rPr>
            </w:pPr>
            <w:r>
              <w:rPr>
                <w:sz w:val="14"/>
                <w:u w:val="single"/>
              </w:rPr>
              <w:t>2.0%</w:t>
            </w:r>
          </w:p>
        </w:tc>
        <w:tc>
          <w:tcPr>
            <w:tcW w:w="535" w:type="dxa"/>
          </w:tcPr>
          <w:p>
            <w:pPr>
              <w:pStyle w:val="TableParagraph"/>
              <w:ind w:left="131"/>
              <w:rPr>
                <w:sz w:val="14"/>
              </w:rPr>
            </w:pPr>
            <w:r>
              <w:rPr>
                <w:sz w:val="14"/>
                <w:u w:val="single"/>
              </w:rPr>
              <w:t> 2.5%</w:t>
            </w:r>
          </w:p>
        </w:tc>
        <w:tc>
          <w:tcPr>
            <w:tcW w:w="504" w:type="dxa"/>
          </w:tcPr>
          <w:p>
            <w:pPr>
              <w:pStyle w:val="TableParagraph"/>
              <w:ind w:left="48"/>
              <w:jc w:val="center"/>
              <w:rPr>
                <w:sz w:val="14"/>
              </w:rPr>
            </w:pPr>
            <w:r>
              <w:rPr>
                <w:sz w:val="14"/>
                <w:u w:val="single"/>
              </w:rPr>
              <w:t>3.0%</w:t>
            </w:r>
          </w:p>
        </w:tc>
        <w:tc>
          <w:tcPr>
            <w:tcW w:w="486" w:type="dxa"/>
          </w:tcPr>
          <w:p>
            <w:pPr>
              <w:pStyle w:val="TableParagraph"/>
              <w:ind w:left="90"/>
              <w:rPr>
                <w:sz w:val="14"/>
              </w:rPr>
            </w:pPr>
            <w:r>
              <w:rPr>
                <w:sz w:val="14"/>
                <w:u w:val="single"/>
              </w:rPr>
              <w:t>3.5%</w:t>
            </w:r>
          </w:p>
        </w:tc>
        <w:tc>
          <w:tcPr>
            <w:tcW w:w="464" w:type="dxa"/>
          </w:tcPr>
          <w:p>
            <w:pPr>
              <w:pStyle w:val="TableParagraph"/>
              <w:ind w:left="101"/>
              <w:rPr>
                <w:sz w:val="14"/>
              </w:rPr>
            </w:pPr>
            <w:r>
              <w:rPr>
                <w:sz w:val="14"/>
                <w:u w:val="single"/>
              </w:rPr>
              <w:t>3.5%</w:t>
            </w:r>
          </w:p>
        </w:tc>
      </w:tr>
      <w:tr>
        <w:trPr>
          <w:trHeight w:val="140" w:hRule="atLeast"/>
        </w:trPr>
        <w:tc>
          <w:tcPr>
            <w:tcW w:w="1361" w:type="dxa"/>
          </w:tcPr>
          <w:p>
            <w:pPr>
              <w:pStyle w:val="TableParagraph"/>
              <w:ind w:left="50"/>
              <w:rPr>
                <w:sz w:val="14"/>
              </w:rPr>
            </w:pPr>
            <w:r>
              <w:rPr>
                <w:sz w:val="14"/>
              </w:rPr>
              <w:t>2000 Q4</w:t>
            </w:r>
          </w:p>
        </w:tc>
        <w:tc>
          <w:tcPr>
            <w:tcW w:w="461" w:type="dxa"/>
          </w:tcPr>
          <w:p>
            <w:pPr>
              <w:pStyle w:val="TableParagraph"/>
              <w:ind w:left="130"/>
              <w:rPr>
                <w:sz w:val="14"/>
              </w:rPr>
            </w:pPr>
            <w:r>
              <w:rPr>
                <w:sz w:val="14"/>
              </w:rPr>
              <w:t>14</w:t>
            </w:r>
          </w:p>
        </w:tc>
        <w:tc>
          <w:tcPr>
            <w:tcW w:w="549" w:type="dxa"/>
          </w:tcPr>
          <w:p>
            <w:pPr>
              <w:pStyle w:val="TableParagraph"/>
              <w:ind w:left="184" w:right="184"/>
              <w:jc w:val="center"/>
              <w:rPr>
                <w:sz w:val="14"/>
              </w:rPr>
            </w:pPr>
            <w:r>
              <w:rPr>
                <w:sz w:val="14"/>
              </w:rPr>
              <w:t>30</w:t>
            </w:r>
          </w:p>
        </w:tc>
        <w:tc>
          <w:tcPr>
            <w:tcW w:w="535" w:type="dxa"/>
          </w:tcPr>
          <w:p>
            <w:pPr>
              <w:pStyle w:val="TableParagraph"/>
              <w:ind w:left="194" w:right="161"/>
              <w:jc w:val="center"/>
              <w:rPr>
                <w:sz w:val="14"/>
              </w:rPr>
            </w:pPr>
            <w:r>
              <w:rPr>
                <w:sz w:val="14"/>
              </w:rPr>
              <w:t>33</w:t>
            </w:r>
          </w:p>
        </w:tc>
        <w:tc>
          <w:tcPr>
            <w:tcW w:w="504" w:type="dxa"/>
          </w:tcPr>
          <w:p>
            <w:pPr>
              <w:pStyle w:val="TableParagraph"/>
              <w:ind w:left="110" w:right="106"/>
              <w:jc w:val="center"/>
              <w:rPr>
                <w:sz w:val="14"/>
              </w:rPr>
            </w:pPr>
            <w:r>
              <w:rPr>
                <w:sz w:val="14"/>
              </w:rPr>
              <w:t>16</w:t>
            </w:r>
          </w:p>
        </w:tc>
        <w:tc>
          <w:tcPr>
            <w:tcW w:w="486" w:type="dxa"/>
          </w:tcPr>
          <w:p>
            <w:pPr>
              <w:pStyle w:val="TableParagraph"/>
              <w:ind w:left="44"/>
              <w:jc w:val="center"/>
              <w:rPr>
                <w:sz w:val="14"/>
              </w:rPr>
            </w:pPr>
            <w:r>
              <w:rPr>
                <w:sz w:val="14"/>
              </w:rPr>
              <w:t>6</w:t>
            </w:r>
          </w:p>
        </w:tc>
        <w:tc>
          <w:tcPr>
            <w:tcW w:w="464" w:type="dxa"/>
          </w:tcPr>
          <w:p>
            <w:pPr>
              <w:pStyle w:val="TableParagraph"/>
              <w:ind w:left="246"/>
              <w:rPr>
                <w:sz w:val="14"/>
              </w:rPr>
            </w:pPr>
            <w:r>
              <w:rPr>
                <w:sz w:val="14"/>
              </w:rPr>
              <w:t>2</w:t>
            </w:r>
          </w:p>
        </w:tc>
      </w:tr>
      <w:tr>
        <w:trPr>
          <w:trHeight w:val="140" w:hRule="atLeast"/>
        </w:trPr>
        <w:tc>
          <w:tcPr>
            <w:tcW w:w="1361" w:type="dxa"/>
          </w:tcPr>
          <w:p>
            <w:pPr>
              <w:pStyle w:val="TableParagraph"/>
              <w:ind w:left="50"/>
              <w:rPr>
                <w:sz w:val="14"/>
              </w:rPr>
            </w:pPr>
            <w:r>
              <w:rPr>
                <w:sz w:val="14"/>
              </w:rPr>
              <w:t>2001 Q4</w:t>
            </w:r>
          </w:p>
        </w:tc>
        <w:tc>
          <w:tcPr>
            <w:tcW w:w="461" w:type="dxa"/>
          </w:tcPr>
          <w:p>
            <w:pPr>
              <w:pStyle w:val="TableParagraph"/>
              <w:ind w:left="10"/>
              <w:jc w:val="center"/>
              <w:rPr>
                <w:sz w:val="14"/>
              </w:rPr>
            </w:pPr>
            <w:r>
              <w:rPr>
                <w:sz w:val="14"/>
              </w:rPr>
              <w:t>8</w:t>
            </w:r>
          </w:p>
        </w:tc>
        <w:tc>
          <w:tcPr>
            <w:tcW w:w="549" w:type="dxa"/>
          </w:tcPr>
          <w:p>
            <w:pPr>
              <w:pStyle w:val="TableParagraph"/>
              <w:ind w:left="184" w:right="184"/>
              <w:jc w:val="center"/>
              <w:rPr>
                <w:sz w:val="14"/>
              </w:rPr>
            </w:pPr>
            <w:r>
              <w:rPr>
                <w:sz w:val="14"/>
              </w:rPr>
              <w:t>17</w:t>
            </w:r>
          </w:p>
        </w:tc>
        <w:tc>
          <w:tcPr>
            <w:tcW w:w="535" w:type="dxa"/>
          </w:tcPr>
          <w:p>
            <w:pPr>
              <w:pStyle w:val="TableParagraph"/>
              <w:ind w:left="194" w:right="161"/>
              <w:jc w:val="center"/>
              <w:rPr>
                <w:sz w:val="14"/>
              </w:rPr>
            </w:pPr>
            <w:r>
              <w:rPr>
                <w:sz w:val="14"/>
              </w:rPr>
              <w:t>33</w:t>
            </w:r>
          </w:p>
        </w:tc>
        <w:tc>
          <w:tcPr>
            <w:tcW w:w="504" w:type="dxa"/>
          </w:tcPr>
          <w:p>
            <w:pPr>
              <w:pStyle w:val="TableParagraph"/>
              <w:ind w:left="110" w:right="107"/>
              <w:jc w:val="center"/>
              <w:rPr>
                <w:sz w:val="14"/>
              </w:rPr>
            </w:pPr>
            <w:r>
              <w:rPr>
                <w:sz w:val="14"/>
              </w:rPr>
              <w:t>27</w:t>
            </w:r>
          </w:p>
        </w:tc>
        <w:tc>
          <w:tcPr>
            <w:tcW w:w="486" w:type="dxa"/>
          </w:tcPr>
          <w:p>
            <w:pPr>
              <w:pStyle w:val="TableParagraph"/>
              <w:ind w:left="159"/>
              <w:rPr>
                <w:sz w:val="14"/>
              </w:rPr>
            </w:pPr>
            <w:r>
              <w:rPr>
                <w:sz w:val="14"/>
              </w:rPr>
              <w:t>10</w:t>
            </w:r>
          </w:p>
        </w:tc>
        <w:tc>
          <w:tcPr>
            <w:tcW w:w="464" w:type="dxa"/>
          </w:tcPr>
          <w:p>
            <w:pPr>
              <w:pStyle w:val="TableParagraph"/>
              <w:ind w:left="246"/>
              <w:rPr>
                <w:sz w:val="14"/>
              </w:rPr>
            </w:pPr>
            <w:r>
              <w:rPr>
                <w:sz w:val="14"/>
              </w:rPr>
              <w:t>5</w:t>
            </w:r>
          </w:p>
        </w:tc>
      </w:tr>
      <w:tr>
        <w:trPr>
          <w:trHeight w:val="230" w:hRule="atLeast"/>
        </w:trPr>
        <w:tc>
          <w:tcPr>
            <w:tcW w:w="1361" w:type="dxa"/>
          </w:tcPr>
          <w:p>
            <w:pPr>
              <w:pStyle w:val="TableParagraph"/>
              <w:spacing w:line="133" w:lineRule="exact"/>
              <w:ind w:left="50"/>
              <w:rPr>
                <w:sz w:val="12"/>
              </w:rPr>
            </w:pPr>
            <w:r>
              <w:rPr>
                <w:sz w:val="14"/>
              </w:rPr>
              <w:t>2002 Q2 </w:t>
            </w:r>
            <w:r>
              <w:rPr>
                <w:sz w:val="12"/>
              </w:rPr>
              <w:t>(b)</w:t>
            </w:r>
          </w:p>
        </w:tc>
        <w:tc>
          <w:tcPr>
            <w:tcW w:w="461" w:type="dxa"/>
          </w:tcPr>
          <w:p>
            <w:pPr>
              <w:pStyle w:val="TableParagraph"/>
              <w:spacing w:line="133" w:lineRule="exact"/>
              <w:ind w:left="10"/>
              <w:jc w:val="center"/>
              <w:rPr>
                <w:sz w:val="14"/>
              </w:rPr>
            </w:pPr>
            <w:r>
              <w:rPr>
                <w:sz w:val="14"/>
              </w:rPr>
              <w:t>8</w:t>
            </w:r>
          </w:p>
        </w:tc>
        <w:tc>
          <w:tcPr>
            <w:tcW w:w="549" w:type="dxa"/>
          </w:tcPr>
          <w:p>
            <w:pPr>
              <w:pStyle w:val="TableParagraph"/>
              <w:spacing w:line="133" w:lineRule="exact"/>
              <w:ind w:left="184" w:right="184"/>
              <w:jc w:val="center"/>
              <w:rPr>
                <w:sz w:val="14"/>
              </w:rPr>
            </w:pPr>
            <w:r>
              <w:rPr>
                <w:sz w:val="14"/>
              </w:rPr>
              <w:t>15</w:t>
            </w:r>
          </w:p>
        </w:tc>
        <w:tc>
          <w:tcPr>
            <w:tcW w:w="535" w:type="dxa"/>
          </w:tcPr>
          <w:p>
            <w:pPr>
              <w:pStyle w:val="TableParagraph"/>
              <w:spacing w:line="133" w:lineRule="exact"/>
              <w:ind w:left="194" w:right="161"/>
              <w:jc w:val="center"/>
              <w:rPr>
                <w:sz w:val="14"/>
              </w:rPr>
            </w:pPr>
            <w:r>
              <w:rPr>
                <w:sz w:val="14"/>
              </w:rPr>
              <w:t>32</w:t>
            </w:r>
          </w:p>
        </w:tc>
        <w:tc>
          <w:tcPr>
            <w:tcW w:w="504" w:type="dxa"/>
          </w:tcPr>
          <w:p>
            <w:pPr>
              <w:pStyle w:val="TableParagraph"/>
              <w:spacing w:line="133" w:lineRule="exact"/>
              <w:ind w:left="110" w:right="107"/>
              <w:jc w:val="center"/>
              <w:rPr>
                <w:sz w:val="14"/>
              </w:rPr>
            </w:pPr>
            <w:r>
              <w:rPr>
                <w:sz w:val="14"/>
              </w:rPr>
              <w:t>28</w:t>
            </w:r>
          </w:p>
        </w:tc>
        <w:tc>
          <w:tcPr>
            <w:tcW w:w="486" w:type="dxa"/>
          </w:tcPr>
          <w:p>
            <w:pPr>
              <w:pStyle w:val="TableParagraph"/>
              <w:spacing w:line="133" w:lineRule="exact"/>
              <w:ind w:left="159"/>
              <w:rPr>
                <w:sz w:val="14"/>
              </w:rPr>
            </w:pPr>
            <w:r>
              <w:rPr>
                <w:sz w:val="14"/>
              </w:rPr>
              <w:t>11</w:t>
            </w:r>
          </w:p>
        </w:tc>
        <w:tc>
          <w:tcPr>
            <w:tcW w:w="464" w:type="dxa"/>
          </w:tcPr>
          <w:p>
            <w:pPr>
              <w:pStyle w:val="TableParagraph"/>
              <w:spacing w:line="133" w:lineRule="exact"/>
              <w:ind w:left="246"/>
              <w:rPr>
                <w:sz w:val="14"/>
              </w:rPr>
            </w:pPr>
            <w:r>
              <w:rPr>
                <w:sz w:val="14"/>
              </w:rPr>
              <w:t>6</w:t>
            </w:r>
          </w:p>
        </w:tc>
      </w:tr>
      <w:tr>
        <w:trPr>
          <w:trHeight w:val="237" w:hRule="atLeast"/>
        </w:trPr>
        <w:tc>
          <w:tcPr>
            <w:tcW w:w="1361" w:type="dxa"/>
          </w:tcPr>
          <w:p>
            <w:pPr>
              <w:pStyle w:val="TableParagraph"/>
              <w:spacing w:line="156" w:lineRule="exact" w:before="61"/>
              <w:ind w:left="50"/>
              <w:rPr>
                <w:b/>
                <w:sz w:val="14"/>
              </w:rPr>
            </w:pPr>
            <w:r>
              <w:rPr>
                <w:b/>
                <w:sz w:val="14"/>
              </w:rPr>
              <w:t>GDP growth</w:t>
            </w:r>
          </w:p>
        </w:tc>
        <w:tc>
          <w:tcPr>
            <w:tcW w:w="461" w:type="dxa"/>
          </w:tcPr>
          <w:p>
            <w:pPr>
              <w:pStyle w:val="TableParagraph"/>
              <w:spacing w:line="240" w:lineRule="auto"/>
              <w:rPr>
                <w:sz w:val="16"/>
              </w:rPr>
            </w:pPr>
          </w:p>
        </w:tc>
        <w:tc>
          <w:tcPr>
            <w:tcW w:w="549" w:type="dxa"/>
          </w:tcPr>
          <w:p>
            <w:pPr>
              <w:pStyle w:val="TableParagraph"/>
              <w:spacing w:line="240" w:lineRule="auto"/>
              <w:rPr>
                <w:sz w:val="16"/>
              </w:rPr>
            </w:pPr>
          </w:p>
        </w:tc>
        <w:tc>
          <w:tcPr>
            <w:tcW w:w="535" w:type="dxa"/>
          </w:tcPr>
          <w:p>
            <w:pPr>
              <w:pStyle w:val="TableParagraph"/>
              <w:spacing w:line="240" w:lineRule="auto"/>
              <w:rPr>
                <w:sz w:val="16"/>
              </w:rPr>
            </w:pPr>
          </w:p>
        </w:tc>
        <w:tc>
          <w:tcPr>
            <w:tcW w:w="504" w:type="dxa"/>
          </w:tcPr>
          <w:p>
            <w:pPr>
              <w:pStyle w:val="TableParagraph"/>
              <w:spacing w:line="240" w:lineRule="auto"/>
              <w:rPr>
                <w:sz w:val="16"/>
              </w:rPr>
            </w:pPr>
          </w:p>
        </w:tc>
        <w:tc>
          <w:tcPr>
            <w:tcW w:w="486" w:type="dxa"/>
          </w:tcPr>
          <w:p>
            <w:pPr>
              <w:pStyle w:val="TableParagraph"/>
              <w:spacing w:line="240" w:lineRule="auto"/>
              <w:rPr>
                <w:sz w:val="16"/>
              </w:rPr>
            </w:pPr>
          </w:p>
        </w:tc>
        <w:tc>
          <w:tcPr>
            <w:tcW w:w="464" w:type="dxa"/>
          </w:tcPr>
          <w:p>
            <w:pPr>
              <w:pStyle w:val="TableParagraph"/>
              <w:spacing w:line="240" w:lineRule="auto"/>
              <w:rPr>
                <w:sz w:val="16"/>
              </w:rPr>
            </w:pPr>
          </w:p>
        </w:tc>
      </w:tr>
      <w:tr>
        <w:trPr>
          <w:trHeight w:val="304" w:hRule="atLeast"/>
        </w:trPr>
        <w:tc>
          <w:tcPr>
            <w:tcW w:w="4360" w:type="dxa"/>
            <w:gridSpan w:val="7"/>
          </w:tcPr>
          <w:p>
            <w:pPr>
              <w:pStyle w:val="TableParagraph"/>
              <w:tabs>
                <w:tab w:pos="1403" w:val="left" w:leader="none"/>
                <w:tab w:pos="4275" w:val="left" w:leader="none"/>
              </w:tabs>
              <w:spacing w:line="240" w:lineRule="auto" w:before="104"/>
              <w:ind w:left="50"/>
              <w:rPr>
                <w:sz w:val="14"/>
              </w:rPr>
            </w:pPr>
            <w:r>
              <w:rPr>
                <w:sz w:val="14"/>
              </w:rPr>
              <w:t>Probability, per cent</w:t>
              <w:tab/>
            </w:r>
            <w:r>
              <w:rPr>
                <w:sz w:val="14"/>
                <w:u w:val="single"/>
              </w:rPr>
              <w:t>Range:</w:t>
              <w:tab/>
            </w:r>
          </w:p>
        </w:tc>
      </w:tr>
      <w:tr>
        <w:trPr>
          <w:trHeight w:val="147" w:hRule="atLeast"/>
        </w:trPr>
        <w:tc>
          <w:tcPr>
            <w:tcW w:w="1822" w:type="dxa"/>
            <w:gridSpan w:val="2"/>
          </w:tcPr>
          <w:p>
            <w:pPr>
              <w:pStyle w:val="TableParagraph"/>
              <w:spacing w:line="128" w:lineRule="exact"/>
              <w:ind w:right="190"/>
              <w:jc w:val="right"/>
              <w:rPr>
                <w:sz w:val="14"/>
              </w:rPr>
            </w:pPr>
            <w:r>
              <w:rPr>
                <w:sz w:val="14"/>
              </w:rPr>
              <w:t>less</w:t>
            </w:r>
          </w:p>
        </w:tc>
        <w:tc>
          <w:tcPr>
            <w:tcW w:w="549" w:type="dxa"/>
          </w:tcPr>
          <w:p>
            <w:pPr>
              <w:pStyle w:val="TableParagraph"/>
              <w:spacing w:line="128" w:lineRule="exact"/>
              <w:ind w:left="139"/>
              <w:rPr>
                <w:sz w:val="14"/>
              </w:rPr>
            </w:pPr>
            <w:r>
              <w:rPr>
                <w:sz w:val="14"/>
              </w:rPr>
              <w:t>0%</w:t>
            </w:r>
          </w:p>
        </w:tc>
        <w:tc>
          <w:tcPr>
            <w:tcW w:w="535" w:type="dxa"/>
          </w:tcPr>
          <w:p>
            <w:pPr>
              <w:pStyle w:val="TableParagraph"/>
              <w:spacing w:line="128" w:lineRule="exact"/>
              <w:ind w:left="126"/>
              <w:rPr>
                <w:sz w:val="14"/>
              </w:rPr>
            </w:pPr>
            <w:r>
              <w:rPr>
                <w:sz w:val="14"/>
              </w:rPr>
              <w:t>1%</w:t>
            </w:r>
          </w:p>
        </w:tc>
        <w:tc>
          <w:tcPr>
            <w:tcW w:w="504" w:type="dxa"/>
          </w:tcPr>
          <w:p>
            <w:pPr>
              <w:pStyle w:val="TableParagraph"/>
              <w:spacing w:line="128" w:lineRule="exact"/>
              <w:ind w:left="110" w:right="97"/>
              <w:jc w:val="center"/>
              <w:rPr>
                <w:sz w:val="14"/>
              </w:rPr>
            </w:pPr>
            <w:r>
              <w:rPr>
                <w:sz w:val="14"/>
              </w:rPr>
              <w:t>2%</w:t>
            </w:r>
          </w:p>
        </w:tc>
        <w:tc>
          <w:tcPr>
            <w:tcW w:w="486" w:type="dxa"/>
          </w:tcPr>
          <w:p>
            <w:pPr>
              <w:pStyle w:val="TableParagraph"/>
              <w:spacing w:line="128" w:lineRule="exact"/>
              <w:ind w:left="133"/>
              <w:rPr>
                <w:sz w:val="14"/>
              </w:rPr>
            </w:pPr>
            <w:r>
              <w:rPr>
                <w:sz w:val="14"/>
              </w:rPr>
              <w:t>3%</w:t>
            </w:r>
          </w:p>
        </w:tc>
        <w:tc>
          <w:tcPr>
            <w:tcW w:w="464" w:type="dxa"/>
          </w:tcPr>
          <w:p>
            <w:pPr>
              <w:pStyle w:val="TableParagraph"/>
              <w:spacing w:line="128" w:lineRule="exact"/>
              <w:ind w:left="103"/>
              <w:rPr>
                <w:sz w:val="14"/>
              </w:rPr>
            </w:pPr>
            <w:r>
              <w:rPr>
                <w:sz w:val="14"/>
              </w:rPr>
              <w:t>more</w:t>
            </w:r>
          </w:p>
        </w:tc>
      </w:tr>
      <w:tr>
        <w:trPr>
          <w:trHeight w:val="147" w:hRule="atLeast"/>
        </w:trPr>
        <w:tc>
          <w:tcPr>
            <w:tcW w:w="1822" w:type="dxa"/>
            <w:gridSpan w:val="2"/>
          </w:tcPr>
          <w:p>
            <w:pPr>
              <w:pStyle w:val="TableParagraph"/>
              <w:spacing w:line="128" w:lineRule="exact"/>
              <w:ind w:right="159"/>
              <w:jc w:val="right"/>
              <w:rPr>
                <w:sz w:val="14"/>
              </w:rPr>
            </w:pPr>
            <w:r>
              <w:rPr>
                <w:sz w:val="14"/>
              </w:rPr>
              <w:t>than</w:t>
            </w:r>
          </w:p>
        </w:tc>
        <w:tc>
          <w:tcPr>
            <w:tcW w:w="549" w:type="dxa"/>
          </w:tcPr>
          <w:p>
            <w:pPr>
              <w:pStyle w:val="TableParagraph"/>
              <w:spacing w:line="128" w:lineRule="exact"/>
              <w:ind w:left="139"/>
              <w:rPr>
                <w:sz w:val="14"/>
              </w:rPr>
            </w:pPr>
            <w:r>
              <w:rPr>
                <w:sz w:val="14"/>
              </w:rPr>
              <w:t>to</w:t>
            </w:r>
          </w:p>
        </w:tc>
        <w:tc>
          <w:tcPr>
            <w:tcW w:w="535" w:type="dxa"/>
          </w:tcPr>
          <w:p>
            <w:pPr>
              <w:pStyle w:val="TableParagraph"/>
              <w:spacing w:line="128" w:lineRule="exact"/>
              <w:ind w:left="126"/>
              <w:rPr>
                <w:sz w:val="14"/>
              </w:rPr>
            </w:pPr>
            <w:r>
              <w:rPr>
                <w:sz w:val="14"/>
              </w:rPr>
              <w:t>to</w:t>
            </w:r>
          </w:p>
        </w:tc>
        <w:tc>
          <w:tcPr>
            <w:tcW w:w="504" w:type="dxa"/>
          </w:tcPr>
          <w:p>
            <w:pPr>
              <w:pStyle w:val="TableParagraph"/>
              <w:spacing w:line="128" w:lineRule="exact"/>
              <w:ind w:left="71" w:right="132"/>
              <w:jc w:val="center"/>
              <w:rPr>
                <w:sz w:val="14"/>
              </w:rPr>
            </w:pPr>
            <w:r>
              <w:rPr>
                <w:sz w:val="14"/>
              </w:rPr>
              <w:t>to</w:t>
            </w:r>
          </w:p>
        </w:tc>
        <w:tc>
          <w:tcPr>
            <w:tcW w:w="486" w:type="dxa"/>
          </w:tcPr>
          <w:p>
            <w:pPr>
              <w:pStyle w:val="TableParagraph"/>
              <w:spacing w:line="128" w:lineRule="exact"/>
              <w:ind w:left="133"/>
              <w:rPr>
                <w:sz w:val="14"/>
              </w:rPr>
            </w:pPr>
            <w:r>
              <w:rPr>
                <w:sz w:val="14"/>
              </w:rPr>
              <w:t>to</w:t>
            </w:r>
          </w:p>
        </w:tc>
        <w:tc>
          <w:tcPr>
            <w:tcW w:w="464" w:type="dxa"/>
          </w:tcPr>
          <w:p>
            <w:pPr>
              <w:pStyle w:val="TableParagraph"/>
              <w:spacing w:line="128" w:lineRule="exact"/>
              <w:ind w:left="104"/>
              <w:rPr>
                <w:sz w:val="14"/>
              </w:rPr>
            </w:pPr>
            <w:r>
              <w:rPr>
                <w:sz w:val="14"/>
              </w:rPr>
              <w:t>than</w:t>
            </w:r>
          </w:p>
        </w:tc>
      </w:tr>
      <w:tr>
        <w:trPr>
          <w:trHeight w:val="202" w:hRule="atLeast"/>
        </w:trPr>
        <w:tc>
          <w:tcPr>
            <w:tcW w:w="1361" w:type="dxa"/>
          </w:tcPr>
          <w:p>
            <w:pPr>
              <w:pStyle w:val="TableParagraph"/>
              <w:spacing w:line="240" w:lineRule="auto"/>
              <w:rPr>
                <w:sz w:val="14"/>
              </w:rPr>
            </w:pPr>
          </w:p>
        </w:tc>
        <w:tc>
          <w:tcPr>
            <w:tcW w:w="461" w:type="dxa"/>
          </w:tcPr>
          <w:p>
            <w:pPr>
              <w:pStyle w:val="TableParagraph"/>
              <w:spacing w:line="140" w:lineRule="exact"/>
              <w:ind w:right="99"/>
              <w:jc w:val="right"/>
              <w:rPr>
                <w:sz w:val="14"/>
              </w:rPr>
            </w:pPr>
            <w:r>
              <w:rPr>
                <w:sz w:val="14"/>
                <w:u w:val="single"/>
              </w:rPr>
              <w:t> 0% </w:t>
            </w:r>
          </w:p>
        </w:tc>
        <w:tc>
          <w:tcPr>
            <w:tcW w:w="549" w:type="dxa"/>
          </w:tcPr>
          <w:p>
            <w:pPr>
              <w:pStyle w:val="TableParagraph"/>
              <w:spacing w:line="140" w:lineRule="exact"/>
              <w:ind w:left="100"/>
              <w:rPr>
                <w:sz w:val="14"/>
              </w:rPr>
            </w:pPr>
            <w:r>
              <w:rPr>
                <w:sz w:val="14"/>
                <w:u w:val="single"/>
              </w:rPr>
              <w:t> 1% </w:t>
            </w:r>
          </w:p>
        </w:tc>
        <w:tc>
          <w:tcPr>
            <w:tcW w:w="535" w:type="dxa"/>
          </w:tcPr>
          <w:p>
            <w:pPr>
              <w:pStyle w:val="TableParagraph"/>
              <w:spacing w:line="140" w:lineRule="exact"/>
              <w:ind w:left="126"/>
              <w:rPr>
                <w:sz w:val="14"/>
              </w:rPr>
            </w:pPr>
            <w:r>
              <w:rPr>
                <w:sz w:val="14"/>
                <w:u w:val="single"/>
              </w:rPr>
              <w:t>2% </w:t>
            </w:r>
          </w:p>
        </w:tc>
        <w:tc>
          <w:tcPr>
            <w:tcW w:w="504" w:type="dxa"/>
          </w:tcPr>
          <w:p>
            <w:pPr>
              <w:pStyle w:val="TableParagraph"/>
              <w:spacing w:line="140" w:lineRule="exact"/>
              <w:ind w:left="2"/>
              <w:jc w:val="center"/>
              <w:rPr>
                <w:sz w:val="14"/>
              </w:rPr>
            </w:pPr>
            <w:r>
              <w:rPr>
                <w:sz w:val="14"/>
                <w:u w:val="single"/>
              </w:rPr>
              <w:t>  3% </w:t>
            </w:r>
          </w:p>
        </w:tc>
        <w:tc>
          <w:tcPr>
            <w:tcW w:w="486" w:type="dxa"/>
          </w:tcPr>
          <w:p>
            <w:pPr>
              <w:pStyle w:val="TableParagraph"/>
              <w:spacing w:line="140" w:lineRule="exact"/>
              <w:ind w:left="67"/>
              <w:rPr>
                <w:sz w:val="14"/>
              </w:rPr>
            </w:pPr>
            <w:r>
              <w:rPr>
                <w:sz w:val="14"/>
                <w:u w:val="single"/>
              </w:rPr>
              <w:t>  4% </w:t>
            </w:r>
          </w:p>
        </w:tc>
        <w:tc>
          <w:tcPr>
            <w:tcW w:w="464" w:type="dxa"/>
          </w:tcPr>
          <w:p>
            <w:pPr>
              <w:pStyle w:val="TableParagraph"/>
              <w:spacing w:line="140" w:lineRule="exact"/>
              <w:ind w:left="81"/>
              <w:rPr>
                <w:sz w:val="14"/>
              </w:rPr>
            </w:pPr>
            <w:r>
              <w:rPr>
                <w:sz w:val="14"/>
                <w:u w:val="single"/>
              </w:rPr>
              <w:t> 4% </w:t>
            </w:r>
          </w:p>
        </w:tc>
      </w:tr>
      <w:tr>
        <w:trPr>
          <w:trHeight w:val="210" w:hRule="atLeast"/>
        </w:trPr>
        <w:tc>
          <w:tcPr>
            <w:tcW w:w="1361" w:type="dxa"/>
          </w:tcPr>
          <w:p>
            <w:pPr>
              <w:pStyle w:val="TableParagraph"/>
              <w:spacing w:line="148" w:lineRule="exact" w:before="41"/>
              <w:ind w:left="50"/>
              <w:rPr>
                <w:sz w:val="14"/>
              </w:rPr>
            </w:pPr>
            <w:r>
              <w:rPr>
                <w:sz w:val="14"/>
              </w:rPr>
              <w:t>2000 Q4</w:t>
            </w:r>
          </w:p>
        </w:tc>
        <w:tc>
          <w:tcPr>
            <w:tcW w:w="461" w:type="dxa"/>
          </w:tcPr>
          <w:p>
            <w:pPr>
              <w:pStyle w:val="TableParagraph"/>
              <w:spacing w:line="148" w:lineRule="exact" w:before="41"/>
              <w:ind w:left="10"/>
              <w:jc w:val="center"/>
              <w:rPr>
                <w:sz w:val="14"/>
              </w:rPr>
            </w:pPr>
            <w:r>
              <w:rPr>
                <w:sz w:val="14"/>
              </w:rPr>
              <w:t>1</w:t>
            </w:r>
          </w:p>
        </w:tc>
        <w:tc>
          <w:tcPr>
            <w:tcW w:w="549" w:type="dxa"/>
          </w:tcPr>
          <w:p>
            <w:pPr>
              <w:pStyle w:val="TableParagraph"/>
              <w:spacing w:line="148" w:lineRule="exact" w:before="41"/>
              <w:ind w:left="7"/>
              <w:jc w:val="center"/>
              <w:rPr>
                <w:sz w:val="14"/>
              </w:rPr>
            </w:pPr>
            <w:r>
              <w:rPr>
                <w:sz w:val="14"/>
              </w:rPr>
              <w:t>4</w:t>
            </w:r>
          </w:p>
        </w:tc>
        <w:tc>
          <w:tcPr>
            <w:tcW w:w="535" w:type="dxa"/>
          </w:tcPr>
          <w:p>
            <w:pPr>
              <w:pStyle w:val="TableParagraph"/>
              <w:spacing w:line="148" w:lineRule="exact" w:before="41"/>
              <w:ind w:left="143"/>
              <w:rPr>
                <w:sz w:val="14"/>
              </w:rPr>
            </w:pPr>
            <w:r>
              <w:rPr>
                <w:sz w:val="14"/>
              </w:rPr>
              <w:t>13</w:t>
            </w:r>
          </w:p>
        </w:tc>
        <w:tc>
          <w:tcPr>
            <w:tcW w:w="504" w:type="dxa"/>
          </w:tcPr>
          <w:p>
            <w:pPr>
              <w:pStyle w:val="TableParagraph"/>
              <w:spacing w:line="148" w:lineRule="exact" w:before="41"/>
              <w:ind w:left="110" w:right="77"/>
              <w:jc w:val="center"/>
              <w:rPr>
                <w:sz w:val="14"/>
              </w:rPr>
            </w:pPr>
            <w:r>
              <w:rPr>
                <w:sz w:val="14"/>
              </w:rPr>
              <w:t>39</w:t>
            </w:r>
          </w:p>
        </w:tc>
        <w:tc>
          <w:tcPr>
            <w:tcW w:w="486" w:type="dxa"/>
          </w:tcPr>
          <w:p>
            <w:pPr>
              <w:pStyle w:val="TableParagraph"/>
              <w:spacing w:line="148" w:lineRule="exact" w:before="41"/>
              <w:ind w:left="190"/>
              <w:rPr>
                <w:sz w:val="14"/>
              </w:rPr>
            </w:pPr>
            <w:r>
              <w:rPr>
                <w:sz w:val="14"/>
              </w:rPr>
              <w:t>35</w:t>
            </w:r>
          </w:p>
        </w:tc>
        <w:tc>
          <w:tcPr>
            <w:tcW w:w="464" w:type="dxa"/>
          </w:tcPr>
          <w:p>
            <w:pPr>
              <w:pStyle w:val="TableParagraph"/>
              <w:spacing w:line="148" w:lineRule="exact" w:before="41"/>
              <w:ind w:left="254"/>
              <w:rPr>
                <w:sz w:val="14"/>
              </w:rPr>
            </w:pPr>
            <w:r>
              <w:rPr>
                <w:sz w:val="14"/>
              </w:rPr>
              <w:t>8</w:t>
            </w:r>
          </w:p>
        </w:tc>
      </w:tr>
      <w:tr>
        <w:trPr>
          <w:trHeight w:val="140" w:hRule="atLeast"/>
        </w:trPr>
        <w:tc>
          <w:tcPr>
            <w:tcW w:w="1361" w:type="dxa"/>
          </w:tcPr>
          <w:p>
            <w:pPr>
              <w:pStyle w:val="TableParagraph"/>
              <w:ind w:left="50"/>
              <w:rPr>
                <w:sz w:val="14"/>
              </w:rPr>
            </w:pPr>
            <w:r>
              <w:rPr>
                <w:sz w:val="14"/>
              </w:rPr>
              <w:t>2001 Q4</w:t>
            </w:r>
          </w:p>
        </w:tc>
        <w:tc>
          <w:tcPr>
            <w:tcW w:w="461" w:type="dxa"/>
          </w:tcPr>
          <w:p>
            <w:pPr>
              <w:pStyle w:val="TableParagraph"/>
              <w:ind w:left="10"/>
              <w:jc w:val="center"/>
              <w:rPr>
                <w:sz w:val="14"/>
              </w:rPr>
            </w:pPr>
            <w:r>
              <w:rPr>
                <w:sz w:val="14"/>
              </w:rPr>
              <w:t>3</w:t>
            </w:r>
          </w:p>
        </w:tc>
        <w:tc>
          <w:tcPr>
            <w:tcW w:w="549" w:type="dxa"/>
          </w:tcPr>
          <w:p>
            <w:pPr>
              <w:pStyle w:val="TableParagraph"/>
              <w:ind w:left="7"/>
              <w:jc w:val="center"/>
              <w:rPr>
                <w:sz w:val="14"/>
              </w:rPr>
            </w:pPr>
            <w:r>
              <w:rPr>
                <w:sz w:val="14"/>
              </w:rPr>
              <w:t>9</w:t>
            </w:r>
          </w:p>
        </w:tc>
        <w:tc>
          <w:tcPr>
            <w:tcW w:w="535" w:type="dxa"/>
          </w:tcPr>
          <w:p>
            <w:pPr>
              <w:pStyle w:val="TableParagraph"/>
              <w:ind w:left="143"/>
              <w:rPr>
                <w:sz w:val="14"/>
              </w:rPr>
            </w:pPr>
            <w:r>
              <w:rPr>
                <w:sz w:val="14"/>
              </w:rPr>
              <w:t>23</w:t>
            </w:r>
          </w:p>
        </w:tc>
        <w:tc>
          <w:tcPr>
            <w:tcW w:w="504" w:type="dxa"/>
          </w:tcPr>
          <w:p>
            <w:pPr>
              <w:pStyle w:val="TableParagraph"/>
              <w:ind w:left="110" w:right="77"/>
              <w:jc w:val="center"/>
              <w:rPr>
                <w:sz w:val="14"/>
              </w:rPr>
            </w:pPr>
            <w:r>
              <w:rPr>
                <w:sz w:val="14"/>
              </w:rPr>
              <w:t>42</w:t>
            </w:r>
          </w:p>
        </w:tc>
        <w:tc>
          <w:tcPr>
            <w:tcW w:w="486" w:type="dxa"/>
          </w:tcPr>
          <w:p>
            <w:pPr>
              <w:pStyle w:val="TableParagraph"/>
              <w:ind w:left="190"/>
              <w:rPr>
                <w:sz w:val="14"/>
              </w:rPr>
            </w:pPr>
            <w:r>
              <w:rPr>
                <w:sz w:val="14"/>
              </w:rPr>
              <w:t>19</w:t>
            </w:r>
          </w:p>
        </w:tc>
        <w:tc>
          <w:tcPr>
            <w:tcW w:w="464" w:type="dxa"/>
          </w:tcPr>
          <w:p>
            <w:pPr>
              <w:pStyle w:val="TableParagraph"/>
              <w:ind w:left="254"/>
              <w:rPr>
                <w:sz w:val="14"/>
              </w:rPr>
            </w:pPr>
            <w:r>
              <w:rPr>
                <w:sz w:val="14"/>
              </w:rPr>
              <w:t>5</w:t>
            </w:r>
          </w:p>
        </w:tc>
      </w:tr>
      <w:tr>
        <w:trPr>
          <w:trHeight w:val="147" w:hRule="atLeast"/>
        </w:trPr>
        <w:tc>
          <w:tcPr>
            <w:tcW w:w="1361" w:type="dxa"/>
          </w:tcPr>
          <w:p>
            <w:pPr>
              <w:pStyle w:val="TableParagraph"/>
              <w:spacing w:line="128" w:lineRule="exact"/>
              <w:ind w:left="50"/>
              <w:rPr>
                <w:sz w:val="12"/>
              </w:rPr>
            </w:pPr>
            <w:r>
              <w:rPr>
                <w:sz w:val="14"/>
              </w:rPr>
              <w:t>2002 Q2 </w:t>
            </w:r>
            <w:r>
              <w:rPr>
                <w:sz w:val="12"/>
              </w:rPr>
              <w:t>(b)</w:t>
            </w:r>
          </w:p>
        </w:tc>
        <w:tc>
          <w:tcPr>
            <w:tcW w:w="461" w:type="dxa"/>
          </w:tcPr>
          <w:p>
            <w:pPr>
              <w:pStyle w:val="TableParagraph"/>
              <w:spacing w:line="128" w:lineRule="exact"/>
              <w:ind w:left="10"/>
              <w:jc w:val="center"/>
              <w:rPr>
                <w:sz w:val="14"/>
              </w:rPr>
            </w:pPr>
            <w:r>
              <w:rPr>
                <w:sz w:val="14"/>
              </w:rPr>
              <w:t>4</w:t>
            </w:r>
          </w:p>
        </w:tc>
        <w:tc>
          <w:tcPr>
            <w:tcW w:w="549" w:type="dxa"/>
          </w:tcPr>
          <w:p>
            <w:pPr>
              <w:pStyle w:val="TableParagraph"/>
              <w:spacing w:line="128" w:lineRule="exact"/>
              <w:ind w:left="173"/>
              <w:rPr>
                <w:sz w:val="14"/>
              </w:rPr>
            </w:pPr>
            <w:r>
              <w:rPr>
                <w:sz w:val="14"/>
              </w:rPr>
              <w:t>11</w:t>
            </w:r>
          </w:p>
        </w:tc>
        <w:tc>
          <w:tcPr>
            <w:tcW w:w="535" w:type="dxa"/>
          </w:tcPr>
          <w:p>
            <w:pPr>
              <w:pStyle w:val="TableParagraph"/>
              <w:spacing w:line="128" w:lineRule="exact"/>
              <w:ind w:left="143"/>
              <w:rPr>
                <w:sz w:val="14"/>
              </w:rPr>
            </w:pPr>
            <w:r>
              <w:rPr>
                <w:sz w:val="14"/>
              </w:rPr>
              <w:t>26</w:t>
            </w:r>
          </w:p>
        </w:tc>
        <w:tc>
          <w:tcPr>
            <w:tcW w:w="504" w:type="dxa"/>
          </w:tcPr>
          <w:p>
            <w:pPr>
              <w:pStyle w:val="TableParagraph"/>
              <w:spacing w:line="128" w:lineRule="exact"/>
              <w:ind w:left="110" w:right="77"/>
              <w:jc w:val="center"/>
              <w:rPr>
                <w:sz w:val="14"/>
              </w:rPr>
            </w:pPr>
            <w:r>
              <w:rPr>
                <w:sz w:val="14"/>
              </w:rPr>
              <w:t>39</w:t>
            </w:r>
          </w:p>
        </w:tc>
        <w:tc>
          <w:tcPr>
            <w:tcW w:w="486" w:type="dxa"/>
          </w:tcPr>
          <w:p>
            <w:pPr>
              <w:pStyle w:val="TableParagraph"/>
              <w:spacing w:line="128" w:lineRule="exact"/>
              <w:ind w:left="190"/>
              <w:rPr>
                <w:sz w:val="14"/>
              </w:rPr>
            </w:pPr>
            <w:r>
              <w:rPr>
                <w:sz w:val="14"/>
              </w:rPr>
              <w:t>15</w:t>
            </w:r>
          </w:p>
        </w:tc>
        <w:tc>
          <w:tcPr>
            <w:tcW w:w="464" w:type="dxa"/>
          </w:tcPr>
          <w:p>
            <w:pPr>
              <w:pStyle w:val="TableParagraph"/>
              <w:spacing w:line="128" w:lineRule="exact"/>
              <w:ind w:left="254"/>
              <w:rPr>
                <w:sz w:val="14"/>
              </w:rPr>
            </w:pPr>
            <w:r>
              <w:rPr>
                <w:sz w:val="14"/>
              </w:rPr>
              <w:t>5</w:t>
            </w:r>
          </w:p>
        </w:tc>
      </w:tr>
      <w:tr>
        <w:trPr>
          <w:trHeight w:val="255" w:hRule="atLeast"/>
        </w:trPr>
        <w:tc>
          <w:tcPr>
            <w:tcW w:w="4360" w:type="dxa"/>
            <w:gridSpan w:val="7"/>
          </w:tcPr>
          <w:p>
            <w:pPr>
              <w:pStyle w:val="TableParagraph"/>
              <w:spacing w:line="133" w:lineRule="exact" w:before="103"/>
              <w:ind w:left="50"/>
              <w:rPr>
                <w:sz w:val="12"/>
              </w:rPr>
            </w:pPr>
            <w:r>
              <w:rPr>
                <w:sz w:val="12"/>
              </w:rPr>
              <w:t>(a) 29 outside forecasters provided the Bank with their assessment of the likelihood, at</w:t>
            </w:r>
          </w:p>
        </w:tc>
      </w:tr>
    </w:tbl>
    <w:p>
      <w:pPr>
        <w:spacing w:line="208" w:lineRule="auto" w:before="0"/>
        <w:ind w:left="427" w:right="21" w:firstLine="0"/>
        <w:jc w:val="left"/>
        <w:rPr>
          <w:sz w:val="12"/>
        </w:rPr>
      </w:pPr>
      <w:r>
        <w:rPr>
          <w:sz w:val="12"/>
        </w:rPr>
        <w:t>three time horizons, of expected twelve-month RPIX inflation and four-quarter output growth falling in the ranges shown above. This table shows the means of the responses for each range. For example, on average, forecasters assign a probability of 8% to inflation turning out to be less than 1.5% in 2002 Q2.</w:t>
      </w:r>
    </w:p>
    <w:p>
      <w:pPr>
        <w:pStyle w:val="ListParagraph"/>
        <w:numPr>
          <w:ilvl w:val="0"/>
          <w:numId w:val="41"/>
        </w:numPr>
        <w:tabs>
          <w:tab w:pos="428" w:val="left" w:leader="none"/>
        </w:tabs>
        <w:spacing w:line="123" w:lineRule="exact" w:before="0" w:after="0"/>
        <w:ind w:left="427" w:right="0" w:hanging="241"/>
        <w:jc w:val="left"/>
        <w:rPr>
          <w:sz w:val="12"/>
        </w:rPr>
      </w:pPr>
      <w:r>
        <w:rPr>
          <w:sz w:val="12"/>
        </w:rPr>
        <w:t>28</w:t>
      </w:r>
      <w:r>
        <w:rPr>
          <w:spacing w:val="-2"/>
          <w:sz w:val="12"/>
        </w:rPr>
        <w:t> </w:t>
      </w:r>
      <w:r>
        <w:rPr>
          <w:sz w:val="12"/>
        </w:rPr>
        <w:t>forecasters.</w:t>
      </w:r>
    </w:p>
    <w:p>
      <w:pPr>
        <w:pStyle w:val="Heading6"/>
        <w:spacing w:line="242" w:lineRule="auto"/>
        <w:ind w:left="187"/>
      </w:pPr>
      <w:r>
        <w:rPr/>
        <w:br w:type="column"/>
      </w:r>
      <w:r>
        <w:rPr/>
        <w:t>3 /</w:t>
      </w:r>
      <w:r>
        <w:rPr>
          <w:sz w:val="12"/>
        </w:rPr>
        <w:t>4</w:t>
      </w:r>
      <w:r>
        <w:rPr/>
        <w:t>%), up from the 2 /</w:t>
      </w:r>
      <w:r>
        <w:rPr>
          <w:sz w:val="12"/>
        </w:rPr>
        <w:t>4</w:t>
      </w:r>
      <w:r>
        <w:rPr/>
        <w:t>% average forecast reported in February. Growth is expected to slow to 2</w:t>
      </w:r>
      <w:r>
        <w:rPr>
          <w:position w:val="8"/>
          <w:sz w:val="12"/>
        </w:rPr>
        <w:t>1</w:t>
      </w:r>
      <w:r>
        <w:rPr/>
        <w:t>/</w:t>
      </w:r>
      <w:r>
        <w:rPr>
          <w:sz w:val="12"/>
        </w:rPr>
        <w:t>4</w:t>
      </w:r>
      <w:r>
        <w:rPr/>
        <w:t>% (with a range of 1</w:t>
      </w:r>
      <w:r>
        <w:rPr>
          <w:position w:val="8"/>
          <w:sz w:val="12"/>
        </w:rPr>
        <w:t>1</w:t>
      </w:r>
      <w:r>
        <w:rPr/>
        <w:t>/</w:t>
      </w:r>
      <w:r>
        <w:rPr>
          <w:sz w:val="12"/>
        </w:rPr>
        <w:t>2</w:t>
      </w:r>
      <w:r>
        <w:rPr/>
        <w:t>% to 3</w:t>
      </w:r>
      <w:r>
        <w:rPr>
          <w:position w:val="8"/>
          <w:sz w:val="12"/>
        </w:rPr>
        <w:t>1</w:t>
      </w:r>
      <w:r>
        <w:rPr/>
        <w:t>/</w:t>
      </w:r>
      <w:r>
        <w:rPr>
          <w:sz w:val="12"/>
        </w:rPr>
        <w:t>2</w:t>
      </w:r>
      <w:r>
        <w:rPr/>
        <w:t>%) by 2002 Q2. That is in line with the February survey.</w:t>
      </w:r>
    </w:p>
    <w:p>
      <w:pPr>
        <w:pStyle w:val="BodyText"/>
        <w:spacing w:before="8"/>
        <w:rPr>
          <w:sz w:val="24"/>
        </w:rPr>
      </w:pPr>
    </w:p>
    <w:p>
      <w:pPr>
        <w:spacing w:before="1"/>
        <w:ind w:left="187" w:right="0" w:firstLine="0"/>
        <w:jc w:val="left"/>
        <w:rPr>
          <w:sz w:val="24"/>
        </w:rPr>
      </w:pPr>
      <w:r>
        <w:rPr>
          <w:sz w:val="24"/>
        </w:rPr>
        <w:t>The mean forecast for the official interest rate in</w:t>
      </w:r>
    </w:p>
    <w:p>
      <w:pPr>
        <w:spacing w:line="242" w:lineRule="auto" w:before="4"/>
        <w:ind w:left="187" w:right="60" w:firstLine="0"/>
        <w:jc w:val="left"/>
        <w:rPr>
          <w:sz w:val="24"/>
        </w:rPr>
      </w:pPr>
      <w:r>
        <w:rPr>
          <w:sz w:val="24"/>
        </w:rPr>
        <w:t>2000 Q4 is 6</w:t>
      </w:r>
      <w:r>
        <w:rPr>
          <w:position w:val="8"/>
          <w:sz w:val="12"/>
        </w:rPr>
        <w:t>1</w:t>
      </w:r>
      <w:r>
        <w:rPr>
          <w:sz w:val="24"/>
        </w:rPr>
        <w:t>/</w:t>
      </w:r>
      <w:r>
        <w:rPr>
          <w:sz w:val="12"/>
        </w:rPr>
        <w:t>2</w:t>
      </w:r>
      <w:r>
        <w:rPr>
          <w:sz w:val="24"/>
        </w:rPr>
        <w:t>% (with a range of 6% to 7%), falling to 6% by 2002 Q2 (with a range of 5% to 8%). This is broadly unchanged from the survey results reported in February. The near-term outlook for sterling is rather stronger than in February, but the average forecast for 2002 Q2 is little changed. On average, forecasters</w:t>
      </w:r>
    </w:p>
    <w:p>
      <w:pPr>
        <w:spacing w:after="0" w:line="242" w:lineRule="auto"/>
        <w:jc w:val="left"/>
        <w:rPr>
          <w:sz w:val="24"/>
        </w:rPr>
        <w:sectPr>
          <w:type w:val="continuous"/>
          <w:pgSz w:w="11900" w:h="16840"/>
          <w:pgMar w:top="1220" w:bottom="280" w:left="640" w:right="620"/>
          <w:cols w:num="2" w:equalWidth="0">
            <w:col w:w="4507" w:space="300"/>
            <w:col w:w="5833"/>
          </w:cols>
        </w:sectPr>
      </w:pPr>
    </w:p>
    <w:p>
      <w:pPr>
        <w:pStyle w:val="BodyText"/>
        <w:rPr>
          <w:sz w:val="20"/>
        </w:rPr>
      </w:pPr>
    </w:p>
    <w:p>
      <w:pPr>
        <w:spacing w:after="0"/>
        <w:rPr>
          <w:sz w:val="20"/>
        </w:rPr>
        <w:sectPr>
          <w:pgSz w:w="11900" w:h="16840"/>
          <w:pgMar w:header="586" w:footer="617" w:top="780" w:bottom="800" w:left="640" w:right="620"/>
        </w:sectPr>
      </w:pPr>
    </w:p>
    <w:p>
      <w:pPr>
        <w:pStyle w:val="BodyText"/>
        <w:spacing w:before="5"/>
        <w:rPr>
          <w:sz w:val="21"/>
        </w:rPr>
      </w:pPr>
    </w:p>
    <w:p>
      <w:pPr>
        <w:spacing w:before="1"/>
        <w:ind w:left="175" w:right="0" w:firstLine="0"/>
        <w:jc w:val="left"/>
        <w:rPr>
          <w:b/>
          <w:sz w:val="20"/>
        </w:rPr>
      </w:pPr>
      <w:r>
        <w:rPr>
          <w:b/>
          <w:color w:val="0092C7"/>
          <w:sz w:val="20"/>
        </w:rPr>
        <w:t>Chart 6.9</w:t>
      </w:r>
    </w:p>
    <w:p>
      <w:pPr>
        <w:spacing w:line="249" w:lineRule="auto" w:before="10"/>
        <w:ind w:left="175" w:right="159" w:firstLine="0"/>
        <w:jc w:val="left"/>
        <w:rPr>
          <w:b/>
          <w:sz w:val="20"/>
        </w:rPr>
      </w:pPr>
      <w:r>
        <w:rPr>
          <w:b/>
          <w:color w:val="0092C7"/>
          <w:sz w:val="20"/>
        </w:rPr>
        <w:t>Distribution of repo rate forecasts for 2002 Q2</w:t>
      </w:r>
    </w:p>
    <w:p>
      <w:pPr>
        <w:spacing w:before="58"/>
        <w:ind w:left="2400" w:right="0" w:firstLine="0"/>
        <w:jc w:val="left"/>
        <w:rPr>
          <w:sz w:val="12"/>
        </w:rPr>
      </w:pPr>
      <w:r>
        <w:rPr/>
        <w:pict>
          <v:line style="position:absolute;mso-position-horizontal-relative:page;mso-position-vertical-relative:paragraph;z-index:16360960" from="40.561001pt,10.71961pt" to="44.894001pt,10.71961pt" stroked="true" strokeweight=".5pt" strokecolor="#000000">
            <v:stroke dashstyle="solid"/>
            <w10:wrap type="none"/>
          </v:line>
        </w:pict>
      </w:r>
      <w:r>
        <w:rPr/>
        <w:pict>
          <v:line style="position:absolute;mso-position-horizontal-relative:page;mso-position-vertical-relative:paragraph;z-index:-22247424" from="196.654999pt,10.71961pt" to="200.987999pt,10.71961pt" stroked="true" strokeweight=".5pt" strokecolor="#000000">
            <v:stroke dashstyle="solid"/>
            <w10:wrap type="none"/>
          </v:line>
        </w:pict>
      </w:r>
      <w:r>
        <w:rPr>
          <w:sz w:val="12"/>
        </w:rPr>
        <w:t>Number of forecasts </w:t>
      </w:r>
      <w:r>
        <w:rPr>
          <w:position w:val="-7"/>
          <w:sz w:val="12"/>
        </w:rPr>
        <w:t>10</w:t>
      </w:r>
    </w:p>
    <w:p>
      <w:pPr>
        <w:pStyle w:val="BodyText"/>
        <w:rPr>
          <w:sz w:val="22"/>
        </w:rPr>
      </w:pPr>
    </w:p>
    <w:p>
      <w:pPr>
        <w:spacing w:before="187"/>
        <w:ind w:left="3458" w:right="0" w:firstLine="0"/>
        <w:jc w:val="left"/>
        <w:rPr>
          <w:sz w:val="12"/>
        </w:rPr>
      </w:pPr>
      <w:r>
        <w:rPr/>
        <w:pict>
          <v:group style="position:absolute;margin-left:40.561001pt;margin-top:-1.621589pt;width:152.5pt;height:133.35pt;mso-position-horizontal-relative:page;mso-position-vertical-relative:paragraph;z-index:16358400" coordorigin="811,-32" coordsize="3050,2667">
            <v:rect style="position:absolute;left:1981;top:1695;width:144;height:873" filled="true" fillcolor="#0099d9" stroked="false">
              <v:fill type="solid"/>
            </v:rect>
            <v:rect style="position:absolute;left:1981;top:1695;width:144;height:873" filled="false" stroked="true" strokeweight=".5pt" strokecolor="#000000">
              <v:stroke dashstyle="solid"/>
            </v:rect>
            <v:rect style="position:absolute;left:2125;top:1997;width:140;height:570" filled="true" fillcolor="#0099d9" stroked="false">
              <v:fill type="solid"/>
            </v:rect>
            <v:rect style="position:absolute;left:2125;top:1997;width:140;height:570" filled="false" stroked="true" strokeweight=".5pt" strokecolor="#000000">
              <v:stroke dashstyle="solid"/>
            </v:rect>
            <v:rect style="position:absolute;left:2270;top:-28;width:143;height:2595" filled="true" fillcolor="#0099d9" stroked="false">
              <v:fill type="solid"/>
            </v:rect>
            <v:rect style="position:absolute;left:2270;top:-28;width:143;height:2595" filled="false" stroked="true" strokeweight=".5pt" strokecolor="#000000">
              <v:stroke dashstyle="solid"/>
            </v:rect>
            <v:rect style="position:absolute;left:2414;top:1412;width:144;height:1155" filled="true" fillcolor="#0099d9" stroked="false">
              <v:fill type="solid"/>
            </v:rect>
            <v:rect style="position:absolute;left:2414;top:1412;width:144;height:1155" filled="false" stroked="true" strokeweight=".5pt" strokecolor="#000000">
              <v:stroke dashstyle="solid"/>
            </v:rect>
            <v:rect style="position:absolute;left:2558;top:1695;width:140;height:873" filled="true" fillcolor="#0099d9" stroked="false">
              <v:fill type="solid"/>
            </v:rect>
            <v:rect style="position:absolute;left:2558;top:1695;width:140;height:873" filled="false" stroked="true" strokeweight=".5pt" strokecolor="#000000">
              <v:stroke dashstyle="solid"/>
            </v:rect>
            <v:rect style="position:absolute;left:2702;top:1695;width:144;height:873" filled="true" fillcolor="#0099d9" stroked="false">
              <v:fill type="solid"/>
            </v:rect>
            <v:rect style="position:absolute;left:2702;top:1695;width:144;height:873" filled="false" stroked="true" strokeweight=".5pt" strokecolor="#000000">
              <v:stroke dashstyle="solid"/>
            </v:rect>
            <v:rect style="position:absolute;left:2846;top:2280;width:140;height:288" filled="true" fillcolor="#0099d9" stroked="false">
              <v:fill type="solid"/>
            </v:rect>
            <v:rect style="position:absolute;left:2846;top:2280;width:140;height:288" filled="false" stroked="true" strokeweight=".5pt" strokecolor="#000000">
              <v:stroke dashstyle="solid"/>
            </v:rect>
            <v:rect style="position:absolute;left:2990;top:2280;width:144;height:288" filled="true" fillcolor="#0099d9" stroked="false">
              <v:fill type="solid"/>
            </v:rect>
            <v:rect style="position:absolute;left:2990;top:2280;width:144;height:288" filled="false" stroked="true" strokeweight=".5pt" strokecolor="#000000">
              <v:stroke dashstyle="solid"/>
            </v:rect>
            <v:rect style="position:absolute;left:3135;top:1997;width:140;height:570" filled="true" fillcolor="#0099d9" stroked="false">
              <v:fill type="solid"/>
            </v:rect>
            <v:rect style="position:absolute;left:3135;top:1997;width:140;height:570" filled="false" stroked="true" strokeweight=".5pt" strokecolor="#000000">
              <v:stroke dashstyle="solid"/>
            </v:rect>
            <v:rect style="position:absolute;left:3423;top:2280;width:143;height:288" filled="true" fillcolor="#0099d9" stroked="false">
              <v:fill type="solid"/>
            </v:rect>
            <v:shape style="position:absolute;left:811;top:2280;width:3045;height:355" coordorigin="811,2280" coordsize="3045,355" path="m3423,2280l3566,2280,3566,2568,3423,2568,3423,2280xm972,2568l3852,2568m811,2567l898,2567m973,2567l973,2634m1405,2567l1405,2634m1693,2567l1693,2634m2126,2567l2126,2634m2414,2567l2414,2634m2703,2567l2703,2634m2991,2567l2991,2634m3568,2567l3568,2634m3279,2567l3279,2634m3856,2567l3856,2634m1117,2567l1117,2634m1261,2567l1261,2634m1549,2567l1549,2634m1982,2567l1982,2634m2270,2567l2270,2634m2558,2567l2558,2634m2847,2567l2847,2634m3423,2567l3423,2634m3135,2567l3135,2634m3712,2567l3712,2634m1838,2567l1838,2634e" filled="false" stroked="true" strokeweight=".5pt" strokecolor="#000000">
              <v:path arrowok="t"/>
              <v:stroke dashstyle="solid"/>
            </v:shape>
            <w10:wrap type="none"/>
          </v:group>
        </w:pict>
      </w:r>
      <w:r>
        <w:rPr/>
        <w:pict>
          <v:line style="position:absolute;mso-position-horizontal-relative:page;mso-position-vertical-relative:paragraph;z-index:16358912" from="40.561001pt,13.076411pt" to="44.894001pt,13.076411pt" stroked="true" strokeweight=".5pt" strokecolor="#000000">
            <v:stroke dashstyle="solid"/>
            <w10:wrap type="none"/>
          </v:line>
        </w:pict>
      </w:r>
      <w:r>
        <w:rPr/>
        <w:pict>
          <v:line style="position:absolute;mso-position-horizontal-relative:page;mso-position-vertical-relative:paragraph;z-index:16361472" from="196.654999pt,13.076411pt" to="200.987999pt,13.076411pt" stroked="true" strokeweight=".5pt" strokecolor="#000000">
            <v:stroke dashstyle="solid"/>
            <w10:wrap type="none"/>
          </v:line>
        </w:pict>
      </w:r>
      <w:r>
        <w:rPr>
          <w:sz w:val="12"/>
        </w:rPr>
        <w:t>8</w:t>
      </w:r>
    </w:p>
    <w:p>
      <w:pPr>
        <w:pStyle w:val="BodyText"/>
        <w:rPr>
          <w:sz w:val="12"/>
        </w:rPr>
      </w:pPr>
    </w:p>
    <w:p>
      <w:pPr>
        <w:pStyle w:val="BodyText"/>
        <w:rPr>
          <w:sz w:val="12"/>
        </w:rPr>
      </w:pPr>
    </w:p>
    <w:p>
      <w:pPr>
        <w:pStyle w:val="BodyText"/>
        <w:rPr>
          <w:sz w:val="14"/>
        </w:rPr>
      </w:pPr>
    </w:p>
    <w:p>
      <w:pPr>
        <w:spacing w:before="0"/>
        <w:ind w:left="3458" w:right="0" w:firstLine="0"/>
        <w:jc w:val="left"/>
        <w:rPr>
          <w:sz w:val="12"/>
        </w:rPr>
      </w:pPr>
      <w:r>
        <w:rPr/>
        <w:pict>
          <v:line style="position:absolute;mso-position-horizontal-relative:page;mso-position-vertical-relative:paragraph;z-index:16359424" from="40.561001pt,3.799228pt" to="44.894001pt,3.799228pt" stroked="true" strokeweight=".5pt" strokecolor="#000000">
            <v:stroke dashstyle="solid"/>
            <w10:wrap type="none"/>
          </v:line>
        </w:pict>
      </w:r>
      <w:r>
        <w:rPr/>
        <w:pict>
          <v:line style="position:absolute;mso-position-horizontal-relative:page;mso-position-vertical-relative:paragraph;z-index:16361984" from="196.654999pt,3.799228pt" to="200.987999pt,3.799228pt" stroked="true" strokeweight=".5pt" strokecolor="#000000">
            <v:stroke dashstyle="solid"/>
            <w10:wrap type="none"/>
          </v:line>
        </w:pict>
      </w:r>
      <w:r>
        <w:rPr>
          <w:sz w:val="12"/>
        </w:rPr>
        <w:t>6</w:t>
      </w:r>
    </w:p>
    <w:p>
      <w:pPr>
        <w:pStyle w:val="Heading6"/>
        <w:spacing w:line="242" w:lineRule="auto" w:before="207"/>
        <w:ind w:left="175" w:right="321"/>
        <w:jc w:val="both"/>
      </w:pPr>
      <w:r>
        <w:rPr/>
        <w:br w:type="column"/>
      </w:r>
      <w:r>
        <w:rPr/>
        <w:t>assume</w:t>
      </w:r>
      <w:r>
        <w:rPr>
          <w:spacing w:val="-4"/>
        </w:rPr>
        <w:t> </w:t>
      </w:r>
      <w:r>
        <w:rPr/>
        <w:t>that</w:t>
      </w:r>
      <w:r>
        <w:rPr>
          <w:spacing w:val="-5"/>
        </w:rPr>
        <w:t> </w:t>
      </w:r>
      <w:r>
        <w:rPr/>
        <w:t>the</w:t>
      </w:r>
      <w:r>
        <w:rPr>
          <w:spacing w:val="-4"/>
        </w:rPr>
        <w:t> </w:t>
      </w:r>
      <w:r>
        <w:rPr/>
        <w:t>sterling</w:t>
      </w:r>
      <w:r>
        <w:rPr>
          <w:spacing w:val="-4"/>
        </w:rPr>
        <w:t> </w:t>
      </w:r>
      <w:r>
        <w:rPr/>
        <w:t>ERI</w:t>
      </w:r>
      <w:r>
        <w:rPr>
          <w:spacing w:val="-4"/>
        </w:rPr>
        <w:t> </w:t>
      </w:r>
      <w:r>
        <w:rPr/>
        <w:t>will</w:t>
      </w:r>
      <w:r>
        <w:rPr>
          <w:spacing w:val="-4"/>
        </w:rPr>
        <w:t> </w:t>
      </w:r>
      <w:r>
        <w:rPr/>
        <w:t>fall</w:t>
      </w:r>
      <w:r>
        <w:rPr>
          <w:spacing w:val="-4"/>
        </w:rPr>
        <w:t> </w:t>
      </w:r>
      <w:r>
        <w:rPr/>
        <w:t>to</w:t>
      </w:r>
      <w:r>
        <w:rPr>
          <w:spacing w:val="-4"/>
        </w:rPr>
        <w:t> </w:t>
      </w:r>
      <w:r>
        <w:rPr/>
        <w:t>106</w:t>
      </w:r>
      <w:r>
        <w:rPr>
          <w:spacing w:val="-4"/>
        </w:rPr>
        <w:t> </w:t>
      </w:r>
      <w:r>
        <w:rPr/>
        <w:t>by</w:t>
      </w:r>
      <w:r>
        <w:rPr>
          <w:spacing w:val="-4"/>
        </w:rPr>
        <w:t> </w:t>
      </w:r>
      <w:r>
        <w:rPr/>
        <w:t>2000</w:t>
      </w:r>
      <w:r>
        <w:rPr>
          <w:spacing w:val="-4"/>
        </w:rPr>
        <w:t> </w:t>
      </w:r>
      <w:r>
        <w:rPr/>
        <w:t>Q4 (with a range of 98 to 113</w:t>
      </w:r>
      <w:r>
        <w:rPr>
          <w:position w:val="8"/>
          <w:sz w:val="12"/>
        </w:rPr>
        <w:t>1</w:t>
      </w:r>
      <w:r>
        <w:rPr/>
        <w:t>/</w:t>
      </w:r>
      <w:r>
        <w:rPr>
          <w:sz w:val="12"/>
        </w:rPr>
        <w:t>2</w:t>
      </w:r>
      <w:r>
        <w:rPr/>
        <w:t>) and then decline further to 101</w:t>
      </w:r>
      <w:r>
        <w:rPr>
          <w:position w:val="8"/>
          <w:sz w:val="12"/>
        </w:rPr>
        <w:t>1</w:t>
      </w:r>
      <w:r>
        <w:rPr/>
        <w:t>/</w:t>
      </w:r>
      <w:r>
        <w:rPr>
          <w:sz w:val="12"/>
        </w:rPr>
        <w:t>2 </w:t>
      </w:r>
      <w:r>
        <w:rPr/>
        <w:t>(with a range of 93 to 108) by 2002</w:t>
      </w:r>
      <w:r>
        <w:rPr>
          <w:spacing w:val="-1"/>
        </w:rPr>
        <w:t> </w:t>
      </w:r>
      <w:r>
        <w:rPr/>
        <w:t>Q2.</w:t>
      </w:r>
    </w:p>
    <w:p>
      <w:pPr>
        <w:pStyle w:val="BodyText"/>
        <w:spacing w:before="8"/>
        <w:rPr>
          <w:sz w:val="24"/>
        </w:rPr>
      </w:pPr>
    </w:p>
    <w:p>
      <w:pPr>
        <w:spacing w:line="242" w:lineRule="auto" w:before="0"/>
        <w:ind w:left="175" w:right="252" w:firstLine="0"/>
        <w:jc w:val="left"/>
        <w:rPr>
          <w:b/>
          <w:sz w:val="24"/>
        </w:rPr>
      </w:pPr>
      <w:hyperlink w:history="true" w:anchor="_bookmark0">
        <w:r>
          <w:rPr>
            <w:b/>
            <w:sz w:val="24"/>
          </w:rPr>
          <w:t>The implications of the latest projections for the stance of monetary policy are discussed in the Overview at the beginning of this </w:t>
        </w:r>
        <w:r>
          <w:rPr>
            <w:b/>
            <w:i/>
            <w:sz w:val="24"/>
          </w:rPr>
          <w:t>Report</w:t>
        </w:r>
        <w:r>
          <w:rPr>
            <w:b/>
            <w:sz w:val="24"/>
          </w:rPr>
          <w:t>.</w:t>
        </w:r>
      </w:hyperlink>
    </w:p>
    <w:p>
      <w:pPr>
        <w:spacing w:after="0" w:line="242" w:lineRule="auto"/>
        <w:jc w:val="left"/>
        <w:rPr>
          <w:sz w:val="24"/>
        </w:rPr>
        <w:sectPr>
          <w:type w:val="continuous"/>
          <w:pgSz w:w="11900" w:h="16840"/>
          <w:pgMar w:top="1220" w:bottom="280" w:left="640" w:right="620"/>
          <w:cols w:num="2" w:equalWidth="0">
            <w:col w:w="3559" w:space="1206"/>
            <w:col w:w="5875"/>
          </w:cols>
        </w:sectPr>
      </w:pPr>
    </w:p>
    <w:p>
      <w:pPr>
        <w:pStyle w:val="BodyText"/>
        <w:spacing w:before="9"/>
        <w:rPr>
          <w:b/>
          <w:sz w:val="29"/>
        </w:rPr>
      </w:pPr>
    </w:p>
    <w:p>
      <w:pPr>
        <w:spacing w:before="95"/>
        <w:ind w:left="3458" w:right="0" w:firstLine="0"/>
        <w:jc w:val="left"/>
        <w:rPr>
          <w:sz w:val="12"/>
        </w:rPr>
      </w:pPr>
      <w:r>
        <w:rPr/>
        <w:pict>
          <v:line style="position:absolute;mso-position-horizontal-relative:page;mso-position-vertical-relative:paragraph;z-index:16360448" from="40.561001pt,8.621984pt" to="44.894001pt,8.621984pt" stroked="true" strokeweight=".5pt" strokecolor="#000000">
            <v:stroke dashstyle="solid"/>
            <w10:wrap type="none"/>
          </v:line>
        </w:pict>
      </w:r>
      <w:r>
        <w:rPr/>
        <w:pict>
          <v:line style="position:absolute;mso-position-horizontal-relative:page;mso-position-vertical-relative:paragraph;z-index:16363008" from="196.654999pt,8.621984pt" to="200.987999pt,8.621984pt" stroked="true" strokeweight=".5pt" strokecolor="#000000">
            <v:stroke dashstyle="solid"/>
            <w10:wrap type="none"/>
          </v:line>
        </w:pict>
      </w:r>
      <w:r>
        <w:rPr>
          <w:sz w:val="12"/>
        </w:rPr>
        <w:t>4</w:t>
      </w:r>
    </w:p>
    <w:p>
      <w:pPr>
        <w:pStyle w:val="BodyText"/>
        <w:spacing w:before="8"/>
        <w:rPr>
          <w:sz w:val="29"/>
        </w:rPr>
      </w:pPr>
    </w:p>
    <w:p>
      <w:pPr>
        <w:spacing w:before="95"/>
        <w:ind w:left="3458" w:right="0" w:firstLine="0"/>
        <w:jc w:val="left"/>
        <w:rPr>
          <w:sz w:val="12"/>
        </w:rPr>
      </w:pPr>
      <w:r>
        <w:rPr/>
        <w:pict>
          <v:line style="position:absolute;mso-position-horizontal-relative:page;mso-position-vertical-relative:paragraph;z-index:16359936" from="40.561001pt,8.694800pt" to="44.894001pt,8.694800pt" stroked="true" strokeweight=".5pt" strokecolor="#000000">
            <v:stroke dashstyle="solid"/>
            <w10:wrap type="none"/>
          </v:line>
        </w:pict>
      </w:r>
      <w:r>
        <w:rPr/>
        <w:pict>
          <v:line style="position:absolute;mso-position-horizontal-relative:page;mso-position-vertical-relative:paragraph;z-index:16362496" from="196.654999pt,8.694800pt" to="200.987999pt,8.694800pt" stroked="true" strokeweight=".5pt" strokecolor="#000000">
            <v:stroke dashstyle="solid"/>
            <w10:wrap type="none"/>
          </v:line>
        </w:pict>
      </w:r>
      <w:r>
        <w:rPr>
          <w:sz w:val="12"/>
        </w:rPr>
        <w:t>2</w:t>
      </w:r>
    </w:p>
    <w:p>
      <w:pPr>
        <w:pStyle w:val="BodyText"/>
        <w:spacing w:before="9"/>
        <w:rPr>
          <w:sz w:val="29"/>
        </w:rPr>
      </w:pPr>
    </w:p>
    <w:p>
      <w:pPr>
        <w:spacing w:after="0"/>
        <w:rPr>
          <w:sz w:val="29"/>
        </w:rPr>
        <w:sectPr>
          <w:type w:val="continuous"/>
          <w:pgSz w:w="11900" w:h="16840"/>
          <w:pgMar w:top="1220" w:bottom="280" w:left="640" w:right="620"/>
        </w:sectPr>
      </w:pPr>
    </w:p>
    <w:p>
      <w:pPr>
        <w:pStyle w:val="BodyText"/>
        <w:rPr>
          <w:sz w:val="12"/>
        </w:rPr>
      </w:pPr>
    </w:p>
    <w:p>
      <w:pPr>
        <w:pStyle w:val="BodyText"/>
        <w:spacing w:before="11"/>
        <w:rPr>
          <w:sz w:val="9"/>
        </w:rPr>
      </w:pPr>
    </w:p>
    <w:p>
      <w:pPr>
        <w:spacing w:before="0"/>
        <w:ind w:left="253" w:right="0" w:firstLine="0"/>
        <w:jc w:val="left"/>
        <w:rPr>
          <w:sz w:val="12"/>
        </w:rPr>
      </w:pPr>
      <w:r>
        <w:rPr>
          <w:sz w:val="12"/>
        </w:rPr>
        <w:t>2.8 3.4 4.0 4.6</w:t>
      </w:r>
    </w:p>
    <w:p>
      <w:pPr>
        <w:pStyle w:val="BodyText"/>
        <w:rPr>
          <w:sz w:val="12"/>
        </w:rPr>
      </w:pPr>
      <w:r>
        <w:rPr/>
        <w:br w:type="column"/>
      </w:r>
      <w:r>
        <w:rPr>
          <w:sz w:val="12"/>
        </w:rPr>
      </w:r>
    </w:p>
    <w:p>
      <w:pPr>
        <w:pStyle w:val="BodyText"/>
        <w:spacing w:before="11"/>
        <w:rPr>
          <w:sz w:val="9"/>
        </w:rPr>
      </w:pPr>
    </w:p>
    <w:p>
      <w:pPr>
        <w:spacing w:before="0"/>
        <w:ind w:left="97" w:right="0" w:firstLine="0"/>
        <w:jc w:val="left"/>
        <w:rPr>
          <w:sz w:val="12"/>
        </w:rPr>
      </w:pPr>
      <w:r>
        <w:rPr>
          <w:sz w:val="12"/>
        </w:rPr>
        <w:t>5.2</w:t>
      </w:r>
    </w:p>
    <w:p>
      <w:pPr>
        <w:pStyle w:val="BodyText"/>
        <w:rPr>
          <w:sz w:val="12"/>
        </w:rPr>
      </w:pPr>
      <w:r>
        <w:rPr/>
        <w:br w:type="column"/>
      </w:r>
      <w:r>
        <w:rPr>
          <w:sz w:val="12"/>
        </w:rPr>
      </w:r>
    </w:p>
    <w:p>
      <w:pPr>
        <w:pStyle w:val="BodyText"/>
        <w:spacing w:before="11"/>
        <w:rPr>
          <w:sz w:val="9"/>
        </w:rPr>
      </w:pPr>
    </w:p>
    <w:p>
      <w:pPr>
        <w:spacing w:before="0"/>
        <w:ind w:left="97" w:right="0" w:firstLine="0"/>
        <w:jc w:val="left"/>
        <w:rPr>
          <w:sz w:val="12"/>
        </w:rPr>
      </w:pPr>
      <w:r>
        <w:rPr>
          <w:sz w:val="12"/>
        </w:rPr>
        <w:t>5.8</w:t>
      </w:r>
    </w:p>
    <w:p>
      <w:pPr>
        <w:pStyle w:val="BodyText"/>
        <w:rPr>
          <w:sz w:val="12"/>
        </w:rPr>
      </w:pPr>
      <w:r>
        <w:rPr/>
        <w:br w:type="column"/>
      </w:r>
      <w:r>
        <w:rPr>
          <w:sz w:val="12"/>
        </w:rPr>
      </w:r>
    </w:p>
    <w:p>
      <w:pPr>
        <w:pStyle w:val="BodyText"/>
        <w:spacing w:before="11"/>
        <w:rPr>
          <w:sz w:val="9"/>
        </w:rPr>
      </w:pPr>
    </w:p>
    <w:p>
      <w:pPr>
        <w:pStyle w:val="ListParagraph"/>
        <w:numPr>
          <w:ilvl w:val="1"/>
          <w:numId w:val="39"/>
        </w:numPr>
        <w:tabs>
          <w:tab w:pos="249" w:val="left" w:leader="none"/>
        </w:tabs>
        <w:spacing w:line="240" w:lineRule="auto" w:before="0" w:after="0"/>
        <w:ind w:left="249" w:right="0" w:hanging="152"/>
        <w:jc w:val="left"/>
        <w:rPr>
          <w:sz w:val="10"/>
        </w:rPr>
      </w:pPr>
      <w:r>
        <w:rPr>
          <w:sz w:val="12"/>
        </w:rPr>
        <w:t>6.4</w:t>
      </w:r>
    </w:p>
    <w:p>
      <w:pPr>
        <w:pStyle w:val="BodyText"/>
        <w:rPr>
          <w:sz w:val="12"/>
        </w:rPr>
      </w:pPr>
      <w:r>
        <w:rPr/>
        <w:br w:type="column"/>
      </w:r>
      <w:r>
        <w:rPr>
          <w:sz w:val="12"/>
        </w:rPr>
      </w:r>
    </w:p>
    <w:p>
      <w:pPr>
        <w:pStyle w:val="BodyText"/>
        <w:spacing w:before="11"/>
        <w:rPr>
          <w:sz w:val="9"/>
        </w:rPr>
      </w:pPr>
    </w:p>
    <w:p>
      <w:pPr>
        <w:spacing w:before="0"/>
        <w:ind w:left="97" w:right="0" w:firstLine="0"/>
        <w:jc w:val="left"/>
        <w:rPr>
          <w:sz w:val="12"/>
        </w:rPr>
      </w:pPr>
      <w:r>
        <w:rPr>
          <w:sz w:val="12"/>
        </w:rPr>
        <w:t>7.0</w:t>
      </w:r>
    </w:p>
    <w:p>
      <w:pPr>
        <w:pStyle w:val="BodyText"/>
        <w:rPr>
          <w:sz w:val="12"/>
        </w:rPr>
      </w:pPr>
      <w:r>
        <w:rPr/>
        <w:br w:type="column"/>
      </w:r>
      <w:r>
        <w:rPr>
          <w:sz w:val="12"/>
        </w:rPr>
      </w:r>
    </w:p>
    <w:p>
      <w:pPr>
        <w:pStyle w:val="BodyText"/>
        <w:spacing w:before="11"/>
        <w:rPr>
          <w:sz w:val="9"/>
        </w:rPr>
      </w:pPr>
    </w:p>
    <w:p>
      <w:pPr>
        <w:spacing w:before="0"/>
        <w:ind w:left="97" w:right="0" w:firstLine="0"/>
        <w:jc w:val="left"/>
        <w:rPr>
          <w:sz w:val="12"/>
        </w:rPr>
      </w:pPr>
      <w:r>
        <w:rPr>
          <w:sz w:val="12"/>
        </w:rPr>
        <w:t>7.6</w:t>
      </w:r>
    </w:p>
    <w:p>
      <w:pPr>
        <w:pStyle w:val="BodyText"/>
        <w:rPr>
          <w:sz w:val="12"/>
        </w:rPr>
      </w:pPr>
      <w:r>
        <w:rPr/>
        <w:br w:type="column"/>
      </w:r>
      <w:r>
        <w:rPr>
          <w:sz w:val="12"/>
        </w:rPr>
      </w:r>
    </w:p>
    <w:p>
      <w:pPr>
        <w:pStyle w:val="BodyText"/>
        <w:spacing w:before="11"/>
        <w:rPr>
          <w:sz w:val="9"/>
        </w:rPr>
      </w:pPr>
    </w:p>
    <w:p>
      <w:pPr>
        <w:spacing w:before="0"/>
        <w:ind w:left="97" w:right="0" w:firstLine="0"/>
        <w:jc w:val="left"/>
        <w:rPr>
          <w:sz w:val="12"/>
        </w:rPr>
      </w:pPr>
      <w:r>
        <w:rPr>
          <w:sz w:val="12"/>
        </w:rPr>
        <w:t>8.2</w:t>
      </w:r>
    </w:p>
    <w:p>
      <w:pPr>
        <w:spacing w:before="95"/>
        <w:ind w:left="423" w:right="0" w:firstLine="0"/>
        <w:jc w:val="left"/>
        <w:rPr>
          <w:sz w:val="12"/>
        </w:rPr>
      </w:pPr>
      <w:r>
        <w:rPr/>
        <w:br w:type="column"/>
      </w:r>
      <w:r>
        <w:rPr>
          <w:sz w:val="12"/>
        </w:rPr>
        <w:t>0</w:t>
      </w:r>
    </w:p>
    <w:p>
      <w:pPr>
        <w:spacing w:before="19"/>
        <w:ind w:left="97" w:right="0" w:firstLine="0"/>
        <w:jc w:val="left"/>
        <w:rPr>
          <w:sz w:val="12"/>
        </w:rPr>
      </w:pPr>
      <w:r>
        <w:rPr/>
        <w:pict>
          <v:line style="position:absolute;mso-position-horizontal-relative:page;mso-position-vertical-relative:paragraph;z-index:16363520" from="196.654999pt,-2.907016pt" to="200.987999pt,-2.907016pt" stroked="true" strokeweight=".5pt" strokecolor="#000000">
            <v:stroke dashstyle="solid"/>
            <w10:wrap type="none"/>
          </v:line>
        </w:pict>
      </w:r>
      <w:r>
        <w:rPr>
          <w:sz w:val="12"/>
        </w:rPr>
        <w:t>8.8</w:t>
      </w:r>
    </w:p>
    <w:p>
      <w:pPr>
        <w:spacing w:after="0"/>
        <w:jc w:val="left"/>
        <w:rPr>
          <w:sz w:val="12"/>
        </w:rPr>
        <w:sectPr>
          <w:type w:val="continuous"/>
          <w:pgSz w:w="11900" w:h="16840"/>
          <w:pgMar w:top="1220" w:bottom="280" w:left="640" w:right="620"/>
          <w:cols w:num="8" w:equalWidth="0">
            <w:col w:w="1268" w:space="40"/>
            <w:col w:w="249" w:space="39"/>
            <w:col w:w="249" w:space="39"/>
            <w:col w:w="249" w:space="39"/>
            <w:col w:w="249" w:space="39"/>
            <w:col w:w="249" w:space="39"/>
            <w:col w:w="249" w:space="39"/>
            <w:col w:w="7604"/>
          </w:cols>
        </w:sectPr>
      </w:pPr>
    </w:p>
    <w:p>
      <w:pPr>
        <w:spacing w:before="44"/>
        <w:ind w:left="1375" w:right="0" w:firstLine="0"/>
        <w:jc w:val="left"/>
        <w:rPr>
          <w:sz w:val="12"/>
        </w:rPr>
      </w:pPr>
      <w:r>
        <w:rPr>
          <w:sz w:val="12"/>
        </w:rPr>
        <w:t>Range of forecasts</w:t>
      </w:r>
    </w:p>
    <w:p>
      <w:pPr>
        <w:pStyle w:val="BodyText"/>
        <w:spacing w:before="7"/>
        <w:rPr>
          <w:sz w:val="9"/>
        </w:rPr>
      </w:pPr>
    </w:p>
    <w:p>
      <w:pPr>
        <w:spacing w:before="1"/>
        <w:ind w:left="175" w:right="0" w:firstLine="0"/>
        <w:jc w:val="left"/>
        <w:rPr>
          <w:sz w:val="12"/>
        </w:rPr>
      </w:pPr>
      <w:r>
        <w:rPr>
          <w:sz w:val="12"/>
        </w:rPr>
        <w:t>Source: Survey of 29 outside forecasters as of 25 April 2000.</w:t>
      </w:r>
    </w:p>
    <w:p>
      <w:pPr>
        <w:pStyle w:val="BodyText"/>
        <w:rPr>
          <w:sz w:val="20"/>
        </w:rPr>
      </w:pPr>
    </w:p>
    <w:p>
      <w:pPr>
        <w:pStyle w:val="BodyText"/>
        <w:spacing w:before="1"/>
      </w:pPr>
    </w:p>
    <w:p>
      <w:pPr>
        <w:spacing w:before="0"/>
        <w:ind w:left="175" w:right="0" w:firstLine="0"/>
        <w:jc w:val="left"/>
        <w:rPr>
          <w:b/>
          <w:sz w:val="20"/>
        </w:rPr>
      </w:pPr>
      <w:r>
        <w:rPr>
          <w:b/>
          <w:color w:val="0092C7"/>
          <w:sz w:val="20"/>
        </w:rPr>
        <w:t>Chart 6.10</w:t>
      </w:r>
    </w:p>
    <w:p>
      <w:pPr>
        <w:spacing w:line="249" w:lineRule="auto" w:before="10"/>
        <w:ind w:left="175" w:right="7278" w:firstLine="0"/>
        <w:jc w:val="left"/>
        <w:rPr>
          <w:b/>
          <w:sz w:val="20"/>
        </w:rPr>
      </w:pPr>
      <w:r>
        <w:rPr>
          <w:b/>
          <w:color w:val="0092C7"/>
          <w:sz w:val="20"/>
        </w:rPr>
        <w:t>Distribution of sterling ERI forecasts for 2002 Q2</w:t>
      </w:r>
    </w:p>
    <w:p>
      <w:pPr>
        <w:spacing w:before="54"/>
        <w:ind w:left="2413" w:right="0" w:firstLine="0"/>
        <w:jc w:val="left"/>
        <w:rPr>
          <w:sz w:val="12"/>
        </w:rPr>
      </w:pPr>
      <w:r>
        <w:rPr/>
        <w:pict>
          <v:line style="position:absolute;mso-position-horizontal-relative:page;mso-position-vertical-relative:paragraph;z-index:16355328" from="40.696999pt,10.831526pt" to="45.029999pt,10.831526pt" stroked="true" strokeweight=".5pt" strokecolor="#000000">
            <v:stroke dashstyle="solid"/>
            <w10:wrap type="none"/>
          </v:line>
        </w:pict>
      </w:r>
      <w:r>
        <w:rPr/>
        <w:pict>
          <v:line style="position:absolute;mso-position-horizontal-relative:page;mso-position-vertical-relative:paragraph;z-index:-22253568" from="197.322006pt,10.821527pt" to="201.655006pt,10.821527pt" stroked="true" strokeweight=".5pt" strokecolor="#000000">
            <v:stroke dashstyle="solid"/>
            <w10:wrap type="none"/>
          </v:line>
        </w:pict>
      </w:r>
      <w:r>
        <w:rPr>
          <w:sz w:val="12"/>
        </w:rPr>
        <w:t>Number of forecasts </w:t>
      </w:r>
      <w:r>
        <w:rPr>
          <w:position w:val="-7"/>
          <w:sz w:val="12"/>
        </w:rPr>
        <w:t>8</w:t>
      </w:r>
    </w:p>
    <w:p>
      <w:pPr>
        <w:pStyle w:val="BodyText"/>
        <w:rPr>
          <w:sz w:val="20"/>
        </w:rPr>
      </w:pPr>
    </w:p>
    <w:p>
      <w:pPr>
        <w:pStyle w:val="BodyText"/>
        <w:spacing w:before="10"/>
        <w:rPr>
          <w:sz w:val="22"/>
        </w:rPr>
      </w:pPr>
    </w:p>
    <w:p>
      <w:pPr>
        <w:spacing w:before="95"/>
        <w:ind w:left="3435" w:right="0" w:firstLine="0"/>
        <w:jc w:val="left"/>
        <w:rPr>
          <w:sz w:val="12"/>
        </w:rPr>
      </w:pPr>
      <w:r>
        <w:rPr/>
        <w:pict>
          <v:group style="position:absolute;margin-left:49.320999pt;margin-top:7.350551pt;width:144.4pt;height:111.85pt;mso-position-horizontal-relative:page;mso-position-vertical-relative:paragraph;z-index:16353280" coordorigin="986,147" coordsize="2888,2237">
            <v:rect style="position:absolute;left:1854;top:1952;width:135;height:368" filled="true" fillcolor="#44af34" stroked="false">
              <v:fill type="solid"/>
            </v:rect>
            <v:rect style="position:absolute;left:1854;top:1952;width:135;height:368" filled="false" stroked="true" strokeweight=".5pt" strokecolor="#000000">
              <v:stroke dashstyle="solid"/>
            </v:rect>
            <v:rect style="position:absolute;left:1998;top:1952;width:138;height:368" filled="true" fillcolor="#44af34" stroked="false">
              <v:fill type="solid"/>
            </v:rect>
            <v:rect style="position:absolute;left:1998;top:1952;width:138;height:368" filled="false" stroked="true" strokeweight=".5pt" strokecolor="#000000">
              <v:stroke dashstyle="solid"/>
            </v:rect>
            <v:rect style="position:absolute;left:2142;top:1952;width:138;height:368" filled="true" fillcolor="#44af34" stroked="false">
              <v:fill type="solid"/>
            </v:rect>
            <v:rect style="position:absolute;left:2142;top:1952;width:138;height:368" filled="false" stroked="true" strokeweight=".5pt" strokecolor="#000000">
              <v:stroke dashstyle="solid"/>
            </v:rect>
            <v:rect style="position:absolute;left:2287;top:519;width:138;height:1800" filled="true" fillcolor="#44af34" stroked="false">
              <v:fill type="solid"/>
            </v:rect>
            <v:rect style="position:absolute;left:2287;top:519;width:138;height:1800" filled="false" stroked="true" strokeweight=".5pt" strokecolor="#000000">
              <v:stroke dashstyle="solid"/>
            </v:rect>
            <v:rect style="position:absolute;left:2432;top:152;width:138;height:2168" filled="true" fillcolor="#44af34" stroked="false">
              <v:fill type="solid"/>
            </v:rect>
            <v:rect style="position:absolute;left:2432;top:152;width:138;height:2168" filled="false" stroked="true" strokeweight=".5pt" strokecolor="#000000">
              <v:stroke dashstyle="solid"/>
            </v:rect>
            <v:rect style="position:absolute;left:2576;top:1234;width:138;height:1085" filled="true" fillcolor="#44af34" stroked="false">
              <v:fill type="solid"/>
            </v:rect>
            <v:rect style="position:absolute;left:2576;top:1234;width:138;height:1085" filled="false" stroked="true" strokeweight=".5pt" strokecolor="#000000">
              <v:stroke dashstyle="solid"/>
            </v:rect>
            <v:rect style="position:absolute;left:2721;top:884;width:138;height:1435" filled="true" fillcolor="#44af34" stroked="false">
              <v:fill type="solid"/>
            </v:rect>
            <v:rect style="position:absolute;left:2721;top:884;width:138;height:1435" filled="false" stroked="true" strokeweight=".5pt" strokecolor="#000000">
              <v:stroke dashstyle="solid"/>
            </v:rect>
            <v:rect style="position:absolute;left:2865;top:1234;width:138;height:1085" filled="true" fillcolor="#44af34" stroked="false">
              <v:fill type="solid"/>
            </v:rect>
            <v:rect style="position:absolute;left:2865;top:1234;width:138;height:1085" filled="false" stroked="true" strokeweight=".5pt" strokecolor="#000000">
              <v:stroke dashstyle="solid"/>
            </v:rect>
            <v:rect style="position:absolute;left:3010;top:1952;width:138;height:368" filled="true" fillcolor="#44af34" stroked="false">
              <v:fill type="solid"/>
            </v:rect>
            <v:shape style="position:absolute;left:991;top:1952;width:2878;height:432" coordorigin="991,1952" coordsize="2878,432" path="m3011,1952l3148,1952,3148,2320,3011,2320,3011,1952xm994,2320l3869,2320m991,2316l991,2383m1423,2316l1423,2383m1711,2316l1711,2383m1999,2316l1999,2383m2430,2316l2430,2383m2718,2316l2718,2383m3150,2316l3150,2383m3725,2316l3725,2383m3293,2316l3293,2383m3869,2316l3869,2383m1135,2316l1135,2383m1279,2316l1279,2383m1567,2316l1567,2383m1855,2316l1855,2383m2142,2316l2142,2383m2574,2316l2574,2383m2862,2316l2862,2383m3437,2316l3437,2383m3006,2316l3006,2383m3581,2316l3581,2383m2286,2316l2286,2383e" filled="false" stroked="true" strokeweight=".5pt" strokecolor="#000000">
              <v:path arrowok="t"/>
              <v:stroke dashstyle="solid"/>
            </v:shape>
            <w10:wrap type="none"/>
          </v:group>
        </w:pict>
      </w:r>
      <w:r>
        <w:rPr/>
        <w:pict>
          <v:line style="position:absolute;mso-position-horizontal-relative:page;mso-position-vertical-relative:paragraph;z-index:16353792" from="40.696999pt,8.43955pt" to="45.029999pt,8.43955pt" stroked="true" strokeweight=".5pt" strokecolor="#000000">
            <v:stroke dashstyle="solid"/>
            <w10:wrap type="none"/>
          </v:line>
        </w:pict>
      </w:r>
      <w:r>
        <w:rPr/>
        <w:pict>
          <v:line style="position:absolute;mso-position-horizontal-relative:page;mso-position-vertical-relative:paragraph;z-index:16355840" from="197.322006pt,8.429551pt" to="201.655006pt,8.429551pt" stroked="true" strokeweight=".5pt" strokecolor="#000000">
            <v:stroke dashstyle="solid"/>
            <w10:wrap type="none"/>
          </v:line>
        </w:pict>
      </w:r>
      <w:r>
        <w:rPr>
          <w:sz w:val="12"/>
        </w:rPr>
        <w:t>6</w:t>
      </w:r>
    </w:p>
    <w:p>
      <w:pPr>
        <w:pStyle w:val="BodyText"/>
        <w:rPr>
          <w:sz w:val="20"/>
        </w:rPr>
      </w:pPr>
    </w:p>
    <w:p>
      <w:pPr>
        <w:pStyle w:val="BodyText"/>
        <w:spacing w:before="4"/>
        <w:rPr>
          <w:sz w:val="22"/>
        </w:rPr>
      </w:pPr>
    </w:p>
    <w:p>
      <w:pPr>
        <w:spacing w:before="95"/>
        <w:ind w:left="3435" w:right="0" w:firstLine="0"/>
        <w:jc w:val="left"/>
        <w:rPr>
          <w:sz w:val="12"/>
        </w:rPr>
      </w:pPr>
      <w:r>
        <w:rPr/>
        <w:pict>
          <v:line style="position:absolute;mso-position-horizontal-relative:page;mso-position-vertical-relative:paragraph;z-index:16354816" from="40.696999pt,8.246331pt" to="45.029999pt,8.246331pt" stroked="true" strokeweight=".5pt" strokecolor="#000000">
            <v:stroke dashstyle="solid"/>
            <w10:wrap type="none"/>
          </v:line>
        </w:pict>
      </w:r>
      <w:r>
        <w:rPr/>
        <w:pict>
          <v:line style="position:absolute;mso-position-horizontal-relative:page;mso-position-vertical-relative:paragraph;z-index:16356864" from="197.322006pt,8.236331pt" to="201.655006pt,8.236331pt" stroked="true" strokeweight=".5pt" strokecolor="#000000">
            <v:stroke dashstyle="solid"/>
            <w10:wrap type="none"/>
          </v:line>
        </w:pict>
      </w:r>
      <w:r>
        <w:rPr>
          <w:sz w:val="12"/>
        </w:rPr>
        <w:t>4</w:t>
      </w:r>
    </w:p>
    <w:p>
      <w:pPr>
        <w:pStyle w:val="BodyText"/>
        <w:rPr>
          <w:sz w:val="20"/>
        </w:rPr>
      </w:pPr>
    </w:p>
    <w:p>
      <w:pPr>
        <w:pStyle w:val="BodyText"/>
        <w:spacing w:before="5"/>
        <w:rPr>
          <w:sz w:val="22"/>
        </w:rPr>
      </w:pPr>
    </w:p>
    <w:p>
      <w:pPr>
        <w:spacing w:before="95"/>
        <w:ind w:left="3435" w:right="0" w:firstLine="0"/>
        <w:jc w:val="left"/>
        <w:rPr>
          <w:sz w:val="12"/>
        </w:rPr>
      </w:pPr>
      <w:r>
        <w:rPr/>
        <w:pict>
          <v:line style="position:absolute;mso-position-horizontal-relative:page;mso-position-vertical-relative:paragraph;z-index:16354304" from="40.696999pt,8.054142pt" to="45.029999pt,8.054142pt" stroked="true" strokeweight=".5pt" strokecolor="#000000">
            <v:stroke dashstyle="solid"/>
            <w10:wrap type="none"/>
          </v:line>
        </w:pict>
      </w:r>
      <w:r>
        <w:rPr/>
        <w:pict>
          <v:line style="position:absolute;mso-position-horizontal-relative:page;mso-position-vertical-relative:paragraph;z-index:16356352" from="197.322006pt,8.044143pt" to="201.655006pt,8.044143pt" stroked="true" strokeweight=".5pt" strokecolor="#000000">
            <v:stroke dashstyle="solid"/>
            <w10:wrap type="none"/>
          </v:line>
        </w:pict>
      </w:r>
      <w:r>
        <w:rPr>
          <w:sz w:val="12"/>
        </w:rPr>
        <w:t>2</w:t>
      </w:r>
    </w:p>
    <w:p>
      <w:pPr>
        <w:pStyle w:val="BodyText"/>
        <w:rPr>
          <w:sz w:val="20"/>
        </w:rPr>
      </w:pPr>
    </w:p>
    <w:p>
      <w:pPr>
        <w:pStyle w:val="BodyText"/>
        <w:spacing w:before="5"/>
        <w:rPr>
          <w:sz w:val="22"/>
        </w:rPr>
      </w:pPr>
    </w:p>
    <w:p>
      <w:pPr>
        <w:spacing w:after="0"/>
        <w:rPr>
          <w:sz w:val="22"/>
        </w:rPr>
        <w:sectPr>
          <w:type w:val="continuous"/>
          <w:pgSz w:w="11900" w:h="16840"/>
          <w:pgMar w:top="1220" w:bottom="280" w:left="640" w:right="620"/>
        </w:sectPr>
      </w:pPr>
    </w:p>
    <w:p>
      <w:pPr>
        <w:pStyle w:val="BodyText"/>
        <w:spacing w:before="2"/>
        <w:rPr>
          <w:sz w:val="13"/>
        </w:rPr>
      </w:pPr>
    </w:p>
    <w:p>
      <w:pPr>
        <w:pStyle w:val="BodyText"/>
        <w:spacing w:line="20" w:lineRule="exact"/>
        <w:ind w:left="16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before="67"/>
        <w:ind w:left="298" w:right="0" w:firstLine="0"/>
        <w:jc w:val="left"/>
        <w:rPr>
          <w:sz w:val="12"/>
        </w:rPr>
      </w:pPr>
      <w:r>
        <w:rPr>
          <w:sz w:val="12"/>
        </w:rPr>
        <w:t>80 84 88 92 96 100 104 108 112 116</w:t>
      </w:r>
    </w:p>
    <w:p>
      <w:pPr>
        <w:spacing w:before="37"/>
        <w:ind w:left="1359" w:right="0" w:firstLine="0"/>
        <w:jc w:val="left"/>
        <w:rPr>
          <w:sz w:val="12"/>
        </w:rPr>
      </w:pPr>
      <w:r>
        <w:rPr>
          <w:sz w:val="12"/>
        </w:rPr>
        <w:t>Range of forecasts</w:t>
      </w:r>
    </w:p>
    <w:p>
      <w:pPr>
        <w:spacing w:before="95"/>
        <w:ind w:left="362" w:right="0" w:firstLine="0"/>
        <w:jc w:val="left"/>
        <w:rPr>
          <w:sz w:val="12"/>
        </w:rPr>
      </w:pPr>
      <w:r>
        <w:rPr/>
        <w:br w:type="column"/>
      </w:r>
      <w:r>
        <w:rPr>
          <w:sz w:val="12"/>
        </w:rPr>
        <w:t>0</w:t>
      </w:r>
    </w:p>
    <w:p>
      <w:pPr>
        <w:spacing w:before="7"/>
        <w:ind w:left="67" w:right="0" w:firstLine="0"/>
        <w:jc w:val="left"/>
        <w:rPr>
          <w:sz w:val="12"/>
        </w:rPr>
      </w:pPr>
      <w:r>
        <w:rPr/>
        <w:pict>
          <v:line style="position:absolute;mso-position-horizontal-relative:page;mso-position-vertical-relative:paragraph;z-index:16357376" from="197.322006pt,-3.799413pt" to="201.655006pt,-3.799413pt" stroked="true" strokeweight=".5pt" strokecolor="#000000">
            <v:stroke dashstyle="solid"/>
            <w10:wrap type="none"/>
          </v:line>
        </w:pict>
      </w:r>
      <w:r>
        <w:rPr>
          <w:sz w:val="12"/>
        </w:rPr>
        <w:t>120</w:t>
      </w:r>
    </w:p>
    <w:p>
      <w:pPr>
        <w:spacing w:after="0"/>
        <w:jc w:val="left"/>
        <w:rPr>
          <w:sz w:val="12"/>
        </w:rPr>
        <w:sectPr>
          <w:type w:val="continuous"/>
          <w:pgSz w:w="11900" w:h="16840"/>
          <w:pgMar w:top="1220" w:bottom="280" w:left="640" w:right="620"/>
          <w:cols w:num="2" w:equalWidth="0">
            <w:col w:w="3034" w:space="40"/>
            <w:col w:w="7566"/>
          </w:cols>
        </w:sectPr>
      </w:pPr>
    </w:p>
    <w:p>
      <w:pPr>
        <w:spacing w:before="82"/>
        <w:ind w:left="175" w:right="0" w:firstLine="0"/>
        <w:jc w:val="left"/>
        <w:rPr>
          <w:sz w:val="12"/>
        </w:rPr>
      </w:pPr>
      <w:r>
        <w:rPr>
          <w:sz w:val="12"/>
        </w:rPr>
        <w:t>Source: Survey of 25 outside forecasters as of 25 April 2000.</w:t>
      </w:r>
    </w:p>
    <w:p>
      <w:pPr>
        <w:spacing w:after="0"/>
        <w:jc w:val="left"/>
        <w:rPr>
          <w:sz w:val="12"/>
        </w:rPr>
        <w:sectPr>
          <w:type w:val="continuous"/>
          <w:pgSz w:w="11900" w:h="16840"/>
          <w:pgMar w:top="1220" w:bottom="280" w:left="640" w:right="620"/>
        </w:sectPr>
      </w:pPr>
    </w:p>
    <w:p>
      <w:pPr>
        <w:pStyle w:val="BodyText"/>
        <w:spacing w:line="20" w:lineRule="exact"/>
        <w:ind w:left="13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rPr>
          <w:sz w:val="27"/>
        </w:rPr>
      </w:pPr>
    </w:p>
    <w:p>
      <w:pPr>
        <w:spacing w:after="0"/>
        <w:rPr>
          <w:sz w:val="27"/>
        </w:rPr>
        <w:sectPr>
          <w:headerReference w:type="default" r:id="rId192"/>
          <w:footerReference w:type="default" r:id="rId193"/>
          <w:footerReference w:type="even" r:id="rId194"/>
          <w:pgSz w:w="11900" w:h="16840"/>
          <w:pgMar w:header="0" w:footer="597" w:top="760" w:bottom="780" w:left="640" w:right="620"/>
          <w:pgNumType w:start="67"/>
        </w:sectPr>
      </w:pPr>
    </w:p>
    <w:p>
      <w:pPr>
        <w:spacing w:line="409" w:lineRule="exact" w:before="85"/>
        <w:ind w:left="170" w:right="0" w:firstLine="0"/>
        <w:jc w:val="left"/>
        <w:rPr>
          <w:b/>
          <w:sz w:val="36"/>
        </w:rPr>
      </w:pPr>
      <w:bookmarkStart w:name="Agent's summary of business conditions" w:id="91"/>
      <w:bookmarkEnd w:id="91"/>
      <w:r>
        <w:rPr/>
      </w:r>
      <w:bookmarkStart w:name="_bookmark45" w:id="92"/>
      <w:bookmarkEnd w:id="92"/>
      <w:r>
        <w:rPr/>
      </w:r>
      <w:r>
        <w:rPr>
          <w:b/>
          <w:color w:val="006CB4"/>
          <w:sz w:val="36"/>
        </w:rPr>
        <w:t>BANK OF ENGLAND</w:t>
      </w:r>
    </w:p>
    <w:p>
      <w:pPr>
        <w:pStyle w:val="Heading1"/>
        <w:spacing w:line="249" w:lineRule="auto" w:before="0"/>
        <w:ind w:left="170"/>
      </w:pPr>
      <w:r>
        <w:rPr>
          <w:color w:val="006CB4"/>
          <w:spacing w:val="-5"/>
        </w:rPr>
        <w:t>AGENTS’ </w:t>
      </w:r>
      <w:r>
        <w:rPr>
          <w:color w:val="006CB4"/>
          <w:spacing w:val="-4"/>
        </w:rPr>
        <w:t>SUMMARY </w:t>
      </w:r>
      <w:r>
        <w:rPr>
          <w:color w:val="006CB4"/>
        </w:rPr>
        <w:t>OF BUSINESS CONDITIONS</w:t>
      </w:r>
    </w:p>
    <w:p>
      <w:pPr>
        <w:pStyle w:val="BodyText"/>
        <w:rPr>
          <w:b/>
          <w:sz w:val="26"/>
        </w:rPr>
      </w:pPr>
      <w:r>
        <w:rPr/>
        <w:br w:type="column"/>
      </w:r>
      <w:r>
        <w:rPr>
          <w:b/>
          <w:sz w:val="26"/>
        </w:rPr>
      </w:r>
    </w:p>
    <w:p>
      <w:pPr>
        <w:pStyle w:val="BodyText"/>
        <w:rPr>
          <w:b/>
          <w:sz w:val="26"/>
        </w:rPr>
      </w:pPr>
    </w:p>
    <w:p>
      <w:pPr>
        <w:pStyle w:val="BodyText"/>
        <w:rPr>
          <w:b/>
          <w:sz w:val="26"/>
        </w:rPr>
      </w:pPr>
    </w:p>
    <w:p>
      <w:pPr>
        <w:pStyle w:val="BodyText"/>
        <w:spacing w:before="11"/>
        <w:rPr>
          <w:b/>
          <w:sz w:val="33"/>
        </w:rPr>
      </w:pPr>
    </w:p>
    <w:p>
      <w:pPr>
        <w:pStyle w:val="Heading5"/>
        <w:ind w:left="170"/>
      </w:pPr>
      <w:r>
        <w:rPr>
          <w:color w:val="006CB4"/>
        </w:rPr>
        <w:t>MAY 2000</w:t>
      </w:r>
    </w:p>
    <w:p>
      <w:pPr>
        <w:spacing w:after="0"/>
        <w:sectPr>
          <w:type w:val="continuous"/>
          <w:pgSz w:w="11900" w:h="16840"/>
          <w:pgMar w:top="1220" w:bottom="280" w:left="640" w:right="620"/>
          <w:cols w:num="2" w:equalWidth="0">
            <w:col w:w="5767" w:space="3437"/>
            <w:col w:w="1436"/>
          </w:cols>
        </w:sectPr>
      </w:pPr>
    </w:p>
    <w:p>
      <w:pPr>
        <w:pStyle w:val="BodyText"/>
        <w:rPr>
          <w:b/>
          <w:sz w:val="20"/>
        </w:rPr>
      </w:pPr>
    </w:p>
    <w:p>
      <w:pPr>
        <w:pStyle w:val="BodyText"/>
        <w:rPr>
          <w:b/>
          <w:sz w:val="20"/>
        </w:rPr>
      </w:pPr>
    </w:p>
    <w:p>
      <w:pPr>
        <w:pStyle w:val="BodyText"/>
        <w:spacing w:before="10" w:after="1"/>
        <w:rPr>
          <w:b/>
          <w:sz w:val="26"/>
        </w:rPr>
      </w:pPr>
    </w:p>
    <w:p>
      <w:pPr>
        <w:pStyle w:val="BodyText"/>
        <w:ind w:left="162"/>
        <w:rPr>
          <w:sz w:val="20"/>
        </w:rPr>
      </w:pPr>
      <w:r>
        <w:rPr>
          <w:position w:val="0"/>
          <w:sz w:val="20"/>
        </w:rPr>
        <w:pict>
          <v:shape style="width:515.9pt;height:103pt;mso-position-horizontal-relative:char;mso-position-vertical-relative:line" type="#_x0000_t202" filled="false" stroked="true" strokeweight="1pt" strokecolor="#006cb4">
            <w10:anchorlock/>
            <v:textbox inset="0,0,0,0">
              <w:txbxContent>
                <w:p>
                  <w:pPr>
                    <w:spacing w:line="247" w:lineRule="auto" w:before="136"/>
                    <w:ind w:left="250" w:right="226" w:firstLine="0"/>
                    <w:jc w:val="left"/>
                    <w:rPr>
                      <w:i/>
                      <w:sz w:val="22"/>
                    </w:rPr>
                  </w:pPr>
                  <w:r>
                    <w:rPr>
                      <w:i/>
                      <w:sz w:val="22"/>
                    </w:rPr>
                    <w:t>This publication is a summary of monthly reports compiled by the Bank of England’s Agents, following </w:t>
                  </w:r>
                  <w:r>
                    <w:rPr>
                      <w:i/>
                      <w:sz w:val="22"/>
                    </w:rPr>
                    <w:t>discussions with </w:t>
                  </w:r>
                  <w:r>
                    <w:rPr>
                      <w:i/>
                      <w:spacing w:val="-3"/>
                      <w:sz w:val="22"/>
                    </w:rPr>
                    <w:t>around </w:t>
                  </w:r>
                  <w:r>
                    <w:rPr>
                      <w:i/>
                      <w:sz w:val="22"/>
                    </w:rPr>
                    <w:t>1,700 businesses in the period between mid-January and mid-April. It </w:t>
                  </w:r>
                  <w:r>
                    <w:rPr>
                      <w:i/>
                      <w:spacing w:val="-3"/>
                      <w:sz w:val="22"/>
                    </w:rPr>
                    <w:t>provides </w:t>
                  </w:r>
                  <w:r>
                    <w:rPr>
                      <w:i/>
                      <w:sz w:val="22"/>
                    </w:rPr>
                    <w:t>information on the state of business conditions, </w:t>
                  </w:r>
                  <w:r>
                    <w:rPr>
                      <w:i/>
                      <w:spacing w:val="-3"/>
                      <w:sz w:val="22"/>
                    </w:rPr>
                    <w:t>from </w:t>
                  </w:r>
                  <w:r>
                    <w:rPr>
                      <w:i/>
                      <w:sz w:val="22"/>
                    </w:rPr>
                    <w:t>firms </w:t>
                  </w:r>
                  <w:r>
                    <w:rPr>
                      <w:i/>
                      <w:spacing w:val="-3"/>
                      <w:sz w:val="22"/>
                    </w:rPr>
                    <w:t>across </w:t>
                  </w:r>
                  <w:r>
                    <w:rPr>
                      <w:i/>
                      <w:sz w:val="22"/>
                    </w:rPr>
                    <w:t>all sectors of the </w:t>
                  </w:r>
                  <w:r>
                    <w:rPr>
                      <w:i/>
                      <w:spacing w:val="-3"/>
                      <w:sz w:val="22"/>
                    </w:rPr>
                    <w:t>economy. </w:t>
                  </w:r>
                  <w:r>
                    <w:rPr>
                      <w:i/>
                      <w:sz w:val="22"/>
                    </w:rPr>
                    <w:t>The </w:t>
                  </w:r>
                  <w:r>
                    <w:rPr>
                      <w:i/>
                      <w:spacing w:val="-3"/>
                      <w:sz w:val="22"/>
                    </w:rPr>
                    <w:t>report </w:t>
                  </w:r>
                  <w:r>
                    <w:rPr>
                      <w:i/>
                      <w:sz w:val="22"/>
                    </w:rPr>
                    <w:t>does not </w:t>
                  </w:r>
                  <w:r>
                    <w:rPr>
                      <w:i/>
                      <w:spacing w:val="-3"/>
                      <w:sz w:val="22"/>
                    </w:rPr>
                    <w:t>represent </w:t>
                  </w:r>
                  <w:r>
                    <w:rPr>
                      <w:i/>
                      <w:sz w:val="22"/>
                    </w:rPr>
                    <w:t>the </w:t>
                  </w:r>
                  <w:r>
                    <w:rPr>
                      <w:i/>
                      <w:spacing w:val="-3"/>
                      <w:sz w:val="22"/>
                    </w:rPr>
                    <w:t>Bank’s </w:t>
                  </w:r>
                  <w:r>
                    <w:rPr>
                      <w:i/>
                      <w:sz w:val="22"/>
                    </w:rPr>
                    <w:t>own views, nor does it </w:t>
                  </w:r>
                  <w:r>
                    <w:rPr>
                      <w:i/>
                      <w:spacing w:val="-3"/>
                      <w:sz w:val="22"/>
                    </w:rPr>
                    <w:t>represent </w:t>
                  </w:r>
                  <w:r>
                    <w:rPr>
                      <w:i/>
                      <w:sz w:val="22"/>
                    </w:rPr>
                    <w:t>the views of any particular firm or </w:t>
                  </w:r>
                  <w:r>
                    <w:rPr>
                      <w:i/>
                      <w:spacing w:val="-4"/>
                      <w:sz w:val="22"/>
                    </w:rPr>
                    <w:t>region. </w:t>
                  </w:r>
                  <w:r>
                    <w:rPr>
                      <w:i/>
                      <w:sz w:val="22"/>
                    </w:rPr>
                    <w:t>The </w:t>
                  </w:r>
                  <w:r>
                    <w:rPr>
                      <w:i/>
                      <w:spacing w:val="-3"/>
                      <w:sz w:val="22"/>
                    </w:rPr>
                    <w:t>Bank’s </w:t>
                  </w:r>
                  <w:r>
                    <w:rPr>
                      <w:i/>
                      <w:sz w:val="22"/>
                    </w:rPr>
                    <w:t>Monetary </w:t>
                  </w:r>
                  <w:r>
                    <w:rPr>
                      <w:i/>
                      <w:spacing w:val="-4"/>
                      <w:sz w:val="22"/>
                    </w:rPr>
                    <w:t>Policy </w:t>
                  </w:r>
                  <w:r>
                    <w:rPr>
                      <w:i/>
                      <w:sz w:val="22"/>
                    </w:rPr>
                    <w:t>Committee uses the intelligence </w:t>
                  </w:r>
                  <w:r>
                    <w:rPr>
                      <w:i/>
                      <w:spacing w:val="-3"/>
                      <w:sz w:val="22"/>
                    </w:rPr>
                    <w:t>provided </w:t>
                  </w:r>
                  <w:r>
                    <w:rPr>
                      <w:i/>
                      <w:sz w:val="22"/>
                    </w:rPr>
                    <w:t>by the Agents, in conjunction with information </w:t>
                  </w:r>
                  <w:r>
                    <w:rPr>
                      <w:i/>
                      <w:spacing w:val="-4"/>
                      <w:sz w:val="22"/>
                    </w:rPr>
                    <w:t>from </w:t>
                  </w:r>
                  <w:r>
                    <w:rPr>
                      <w:i/>
                      <w:sz w:val="22"/>
                    </w:rPr>
                    <w:t>other sources, to assist its understanding and assessment of current economic</w:t>
                  </w:r>
                  <w:r>
                    <w:rPr>
                      <w:i/>
                      <w:spacing w:val="-30"/>
                      <w:sz w:val="22"/>
                    </w:rPr>
                    <w:t> </w:t>
                  </w:r>
                  <w:r>
                    <w:rPr>
                      <w:i/>
                      <w:sz w:val="22"/>
                    </w:rPr>
                    <w:t>conditions.</w:t>
                  </w:r>
                </w:p>
              </w:txbxContent>
            </v:textbox>
            <v:stroke dashstyle="solid"/>
          </v:shape>
        </w:pict>
      </w:r>
      <w:r>
        <w:rPr>
          <w:position w:val="0"/>
          <w:sz w:val="20"/>
        </w:rPr>
      </w:r>
    </w:p>
    <w:p>
      <w:pPr>
        <w:pStyle w:val="ListParagraph"/>
        <w:numPr>
          <w:ilvl w:val="2"/>
          <w:numId w:val="39"/>
        </w:numPr>
        <w:tabs>
          <w:tab w:pos="662" w:val="left" w:leader="none"/>
          <w:tab w:pos="663" w:val="left" w:leader="none"/>
        </w:tabs>
        <w:spacing w:line="247" w:lineRule="auto" w:before="148" w:after="0"/>
        <w:ind w:left="662" w:right="446" w:hanging="480"/>
        <w:jc w:val="left"/>
        <w:rPr>
          <w:rFonts w:ascii="Wingdings" w:hAnsi="Wingdings"/>
          <w:color w:val="006CB4"/>
          <w:sz w:val="20"/>
        </w:rPr>
      </w:pPr>
      <w:r>
        <w:rPr>
          <w:sz w:val="22"/>
        </w:rPr>
        <w:t>Manufacturing output continued to grow during the period, but the rate of growth slowed recently in most regions. Looking forward, confidence about the performance of the manufacturing sector in coming months deteriorated in many regions—mostly reflecting the sustained strength of</w:t>
      </w:r>
      <w:r>
        <w:rPr>
          <w:spacing w:val="-21"/>
          <w:sz w:val="22"/>
        </w:rPr>
        <w:t> </w:t>
      </w:r>
      <w:r>
        <w:rPr>
          <w:sz w:val="22"/>
        </w:rPr>
        <w:t>sterling.</w:t>
      </w:r>
    </w:p>
    <w:p>
      <w:pPr>
        <w:pStyle w:val="BodyText"/>
        <w:spacing w:before="5"/>
        <w:rPr>
          <w:sz w:val="22"/>
        </w:rPr>
      </w:pPr>
    </w:p>
    <w:p>
      <w:pPr>
        <w:pStyle w:val="ListParagraph"/>
        <w:numPr>
          <w:ilvl w:val="2"/>
          <w:numId w:val="39"/>
        </w:numPr>
        <w:tabs>
          <w:tab w:pos="662" w:val="left" w:leader="none"/>
          <w:tab w:pos="663" w:val="left" w:leader="none"/>
        </w:tabs>
        <w:spacing w:line="240" w:lineRule="auto" w:before="0" w:after="0"/>
        <w:ind w:left="662" w:right="0" w:hanging="481"/>
        <w:jc w:val="left"/>
        <w:rPr>
          <w:rFonts w:ascii="Wingdings" w:hAnsi="Wingdings"/>
          <w:color w:val="006CB4"/>
          <w:sz w:val="22"/>
        </w:rPr>
      </w:pPr>
      <w:r>
        <w:rPr>
          <w:sz w:val="22"/>
        </w:rPr>
        <w:t>Strong growth in construction activity was maintained in most regions during the</w:t>
      </w:r>
      <w:r>
        <w:rPr>
          <w:spacing w:val="-30"/>
          <w:sz w:val="22"/>
        </w:rPr>
        <w:t> </w:t>
      </w:r>
      <w:r>
        <w:rPr>
          <w:sz w:val="22"/>
        </w:rPr>
        <w:t>period.</w:t>
      </w:r>
    </w:p>
    <w:p>
      <w:pPr>
        <w:pStyle w:val="BodyText"/>
        <w:spacing w:before="3"/>
        <w:rPr>
          <w:sz w:val="23"/>
        </w:rPr>
      </w:pPr>
    </w:p>
    <w:p>
      <w:pPr>
        <w:pStyle w:val="ListParagraph"/>
        <w:numPr>
          <w:ilvl w:val="2"/>
          <w:numId w:val="39"/>
        </w:numPr>
        <w:tabs>
          <w:tab w:pos="662" w:val="left" w:leader="none"/>
          <w:tab w:pos="663" w:val="left" w:leader="none"/>
        </w:tabs>
        <w:spacing w:line="240" w:lineRule="auto" w:before="0" w:after="0"/>
        <w:ind w:left="662" w:right="0" w:hanging="481"/>
        <w:jc w:val="left"/>
        <w:rPr>
          <w:rFonts w:ascii="Wingdings" w:hAnsi="Wingdings"/>
          <w:color w:val="006CB4"/>
          <w:sz w:val="22"/>
        </w:rPr>
      </w:pPr>
      <w:r>
        <w:rPr>
          <w:sz w:val="22"/>
        </w:rPr>
        <w:t>Service sector growth remained strong. Professional and IT services continued to record the fastest</w:t>
      </w:r>
      <w:r>
        <w:rPr>
          <w:spacing w:val="-12"/>
          <w:sz w:val="22"/>
        </w:rPr>
        <w:t> </w:t>
      </w:r>
      <w:r>
        <w:rPr>
          <w:sz w:val="22"/>
        </w:rPr>
        <w:t>growth.</w:t>
      </w:r>
    </w:p>
    <w:p>
      <w:pPr>
        <w:pStyle w:val="BodyText"/>
        <w:spacing w:before="2"/>
        <w:rPr>
          <w:sz w:val="23"/>
        </w:rPr>
      </w:pPr>
    </w:p>
    <w:p>
      <w:pPr>
        <w:pStyle w:val="ListParagraph"/>
        <w:numPr>
          <w:ilvl w:val="2"/>
          <w:numId w:val="39"/>
        </w:numPr>
        <w:tabs>
          <w:tab w:pos="662" w:val="left" w:leader="none"/>
          <w:tab w:pos="663" w:val="left" w:leader="none"/>
        </w:tabs>
        <w:spacing w:line="247" w:lineRule="auto" w:before="0" w:after="0"/>
        <w:ind w:left="662" w:right="482" w:hanging="480"/>
        <w:jc w:val="left"/>
        <w:rPr>
          <w:rFonts w:ascii="Wingdings" w:hAnsi="Wingdings"/>
          <w:color w:val="006CB4"/>
          <w:sz w:val="22"/>
        </w:rPr>
      </w:pPr>
      <w:r>
        <w:rPr>
          <w:sz w:val="22"/>
        </w:rPr>
        <w:t>Retail</w:t>
      </w:r>
      <w:r>
        <w:rPr>
          <w:spacing w:val="-7"/>
          <w:sz w:val="22"/>
        </w:rPr>
        <w:t> </w:t>
      </w:r>
      <w:r>
        <w:rPr>
          <w:sz w:val="22"/>
        </w:rPr>
        <w:t>spending</w:t>
      </w:r>
      <w:r>
        <w:rPr>
          <w:spacing w:val="-6"/>
          <w:sz w:val="22"/>
        </w:rPr>
        <w:t> </w:t>
      </w:r>
      <w:r>
        <w:rPr>
          <w:sz w:val="22"/>
        </w:rPr>
        <w:t>growth</w:t>
      </w:r>
      <w:r>
        <w:rPr>
          <w:spacing w:val="-6"/>
          <w:sz w:val="22"/>
        </w:rPr>
        <w:t> </w:t>
      </w:r>
      <w:r>
        <w:rPr>
          <w:sz w:val="22"/>
        </w:rPr>
        <w:t>was</w:t>
      </w:r>
      <w:r>
        <w:rPr>
          <w:spacing w:val="-6"/>
          <w:sz w:val="22"/>
        </w:rPr>
        <w:t> </w:t>
      </w:r>
      <w:r>
        <w:rPr>
          <w:sz w:val="22"/>
        </w:rPr>
        <w:t>reported</w:t>
      </w:r>
      <w:r>
        <w:rPr>
          <w:spacing w:val="-6"/>
          <w:sz w:val="22"/>
        </w:rPr>
        <w:t> </w:t>
      </w:r>
      <w:r>
        <w:rPr>
          <w:sz w:val="22"/>
        </w:rPr>
        <w:t>to</w:t>
      </w:r>
      <w:r>
        <w:rPr>
          <w:spacing w:val="-6"/>
          <w:sz w:val="22"/>
        </w:rPr>
        <w:t> </w:t>
      </w:r>
      <w:r>
        <w:rPr>
          <w:spacing w:val="-3"/>
          <w:sz w:val="22"/>
        </w:rPr>
        <w:t>have</w:t>
      </w:r>
      <w:r>
        <w:rPr>
          <w:spacing w:val="-7"/>
          <w:sz w:val="22"/>
        </w:rPr>
        <w:t> </w:t>
      </w:r>
      <w:r>
        <w:rPr>
          <w:sz w:val="22"/>
        </w:rPr>
        <w:t>moderated</w:t>
      </w:r>
      <w:r>
        <w:rPr>
          <w:spacing w:val="-6"/>
          <w:sz w:val="22"/>
        </w:rPr>
        <w:t> </w:t>
      </w:r>
      <w:r>
        <w:rPr>
          <w:sz w:val="22"/>
        </w:rPr>
        <w:t>slightly</w:t>
      </w:r>
      <w:r>
        <w:rPr>
          <w:spacing w:val="-6"/>
          <w:sz w:val="22"/>
        </w:rPr>
        <w:t> </w:t>
      </w:r>
      <w:r>
        <w:rPr>
          <w:sz w:val="22"/>
        </w:rPr>
        <w:t>in</w:t>
      </w:r>
      <w:r>
        <w:rPr>
          <w:spacing w:val="-6"/>
          <w:sz w:val="22"/>
        </w:rPr>
        <w:t> </w:t>
      </w:r>
      <w:r>
        <w:rPr>
          <w:sz w:val="22"/>
        </w:rPr>
        <w:t>most</w:t>
      </w:r>
      <w:r>
        <w:rPr>
          <w:spacing w:val="-6"/>
          <w:sz w:val="22"/>
        </w:rPr>
        <w:t> </w:t>
      </w:r>
      <w:r>
        <w:rPr>
          <w:sz w:val="22"/>
        </w:rPr>
        <w:t>regions,</w:t>
      </w:r>
      <w:r>
        <w:rPr>
          <w:spacing w:val="-6"/>
          <w:sz w:val="22"/>
        </w:rPr>
        <w:t> </w:t>
      </w:r>
      <w:r>
        <w:rPr>
          <w:sz w:val="22"/>
        </w:rPr>
        <w:t>following</w:t>
      </w:r>
      <w:r>
        <w:rPr>
          <w:spacing w:val="-7"/>
          <w:sz w:val="22"/>
        </w:rPr>
        <w:t> </w:t>
      </w:r>
      <w:r>
        <w:rPr>
          <w:sz w:val="22"/>
        </w:rPr>
        <w:t>a</w:t>
      </w:r>
      <w:r>
        <w:rPr>
          <w:spacing w:val="-6"/>
          <w:sz w:val="22"/>
        </w:rPr>
        <w:t> </w:t>
      </w:r>
      <w:r>
        <w:rPr>
          <w:sz w:val="22"/>
        </w:rPr>
        <w:t>pick-up</w:t>
      </w:r>
      <w:r>
        <w:rPr>
          <w:spacing w:val="-6"/>
          <w:sz w:val="22"/>
        </w:rPr>
        <w:t> </w:t>
      </w:r>
      <w:r>
        <w:rPr>
          <w:sz w:val="22"/>
        </w:rPr>
        <w:t>during December and </w:t>
      </w:r>
      <w:r>
        <w:rPr>
          <w:spacing w:val="-3"/>
          <w:sz w:val="22"/>
        </w:rPr>
        <w:t>January. </w:t>
      </w:r>
      <w:r>
        <w:rPr>
          <w:sz w:val="22"/>
        </w:rPr>
        <w:t>Most Agencies reported that sales of </w:t>
      </w:r>
      <w:r>
        <w:rPr>
          <w:spacing w:val="-3"/>
          <w:sz w:val="22"/>
        </w:rPr>
        <w:t>new </w:t>
      </w:r>
      <w:r>
        <w:rPr>
          <w:sz w:val="22"/>
        </w:rPr>
        <w:t>cars remained depressed, although a recovery in the </w:t>
      </w:r>
      <w:r>
        <w:rPr>
          <w:spacing w:val="-3"/>
          <w:sz w:val="22"/>
        </w:rPr>
        <w:t>level </w:t>
      </w:r>
      <w:r>
        <w:rPr>
          <w:sz w:val="22"/>
        </w:rPr>
        <w:t>of used car sales was noted in several</w:t>
      </w:r>
      <w:r>
        <w:rPr>
          <w:spacing w:val="-18"/>
          <w:sz w:val="22"/>
        </w:rPr>
        <w:t> </w:t>
      </w:r>
      <w:r>
        <w:rPr>
          <w:sz w:val="22"/>
        </w:rPr>
        <w:t>regions.</w:t>
      </w:r>
    </w:p>
    <w:p>
      <w:pPr>
        <w:pStyle w:val="BodyText"/>
        <w:spacing w:before="6"/>
        <w:rPr>
          <w:sz w:val="22"/>
        </w:rPr>
      </w:pPr>
    </w:p>
    <w:p>
      <w:pPr>
        <w:pStyle w:val="ListParagraph"/>
        <w:numPr>
          <w:ilvl w:val="2"/>
          <w:numId w:val="39"/>
        </w:numPr>
        <w:tabs>
          <w:tab w:pos="662" w:val="left" w:leader="none"/>
          <w:tab w:pos="663" w:val="left" w:leader="none"/>
        </w:tabs>
        <w:spacing w:line="247" w:lineRule="auto" w:before="0" w:after="0"/>
        <w:ind w:left="662" w:right="320" w:hanging="480"/>
        <w:jc w:val="left"/>
        <w:rPr>
          <w:rFonts w:ascii="Wingdings" w:hAnsi="Wingdings"/>
          <w:color w:val="006CB4"/>
          <w:sz w:val="22"/>
        </w:rPr>
      </w:pPr>
      <w:r>
        <w:rPr>
          <w:sz w:val="22"/>
        </w:rPr>
        <w:t>Export demand continued to increase, though </w:t>
      </w:r>
      <w:r>
        <w:rPr>
          <w:spacing w:val="-3"/>
          <w:sz w:val="22"/>
        </w:rPr>
        <w:t>moderately. </w:t>
      </w:r>
      <w:r>
        <w:rPr>
          <w:spacing w:val="-4"/>
          <w:sz w:val="22"/>
        </w:rPr>
        <w:t>However, </w:t>
      </w:r>
      <w:r>
        <w:rPr>
          <w:sz w:val="22"/>
        </w:rPr>
        <w:t>export growth was reported to </w:t>
      </w:r>
      <w:r>
        <w:rPr>
          <w:spacing w:val="-3"/>
          <w:sz w:val="22"/>
        </w:rPr>
        <w:t>have </w:t>
      </w:r>
      <w:r>
        <w:rPr>
          <w:sz w:val="22"/>
        </w:rPr>
        <w:t>been more</w:t>
      </w:r>
      <w:r>
        <w:rPr>
          <w:spacing w:val="-4"/>
          <w:sz w:val="22"/>
        </w:rPr>
        <w:t> </w:t>
      </w:r>
      <w:r>
        <w:rPr>
          <w:sz w:val="22"/>
        </w:rPr>
        <w:t>than</w:t>
      </w:r>
      <w:r>
        <w:rPr>
          <w:spacing w:val="-3"/>
          <w:sz w:val="22"/>
        </w:rPr>
        <w:t> </w:t>
      </w:r>
      <w:r>
        <w:rPr>
          <w:sz w:val="22"/>
        </w:rPr>
        <w:t>offset</w:t>
      </w:r>
      <w:r>
        <w:rPr>
          <w:spacing w:val="-4"/>
          <w:sz w:val="22"/>
        </w:rPr>
        <w:t> </w:t>
      </w:r>
      <w:r>
        <w:rPr>
          <w:sz w:val="22"/>
        </w:rPr>
        <w:t>by</w:t>
      </w:r>
      <w:r>
        <w:rPr>
          <w:spacing w:val="-3"/>
          <w:sz w:val="22"/>
        </w:rPr>
        <w:t> </w:t>
      </w:r>
      <w:r>
        <w:rPr>
          <w:sz w:val="22"/>
        </w:rPr>
        <w:t>growth</w:t>
      </w:r>
      <w:r>
        <w:rPr>
          <w:spacing w:val="-4"/>
          <w:sz w:val="22"/>
        </w:rPr>
        <w:t> </w:t>
      </w:r>
      <w:r>
        <w:rPr>
          <w:sz w:val="22"/>
        </w:rPr>
        <w:t>in</w:t>
      </w:r>
      <w:r>
        <w:rPr>
          <w:spacing w:val="-3"/>
          <w:sz w:val="22"/>
        </w:rPr>
        <w:t> </w:t>
      </w:r>
      <w:r>
        <w:rPr>
          <w:sz w:val="22"/>
        </w:rPr>
        <w:t>imports—both</w:t>
      </w:r>
      <w:r>
        <w:rPr>
          <w:spacing w:val="-4"/>
          <w:sz w:val="22"/>
        </w:rPr>
        <w:t> </w:t>
      </w:r>
      <w:r>
        <w:rPr>
          <w:sz w:val="22"/>
        </w:rPr>
        <w:t>for</w:t>
      </w:r>
      <w:r>
        <w:rPr>
          <w:spacing w:val="-3"/>
          <w:sz w:val="22"/>
        </w:rPr>
        <w:t> </w:t>
      </w:r>
      <w:r>
        <w:rPr>
          <w:sz w:val="22"/>
        </w:rPr>
        <w:t>finished</w:t>
      </w:r>
      <w:r>
        <w:rPr>
          <w:spacing w:val="-4"/>
          <w:sz w:val="22"/>
        </w:rPr>
        <w:t> </w:t>
      </w:r>
      <w:r>
        <w:rPr>
          <w:sz w:val="22"/>
        </w:rPr>
        <w:t>goods</w:t>
      </w:r>
      <w:r>
        <w:rPr>
          <w:spacing w:val="-3"/>
          <w:sz w:val="22"/>
        </w:rPr>
        <w:t> </w:t>
      </w:r>
      <w:r>
        <w:rPr>
          <w:sz w:val="22"/>
        </w:rPr>
        <w:t>and</w:t>
      </w:r>
      <w:r>
        <w:rPr>
          <w:spacing w:val="-4"/>
          <w:sz w:val="22"/>
        </w:rPr>
        <w:t> </w:t>
      </w:r>
      <w:r>
        <w:rPr>
          <w:sz w:val="22"/>
        </w:rPr>
        <w:t>for</w:t>
      </w:r>
      <w:r>
        <w:rPr>
          <w:spacing w:val="-3"/>
          <w:sz w:val="22"/>
        </w:rPr>
        <w:t> </w:t>
      </w:r>
      <w:r>
        <w:rPr>
          <w:sz w:val="22"/>
        </w:rPr>
        <w:t>inputs</w:t>
      </w:r>
      <w:r>
        <w:rPr>
          <w:spacing w:val="-4"/>
          <w:sz w:val="22"/>
        </w:rPr>
        <w:t> </w:t>
      </w:r>
      <w:r>
        <w:rPr>
          <w:sz w:val="22"/>
        </w:rPr>
        <w:t>into</w:t>
      </w:r>
      <w:r>
        <w:rPr>
          <w:spacing w:val="-3"/>
          <w:sz w:val="22"/>
        </w:rPr>
        <w:t> </w:t>
      </w:r>
      <w:r>
        <w:rPr>
          <w:sz w:val="22"/>
        </w:rPr>
        <w:t>manufacturing.</w:t>
      </w:r>
    </w:p>
    <w:p>
      <w:pPr>
        <w:pStyle w:val="BodyText"/>
        <w:spacing w:before="5"/>
        <w:rPr>
          <w:sz w:val="22"/>
        </w:rPr>
      </w:pPr>
    </w:p>
    <w:p>
      <w:pPr>
        <w:pStyle w:val="ListParagraph"/>
        <w:numPr>
          <w:ilvl w:val="2"/>
          <w:numId w:val="39"/>
        </w:numPr>
        <w:tabs>
          <w:tab w:pos="662" w:val="left" w:leader="none"/>
          <w:tab w:pos="663" w:val="left" w:leader="none"/>
        </w:tabs>
        <w:spacing w:line="247" w:lineRule="auto" w:before="1" w:after="0"/>
        <w:ind w:left="662" w:right="473" w:hanging="480"/>
        <w:jc w:val="left"/>
        <w:rPr>
          <w:rFonts w:ascii="Wingdings" w:hAnsi="Wingdings"/>
          <w:color w:val="006CB4"/>
          <w:sz w:val="22"/>
        </w:rPr>
      </w:pPr>
      <w:r>
        <w:rPr>
          <w:sz w:val="22"/>
        </w:rPr>
        <w:t>Investment intentions in the manufacturing sector deteriorated in most regions compared with the previous period, with an increasing number of firms moving capacity overseas. In contrast, service sector </w:t>
      </w:r>
      <w:r>
        <w:rPr>
          <w:spacing w:val="-3"/>
          <w:sz w:val="22"/>
        </w:rPr>
        <w:t>investment </w:t>
      </w:r>
      <w:r>
        <w:rPr>
          <w:sz w:val="22"/>
        </w:rPr>
        <w:t>continued to strengthen. Many plans remain focused on IT</w:t>
      </w:r>
      <w:r>
        <w:rPr>
          <w:spacing w:val="-19"/>
          <w:sz w:val="22"/>
        </w:rPr>
        <w:t> </w:t>
      </w:r>
      <w:r>
        <w:rPr>
          <w:sz w:val="22"/>
        </w:rPr>
        <w:t>development.</w:t>
      </w:r>
    </w:p>
    <w:p>
      <w:pPr>
        <w:pStyle w:val="BodyText"/>
        <w:spacing w:before="5"/>
        <w:rPr>
          <w:sz w:val="22"/>
        </w:rPr>
      </w:pPr>
    </w:p>
    <w:p>
      <w:pPr>
        <w:pStyle w:val="ListParagraph"/>
        <w:numPr>
          <w:ilvl w:val="2"/>
          <w:numId w:val="39"/>
        </w:numPr>
        <w:tabs>
          <w:tab w:pos="662" w:val="left" w:leader="none"/>
          <w:tab w:pos="663" w:val="left" w:leader="none"/>
        </w:tabs>
        <w:spacing w:line="247" w:lineRule="auto" w:before="0" w:after="0"/>
        <w:ind w:left="662" w:right="302" w:hanging="480"/>
        <w:jc w:val="left"/>
        <w:rPr>
          <w:rFonts w:ascii="Wingdings" w:hAnsi="Wingdings"/>
          <w:color w:val="006CB4"/>
          <w:sz w:val="22"/>
        </w:rPr>
      </w:pPr>
      <w:r>
        <w:rPr>
          <w:sz w:val="22"/>
        </w:rPr>
        <w:t>Increases</w:t>
      </w:r>
      <w:r>
        <w:rPr>
          <w:spacing w:val="-7"/>
          <w:sz w:val="22"/>
        </w:rPr>
        <w:t> </w:t>
      </w:r>
      <w:r>
        <w:rPr>
          <w:sz w:val="22"/>
        </w:rPr>
        <w:t>in</w:t>
      </w:r>
      <w:r>
        <w:rPr>
          <w:spacing w:val="-7"/>
          <w:sz w:val="22"/>
        </w:rPr>
        <w:t> </w:t>
      </w:r>
      <w:r>
        <w:rPr>
          <w:sz w:val="22"/>
        </w:rPr>
        <w:t>materials</w:t>
      </w:r>
      <w:r>
        <w:rPr>
          <w:spacing w:val="-7"/>
          <w:sz w:val="22"/>
        </w:rPr>
        <w:t> </w:t>
      </w:r>
      <w:r>
        <w:rPr>
          <w:sz w:val="22"/>
        </w:rPr>
        <w:t>prices</w:t>
      </w:r>
      <w:r>
        <w:rPr>
          <w:spacing w:val="-6"/>
          <w:sz w:val="22"/>
        </w:rPr>
        <w:t> </w:t>
      </w:r>
      <w:r>
        <w:rPr>
          <w:sz w:val="22"/>
        </w:rPr>
        <w:t>continued,</w:t>
      </w:r>
      <w:r>
        <w:rPr>
          <w:spacing w:val="-7"/>
          <w:sz w:val="22"/>
        </w:rPr>
        <w:t> </w:t>
      </w:r>
      <w:r>
        <w:rPr>
          <w:sz w:val="22"/>
        </w:rPr>
        <w:t>but</w:t>
      </w:r>
      <w:r>
        <w:rPr>
          <w:spacing w:val="-7"/>
          <w:sz w:val="22"/>
        </w:rPr>
        <w:t> </w:t>
      </w:r>
      <w:r>
        <w:rPr>
          <w:sz w:val="22"/>
        </w:rPr>
        <w:t>generally</w:t>
      </w:r>
      <w:r>
        <w:rPr>
          <w:spacing w:val="-6"/>
          <w:sz w:val="22"/>
        </w:rPr>
        <w:t> </w:t>
      </w:r>
      <w:r>
        <w:rPr>
          <w:sz w:val="22"/>
        </w:rPr>
        <w:t>remained</w:t>
      </w:r>
      <w:r>
        <w:rPr>
          <w:spacing w:val="-7"/>
          <w:sz w:val="22"/>
        </w:rPr>
        <w:t> </w:t>
      </w:r>
      <w:r>
        <w:rPr>
          <w:sz w:val="22"/>
        </w:rPr>
        <w:t>confined</w:t>
      </w:r>
      <w:r>
        <w:rPr>
          <w:spacing w:val="-7"/>
          <w:sz w:val="22"/>
        </w:rPr>
        <w:t> </w:t>
      </w:r>
      <w:r>
        <w:rPr>
          <w:sz w:val="22"/>
        </w:rPr>
        <w:t>to</w:t>
      </w:r>
      <w:r>
        <w:rPr>
          <w:spacing w:val="-7"/>
          <w:sz w:val="22"/>
        </w:rPr>
        <w:t> </w:t>
      </w:r>
      <w:r>
        <w:rPr>
          <w:sz w:val="22"/>
        </w:rPr>
        <w:t>a</w:t>
      </w:r>
      <w:r>
        <w:rPr>
          <w:spacing w:val="-6"/>
          <w:sz w:val="22"/>
        </w:rPr>
        <w:t> </w:t>
      </w:r>
      <w:r>
        <w:rPr>
          <w:spacing w:val="-3"/>
          <w:sz w:val="22"/>
        </w:rPr>
        <w:t>few</w:t>
      </w:r>
      <w:r>
        <w:rPr>
          <w:spacing w:val="-7"/>
          <w:sz w:val="22"/>
        </w:rPr>
        <w:t> </w:t>
      </w:r>
      <w:r>
        <w:rPr>
          <w:sz w:val="22"/>
        </w:rPr>
        <w:t>commodities—most</w:t>
      </w:r>
      <w:r>
        <w:rPr>
          <w:spacing w:val="-7"/>
          <w:sz w:val="22"/>
        </w:rPr>
        <w:t> </w:t>
      </w:r>
      <w:r>
        <w:rPr>
          <w:sz w:val="22"/>
        </w:rPr>
        <w:t>notably oil and oil products, metals, pulp and </w:t>
      </w:r>
      <w:r>
        <w:rPr>
          <w:spacing w:val="-3"/>
          <w:sz w:val="22"/>
        </w:rPr>
        <w:t>paper. </w:t>
      </w:r>
      <w:r>
        <w:rPr>
          <w:sz w:val="22"/>
        </w:rPr>
        <w:t>Downward pressure on manufacturing output prices remained, with most firms suggesting that it was still difficult to pass on any increases in costs. There continued to be little change in previous retail prices trends, with flat or falling goods prices and rising service sector prices still being reported. House price growth remained broadly</w:t>
      </w:r>
      <w:r>
        <w:rPr>
          <w:spacing w:val="-14"/>
          <w:sz w:val="22"/>
        </w:rPr>
        <w:t> </w:t>
      </w:r>
      <w:r>
        <w:rPr>
          <w:sz w:val="22"/>
        </w:rPr>
        <w:t>stable.</w:t>
      </w:r>
    </w:p>
    <w:p>
      <w:pPr>
        <w:pStyle w:val="BodyText"/>
        <w:spacing w:before="4"/>
        <w:rPr>
          <w:sz w:val="22"/>
        </w:rPr>
      </w:pPr>
    </w:p>
    <w:p>
      <w:pPr>
        <w:pStyle w:val="ListParagraph"/>
        <w:numPr>
          <w:ilvl w:val="2"/>
          <w:numId w:val="39"/>
        </w:numPr>
        <w:tabs>
          <w:tab w:pos="662" w:val="left" w:leader="none"/>
          <w:tab w:pos="663" w:val="left" w:leader="none"/>
        </w:tabs>
        <w:spacing w:line="247" w:lineRule="auto" w:before="0" w:after="0"/>
        <w:ind w:left="662" w:right="308" w:hanging="480"/>
        <w:jc w:val="left"/>
        <w:rPr>
          <w:rFonts w:ascii="Wingdings" w:hAnsi="Wingdings"/>
          <w:color w:val="006CB4"/>
          <w:sz w:val="22"/>
        </w:rPr>
      </w:pPr>
      <w:r>
        <w:rPr>
          <w:sz w:val="22"/>
        </w:rPr>
        <w:t>Pay pressures in the manufacturing sector remained subdued in most regions, with most settlements similar to or lower than a year ago. Settlements in the service sector were slightly stronger than a year </w:t>
      </w:r>
      <w:r>
        <w:rPr>
          <w:spacing w:val="-3"/>
          <w:sz w:val="22"/>
        </w:rPr>
        <w:t>earlier. </w:t>
      </w:r>
      <w:r>
        <w:rPr>
          <w:sz w:val="22"/>
        </w:rPr>
        <w:t>Agents noted</w:t>
      </w:r>
      <w:r>
        <w:rPr>
          <w:spacing w:val="-6"/>
          <w:sz w:val="22"/>
        </w:rPr>
        <w:t> </w:t>
      </w:r>
      <w:r>
        <w:rPr>
          <w:sz w:val="22"/>
        </w:rPr>
        <w:t>that</w:t>
      </w:r>
      <w:r>
        <w:rPr>
          <w:spacing w:val="-6"/>
          <w:sz w:val="22"/>
        </w:rPr>
        <w:t> </w:t>
      </w:r>
      <w:r>
        <w:rPr>
          <w:sz w:val="22"/>
        </w:rPr>
        <w:t>bonuses</w:t>
      </w:r>
      <w:r>
        <w:rPr>
          <w:spacing w:val="-5"/>
          <w:sz w:val="22"/>
        </w:rPr>
        <w:t> </w:t>
      </w:r>
      <w:r>
        <w:rPr>
          <w:sz w:val="22"/>
        </w:rPr>
        <w:t>and</w:t>
      </w:r>
      <w:r>
        <w:rPr>
          <w:spacing w:val="-6"/>
          <w:sz w:val="22"/>
        </w:rPr>
        <w:t> </w:t>
      </w:r>
      <w:r>
        <w:rPr>
          <w:sz w:val="22"/>
        </w:rPr>
        <w:t>other</w:t>
      </w:r>
      <w:r>
        <w:rPr>
          <w:spacing w:val="-6"/>
          <w:sz w:val="22"/>
        </w:rPr>
        <w:t> </w:t>
      </w:r>
      <w:r>
        <w:rPr>
          <w:sz w:val="22"/>
        </w:rPr>
        <w:t>non-pay</w:t>
      </w:r>
      <w:r>
        <w:rPr>
          <w:spacing w:val="-5"/>
          <w:sz w:val="22"/>
        </w:rPr>
        <w:t> </w:t>
      </w:r>
      <w:r>
        <w:rPr>
          <w:sz w:val="22"/>
        </w:rPr>
        <w:t>rewards</w:t>
      </w:r>
      <w:r>
        <w:rPr>
          <w:spacing w:val="-6"/>
          <w:sz w:val="22"/>
        </w:rPr>
        <w:t> </w:t>
      </w:r>
      <w:r>
        <w:rPr>
          <w:sz w:val="22"/>
        </w:rPr>
        <w:t>(for</w:t>
      </w:r>
      <w:r>
        <w:rPr>
          <w:spacing w:val="-5"/>
          <w:sz w:val="22"/>
        </w:rPr>
        <w:t> </w:t>
      </w:r>
      <w:r>
        <w:rPr>
          <w:sz w:val="22"/>
        </w:rPr>
        <w:t>example</w:t>
      </w:r>
      <w:r>
        <w:rPr>
          <w:spacing w:val="-6"/>
          <w:sz w:val="22"/>
        </w:rPr>
        <w:t> </w:t>
      </w:r>
      <w:r>
        <w:rPr>
          <w:sz w:val="22"/>
        </w:rPr>
        <w:t>share</w:t>
      </w:r>
      <w:r>
        <w:rPr>
          <w:spacing w:val="-6"/>
          <w:sz w:val="22"/>
        </w:rPr>
        <w:t> </w:t>
      </w:r>
      <w:r>
        <w:rPr>
          <w:sz w:val="22"/>
        </w:rPr>
        <w:t>options)</w:t>
      </w:r>
      <w:r>
        <w:rPr>
          <w:spacing w:val="-5"/>
          <w:sz w:val="22"/>
        </w:rPr>
        <w:t> </w:t>
      </w:r>
      <w:r>
        <w:rPr>
          <w:spacing w:val="-3"/>
          <w:sz w:val="22"/>
        </w:rPr>
        <w:t>have</w:t>
      </w:r>
      <w:r>
        <w:rPr>
          <w:spacing w:val="-6"/>
          <w:sz w:val="22"/>
        </w:rPr>
        <w:t> </w:t>
      </w:r>
      <w:r>
        <w:rPr>
          <w:sz w:val="22"/>
        </w:rPr>
        <w:t>increased</w:t>
      </w:r>
      <w:r>
        <w:rPr>
          <w:spacing w:val="-5"/>
          <w:sz w:val="22"/>
        </w:rPr>
        <w:t> </w:t>
      </w:r>
      <w:r>
        <w:rPr>
          <w:sz w:val="22"/>
        </w:rPr>
        <w:t>as</w:t>
      </w:r>
      <w:r>
        <w:rPr>
          <w:spacing w:val="-6"/>
          <w:sz w:val="22"/>
        </w:rPr>
        <w:t> </w:t>
      </w:r>
      <w:r>
        <w:rPr>
          <w:sz w:val="22"/>
        </w:rPr>
        <w:t>a</w:t>
      </w:r>
      <w:r>
        <w:rPr>
          <w:spacing w:val="-6"/>
          <w:sz w:val="22"/>
        </w:rPr>
        <w:t> </w:t>
      </w:r>
      <w:r>
        <w:rPr>
          <w:sz w:val="22"/>
        </w:rPr>
        <w:t>share</w:t>
      </w:r>
      <w:r>
        <w:rPr>
          <w:spacing w:val="-5"/>
          <w:sz w:val="22"/>
        </w:rPr>
        <w:t> </w:t>
      </w:r>
      <w:r>
        <w:rPr>
          <w:sz w:val="22"/>
        </w:rPr>
        <w:t>of</w:t>
      </w:r>
      <w:r>
        <w:rPr>
          <w:spacing w:val="-6"/>
          <w:sz w:val="22"/>
        </w:rPr>
        <w:t> </w:t>
      </w:r>
      <w:r>
        <w:rPr>
          <w:sz w:val="22"/>
        </w:rPr>
        <w:t>overall remuneration.</w:t>
      </w:r>
    </w:p>
    <w:p>
      <w:pPr>
        <w:pStyle w:val="BodyText"/>
        <w:spacing w:before="5"/>
        <w:rPr>
          <w:sz w:val="22"/>
        </w:rPr>
      </w:pPr>
    </w:p>
    <w:p>
      <w:pPr>
        <w:pStyle w:val="ListParagraph"/>
        <w:numPr>
          <w:ilvl w:val="2"/>
          <w:numId w:val="39"/>
        </w:numPr>
        <w:tabs>
          <w:tab w:pos="662" w:val="left" w:leader="none"/>
          <w:tab w:pos="663" w:val="left" w:leader="none"/>
        </w:tabs>
        <w:spacing w:line="247" w:lineRule="auto" w:before="0" w:after="0"/>
        <w:ind w:left="662" w:right="218" w:hanging="480"/>
        <w:jc w:val="left"/>
        <w:rPr>
          <w:rFonts w:ascii="Wingdings" w:hAnsi="Wingdings"/>
          <w:color w:val="006CB4"/>
          <w:sz w:val="22"/>
        </w:rPr>
      </w:pPr>
      <w:r>
        <w:rPr>
          <w:sz w:val="22"/>
        </w:rPr>
        <w:t>Labour market conditions remained tight (particularly in the southern regions of the United Kingdom). Skill shortages worsened compared with the previous period, although the incidence of shortages stabilised </w:t>
      </w:r>
      <w:r>
        <w:rPr>
          <w:spacing w:val="-3"/>
          <w:sz w:val="22"/>
        </w:rPr>
        <w:t>recently. </w:t>
      </w:r>
      <w:r>
        <w:rPr>
          <w:sz w:val="22"/>
        </w:rPr>
        <w:t>Moderate service sector employment growth continued. Manufacturing sector employment continued to decline in most regions, although the rate of decline was stable in recent</w:t>
      </w:r>
      <w:r>
        <w:rPr>
          <w:spacing w:val="-26"/>
          <w:sz w:val="22"/>
        </w:rPr>
        <w:t> </w:t>
      </w:r>
      <w:r>
        <w:rPr>
          <w:sz w:val="22"/>
        </w:rPr>
        <w:t>months.</w:t>
      </w:r>
    </w:p>
    <w:p>
      <w:pPr>
        <w:pStyle w:val="BodyText"/>
        <w:rPr>
          <w:sz w:val="20"/>
        </w:rPr>
      </w:pPr>
    </w:p>
    <w:p>
      <w:pPr>
        <w:pStyle w:val="BodyText"/>
        <w:spacing w:before="2"/>
        <w:rPr>
          <w:sz w:val="29"/>
        </w:rPr>
      </w:pPr>
      <w:r>
        <w:rPr/>
        <w:pict>
          <v:shape style="position:absolute;margin-left:39.5pt;margin-top:18.860371pt;width:517pt;height:.1pt;mso-position-horizontal-relative:page;mso-position-vertical-relative:paragraph;z-index:-15091712;mso-wrap-distance-left:0;mso-wrap-distance-right:0" coordorigin="790,377" coordsize="10340,0" path="m790,377l11130,377e" filled="false" stroked="true" strokeweight=".125pt" strokecolor="#000000">
            <v:path arrowok="t"/>
            <v:stroke dashstyle="solid"/>
            <w10:wrap type="topAndBottom"/>
          </v:shape>
        </w:pict>
      </w:r>
    </w:p>
    <w:p>
      <w:pPr>
        <w:spacing w:line="208" w:lineRule="auto" w:before="0"/>
        <w:ind w:left="420" w:right="824" w:hanging="240"/>
        <w:jc w:val="left"/>
        <w:rPr>
          <w:sz w:val="16"/>
        </w:rPr>
      </w:pPr>
      <w:r>
        <w:rPr>
          <w:sz w:val="16"/>
        </w:rPr>
        <w:t>(1) The Bank of England has Agencies for Central Southern England, the East Midlands, Greater London, the North East &amp; Cumbria, the North West, Northern Ireland, Scotland, the South East &amp; East Anglia, the South West,Wales, the West Midlands, and Yorkshire &amp; the Humber.</w:t>
      </w:r>
    </w:p>
    <w:p>
      <w:pPr>
        <w:spacing w:after="0" w:line="208" w:lineRule="auto"/>
        <w:jc w:val="left"/>
        <w:rPr>
          <w:sz w:val="16"/>
        </w:rPr>
        <w:sectPr>
          <w:type w:val="continuous"/>
          <w:pgSz w:w="11900" w:h="16840"/>
          <w:pgMar w:top="1220" w:bottom="280" w:left="640" w:right="620"/>
        </w:sectPr>
      </w:pPr>
    </w:p>
    <w:p>
      <w:pPr>
        <w:pStyle w:val="BodyText"/>
        <w:rPr>
          <w:sz w:val="20"/>
        </w:rPr>
      </w:pPr>
    </w:p>
    <w:p>
      <w:pPr>
        <w:spacing w:after="0"/>
        <w:rPr>
          <w:sz w:val="20"/>
        </w:rPr>
        <w:sectPr>
          <w:headerReference w:type="even" r:id="rId195"/>
          <w:pgSz w:w="11900" w:h="16840"/>
          <w:pgMar w:header="566" w:footer="597" w:top="760" w:bottom="780" w:left="640" w:right="620"/>
        </w:sectPr>
      </w:pPr>
    </w:p>
    <w:p>
      <w:pPr>
        <w:spacing w:before="218"/>
        <w:ind w:left="174" w:right="0" w:firstLine="0"/>
        <w:jc w:val="left"/>
        <w:rPr>
          <w:b/>
          <w:sz w:val="28"/>
        </w:rPr>
      </w:pPr>
      <w:r>
        <w:rPr>
          <w:b/>
          <w:color w:val="006CB4"/>
          <w:sz w:val="28"/>
        </w:rPr>
        <w:t>OUTPUT</w:t>
      </w:r>
    </w:p>
    <w:p>
      <w:pPr>
        <w:pStyle w:val="BodyText"/>
        <w:spacing w:before="10"/>
        <w:rPr>
          <w:b/>
          <w:sz w:val="25"/>
        </w:rPr>
      </w:pPr>
    </w:p>
    <w:p>
      <w:pPr>
        <w:pStyle w:val="Heading4"/>
        <w:ind w:left="174"/>
        <w:rPr>
          <w:i/>
        </w:rPr>
      </w:pPr>
      <w:r>
        <w:rPr>
          <w:i/>
          <w:color w:val="006CB4"/>
        </w:rPr>
        <w:t>Agriculture</w:t>
      </w:r>
    </w:p>
    <w:p>
      <w:pPr>
        <w:spacing w:line="247" w:lineRule="auto" w:before="194"/>
        <w:ind w:left="174" w:right="115" w:firstLine="0"/>
        <w:jc w:val="left"/>
        <w:rPr>
          <w:sz w:val="22"/>
        </w:rPr>
      </w:pPr>
      <w:r>
        <w:rPr>
          <w:sz w:val="22"/>
        </w:rPr>
        <w:t>Activity in the agricultural sector remained depressed during the period. Pig and poultry farming continued to be reported as areas of serious weakness. Incomes in the dairy industry also appeared to be under substantial pressure. Early signs emerged that demand for some agricultural commodities had bottomed out during the period, but most farmers believed that a sustained recovery was </w:t>
      </w:r>
      <w:r>
        <w:rPr>
          <w:spacing w:val="-3"/>
          <w:sz w:val="22"/>
        </w:rPr>
        <w:t>unlikely. </w:t>
      </w:r>
      <w:r>
        <w:rPr>
          <w:sz w:val="22"/>
        </w:rPr>
        <w:t>The pessimistic outlook was attributed to general over-supply in the sector, caused by increased import competition (particularly from continental Europe). Sustained downward pressure on farm incomes was reported to </w:t>
      </w:r>
      <w:r>
        <w:rPr>
          <w:spacing w:val="-3"/>
          <w:sz w:val="22"/>
        </w:rPr>
        <w:t>have </w:t>
      </w:r>
      <w:r>
        <w:rPr>
          <w:sz w:val="22"/>
        </w:rPr>
        <w:t>resulted in an increasing number of business failures in the</w:t>
      </w:r>
      <w:r>
        <w:rPr>
          <w:spacing w:val="-4"/>
          <w:sz w:val="22"/>
        </w:rPr>
        <w:t> </w:t>
      </w:r>
      <w:r>
        <w:rPr>
          <w:spacing w:val="-3"/>
          <w:sz w:val="22"/>
        </w:rPr>
        <w:t>sector.</w:t>
      </w:r>
    </w:p>
    <w:p>
      <w:pPr>
        <w:pStyle w:val="BodyText"/>
        <w:spacing w:before="9"/>
        <w:rPr>
          <w:sz w:val="25"/>
        </w:rPr>
      </w:pPr>
    </w:p>
    <w:p>
      <w:pPr>
        <w:spacing w:before="0"/>
        <w:ind w:left="174" w:right="0" w:firstLine="0"/>
        <w:jc w:val="left"/>
        <w:rPr>
          <w:i/>
          <w:sz w:val="28"/>
        </w:rPr>
      </w:pPr>
      <w:r>
        <w:rPr>
          <w:i/>
          <w:color w:val="006CB4"/>
          <w:sz w:val="28"/>
        </w:rPr>
        <w:t>Manufacturing</w:t>
      </w:r>
    </w:p>
    <w:p>
      <w:pPr>
        <w:spacing w:line="247" w:lineRule="auto" w:before="154"/>
        <w:ind w:left="174" w:right="0" w:firstLine="0"/>
        <w:jc w:val="left"/>
        <w:rPr>
          <w:sz w:val="22"/>
        </w:rPr>
      </w:pPr>
      <w:r>
        <w:rPr>
          <w:sz w:val="22"/>
        </w:rPr>
        <w:t>After strengthening in the second half of 1999, most Agencies suggested that the recovery in manufacturing output growth paused over the Christmas/New Year period—mostly reflecting the longer-than-normal shutdown period. More recently, reports suggested that while manufacturing output continued to expand, the rate of growth moderated in most regions. Looking forward, confidence about the performance of the manufacturing sector in coming months deteriorated in many regions—attributed to the sustained strength of sterling.</w:t>
      </w:r>
    </w:p>
    <w:p>
      <w:pPr>
        <w:pStyle w:val="BodyText"/>
        <w:rPr>
          <w:sz w:val="22"/>
        </w:rPr>
      </w:pPr>
    </w:p>
    <w:p>
      <w:pPr>
        <w:spacing w:line="247" w:lineRule="auto" w:before="1"/>
        <w:ind w:left="174" w:right="489" w:firstLine="0"/>
        <w:jc w:val="left"/>
        <w:rPr>
          <w:sz w:val="22"/>
        </w:rPr>
      </w:pPr>
      <w:r>
        <w:rPr>
          <w:sz w:val="22"/>
        </w:rPr>
        <w:t>Reports of the diversity of performance within the manufacturing sector continued. Strong growth persisted in telecommunications and electronics, as well as parts of the chemicals sector (eg pharmaceuticals). But contacts continued to note</w:t>
      </w:r>
    </w:p>
    <w:p>
      <w:pPr>
        <w:spacing w:line="247" w:lineRule="auto" w:before="0"/>
        <w:ind w:left="174" w:right="89" w:firstLine="0"/>
        <w:jc w:val="left"/>
        <w:rPr>
          <w:sz w:val="22"/>
        </w:rPr>
      </w:pPr>
      <w:r>
        <w:rPr>
          <w:sz w:val="22"/>
        </w:rPr>
        <w:t>that textile and clothing output remained in decline, while the automotive components sector was still weak.</w:t>
      </w:r>
    </w:p>
    <w:p>
      <w:pPr>
        <w:pStyle w:val="BodyText"/>
        <w:spacing w:before="2"/>
        <w:rPr>
          <w:sz w:val="22"/>
        </w:rPr>
      </w:pPr>
    </w:p>
    <w:p>
      <w:pPr>
        <w:spacing w:line="247" w:lineRule="auto" w:before="0"/>
        <w:ind w:left="174" w:right="0" w:firstLine="0"/>
        <w:jc w:val="left"/>
        <w:rPr>
          <w:sz w:val="22"/>
        </w:rPr>
      </w:pPr>
      <w:r>
        <w:rPr>
          <w:sz w:val="22"/>
        </w:rPr>
        <w:t>Manufacturing contacts’ reports of increased volumes being obtained through reduced margins persisted, reflecting increased competitive pressures (see Output prices). Following sustained margin pressure, recent reports from contacts suggest that some firms have preferred to lose orders rather than to supply at lower prices—thus dampening output.</w:t>
      </w:r>
    </w:p>
    <w:p>
      <w:pPr>
        <w:pStyle w:val="BodyText"/>
        <w:spacing w:before="3"/>
        <w:rPr>
          <w:sz w:val="22"/>
        </w:rPr>
      </w:pPr>
    </w:p>
    <w:p>
      <w:pPr>
        <w:spacing w:line="247" w:lineRule="auto" w:before="0"/>
        <w:ind w:left="174" w:right="56" w:firstLine="0"/>
        <w:jc w:val="left"/>
        <w:rPr>
          <w:sz w:val="22"/>
        </w:rPr>
      </w:pPr>
      <w:r>
        <w:rPr>
          <w:sz w:val="22"/>
        </w:rPr>
        <w:t>Manufacturing firms reported few capacity constraints, and many sectors cite significant spare capacity. The underlying trend for many sectors (particularly at the lower value-added end) remains weak. The incidence of firms moving production outside the United</w:t>
      </w:r>
    </w:p>
    <w:p>
      <w:pPr>
        <w:pStyle w:val="BodyText"/>
        <w:spacing w:before="1"/>
        <w:rPr>
          <w:sz w:val="20"/>
        </w:rPr>
      </w:pPr>
      <w:r>
        <w:rPr/>
        <w:br w:type="column"/>
      </w:r>
      <w:r>
        <w:rPr>
          <w:sz w:val="20"/>
        </w:rPr>
      </w:r>
    </w:p>
    <w:p>
      <w:pPr>
        <w:spacing w:line="247" w:lineRule="auto" w:before="1"/>
        <w:ind w:left="174" w:right="191" w:firstLine="0"/>
        <w:jc w:val="left"/>
        <w:rPr>
          <w:sz w:val="22"/>
        </w:rPr>
      </w:pPr>
      <w:r>
        <w:rPr>
          <w:sz w:val="22"/>
        </w:rPr>
        <w:t>Kingdom, particularly those with overseas parent companies, was reported to have intensified noticeably in recent months (for example in the clothing sector).</w:t>
      </w:r>
    </w:p>
    <w:p>
      <w:pPr>
        <w:pStyle w:val="BodyText"/>
        <w:spacing w:before="3"/>
        <w:rPr>
          <w:sz w:val="26"/>
        </w:rPr>
      </w:pPr>
    </w:p>
    <w:p>
      <w:pPr>
        <w:spacing w:before="0"/>
        <w:ind w:left="174" w:right="0" w:firstLine="0"/>
        <w:jc w:val="left"/>
        <w:rPr>
          <w:i/>
          <w:sz w:val="28"/>
        </w:rPr>
      </w:pPr>
      <w:r>
        <w:rPr>
          <w:i/>
          <w:color w:val="006CB4"/>
          <w:sz w:val="28"/>
        </w:rPr>
        <w:t>Construction and housing</w:t>
      </w:r>
    </w:p>
    <w:p>
      <w:pPr>
        <w:spacing w:line="247" w:lineRule="auto" w:before="154"/>
        <w:ind w:left="174" w:right="279" w:firstLine="0"/>
        <w:jc w:val="left"/>
        <w:rPr>
          <w:sz w:val="22"/>
        </w:rPr>
      </w:pPr>
      <w:r>
        <w:rPr>
          <w:sz w:val="22"/>
        </w:rPr>
        <w:t>While the rate of construction growth varied considerably within and between regions, most Agencies noted that growth had remained broadly stable at a strong rate in recent months. The south and south-east of England remained the areas of strongest activity.</w:t>
      </w:r>
    </w:p>
    <w:p>
      <w:pPr>
        <w:pStyle w:val="BodyText"/>
        <w:spacing w:before="3"/>
        <w:rPr>
          <w:sz w:val="22"/>
        </w:rPr>
      </w:pPr>
    </w:p>
    <w:p>
      <w:pPr>
        <w:spacing w:line="247" w:lineRule="auto" w:before="1"/>
        <w:ind w:left="174" w:right="216" w:firstLine="0"/>
        <w:jc w:val="left"/>
        <w:rPr>
          <w:sz w:val="22"/>
        </w:rPr>
      </w:pPr>
      <w:r>
        <w:rPr>
          <w:sz w:val="22"/>
        </w:rPr>
        <w:t>Growth was reported for both residential and commercial </w:t>
      </w:r>
      <w:r>
        <w:rPr>
          <w:spacing w:val="-3"/>
          <w:sz w:val="22"/>
        </w:rPr>
        <w:t>activity. </w:t>
      </w:r>
      <w:r>
        <w:rPr>
          <w:sz w:val="22"/>
        </w:rPr>
        <w:t>Most contacts suggested that recent interest rate increases </w:t>
      </w:r>
      <w:r>
        <w:rPr>
          <w:spacing w:val="-3"/>
          <w:sz w:val="22"/>
        </w:rPr>
        <w:t>have </w:t>
      </w:r>
      <w:r>
        <w:rPr>
          <w:sz w:val="22"/>
        </w:rPr>
        <w:t>yet to </w:t>
      </w:r>
      <w:r>
        <w:rPr>
          <w:spacing w:val="-3"/>
          <w:sz w:val="22"/>
        </w:rPr>
        <w:t>have </w:t>
      </w:r>
      <w:r>
        <w:rPr>
          <w:sz w:val="22"/>
        </w:rPr>
        <w:t>any significant impact on demand. But there are expectations in some regions that residential construction growth will begin to ease in coming months. The limited availability of suitable land and persistent planning delays are expected to constrain output. In most regions, commercial activity continued to be </w:t>
      </w:r>
      <w:r>
        <w:rPr>
          <w:spacing w:val="-3"/>
          <w:sz w:val="22"/>
        </w:rPr>
        <w:t>driven </w:t>
      </w:r>
      <w:r>
        <w:rPr>
          <w:sz w:val="22"/>
        </w:rPr>
        <w:t>by strong growth in retail and leisure sector </w:t>
      </w:r>
      <w:r>
        <w:rPr>
          <w:spacing w:val="-3"/>
          <w:sz w:val="22"/>
        </w:rPr>
        <w:t>activity, </w:t>
      </w:r>
      <w:r>
        <w:rPr>
          <w:sz w:val="22"/>
        </w:rPr>
        <w:t>while in others, increased public spending on education and health</w:t>
      </w:r>
      <w:r>
        <w:rPr>
          <w:spacing w:val="-11"/>
          <w:sz w:val="22"/>
        </w:rPr>
        <w:t> </w:t>
      </w:r>
      <w:r>
        <w:rPr>
          <w:sz w:val="22"/>
        </w:rPr>
        <w:t>boosted</w:t>
      </w:r>
    </w:p>
    <w:p>
      <w:pPr>
        <w:spacing w:line="247" w:lineRule="auto" w:before="0"/>
        <w:ind w:left="174" w:right="279" w:firstLine="0"/>
        <w:jc w:val="left"/>
        <w:rPr>
          <w:sz w:val="22"/>
        </w:rPr>
      </w:pPr>
      <w:r>
        <w:rPr>
          <w:sz w:val="22"/>
        </w:rPr>
        <w:t>non-residential construction. But industrial construction activity was generally more subdued.</w:t>
      </w:r>
    </w:p>
    <w:p>
      <w:pPr>
        <w:pStyle w:val="BodyText"/>
        <w:spacing w:before="8"/>
        <w:rPr>
          <w:sz w:val="25"/>
        </w:rPr>
      </w:pPr>
    </w:p>
    <w:p>
      <w:pPr>
        <w:spacing w:before="0"/>
        <w:ind w:left="174" w:right="0" w:firstLine="0"/>
        <w:jc w:val="left"/>
        <w:rPr>
          <w:i/>
          <w:sz w:val="28"/>
        </w:rPr>
      </w:pPr>
      <w:r>
        <w:rPr>
          <w:i/>
          <w:color w:val="006CB4"/>
          <w:sz w:val="28"/>
        </w:rPr>
        <w:t>Services</w:t>
      </w:r>
    </w:p>
    <w:p>
      <w:pPr>
        <w:spacing w:line="247" w:lineRule="auto" w:before="214"/>
        <w:ind w:left="174" w:right="279" w:firstLine="0"/>
        <w:jc w:val="left"/>
        <w:rPr>
          <w:sz w:val="22"/>
        </w:rPr>
      </w:pPr>
      <w:r>
        <w:rPr>
          <w:sz w:val="22"/>
        </w:rPr>
        <w:t>Service sector growth was sustained at a strong rate during the period. But the divergence within the service sector appears to have widened, with business services growth reported to have strengthened alongside easing consumer services growth. The strongest growth continued to be recorded in professional services—particularly legal, accountancy and property-related services. Media and advertising firms were also reported to have benefited from the recent sharp growth in ‘dot.com’ companies. In addition, increased demand for staff from recruitment agencies resulted from the tight labour market. Many contacts confirmed the expected pick-up in IT output, following the pre-millennium pause.</w:t>
      </w:r>
    </w:p>
    <w:p>
      <w:pPr>
        <w:pStyle w:val="BodyText"/>
        <w:spacing w:before="11"/>
        <w:rPr>
          <w:sz w:val="21"/>
        </w:rPr>
      </w:pPr>
    </w:p>
    <w:p>
      <w:pPr>
        <w:spacing w:line="247" w:lineRule="auto" w:before="0"/>
        <w:ind w:left="174" w:right="191" w:firstLine="0"/>
        <w:jc w:val="left"/>
        <w:rPr>
          <w:sz w:val="22"/>
        </w:rPr>
      </w:pPr>
      <w:r>
        <w:rPr>
          <w:sz w:val="22"/>
        </w:rPr>
        <w:t>But many Agencies suggested that growth in consumer services had now peaked. For example, slowing demand was reported for UK tourism—mostly attributed to exchange rate effects.</w:t>
      </w:r>
    </w:p>
    <w:p>
      <w:pPr>
        <w:pStyle w:val="BodyText"/>
        <w:spacing w:before="4"/>
        <w:rPr>
          <w:sz w:val="22"/>
        </w:rPr>
      </w:pPr>
    </w:p>
    <w:p>
      <w:pPr>
        <w:spacing w:line="247" w:lineRule="auto" w:before="1"/>
        <w:ind w:left="174" w:right="191" w:firstLine="0"/>
        <w:jc w:val="left"/>
        <w:rPr>
          <w:sz w:val="22"/>
        </w:rPr>
      </w:pPr>
      <w:r>
        <w:rPr>
          <w:sz w:val="22"/>
        </w:rPr>
        <w:t>Capacity constraints have become a growing concern for many service sector firms—mostly reflecting difficulties in recruiting suitably skilled staff (see Employment) and constraints of office space (see Investment).</w:t>
      </w:r>
    </w:p>
    <w:p>
      <w:pPr>
        <w:spacing w:after="0" w:line="247" w:lineRule="auto"/>
        <w:jc w:val="left"/>
        <w:rPr>
          <w:sz w:val="22"/>
        </w:rPr>
        <w:sectPr>
          <w:type w:val="continuous"/>
          <w:pgSz w:w="11900" w:h="16840"/>
          <w:pgMar w:top="1220" w:bottom="280" w:left="640" w:right="620"/>
          <w:cols w:num="2" w:equalWidth="0">
            <w:col w:w="5101" w:space="282"/>
            <w:col w:w="5257"/>
          </w:cols>
        </w:sectPr>
      </w:pPr>
    </w:p>
    <w:p>
      <w:pPr>
        <w:spacing w:before="82"/>
        <w:ind w:left="0" w:right="178" w:firstLine="0"/>
        <w:jc w:val="right"/>
        <w:rPr>
          <w:i/>
          <w:sz w:val="16"/>
        </w:rPr>
      </w:pPr>
      <w:r>
        <w:rPr>
          <w:i/>
          <w:sz w:val="16"/>
        </w:rPr>
        <w:t>Agents’ summary of business conditions</w:t>
      </w:r>
    </w:p>
    <w:p>
      <w:pPr>
        <w:pStyle w:val="BodyText"/>
        <w:spacing w:line="20" w:lineRule="exact"/>
        <w:ind w:left="138"/>
        <w:rPr>
          <w:sz w:val="2"/>
        </w:rPr>
      </w:pPr>
      <w:r>
        <w:rPr>
          <w:sz w:val="2"/>
        </w:rPr>
        <w:pict>
          <v:group style="width:517pt;height:.15pt;mso-position-horizontal-relative:char;mso-position-vertical-relative:line" coordorigin="0,0" coordsize="10340,3">
            <v:line style="position:absolute" from="0,1" to="10340,1" stroked="true" strokeweight=".125pt" strokecolor="#000000">
              <v:stroke dashstyle="solid"/>
            </v:line>
          </v:group>
        </w:pict>
      </w:r>
      <w:r>
        <w:rPr>
          <w:sz w:val="2"/>
        </w:rPr>
      </w:r>
    </w:p>
    <w:p>
      <w:pPr>
        <w:pStyle w:val="BodyText"/>
        <w:spacing w:before="8"/>
        <w:rPr>
          <w:i/>
          <w:sz w:val="28"/>
        </w:rPr>
      </w:pPr>
    </w:p>
    <w:p>
      <w:pPr>
        <w:spacing w:after="0"/>
        <w:rPr>
          <w:sz w:val="28"/>
        </w:rPr>
        <w:sectPr>
          <w:headerReference w:type="default" r:id="rId196"/>
          <w:pgSz w:w="11900" w:h="16840"/>
          <w:pgMar w:header="0" w:footer="597" w:top="500" w:bottom="780" w:left="640" w:right="620"/>
        </w:sectPr>
      </w:pPr>
    </w:p>
    <w:p>
      <w:pPr>
        <w:spacing w:before="88"/>
        <w:ind w:left="200" w:right="0" w:firstLine="0"/>
        <w:jc w:val="left"/>
        <w:rPr>
          <w:b/>
          <w:sz w:val="28"/>
        </w:rPr>
      </w:pPr>
      <w:r>
        <w:rPr>
          <w:b/>
          <w:color w:val="006CB4"/>
          <w:sz w:val="28"/>
        </w:rPr>
        <w:t>DEMAND</w:t>
      </w:r>
    </w:p>
    <w:p>
      <w:pPr>
        <w:pStyle w:val="Heading4"/>
        <w:spacing w:before="218"/>
        <w:rPr>
          <w:i/>
        </w:rPr>
      </w:pPr>
      <w:r>
        <w:rPr>
          <w:i/>
          <w:color w:val="006CB4"/>
        </w:rPr>
        <w:t>Consumption</w:t>
      </w:r>
    </w:p>
    <w:p>
      <w:pPr>
        <w:spacing w:line="247" w:lineRule="auto" w:before="174"/>
        <w:ind w:left="200" w:right="86" w:firstLine="0"/>
        <w:jc w:val="left"/>
        <w:rPr>
          <w:sz w:val="22"/>
        </w:rPr>
      </w:pPr>
      <w:r>
        <w:rPr>
          <w:sz w:val="22"/>
        </w:rPr>
        <w:t>Retail sales growth was reported to </w:t>
      </w:r>
      <w:r>
        <w:rPr>
          <w:spacing w:val="-3"/>
          <w:sz w:val="22"/>
        </w:rPr>
        <w:t>have </w:t>
      </w:r>
      <w:r>
        <w:rPr>
          <w:sz w:val="22"/>
        </w:rPr>
        <w:t>moderated slightly in many regions, following stronger Christmas/January sales. But most Agencies suggest that the retail sector was difficult to read in recent months—notably, year-on-year comparisons were more complicated because of the later-than-usual Easter period this </w:t>
      </w:r>
      <w:r>
        <w:rPr>
          <w:spacing w:val="-4"/>
          <w:sz w:val="22"/>
        </w:rPr>
        <w:t>year.  </w:t>
      </w:r>
      <w:r>
        <w:rPr>
          <w:sz w:val="22"/>
        </w:rPr>
        <w:t>Similar sectoral trends to  those recorded in previous </w:t>
      </w:r>
      <w:r>
        <w:rPr>
          <w:i/>
          <w:sz w:val="22"/>
        </w:rPr>
        <w:t>Agents’ Summaries </w:t>
      </w:r>
      <w:r>
        <w:rPr>
          <w:sz w:val="22"/>
        </w:rPr>
        <w:t>continued—strong</w:t>
      </w:r>
      <w:r>
        <w:rPr>
          <w:spacing w:val="-9"/>
          <w:sz w:val="22"/>
        </w:rPr>
        <w:t> </w:t>
      </w:r>
      <w:r>
        <w:rPr>
          <w:sz w:val="22"/>
        </w:rPr>
        <w:t>household</w:t>
      </w:r>
      <w:r>
        <w:rPr>
          <w:spacing w:val="-8"/>
          <w:sz w:val="22"/>
        </w:rPr>
        <w:t> </w:t>
      </w:r>
      <w:r>
        <w:rPr>
          <w:sz w:val="22"/>
        </w:rPr>
        <w:t>goods</w:t>
      </w:r>
      <w:r>
        <w:rPr>
          <w:spacing w:val="-9"/>
          <w:sz w:val="22"/>
        </w:rPr>
        <w:t> </w:t>
      </w:r>
      <w:r>
        <w:rPr>
          <w:sz w:val="22"/>
        </w:rPr>
        <w:t>sales</w:t>
      </w:r>
      <w:r>
        <w:rPr>
          <w:spacing w:val="-8"/>
          <w:sz w:val="22"/>
        </w:rPr>
        <w:t> </w:t>
      </w:r>
      <w:r>
        <w:rPr>
          <w:sz w:val="22"/>
        </w:rPr>
        <w:t>(for</w:t>
      </w:r>
      <w:r>
        <w:rPr>
          <w:spacing w:val="-9"/>
          <w:sz w:val="22"/>
        </w:rPr>
        <w:t> </w:t>
      </w:r>
      <w:r>
        <w:rPr>
          <w:sz w:val="22"/>
        </w:rPr>
        <w:t>example audio-visual and telecommunications</w:t>
      </w:r>
      <w:r>
        <w:rPr>
          <w:spacing w:val="-14"/>
          <w:sz w:val="22"/>
        </w:rPr>
        <w:t> </w:t>
      </w:r>
      <w:r>
        <w:rPr>
          <w:sz w:val="22"/>
        </w:rPr>
        <w:t>equipment),</w:t>
      </w:r>
    </w:p>
    <w:p>
      <w:pPr>
        <w:spacing w:line="247" w:lineRule="auto" w:before="0"/>
        <w:ind w:left="200" w:right="65" w:firstLine="0"/>
        <w:jc w:val="left"/>
        <w:rPr>
          <w:sz w:val="22"/>
        </w:rPr>
      </w:pPr>
      <w:r>
        <w:rPr>
          <w:sz w:val="22"/>
        </w:rPr>
        <w:t>combined with continued weak clothing sales. Overall, spending in the leisure sector appears to </w:t>
      </w:r>
      <w:r>
        <w:rPr>
          <w:spacing w:val="-3"/>
          <w:sz w:val="22"/>
        </w:rPr>
        <w:t>have </w:t>
      </w:r>
      <w:r>
        <w:rPr>
          <w:sz w:val="22"/>
        </w:rPr>
        <w:t>continued to </w:t>
      </w:r>
      <w:r>
        <w:rPr>
          <w:spacing w:val="-5"/>
          <w:sz w:val="22"/>
        </w:rPr>
        <w:t>grow, </w:t>
      </w:r>
      <w:r>
        <w:rPr>
          <w:sz w:val="22"/>
        </w:rPr>
        <w:t>but probably at a slower</w:t>
      </w:r>
      <w:r>
        <w:rPr>
          <w:spacing w:val="-18"/>
          <w:sz w:val="22"/>
        </w:rPr>
        <w:t> </w:t>
      </w:r>
      <w:r>
        <w:rPr>
          <w:sz w:val="22"/>
        </w:rPr>
        <w:t>pace.</w:t>
      </w:r>
    </w:p>
    <w:p>
      <w:pPr>
        <w:pStyle w:val="BodyText"/>
        <w:rPr>
          <w:sz w:val="22"/>
        </w:rPr>
      </w:pPr>
    </w:p>
    <w:p>
      <w:pPr>
        <w:spacing w:line="247" w:lineRule="auto" w:before="0"/>
        <w:ind w:left="200" w:right="91" w:firstLine="0"/>
        <w:jc w:val="left"/>
        <w:rPr>
          <w:sz w:val="22"/>
        </w:rPr>
      </w:pPr>
      <w:r>
        <w:rPr>
          <w:spacing w:val="-3"/>
          <w:sz w:val="22"/>
        </w:rPr>
        <w:t>New </w:t>
      </w:r>
      <w:r>
        <w:rPr>
          <w:sz w:val="22"/>
        </w:rPr>
        <w:t>car sales to individuals remained depressed during the period, with little evidence of any general improvement in sales. Many contacts suggested that consumers were making increasing use of the Internet to purchase cars from continental Europe. But most Agencies noted clear signs of a recovery in the </w:t>
      </w:r>
      <w:r>
        <w:rPr>
          <w:spacing w:val="-3"/>
          <w:sz w:val="22"/>
        </w:rPr>
        <w:t>level </w:t>
      </w:r>
      <w:r>
        <w:rPr>
          <w:sz w:val="22"/>
        </w:rPr>
        <w:t>of used car sales compared with the previous period.</w:t>
      </w:r>
    </w:p>
    <w:p>
      <w:pPr>
        <w:pStyle w:val="BodyText"/>
        <w:spacing w:before="7"/>
        <w:rPr>
          <w:sz w:val="22"/>
        </w:rPr>
      </w:pPr>
    </w:p>
    <w:p>
      <w:pPr>
        <w:spacing w:before="0"/>
        <w:ind w:left="200" w:right="0" w:firstLine="0"/>
        <w:jc w:val="left"/>
        <w:rPr>
          <w:i/>
          <w:sz w:val="28"/>
        </w:rPr>
      </w:pPr>
      <w:r>
        <w:rPr>
          <w:i/>
          <w:color w:val="006CB4"/>
          <w:sz w:val="28"/>
        </w:rPr>
        <w:t>Exports</w:t>
      </w:r>
    </w:p>
    <w:p>
      <w:pPr>
        <w:spacing w:line="247" w:lineRule="auto" w:before="174"/>
        <w:ind w:left="200" w:right="46" w:firstLine="0"/>
        <w:jc w:val="left"/>
        <w:rPr>
          <w:sz w:val="22"/>
        </w:rPr>
      </w:pPr>
      <w:r>
        <w:rPr>
          <w:sz w:val="22"/>
        </w:rPr>
        <w:t>The recovery in export demand noted in previous </w:t>
      </w:r>
      <w:r>
        <w:rPr>
          <w:i/>
          <w:sz w:val="22"/>
        </w:rPr>
        <w:t>Agents’ Summaries </w:t>
      </w:r>
      <w:r>
        <w:rPr>
          <w:sz w:val="22"/>
        </w:rPr>
        <w:t>continued during the period. Demand from the United States remained strong, while reports of improvement continued in East Asia.</w:t>
      </w:r>
    </w:p>
    <w:p>
      <w:pPr>
        <w:spacing w:line="247" w:lineRule="auto" w:before="0"/>
        <w:ind w:left="200" w:right="91" w:firstLine="0"/>
        <w:jc w:val="left"/>
        <w:rPr>
          <w:sz w:val="22"/>
        </w:rPr>
      </w:pPr>
      <w:r>
        <w:rPr>
          <w:sz w:val="22"/>
        </w:rPr>
        <w:t>Reports of European demand were varied but, overall, were slightly more positive. On balance, most Agencies suggest continued moderate export growth during the period.</w:t>
      </w:r>
    </w:p>
    <w:p>
      <w:pPr>
        <w:pStyle w:val="BodyText"/>
        <w:spacing w:before="2"/>
        <w:rPr>
          <w:sz w:val="22"/>
        </w:rPr>
      </w:pPr>
    </w:p>
    <w:p>
      <w:pPr>
        <w:spacing w:line="247" w:lineRule="auto" w:before="0"/>
        <w:ind w:left="200" w:right="123" w:firstLine="0"/>
        <w:jc w:val="left"/>
        <w:rPr>
          <w:sz w:val="22"/>
        </w:rPr>
      </w:pPr>
      <w:r>
        <w:rPr>
          <w:sz w:val="22"/>
        </w:rPr>
        <w:t>But the improvement in export performance was reported to have been more than offset by relatively stronger import growth. Import volumes increased both for finished goods and for inputs into manufacturing (as firms stepped up purchases of relatively cheaper overseas materials to alleviate margin pressure). For many firms, the proportion of inputs sourced from overseas suppliers has increased significantly in recent quarters. Competition for final goods from imports (particularly from continental Europe) remains intense and pressures have increased further recently.</w:t>
      </w:r>
    </w:p>
    <w:p>
      <w:pPr>
        <w:pStyle w:val="BodyText"/>
        <w:spacing w:before="10"/>
        <w:rPr>
          <w:sz w:val="25"/>
        </w:rPr>
      </w:pPr>
    </w:p>
    <w:p>
      <w:pPr>
        <w:spacing w:before="0"/>
        <w:ind w:left="200" w:right="0" w:firstLine="0"/>
        <w:jc w:val="left"/>
        <w:rPr>
          <w:i/>
          <w:sz w:val="28"/>
        </w:rPr>
      </w:pPr>
      <w:r>
        <w:rPr>
          <w:i/>
          <w:color w:val="006CB4"/>
          <w:sz w:val="28"/>
        </w:rPr>
        <w:t>Investment</w:t>
      </w:r>
    </w:p>
    <w:p>
      <w:pPr>
        <w:spacing w:line="247" w:lineRule="auto" w:before="214"/>
        <w:ind w:left="200" w:right="46" w:firstLine="0"/>
        <w:jc w:val="left"/>
        <w:rPr>
          <w:sz w:val="22"/>
        </w:rPr>
      </w:pPr>
      <w:r>
        <w:rPr>
          <w:sz w:val="22"/>
        </w:rPr>
        <w:t>Trends in manufacturing and service sector investment diverged further during the period. Investment intentions in the manufacturing sector deteriorated</w:t>
      </w:r>
    </w:p>
    <w:p>
      <w:pPr>
        <w:spacing w:line="247" w:lineRule="auto" w:before="102"/>
        <w:ind w:left="200" w:right="184" w:firstLine="0"/>
        <w:jc w:val="left"/>
        <w:rPr>
          <w:sz w:val="22"/>
        </w:rPr>
      </w:pPr>
      <w:r>
        <w:rPr/>
        <w:br w:type="column"/>
      </w:r>
      <w:r>
        <w:rPr>
          <w:sz w:val="22"/>
        </w:rPr>
        <w:t>noticeably in most regions. Uncertainty regarding the long-term profitability of many UK operations has resulted in a further increase in the number of firms investing in capacity overseas. The outlook is said to remain heavily dependent on future movements in the exchange rate. Investment intentions in the agricultural sector also remained particularly depressed, with little improvement noted.</w:t>
      </w:r>
    </w:p>
    <w:p>
      <w:pPr>
        <w:pStyle w:val="BodyText"/>
        <w:spacing w:before="2"/>
        <w:rPr>
          <w:sz w:val="22"/>
        </w:rPr>
      </w:pPr>
    </w:p>
    <w:p>
      <w:pPr>
        <w:spacing w:line="247" w:lineRule="auto" w:before="1"/>
        <w:ind w:left="200" w:right="184" w:firstLine="0"/>
        <w:jc w:val="left"/>
        <w:rPr>
          <w:sz w:val="22"/>
        </w:rPr>
      </w:pPr>
      <w:r>
        <w:rPr>
          <w:sz w:val="22"/>
        </w:rPr>
        <w:t>By contrast, service sector investment strengthened further. Most of the recent strength was related to investment in the retail, leisure and professional services sectors. For example, capacity constraints in many professional services businesses has led to increased demand for commercial office space.</w:t>
      </w:r>
    </w:p>
    <w:p>
      <w:pPr>
        <w:pStyle w:val="BodyText"/>
        <w:spacing w:before="3"/>
        <w:rPr>
          <w:sz w:val="22"/>
        </w:rPr>
      </w:pPr>
    </w:p>
    <w:p>
      <w:pPr>
        <w:spacing w:line="247" w:lineRule="auto" w:before="0"/>
        <w:ind w:left="200" w:right="184" w:firstLine="0"/>
        <w:jc w:val="left"/>
        <w:rPr>
          <w:sz w:val="22"/>
        </w:rPr>
      </w:pPr>
      <w:r>
        <w:rPr>
          <w:sz w:val="22"/>
        </w:rPr>
        <w:t>Following the millennium-related pause in IT investment in late 1999, investment in IT resumed strongly in the new year in most sectors—particularly for e-commerce and Internet-related activity.</w:t>
      </w:r>
    </w:p>
    <w:p>
      <w:pPr>
        <w:spacing w:before="202"/>
        <w:ind w:left="200" w:right="0" w:firstLine="0"/>
        <w:jc w:val="left"/>
        <w:rPr>
          <w:b/>
          <w:sz w:val="28"/>
        </w:rPr>
      </w:pPr>
      <w:r>
        <w:rPr>
          <w:b/>
          <w:color w:val="006CB4"/>
          <w:sz w:val="28"/>
        </w:rPr>
        <w:t>COSTS AND PRICES</w:t>
      </w:r>
    </w:p>
    <w:p>
      <w:pPr>
        <w:spacing w:before="198"/>
        <w:ind w:left="200" w:right="0" w:firstLine="0"/>
        <w:jc w:val="left"/>
        <w:rPr>
          <w:i/>
          <w:sz w:val="28"/>
        </w:rPr>
      </w:pPr>
      <w:r>
        <w:rPr>
          <w:i/>
          <w:color w:val="006CB4"/>
          <w:sz w:val="28"/>
        </w:rPr>
        <w:t>Input prices</w:t>
      </w:r>
    </w:p>
    <w:p>
      <w:pPr>
        <w:spacing w:line="247" w:lineRule="auto" w:before="254"/>
        <w:ind w:left="200" w:right="197" w:firstLine="0"/>
        <w:jc w:val="left"/>
        <w:rPr>
          <w:sz w:val="22"/>
        </w:rPr>
      </w:pPr>
      <w:r>
        <w:rPr>
          <w:sz w:val="22"/>
        </w:rPr>
        <w:t>Reports of increased materials prices continued during the period. However, as reported in the previous </w:t>
      </w:r>
      <w:r>
        <w:rPr>
          <w:i/>
          <w:sz w:val="22"/>
        </w:rPr>
        <w:t>Agents’ Summary</w:t>
      </w:r>
      <w:r>
        <w:rPr>
          <w:sz w:val="22"/>
        </w:rPr>
        <w:t>, increases were confined to a few commodities—mostly oil and related products (such as plastics) and also some metals, paper and pulp.</w:t>
      </w:r>
    </w:p>
    <w:p>
      <w:pPr>
        <w:pStyle w:val="BodyText"/>
        <w:spacing w:before="4"/>
        <w:rPr>
          <w:sz w:val="22"/>
        </w:rPr>
      </w:pPr>
    </w:p>
    <w:p>
      <w:pPr>
        <w:spacing w:before="0"/>
        <w:ind w:left="200" w:right="0" w:firstLine="0"/>
        <w:jc w:val="left"/>
        <w:rPr>
          <w:sz w:val="22"/>
        </w:rPr>
      </w:pPr>
      <w:r>
        <w:rPr>
          <w:sz w:val="22"/>
        </w:rPr>
        <w:t>Despite these increases, most firms mitigated</w:t>
      </w:r>
    </w:p>
    <w:p>
      <w:pPr>
        <w:spacing w:line="247" w:lineRule="auto" w:before="7"/>
        <w:ind w:left="200" w:right="440" w:firstLine="0"/>
        <w:jc w:val="left"/>
        <w:rPr>
          <w:sz w:val="22"/>
        </w:rPr>
      </w:pPr>
      <w:r>
        <w:rPr>
          <w:sz w:val="22"/>
        </w:rPr>
        <w:t>their effects. In many cases, the continued strength of sterling has enabled firms to source cheaper</w:t>
      </w:r>
    </w:p>
    <w:p>
      <w:pPr>
        <w:spacing w:line="247" w:lineRule="auto" w:before="0"/>
        <w:ind w:left="200" w:right="235" w:firstLine="0"/>
        <w:jc w:val="left"/>
        <w:rPr>
          <w:sz w:val="22"/>
        </w:rPr>
      </w:pPr>
      <w:r>
        <w:rPr>
          <w:sz w:val="22"/>
        </w:rPr>
        <w:t>materials from abroad. In addition, firms have utilised more effective purchasing techniques, such as centralised purchasing. Overall, firms remained less concerned about material-cost increases than about higher business rates, commercial rents, insurance premiums and regulatory costs (in particular the climate levy).</w:t>
      </w:r>
    </w:p>
    <w:p>
      <w:pPr>
        <w:spacing w:before="199"/>
        <w:ind w:left="200" w:right="0" w:firstLine="0"/>
        <w:jc w:val="left"/>
        <w:rPr>
          <w:i/>
          <w:sz w:val="28"/>
        </w:rPr>
      </w:pPr>
      <w:r>
        <w:rPr>
          <w:i/>
          <w:color w:val="006CB4"/>
          <w:sz w:val="28"/>
        </w:rPr>
        <w:t>Pay</w:t>
      </w:r>
    </w:p>
    <w:p>
      <w:pPr>
        <w:spacing w:line="247" w:lineRule="auto" w:before="254"/>
        <w:ind w:left="200" w:right="235" w:firstLine="0"/>
        <w:jc w:val="left"/>
        <w:rPr>
          <w:sz w:val="22"/>
        </w:rPr>
      </w:pPr>
      <w:r>
        <w:rPr>
          <w:sz w:val="22"/>
        </w:rPr>
        <w:t>Pay trends remained similar to those reported in recent </w:t>
      </w:r>
      <w:r>
        <w:rPr>
          <w:i/>
          <w:sz w:val="22"/>
        </w:rPr>
        <w:t>Agents’ Summaries</w:t>
      </w:r>
      <w:r>
        <w:rPr>
          <w:sz w:val="22"/>
        </w:rPr>
        <w:t>. However, Agencies stress that the estimation of underlying trends is being made increasingly difficult by ‘adjustments’ to, and moves away from, conventional settlements. Many contacts report that bonuses and other non-pay rewards (for example share options) are becoming an increasing component of overall remuneration. This is being reflected in increased ‘wage drift’, with total wage costs per employee increasing much faster than settlements in most sectors.</w:t>
      </w:r>
    </w:p>
    <w:p>
      <w:pPr>
        <w:spacing w:after="0" w:line="247" w:lineRule="auto"/>
        <w:jc w:val="left"/>
        <w:rPr>
          <w:sz w:val="22"/>
        </w:rPr>
        <w:sectPr>
          <w:type w:val="continuous"/>
          <w:pgSz w:w="11900" w:h="16840"/>
          <w:pgMar w:top="1220" w:bottom="280" w:left="640" w:right="620"/>
          <w:cols w:num="2" w:equalWidth="0">
            <w:col w:w="5130" w:space="241"/>
            <w:col w:w="5269"/>
          </w:cols>
        </w:sectPr>
      </w:pPr>
    </w:p>
    <w:p>
      <w:pPr>
        <w:pStyle w:val="BodyText"/>
        <w:rPr>
          <w:sz w:val="20"/>
        </w:rPr>
      </w:pPr>
    </w:p>
    <w:p>
      <w:pPr>
        <w:spacing w:after="0"/>
        <w:rPr>
          <w:sz w:val="20"/>
        </w:rPr>
        <w:sectPr>
          <w:headerReference w:type="even" r:id="rId197"/>
          <w:footerReference w:type="even" r:id="rId198"/>
          <w:footerReference w:type="default" r:id="rId199"/>
          <w:pgSz w:w="11900" w:h="16840"/>
          <w:pgMar w:header="566" w:footer="597" w:top="760" w:bottom="780" w:left="640" w:right="620"/>
          <w:pgNumType w:start="70"/>
        </w:sectPr>
      </w:pPr>
    </w:p>
    <w:p>
      <w:pPr>
        <w:spacing w:line="247" w:lineRule="auto" w:before="212"/>
        <w:ind w:left="167" w:right="49" w:firstLine="0"/>
        <w:jc w:val="left"/>
        <w:rPr>
          <w:sz w:val="22"/>
        </w:rPr>
      </w:pPr>
      <w:r>
        <w:rPr>
          <w:sz w:val="22"/>
        </w:rPr>
        <w:t>Manufacturing settlements in recent months </w:t>
      </w:r>
      <w:r>
        <w:rPr>
          <w:spacing w:val="-3"/>
          <w:sz w:val="22"/>
        </w:rPr>
        <w:t>have </w:t>
      </w:r>
      <w:r>
        <w:rPr>
          <w:sz w:val="22"/>
        </w:rPr>
        <w:t>been equal to or slightly lower than a year </w:t>
      </w:r>
      <w:r>
        <w:rPr>
          <w:spacing w:val="-3"/>
          <w:sz w:val="22"/>
        </w:rPr>
        <w:t>earlier. </w:t>
      </w:r>
      <w:r>
        <w:rPr>
          <w:sz w:val="22"/>
        </w:rPr>
        <w:t>By contrast, settlements in the service sector </w:t>
      </w:r>
      <w:r>
        <w:rPr>
          <w:spacing w:val="-3"/>
          <w:sz w:val="22"/>
        </w:rPr>
        <w:t>have </w:t>
      </w:r>
      <w:r>
        <w:rPr>
          <w:sz w:val="22"/>
        </w:rPr>
        <w:t>been slightly stronger overall, although there are wide variations. For example, much higher settlements are said to </w:t>
      </w:r>
      <w:r>
        <w:rPr>
          <w:spacing w:val="-3"/>
          <w:sz w:val="22"/>
        </w:rPr>
        <w:t>have </w:t>
      </w:r>
      <w:r>
        <w:rPr>
          <w:sz w:val="22"/>
        </w:rPr>
        <w:t>occurred in areas of more pronounced skill shortages—particularly in the southern regions of England (see Employment). In addition, some Agencies suggest that skill shortages </w:t>
      </w:r>
      <w:r>
        <w:rPr>
          <w:spacing w:val="-3"/>
          <w:sz w:val="22"/>
        </w:rPr>
        <w:t>have </w:t>
      </w:r>
      <w:r>
        <w:rPr>
          <w:sz w:val="22"/>
        </w:rPr>
        <w:t>resulted in stronger pay pressures in the construction</w:t>
      </w:r>
      <w:r>
        <w:rPr>
          <w:spacing w:val="-16"/>
          <w:sz w:val="22"/>
        </w:rPr>
        <w:t> </w:t>
      </w:r>
      <w:r>
        <w:rPr>
          <w:spacing w:val="-3"/>
          <w:sz w:val="22"/>
        </w:rPr>
        <w:t>sector.</w:t>
      </w:r>
    </w:p>
    <w:p>
      <w:pPr>
        <w:spacing w:before="198"/>
        <w:ind w:left="167" w:right="0" w:firstLine="0"/>
        <w:jc w:val="left"/>
        <w:rPr>
          <w:i/>
          <w:sz w:val="28"/>
        </w:rPr>
      </w:pPr>
      <w:r>
        <w:rPr>
          <w:i/>
          <w:color w:val="006CB4"/>
          <w:sz w:val="28"/>
        </w:rPr>
        <w:t>Output prices</w:t>
      </w:r>
    </w:p>
    <w:p>
      <w:pPr>
        <w:spacing w:line="247" w:lineRule="auto" w:before="254"/>
        <w:ind w:left="167" w:right="38" w:firstLine="0"/>
        <w:jc w:val="left"/>
        <w:rPr>
          <w:sz w:val="22"/>
        </w:rPr>
      </w:pPr>
      <w:r>
        <w:rPr>
          <w:sz w:val="22"/>
        </w:rPr>
        <w:t>The picture of output prices remained unchanged from the previous </w:t>
      </w:r>
      <w:r>
        <w:rPr>
          <w:i/>
          <w:sz w:val="22"/>
        </w:rPr>
        <w:t>Agents’ Summary</w:t>
      </w:r>
      <w:r>
        <w:rPr>
          <w:sz w:val="22"/>
        </w:rPr>
        <w:t>. Downward pressure on manufacturing output prices continued, with most contacts still reporting flat or falling prices. Evidence of input price increases being passed up the supply chain remained limited.  A notable exception appears to </w:t>
      </w:r>
      <w:r>
        <w:rPr>
          <w:spacing w:val="-3"/>
          <w:sz w:val="22"/>
        </w:rPr>
        <w:t>have </w:t>
      </w:r>
      <w:r>
        <w:rPr>
          <w:sz w:val="22"/>
        </w:rPr>
        <w:t>been oil, where there were clear signs that price increases had been passed on (although not a</w:t>
      </w:r>
      <w:r>
        <w:rPr>
          <w:spacing w:val="-22"/>
          <w:sz w:val="22"/>
        </w:rPr>
        <w:t> </w:t>
      </w:r>
      <w:r>
        <w:rPr>
          <w:sz w:val="22"/>
        </w:rPr>
        <w:t>full</w:t>
      </w:r>
    </w:p>
    <w:p>
      <w:pPr>
        <w:spacing w:line="247" w:lineRule="auto" w:before="0"/>
        <w:ind w:left="167" w:right="38" w:firstLine="0"/>
        <w:jc w:val="left"/>
        <w:rPr>
          <w:sz w:val="22"/>
        </w:rPr>
      </w:pPr>
      <w:r>
        <w:rPr>
          <w:sz w:val="22"/>
        </w:rPr>
        <w:t>pass-through in most cases). In addition, some firms had contractual agreements related to materials costs. Consequently, most firms suggest that manufacturers’ margins narrowed further during the period— particularly in export markets.</w:t>
      </w:r>
    </w:p>
    <w:p>
      <w:pPr>
        <w:pStyle w:val="BodyText"/>
        <w:spacing w:before="11"/>
        <w:rPr>
          <w:sz w:val="21"/>
        </w:rPr>
      </w:pPr>
    </w:p>
    <w:p>
      <w:pPr>
        <w:spacing w:line="247" w:lineRule="auto" w:before="0"/>
        <w:ind w:left="167" w:right="0" w:firstLine="0"/>
        <w:jc w:val="left"/>
        <w:rPr>
          <w:sz w:val="22"/>
        </w:rPr>
      </w:pPr>
      <w:r>
        <w:rPr>
          <w:sz w:val="22"/>
        </w:rPr>
        <w:t>Although some service sector firms also experienced downward price pressure caused by competition, prices in the service sector, on average, continued to increase. Professional service fees (for example legal and accountancy fees) continued to record some of the strongest price increases.</w:t>
      </w:r>
    </w:p>
    <w:p>
      <w:pPr>
        <w:spacing w:before="201"/>
        <w:ind w:left="167" w:right="0" w:firstLine="0"/>
        <w:jc w:val="left"/>
        <w:rPr>
          <w:i/>
          <w:sz w:val="28"/>
        </w:rPr>
      </w:pPr>
      <w:r>
        <w:rPr>
          <w:i/>
          <w:color w:val="006CB4"/>
          <w:sz w:val="28"/>
        </w:rPr>
        <w:t>Retail prices</w:t>
      </w:r>
    </w:p>
    <w:p>
      <w:pPr>
        <w:spacing w:line="247" w:lineRule="auto" w:before="254"/>
        <w:ind w:left="167" w:right="0" w:firstLine="0"/>
        <w:jc w:val="left"/>
        <w:rPr>
          <w:sz w:val="22"/>
        </w:rPr>
      </w:pPr>
      <w:r>
        <w:rPr>
          <w:sz w:val="22"/>
        </w:rPr>
        <w:t>There was little change to the trend of flat or falling goods prices reported in previous </w:t>
      </w:r>
      <w:r>
        <w:rPr>
          <w:i/>
          <w:sz w:val="22"/>
        </w:rPr>
        <w:t>Agents’ Summaries</w:t>
      </w:r>
      <w:r>
        <w:rPr>
          <w:sz w:val="22"/>
        </w:rPr>
        <w:t>. The majority of contacts do not foresee any changes to this trend in coming months. Increased competition (such as from new Internet retailers) is reported to have encouraged further discounting during the period.</w:t>
      </w:r>
    </w:p>
    <w:p>
      <w:pPr>
        <w:spacing w:line="247" w:lineRule="auto" w:before="0"/>
        <w:ind w:left="167" w:right="269" w:firstLine="0"/>
        <w:jc w:val="left"/>
        <w:rPr>
          <w:sz w:val="22"/>
        </w:rPr>
      </w:pPr>
      <w:r>
        <w:rPr>
          <w:sz w:val="22"/>
        </w:rPr>
        <w:t>However, retailers switching to cheaper overseas suppliers (for example for clothing) have often alleviated margin pressure. Electronic items (for example computers) continued to record some of the largest declines during the period.</w:t>
      </w:r>
    </w:p>
    <w:p>
      <w:pPr>
        <w:spacing w:line="247" w:lineRule="auto" w:before="212"/>
        <w:ind w:left="167" w:right="274" w:firstLine="0"/>
        <w:jc w:val="left"/>
        <w:rPr>
          <w:sz w:val="22"/>
        </w:rPr>
      </w:pPr>
      <w:r>
        <w:rPr/>
        <w:br w:type="column"/>
      </w:r>
      <w:r>
        <w:rPr>
          <w:sz w:val="22"/>
        </w:rPr>
        <w:t>Service sector prices continued to increase during the period. Inflation was reported to have remained broadly unchanged overall, although significant differences were reported in the ability of individual firms to raise prices. Examples of retail service sector increases include motor vehicle insurance and servicing costs, and hairdressing. But further discounting was seen in parts of travel services (for example airfares).</w:t>
      </w:r>
    </w:p>
    <w:p>
      <w:pPr>
        <w:pStyle w:val="BodyText"/>
        <w:spacing w:before="1"/>
        <w:rPr>
          <w:sz w:val="22"/>
        </w:rPr>
      </w:pPr>
    </w:p>
    <w:p>
      <w:pPr>
        <w:spacing w:line="247" w:lineRule="auto" w:before="1"/>
        <w:ind w:left="167" w:right="332" w:firstLine="0"/>
        <w:jc w:val="left"/>
        <w:rPr>
          <w:sz w:val="22"/>
        </w:rPr>
      </w:pPr>
      <w:r>
        <w:rPr>
          <w:sz w:val="22"/>
        </w:rPr>
        <w:t>New car prices fell further during the period, with the level of prices said to be well down on a year earlier. Second-hand car prices were reported to have risen slightly in most regions.</w:t>
      </w:r>
    </w:p>
    <w:p>
      <w:pPr>
        <w:pStyle w:val="BodyText"/>
        <w:spacing w:before="4"/>
        <w:rPr>
          <w:sz w:val="22"/>
        </w:rPr>
      </w:pPr>
    </w:p>
    <w:p>
      <w:pPr>
        <w:spacing w:line="247" w:lineRule="auto" w:before="0"/>
        <w:ind w:left="167" w:right="274" w:firstLine="0"/>
        <w:jc w:val="left"/>
        <w:rPr>
          <w:sz w:val="22"/>
        </w:rPr>
      </w:pPr>
      <w:r>
        <w:rPr>
          <w:sz w:val="22"/>
        </w:rPr>
        <w:t>Overall, house price growth appears to have remained broadly stable at a strong rate, although a few Agencies reported signs of a moderation recently.</w:t>
      </w:r>
    </w:p>
    <w:p>
      <w:pPr>
        <w:spacing w:line="247" w:lineRule="auto" w:before="0"/>
        <w:ind w:left="167" w:right="248" w:firstLine="0"/>
        <w:jc w:val="left"/>
        <w:rPr>
          <w:sz w:val="22"/>
        </w:rPr>
      </w:pPr>
      <w:r>
        <w:rPr>
          <w:sz w:val="22"/>
        </w:rPr>
        <w:t>As in previous reports, overall growth in particular regions was said to mask significant variations between ‘hotspots’ of activity and the remainder of the region.</w:t>
      </w:r>
    </w:p>
    <w:p>
      <w:pPr>
        <w:spacing w:before="200"/>
        <w:ind w:left="168" w:right="0" w:firstLine="0"/>
        <w:jc w:val="left"/>
        <w:rPr>
          <w:b/>
          <w:sz w:val="28"/>
        </w:rPr>
      </w:pPr>
      <w:r>
        <w:rPr>
          <w:b/>
          <w:color w:val="006CB4"/>
          <w:sz w:val="28"/>
        </w:rPr>
        <w:t>EMPLOYMENT</w:t>
      </w:r>
    </w:p>
    <w:p>
      <w:pPr>
        <w:spacing w:line="247" w:lineRule="auto" w:before="254"/>
        <w:ind w:left="168" w:right="389" w:firstLine="0"/>
        <w:jc w:val="left"/>
        <w:rPr>
          <w:sz w:val="22"/>
        </w:rPr>
      </w:pPr>
      <w:r>
        <w:rPr>
          <w:sz w:val="22"/>
        </w:rPr>
        <w:t>The labour market picture remained tight during the period. Skill shortages worsened compared with the previous </w:t>
      </w:r>
      <w:r>
        <w:rPr>
          <w:i/>
          <w:sz w:val="22"/>
        </w:rPr>
        <w:t>Agents’ Summary</w:t>
      </w:r>
      <w:r>
        <w:rPr>
          <w:sz w:val="22"/>
        </w:rPr>
        <w:t>, although conditions appeared to have stabilised more recently. Skill shortages continued to be reported in construction, IT, engineering, managerial and professional positions.</w:t>
      </w:r>
    </w:p>
    <w:p>
      <w:pPr>
        <w:pStyle w:val="BodyText"/>
        <w:spacing w:before="3"/>
        <w:rPr>
          <w:sz w:val="22"/>
        </w:rPr>
      </w:pPr>
    </w:p>
    <w:p>
      <w:pPr>
        <w:spacing w:line="247" w:lineRule="auto" w:before="0"/>
        <w:ind w:left="168" w:right="84" w:firstLine="0"/>
        <w:jc w:val="left"/>
        <w:rPr>
          <w:sz w:val="22"/>
        </w:rPr>
      </w:pPr>
      <w:r>
        <w:rPr>
          <w:sz w:val="22"/>
        </w:rPr>
        <w:t>Manufacturing employment levels continued to decline in almost all regions during the period—although the pace of decline appears to have been broadly stable.</w:t>
      </w:r>
    </w:p>
    <w:p>
      <w:pPr>
        <w:spacing w:line="247" w:lineRule="auto" w:before="0"/>
        <w:ind w:left="168" w:right="84" w:firstLine="0"/>
        <w:jc w:val="left"/>
        <w:rPr>
          <w:sz w:val="22"/>
        </w:rPr>
      </w:pPr>
      <w:r>
        <w:rPr>
          <w:sz w:val="22"/>
        </w:rPr>
        <w:t>More recently, the outlook for the sector deteriorated further, with employment expected to fall more rapidly in coming months, as restructuring progresses.</w:t>
      </w:r>
    </w:p>
    <w:p>
      <w:pPr>
        <w:spacing w:line="247" w:lineRule="auto" w:before="0"/>
        <w:ind w:left="168" w:right="274" w:firstLine="0"/>
        <w:jc w:val="left"/>
        <w:rPr>
          <w:sz w:val="22"/>
        </w:rPr>
      </w:pPr>
      <w:r>
        <w:rPr>
          <w:sz w:val="22"/>
        </w:rPr>
        <w:t>Moreover, there have been some reports of an increasing tendency towards employing temporary workers in the sector—perhaps as a precautionary mechanism in case of future cutbacks.</w:t>
      </w:r>
    </w:p>
    <w:p>
      <w:pPr>
        <w:pStyle w:val="BodyText"/>
        <w:spacing w:before="2"/>
        <w:rPr>
          <w:sz w:val="22"/>
        </w:rPr>
      </w:pPr>
    </w:p>
    <w:p>
      <w:pPr>
        <w:spacing w:line="247" w:lineRule="auto" w:before="0"/>
        <w:ind w:left="168" w:right="248" w:firstLine="0"/>
        <w:jc w:val="left"/>
        <w:rPr>
          <w:sz w:val="22"/>
        </w:rPr>
      </w:pPr>
      <w:r>
        <w:rPr>
          <w:sz w:val="22"/>
        </w:rPr>
        <w:t>Service sector employment continued to grow moderately in most regions—at a broadly similar pace to the previous period.</w:t>
      </w:r>
    </w:p>
    <w:p>
      <w:pPr>
        <w:spacing w:after="0" w:line="247" w:lineRule="auto"/>
        <w:jc w:val="left"/>
        <w:rPr>
          <w:sz w:val="22"/>
        </w:rPr>
        <w:sectPr>
          <w:type w:val="continuous"/>
          <w:pgSz w:w="11900" w:h="16840"/>
          <w:pgMar w:top="1220" w:bottom="280" w:left="640" w:right="620"/>
          <w:cols w:num="2" w:equalWidth="0">
            <w:col w:w="5093" w:space="293"/>
            <w:col w:w="5254"/>
          </w:cols>
        </w:sectPr>
      </w:pPr>
    </w:p>
    <w:p>
      <w:pPr>
        <w:pStyle w:val="BodyText"/>
        <w:rPr>
          <w:sz w:val="20"/>
        </w:rPr>
      </w:pPr>
      <w:r>
        <w:rPr/>
        <w:pict>
          <v:group style="position:absolute;margin-left:39pt;margin-top:39.669998pt;width:517pt;height:740.35pt;mso-position-horizontal-relative:page;mso-position-vertical-relative:page;z-index:-22244864" coordorigin="780,793" coordsize="10340,14807">
            <v:shape style="position:absolute;left:940;top:953;width:10020;height:14487" coordorigin="940,953" coordsize="10020,14487" path="m10960,953l5964,953,5936,953,940,953,940,8168,940,8226,940,15440,5936,15440,5964,15440,10960,15440,10960,8225,10960,8168,10960,953xe" filled="true" fillcolor="#d7e8e7" stroked="false">
              <v:path arrowok="t"/>
              <v:fill type="solid"/>
            </v:shape>
            <v:shape style="position:absolute;left:1016;top:1073;width:9867;height:14248" coordorigin="1017,1073" coordsize="9867,14248" path="m5950,1073l1017,8197,5950,15320,10883,8197,5950,1073xe" filled="true" fillcolor="#d9e8e7" stroked="false">
              <v:path arrowok="t"/>
              <v:fill type="solid"/>
            </v:shape>
            <v:shape style="position:absolute;left:1113;top:1212;width:9673;height:13968" coordorigin="1113,1213" coordsize="9673,13968" path="m5950,1213l1113,8197,5950,15180,10786,8197,5950,1213xe" filled="true" fillcolor="#dae9e8" stroked="false">
              <v:path arrowok="t"/>
              <v:fill type="solid"/>
            </v:shape>
            <v:shape style="position:absolute;left:1210;top:1352;width:9480;height:13689" coordorigin="1210,1352" coordsize="9480,13689" path="m5950,1352l1210,8197,5950,15041,10690,8197,5950,1352xe" filled="true" fillcolor="#daeae8" stroked="false">
              <v:path arrowok="t"/>
              <v:fill type="solid"/>
            </v:shape>
            <v:shape style="position:absolute;left:1306;top:1492;width:9286;height:13410" coordorigin="1307,1492" coordsize="9286,13410" path="m5950,1492l1307,8197,5950,14901,10593,8197,5950,1492xe" filled="true" fillcolor="#dbeae8" stroked="false">
              <v:path arrowok="t"/>
              <v:fill type="solid"/>
            </v:shape>
            <v:shape style="position:absolute;left:1403;top:1631;width:9093;height:13130" coordorigin="1404,1632" coordsize="9093,13130" path="m5950,1632l1404,8197,5950,14761,10496,8197,5950,1632xe" filled="true" fillcolor="#dcebe9" stroked="false">
              <v:path arrowok="t"/>
              <v:fill type="solid"/>
            </v:shape>
            <v:shape style="position:absolute;left:1500;top:1771;width:8900;height:12851" coordorigin="1500,1771" coordsize="8900,12851" path="m5950,1771l1500,8197,5950,14622,10399,8197,5950,1771xe" filled="true" fillcolor="#ddebe9" stroked="false">
              <v:path arrowok="t"/>
              <v:fill type="solid"/>
            </v:shape>
            <v:shape style="position:absolute;left:1597;top:1911;width:8706;height:12571" coordorigin="1597,1911" coordsize="8706,12571" path="m5950,1911l1597,8197,5950,14482,10303,8197,5950,1911xe" filled="true" fillcolor="#ddebea" stroked="false">
              <v:path arrowok="t"/>
              <v:fill type="solid"/>
            </v:shape>
            <v:shape style="position:absolute;left:1693;top:2050;width:8513;height:12292" coordorigin="1694,2051" coordsize="8513,12292" path="m5950,2051l1694,8197,5950,14342,10206,8197,5950,2051xe" filled="true" fillcolor="#dfebea" stroked="false">
              <v:path arrowok="t"/>
              <v:fill type="solid"/>
            </v:shape>
            <v:shape style="position:absolute;left:1790;top:2190;width:8319;height:12013" coordorigin="1791,2190" coordsize="8319,12013" path="m10109,8197l5950,2190,1791,8197,5950,14203,10109,8197xe" filled="true" fillcolor="#dfeceb" stroked="false">
              <v:path arrowok="t"/>
              <v:fill type="solid"/>
            </v:shape>
            <v:shape style="position:absolute;left:1984;top:2469;width:7932;height:11454" coordorigin="1984,2470" coordsize="7932,11454" path="m5950,2470l1984,8197,5950,13923,9916,8197,5950,2470xe" filled="true" fillcolor="#e0eceb" stroked="false">
              <v:path arrowok="t"/>
              <v:fill type="solid"/>
            </v:shape>
            <v:shape style="position:absolute;left:2080;top:2609;width:7739;height:11175" coordorigin="2081,2610" coordsize="7739,11175" path="m5950,2610l2081,8197,5950,13784,9819,8197,5950,2610xe" filled="true" fillcolor="#e0edeb" stroked="false">
              <v:path arrowok="t"/>
              <v:fill type="solid"/>
            </v:shape>
            <v:shape style="position:absolute;left:2177;top:2749;width:7545;height:10895" coordorigin="2177,2749" coordsize="7545,10895" path="m5950,2749l2177,8197,5950,13644,9722,8197,5950,2749xe" filled="true" fillcolor="#e1edeb" stroked="false">
              <v:path arrowok="t"/>
              <v:fill type="solid"/>
            </v:shape>
            <v:shape style="position:absolute;left:2274;top:2888;width:7352;height:10616" coordorigin="2274,2889" coordsize="7352,10616" path="m5950,2889l2274,8197,5950,13504,9626,8197,5950,2889xe" filled="true" fillcolor="#e2edec" stroked="false">
              <v:path arrowok="t"/>
              <v:fill type="solid"/>
            </v:shape>
            <v:shape style="position:absolute;left:2370;top:3028;width:7158;height:10337" coordorigin="2371,3029" coordsize="7158,10337" path="m5950,3029l2371,8197,5950,13365,9529,8197,5950,3029xe" filled="true" fillcolor="#e3eeec" stroked="false">
              <v:path arrowok="t"/>
              <v:fill type="solid"/>
            </v:shape>
            <v:shape style="position:absolute;left:2467;top:3168;width:6965;height:10057" coordorigin="2468,3168" coordsize="6965,10057" path="m5950,3168l2468,8197,5950,13225,9432,8197,5950,3168xe" filled="true" fillcolor="#e4efed" stroked="false">
              <v:path arrowok="t"/>
              <v:fill type="solid"/>
            </v:shape>
            <v:shape style="position:absolute;left:2564;top:3307;width:6771;height:9778" coordorigin="2564,3308" coordsize="6771,9778" path="m5950,3308l2564,8197,5950,13085,9335,8197,5950,3308xe" filled="true" fillcolor="#e6efed" stroked="false">
              <v:path arrowok="t"/>
              <v:fill type="solid"/>
            </v:shape>
            <v:shape style="position:absolute;left:2661;top:3447;width:6578;height:9499" coordorigin="2661,3448" coordsize="6578,9499" path="m5950,3448l2661,8197,5950,12946,9239,8197,5950,3448xe" filled="true" fillcolor="#e6efee" stroked="false">
              <v:path arrowok="t"/>
              <v:fill type="solid"/>
            </v:shape>
            <v:shape style="position:absolute;left:2757;top:3587;width:6385;height:9219" coordorigin="2758,3587" coordsize="6385,9219" path="m5950,3587l2758,8197,5950,12806,9142,8197,5950,3587xe" filled="true" fillcolor="#e7f0ee" stroked="false">
              <v:path arrowok="t"/>
              <v:fill type="solid"/>
            </v:shape>
            <v:shape style="position:absolute;left:2854;top:3726;width:6191;height:8940" coordorigin="2855,3727" coordsize="6191,8940" path="m9045,8197l5950,3727,2855,8197,5950,12666,9045,8197xe" filled="true" fillcolor="#e8f0ee" stroked="false">
              <v:path arrowok="t"/>
              <v:fill type="solid"/>
            </v:shape>
            <v:shape style="position:absolute;left:3048;top:4006;width:5804;height:8381" coordorigin="3048,4006" coordsize="5804,8381" path="m5950,4006l3048,8197,5950,12387,8852,8197,5950,4006xe" filled="true" fillcolor="#eaf1f0" stroked="false">
              <v:path arrowok="t"/>
              <v:fill type="solid"/>
            </v:shape>
            <v:shape style="position:absolute;left:3144;top:4145;width:5611;height:8102" coordorigin="3145,4146" coordsize="5611,8102" path="m8755,8197l5950,4146,3145,8197,5950,12247,8755,8197xe" filled="true" fillcolor="#ebf3f0" stroked="false">
              <v:path arrowok="t"/>
              <v:fill type="solid"/>
            </v:shape>
            <v:shape style="position:absolute;left:3338;top:4425;width:5224;height:7543" coordorigin="3338,4425" coordsize="5224,7543" path="m5950,4425l3338,8197,5950,11968,8562,8197,5950,4425xe" filled="true" fillcolor="#ebf4f1" stroked="false">
              <v:path arrowok="t"/>
              <v:fill type="solid"/>
            </v:shape>
            <v:shape style="position:absolute;left:3434;top:4565;width:5030;height:7264" coordorigin="3435,4565" coordsize="5030,7264" path="m5950,4565l3435,8197,5950,11828,8465,8197,5950,4565xe" filled="true" fillcolor="#ecf4f1" stroked="false">
              <v:path arrowok="t"/>
              <v:fill type="solid"/>
            </v:shape>
            <v:shape style="position:absolute;left:3531;top:4704;width:4837;height:6984" coordorigin="3532,4705" coordsize="4837,6984" path="m5950,4705l3532,8197,5950,11689,8368,8197,5950,4705xe" filled="true" fillcolor="#ecf4f3" stroked="false">
              <v:path arrowok="t"/>
              <v:fill type="solid"/>
            </v:shape>
            <v:shape style="position:absolute;left:3628;top:4844;width:4643;height:6705" coordorigin="3628,4844" coordsize="4643,6705" path="m5950,4844l3628,8197,5950,11549,8271,8197,5950,4844xe" filled="true" fillcolor="#edf5f3" stroked="false">
              <v:path arrowok="t"/>
              <v:fill type="solid"/>
            </v:shape>
            <v:shape style="position:absolute;left:3725;top:4984;width:4450;height:6426" coordorigin="3725,4984" coordsize="4450,6426" path="m5950,4984l3725,8197,5950,11409,8175,8197,5950,4984xe" filled="true" fillcolor="#eef5f4" stroked="false">
              <v:path arrowok="t"/>
              <v:fill type="solid"/>
            </v:shape>
            <v:shape style="position:absolute;left:3821;top:5123;width:4257;height:6146" coordorigin="3822,5124" coordsize="4257,6146" path="m5950,5124l3822,8197,5950,11270,8078,8197,5950,5124xe" filled="true" fillcolor="#eff6f4" stroked="false">
              <v:path arrowok="t"/>
              <v:fill type="solid"/>
            </v:shape>
            <v:shape style="position:absolute;left:3918;top:5263;width:4063;height:5867" coordorigin="3919,5263" coordsize="4063,5867" path="m5950,5263l3919,8197,5950,11130,7981,8197,5950,5263xe" filled="true" fillcolor="#eff6f5" stroked="false">
              <v:path arrowok="t"/>
              <v:fill type="solid"/>
            </v:shape>
            <v:shape style="position:absolute;left:4015;top:5403;width:3870;height:5588" coordorigin="4015,5403" coordsize="3870,5588" path="m5950,5403l4015,8197,5950,10990,7884,8197,5950,5403xe" filled="true" fillcolor="#f0f7f6" stroked="false">
              <v:path arrowok="t"/>
              <v:fill type="solid"/>
            </v:shape>
            <v:shape style="position:absolute;left:4112;top:5542;width:3676;height:5308" coordorigin="4112,5543" coordsize="3676,5308" path="m7788,8197l5950,5543,4112,8197,5950,10850,7788,8197xe" filled="true" fillcolor="#f1f7f6" stroked="false">
              <v:path arrowok="t"/>
              <v:fill type="solid"/>
            </v:shape>
            <v:shape style="position:absolute;left:4305;top:5822;width:3289;height:4750" coordorigin="4305,5822" coordsize="3289,4750" path="m5950,5822l4305,8197,5950,10571,7594,8197,5950,5822xe" filled="true" fillcolor="#f4f8f7" stroked="false">
              <v:path arrowok="t"/>
              <v:fill type="solid"/>
            </v:shape>
            <v:shape style="position:absolute;left:4402;top:5961;width:3096;height:4470" coordorigin="4402,5962" coordsize="3096,4470" path="m5950,5962l4402,8197,5950,10431,7498,8197,5950,5962xe" filled="true" fillcolor="#f4f8f8" stroked="false">
              <v:path arrowok="t"/>
              <v:fill type="solid"/>
            </v:shape>
            <v:shape style="position:absolute;left:4498;top:6101;width:2902;height:4191" coordorigin="4499,6101" coordsize="2902,4191" path="m5950,6101l4499,8197,5950,10292,7401,8197,5950,6101xe" filled="true" fillcolor="#f5f8f8" stroked="false">
              <v:path arrowok="t"/>
              <v:fill type="solid"/>
            </v:shape>
            <v:shape style="position:absolute;left:4595;top:6241;width:2709;height:3911" coordorigin="4596,6241" coordsize="2709,3911" path="m7304,8197l5950,6241,4596,8197,5950,10152,7304,8197xe" filled="true" fillcolor="#f6f8f8" stroked="false">
              <v:path arrowok="t"/>
              <v:fill type="solid"/>
            </v:shape>
            <v:shape style="position:absolute;left:4789;top:6520;width:2322;height:3353" coordorigin="4789,6521" coordsize="2322,3353" path="m5950,6521l4789,8197,5950,9873,7111,8197,5950,6521xe" filled="true" fillcolor="#f7f9f8" stroked="false">
              <v:path arrowok="t"/>
              <v:fill type="solid"/>
            </v:shape>
            <v:shape style="position:absolute;left:4885;top:6660;width:2129;height:3073" coordorigin="4886,6660" coordsize="2129,3073" path="m5950,6660l4886,8197,5950,9733,7014,8197,5950,6660xe" filled="true" fillcolor="#f8f9f8" stroked="false">
              <v:path arrowok="t"/>
              <v:fill type="solid"/>
            </v:shape>
            <v:shape style="position:absolute;left:4982;top:6799;width:1935;height:2794" coordorigin="4983,6800" coordsize="1935,2794" path="m5950,6800l4983,8197,5950,9593,6917,8197,5950,6800xe" filled="true" fillcolor="#f8fafa" stroked="false">
              <v:path arrowok="t"/>
              <v:fill type="solid"/>
            </v:shape>
            <v:shape style="position:absolute;left:5079;top:6939;width:1742;height:2515" coordorigin="5079,6940" coordsize="1742,2515" path="m5950,6940l5079,8197,5950,9454,6820,8197,5950,6940xe" filled="true" fillcolor="#f8fbfa" stroked="false">
              <v:path arrowok="t"/>
              <v:fill type="solid"/>
            </v:shape>
            <v:shape style="position:absolute;left:5176;top:7079;width:1548;height:2235" coordorigin="5176,7079" coordsize="1548,2235" path="m5950,7079l5176,8197,5950,9314,6724,8197,5950,7079xe" filled="true" fillcolor="#f9fbfa" stroked="false">
              <v:path arrowok="t"/>
              <v:fill type="solid"/>
            </v:shape>
            <v:shape style="position:absolute;left:5272;top:7218;width:1355;height:1956" coordorigin="5273,7219" coordsize="1355,1956" path="m5950,7219l5273,8197,5950,9174,6627,8197,5950,7219xe" filled="true" fillcolor="#fafbfb" stroked="false">
              <v:path arrowok="t"/>
              <v:fill type="solid"/>
            </v:shape>
            <v:shape style="position:absolute;left:5369;top:7358;width:1161;height:1677" coordorigin="5370,7359" coordsize="1161,1677" path="m5950,7359l5370,8197,5950,9035,6530,8197,5950,7359xe" filled="true" fillcolor="#fafcfb" stroked="false">
              <v:path arrowok="t"/>
              <v:fill type="solid"/>
            </v:shape>
            <v:shape style="position:absolute;left:5466;top:7498;width:968;height:1397" coordorigin="5466,7498" coordsize="968,1397" path="m5950,7498l5466,8197,5950,8895,6434,8197,5950,7498xe" filled="true" fillcolor="#fbfcfc" stroked="false">
              <v:path arrowok="t"/>
              <v:fill type="solid"/>
            </v:shape>
            <v:shape style="position:absolute;left:5562;top:7637;width:774;height:1118" coordorigin="5563,7638" coordsize="774,1118" path="m5950,7638l5563,8197,5950,8755,6337,8197,5950,7638xe" filled="true" fillcolor="#fcfdfd" stroked="false">
              <v:path arrowok="t"/>
              <v:fill type="solid"/>
            </v:shape>
            <v:shape style="position:absolute;left:5659;top:7777;width:581;height:839" coordorigin="5660,7778" coordsize="581,839" path="m5950,7778l5660,8197,5950,8616,6240,8197,5950,7778xe" filled="true" fillcolor="#fdfdfd" stroked="false">
              <v:path arrowok="t"/>
              <v:fill type="solid"/>
            </v:shape>
            <v:shape style="position:absolute;left:5756;top:7917;width:387;height:559" coordorigin="5756,7917" coordsize="387,559" path="m5950,7917l5756,8197,5950,8476,6143,8197,5950,7917xe" filled="true" fillcolor="#fdfffd" stroked="false">
              <v:path arrowok="t"/>
              <v:fill type="solid"/>
            </v:shape>
            <v:shape style="position:absolute;left:5853;top:8056;width:194;height:280" coordorigin="5853,8057" coordsize="194,280" path="m5950,8057l5853,8197,5950,8336,6047,8197,5950,8057xe" filled="true" fillcolor="#ffffff" stroked="false">
              <v:path arrowok="t"/>
              <v:fill type="solid"/>
            </v:shape>
            <v:rect style="position:absolute;left:820;top:833;width:10260;height:14727" filled="false" stroked="true" strokeweight="4pt" strokecolor="#009391">
              <v:stroke dashstyle="solid"/>
            </v:rect>
            <v:rect style="position:absolute;left:926;top:939;width:10048;height:14515" filled="false" stroked="true" strokeweight="1.37pt" strokecolor="#009391">
              <v:stroke dashstyle="solid"/>
            </v:rect>
            <v:rect style="position:absolute;left:1533;top:1473;width:8840;height:13460" filled="false" stroked="true" strokeweight="2pt" strokecolor="#009391">
              <v:stroke dashstyle="solid"/>
            </v:rect>
            <v:rect style="position:absolute;left:1587;top:1527;width:8733;height:13353" filled="false" stroked="true" strokeweight=".62pt" strokecolor="#009391">
              <v:stroke dashstyle="solid"/>
            </v:rect>
            <v:shape style="position:absolute;left:3078;top:7233;width:5858;height:5887" type="#_x0000_t75" stroked="false">
              <v:imagedata r:id="rId201"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spacing w:line="665" w:lineRule="exact" w:before="212"/>
        <w:ind w:left="1975" w:right="1882" w:firstLine="0"/>
        <w:jc w:val="center"/>
        <w:rPr>
          <w:b/>
          <w:sz w:val="60"/>
        </w:rPr>
      </w:pPr>
      <w:bookmarkStart w:name="Monetary Policy Committee meetings minut" w:id="93"/>
      <w:bookmarkEnd w:id="93"/>
      <w:r>
        <w:rPr/>
      </w:r>
      <w:bookmarkStart w:name="_bookmark46" w:id="94"/>
      <w:bookmarkEnd w:id="94"/>
      <w:r>
        <w:rPr/>
      </w:r>
      <w:r>
        <w:rPr>
          <w:b/>
          <w:sz w:val="60"/>
        </w:rPr>
        <w:t>Annex:</w:t>
      </w:r>
    </w:p>
    <w:p>
      <w:pPr>
        <w:spacing w:line="223" w:lineRule="auto" w:before="15"/>
        <w:ind w:left="1975" w:right="1879" w:firstLine="0"/>
        <w:jc w:val="center"/>
        <w:rPr>
          <w:b/>
          <w:sz w:val="60"/>
        </w:rPr>
      </w:pPr>
      <w:r>
        <w:rPr>
          <w:b/>
          <w:sz w:val="60"/>
        </w:rPr>
        <w:t>Minutes and Press Notices of the monthly</w:t>
      </w:r>
    </w:p>
    <w:p>
      <w:pPr>
        <w:spacing w:line="223" w:lineRule="auto" w:before="0"/>
        <w:ind w:left="1734" w:right="1640" w:firstLine="0"/>
        <w:jc w:val="center"/>
        <w:rPr>
          <w:b/>
          <w:sz w:val="60"/>
        </w:rPr>
      </w:pPr>
      <w:r>
        <w:rPr>
          <w:b/>
          <w:sz w:val="60"/>
        </w:rPr>
        <w:t>Monetary Policy Committee meetings</w:t>
      </w:r>
    </w:p>
    <w:p>
      <w:pPr>
        <w:spacing w:after="0" w:line="223" w:lineRule="auto"/>
        <w:jc w:val="center"/>
        <w:rPr>
          <w:sz w:val="60"/>
        </w:rPr>
        <w:sectPr>
          <w:headerReference w:type="default" r:id="rId200"/>
          <w:pgSz w:w="11900" w:h="16840"/>
          <w:pgMar w:header="0" w:footer="597" w:top="800" w:bottom="780" w:left="640" w:right="620"/>
        </w:sectPr>
      </w:pPr>
    </w:p>
    <w:p>
      <w:pPr>
        <w:pStyle w:val="BodyText"/>
        <w:rPr>
          <w:b/>
          <w:sz w:val="20"/>
        </w:rPr>
      </w:pPr>
    </w:p>
    <w:p>
      <w:pPr>
        <w:pStyle w:val="BodyText"/>
        <w:rPr>
          <w:b/>
          <w:sz w:val="20"/>
        </w:rPr>
      </w:pPr>
    </w:p>
    <w:p>
      <w:pPr>
        <w:pStyle w:val="BodyText"/>
        <w:spacing w:before="2"/>
        <w:rPr>
          <w:b/>
          <w:sz w:val="20"/>
        </w:rPr>
      </w:pPr>
    </w:p>
    <w:p>
      <w:pPr>
        <w:spacing w:before="86"/>
        <w:ind w:left="170" w:right="0" w:firstLine="0"/>
        <w:jc w:val="left"/>
        <w:rPr>
          <w:b/>
          <w:sz w:val="32"/>
        </w:rPr>
      </w:pPr>
      <w:bookmarkStart w:name="February minutes" w:id="95"/>
      <w:bookmarkEnd w:id="95"/>
      <w:r>
        <w:rPr/>
      </w:r>
      <w:bookmarkStart w:name="_bookmark47" w:id="96"/>
      <w:bookmarkEnd w:id="96"/>
      <w:r>
        <w:rPr/>
      </w:r>
      <w:bookmarkStart w:name="_bookmark48" w:id="97"/>
      <w:bookmarkEnd w:id="97"/>
      <w:r>
        <w:rPr/>
      </w:r>
      <w:r>
        <w:rPr>
          <w:b/>
          <w:color w:val="009391"/>
          <w:sz w:val="32"/>
        </w:rPr>
        <w:t>Minutes of the Monetary Policy Committee meeting on 9–10 February</w:t>
      </w:r>
      <w:r>
        <w:rPr>
          <w:b/>
          <w:color w:val="009391"/>
          <w:spacing w:val="-58"/>
          <w:sz w:val="32"/>
        </w:rPr>
        <w:t> </w:t>
      </w:r>
      <w:r>
        <w:rPr>
          <w:b/>
          <w:color w:val="009391"/>
          <w:sz w:val="32"/>
        </w:rPr>
        <w:t>2000</w:t>
      </w:r>
    </w:p>
    <w:p>
      <w:pPr>
        <w:pStyle w:val="BodyText"/>
        <w:rPr>
          <w:b/>
          <w:sz w:val="28"/>
        </w:rPr>
      </w:pPr>
    </w:p>
    <w:p>
      <w:pPr>
        <w:spacing w:after="0"/>
        <w:rPr>
          <w:sz w:val="28"/>
        </w:rPr>
        <w:sectPr>
          <w:headerReference w:type="default" r:id="rId202"/>
          <w:headerReference w:type="even" r:id="rId203"/>
          <w:footerReference w:type="default" r:id="rId204"/>
          <w:footerReference w:type="even" r:id="rId205"/>
          <w:pgSz w:w="11900" w:h="16840"/>
          <w:pgMar w:header="566" w:footer="597" w:top="760" w:bottom="780" w:left="640" w:right="620"/>
          <w:pgNumType w:start="73"/>
        </w:sectPr>
      </w:pPr>
    </w:p>
    <w:p>
      <w:pPr>
        <w:pStyle w:val="ListParagraph"/>
        <w:numPr>
          <w:ilvl w:val="0"/>
          <w:numId w:val="42"/>
        </w:numPr>
        <w:tabs>
          <w:tab w:pos="639" w:val="left" w:leader="none"/>
          <w:tab w:pos="640" w:val="left" w:leader="none"/>
        </w:tabs>
        <w:spacing w:line="232" w:lineRule="auto" w:before="98" w:after="0"/>
        <w:ind w:left="160" w:right="162" w:firstLine="0"/>
        <w:jc w:val="left"/>
        <w:rPr>
          <w:sz w:val="18"/>
        </w:rPr>
      </w:pPr>
      <w:r>
        <w:rPr>
          <w:sz w:val="18"/>
        </w:rPr>
        <w:t>Before turning to its immediate policy decision, the Committee discussed money, credit and asset prices, demand and output, labour market conditions, the world economy, and prices and costs; reviewed the February projections for output and inflation; and considered the implications of sterling’s further appreciation and the continuing imbalances in the economy for its policy</w:t>
      </w:r>
      <w:r>
        <w:rPr>
          <w:spacing w:val="-2"/>
          <w:sz w:val="18"/>
        </w:rPr>
        <w:t> </w:t>
      </w:r>
      <w:r>
        <w:rPr>
          <w:sz w:val="18"/>
        </w:rPr>
        <w:t>decision.</w:t>
      </w:r>
    </w:p>
    <w:p>
      <w:pPr>
        <w:pStyle w:val="BodyText"/>
        <w:spacing w:before="8"/>
        <w:rPr>
          <w:sz w:val="23"/>
        </w:rPr>
      </w:pPr>
    </w:p>
    <w:p>
      <w:pPr>
        <w:spacing w:before="0"/>
        <w:ind w:left="160" w:right="0" w:firstLine="0"/>
        <w:jc w:val="left"/>
        <w:rPr>
          <w:b/>
          <w:sz w:val="22"/>
        </w:rPr>
      </w:pPr>
      <w:r>
        <w:rPr>
          <w:b/>
          <w:color w:val="009391"/>
          <w:sz w:val="22"/>
        </w:rPr>
        <w:t>Money, credit and asset prices</w:t>
      </w:r>
    </w:p>
    <w:p>
      <w:pPr>
        <w:pStyle w:val="ListParagraph"/>
        <w:numPr>
          <w:ilvl w:val="0"/>
          <w:numId w:val="42"/>
        </w:numPr>
        <w:tabs>
          <w:tab w:pos="639" w:val="left" w:leader="none"/>
          <w:tab w:pos="640" w:val="left" w:leader="none"/>
        </w:tabs>
        <w:spacing w:line="232" w:lineRule="auto" w:before="109" w:after="0"/>
        <w:ind w:left="160" w:right="142" w:firstLine="0"/>
        <w:jc w:val="left"/>
        <w:rPr>
          <w:sz w:val="18"/>
        </w:rPr>
      </w:pPr>
      <w:r>
        <w:rPr>
          <w:sz w:val="18"/>
        </w:rPr>
        <w:t>Sterling’s effective exchange rate index (ERI) had been volatile, moving in a range of 106.7 to 110.6 in the 15 days up to the meeting. It had risen by about three quarters of a percentage point since the Committee’s January meeting, and the 15-day average used as the starting point in the February </w:t>
      </w:r>
      <w:r>
        <w:rPr>
          <w:i/>
          <w:sz w:val="18"/>
        </w:rPr>
        <w:t>Inflation Report </w:t>
      </w:r>
      <w:r>
        <w:rPr>
          <w:sz w:val="18"/>
        </w:rPr>
        <w:t>projections was about four percentage points higher than that used in the November projections. This rise in the ERI was accounted for by an appreciation against the euro which could not be explained by changes in interest rate</w:t>
      </w:r>
      <w:r>
        <w:rPr>
          <w:spacing w:val="-14"/>
          <w:sz w:val="18"/>
        </w:rPr>
        <w:t> </w:t>
      </w:r>
      <w:r>
        <w:rPr>
          <w:sz w:val="18"/>
        </w:rPr>
        <w:t>differentials.</w:t>
      </w:r>
    </w:p>
    <w:p>
      <w:pPr>
        <w:pStyle w:val="BodyText"/>
        <w:spacing w:before="3"/>
        <w:rPr>
          <w:sz w:val="20"/>
        </w:rPr>
      </w:pPr>
    </w:p>
    <w:p>
      <w:pPr>
        <w:pStyle w:val="ListParagraph"/>
        <w:numPr>
          <w:ilvl w:val="0"/>
          <w:numId w:val="42"/>
        </w:numPr>
        <w:tabs>
          <w:tab w:pos="639" w:val="left" w:leader="none"/>
          <w:tab w:pos="640" w:val="left" w:leader="none"/>
        </w:tabs>
        <w:spacing w:line="232" w:lineRule="auto" w:before="0" w:after="0"/>
        <w:ind w:left="160" w:right="38" w:firstLine="0"/>
        <w:jc w:val="left"/>
        <w:rPr>
          <w:sz w:val="18"/>
        </w:rPr>
      </w:pPr>
      <w:r>
        <w:rPr>
          <w:sz w:val="18"/>
        </w:rPr>
        <w:t>The Committee discussed whether sterling’s strength might be explained by a rise in the medium-to-long run equilibrium real exchange rate against the euro. There might have been such a rise if, for example, UK production had become more competitive relative to the euro area, perhaps on account of greater market flexibility</w:t>
      </w:r>
      <w:r>
        <w:rPr>
          <w:spacing w:val="-8"/>
          <w:sz w:val="18"/>
        </w:rPr>
        <w:t> </w:t>
      </w:r>
      <w:r>
        <w:rPr>
          <w:sz w:val="18"/>
        </w:rPr>
        <w:t>and/or</w:t>
      </w:r>
      <w:r>
        <w:rPr>
          <w:spacing w:val="-7"/>
          <w:sz w:val="18"/>
        </w:rPr>
        <w:t> </w:t>
      </w:r>
      <w:r>
        <w:rPr>
          <w:sz w:val="18"/>
        </w:rPr>
        <w:t>more</w:t>
      </w:r>
      <w:r>
        <w:rPr>
          <w:spacing w:val="-7"/>
          <w:sz w:val="18"/>
        </w:rPr>
        <w:t> </w:t>
      </w:r>
      <w:r>
        <w:rPr>
          <w:sz w:val="18"/>
        </w:rPr>
        <w:t>widespread</w:t>
      </w:r>
      <w:r>
        <w:rPr>
          <w:spacing w:val="-8"/>
          <w:sz w:val="18"/>
        </w:rPr>
        <w:t> </w:t>
      </w:r>
      <w:r>
        <w:rPr>
          <w:sz w:val="18"/>
        </w:rPr>
        <w:t>application</w:t>
      </w:r>
      <w:r>
        <w:rPr>
          <w:spacing w:val="-7"/>
          <w:sz w:val="18"/>
        </w:rPr>
        <w:t> </w:t>
      </w:r>
      <w:r>
        <w:rPr>
          <w:sz w:val="18"/>
        </w:rPr>
        <w:t>of</w:t>
      </w:r>
      <w:r>
        <w:rPr>
          <w:spacing w:val="-7"/>
          <w:sz w:val="18"/>
        </w:rPr>
        <w:t> </w:t>
      </w:r>
      <w:r>
        <w:rPr>
          <w:sz w:val="18"/>
        </w:rPr>
        <w:t>new</w:t>
      </w:r>
      <w:r>
        <w:rPr>
          <w:spacing w:val="-8"/>
          <w:sz w:val="18"/>
        </w:rPr>
        <w:t> </w:t>
      </w:r>
      <w:r>
        <w:rPr>
          <w:sz w:val="18"/>
        </w:rPr>
        <w:t>technologies. But, at least as yet, there was no sign of this from the performance of the trade equations in the medium-term macroeconomic model, and it was difficult to identify news over the past few months suggesting that the long-run equilibrium exchange rate had changed.</w:t>
      </w:r>
    </w:p>
    <w:p>
      <w:pPr>
        <w:pStyle w:val="BodyText"/>
        <w:spacing w:before="2"/>
        <w:rPr>
          <w:sz w:val="20"/>
        </w:rPr>
      </w:pPr>
    </w:p>
    <w:p>
      <w:pPr>
        <w:pStyle w:val="ListParagraph"/>
        <w:numPr>
          <w:ilvl w:val="0"/>
          <w:numId w:val="42"/>
        </w:numPr>
        <w:tabs>
          <w:tab w:pos="640" w:val="left" w:leader="none"/>
        </w:tabs>
        <w:spacing w:line="232" w:lineRule="auto" w:before="0" w:after="0"/>
        <w:ind w:left="160" w:right="123" w:firstLine="0"/>
        <w:jc w:val="both"/>
        <w:rPr>
          <w:sz w:val="18"/>
        </w:rPr>
      </w:pPr>
      <w:r>
        <w:rPr>
          <w:sz w:val="18"/>
        </w:rPr>
        <w:t>Another possibility was that there had been a change in the risk premium, with sterling regarded as having become less risky relative to the euro. The change to the UK’s monetary framework and/or,</w:t>
      </w:r>
      <w:r>
        <w:rPr>
          <w:spacing w:val="-6"/>
          <w:sz w:val="18"/>
        </w:rPr>
        <w:t> </w:t>
      </w:r>
      <w:r>
        <w:rPr>
          <w:sz w:val="18"/>
        </w:rPr>
        <w:t>for</w:t>
      </w:r>
      <w:r>
        <w:rPr>
          <w:spacing w:val="-6"/>
          <w:sz w:val="18"/>
        </w:rPr>
        <w:t> </w:t>
      </w:r>
      <w:r>
        <w:rPr>
          <w:sz w:val="18"/>
        </w:rPr>
        <w:t>example,</w:t>
      </w:r>
      <w:r>
        <w:rPr>
          <w:spacing w:val="-6"/>
          <w:sz w:val="18"/>
        </w:rPr>
        <w:t> </w:t>
      </w:r>
      <w:r>
        <w:rPr>
          <w:sz w:val="18"/>
        </w:rPr>
        <w:t>uncertainty</w:t>
      </w:r>
      <w:r>
        <w:rPr>
          <w:spacing w:val="-6"/>
          <w:sz w:val="18"/>
        </w:rPr>
        <w:t> </w:t>
      </w:r>
      <w:r>
        <w:rPr>
          <w:sz w:val="18"/>
        </w:rPr>
        <w:t>about</w:t>
      </w:r>
      <w:r>
        <w:rPr>
          <w:spacing w:val="-6"/>
          <w:sz w:val="18"/>
        </w:rPr>
        <w:t> </w:t>
      </w:r>
      <w:r>
        <w:rPr>
          <w:sz w:val="18"/>
        </w:rPr>
        <w:t>structural</w:t>
      </w:r>
      <w:r>
        <w:rPr>
          <w:spacing w:val="-5"/>
          <w:sz w:val="18"/>
        </w:rPr>
        <w:t> </w:t>
      </w:r>
      <w:r>
        <w:rPr>
          <w:sz w:val="18"/>
        </w:rPr>
        <w:t>reform</w:t>
      </w:r>
      <w:r>
        <w:rPr>
          <w:spacing w:val="-6"/>
          <w:sz w:val="18"/>
        </w:rPr>
        <w:t> </w:t>
      </w:r>
      <w:r>
        <w:rPr>
          <w:sz w:val="18"/>
        </w:rPr>
        <w:t>in</w:t>
      </w:r>
      <w:r>
        <w:rPr>
          <w:spacing w:val="-6"/>
          <w:sz w:val="18"/>
        </w:rPr>
        <w:t> </w:t>
      </w:r>
      <w:r>
        <w:rPr>
          <w:sz w:val="18"/>
        </w:rPr>
        <w:t>parts</w:t>
      </w:r>
      <w:r>
        <w:rPr>
          <w:spacing w:val="-6"/>
          <w:sz w:val="18"/>
        </w:rPr>
        <w:t> </w:t>
      </w:r>
      <w:r>
        <w:rPr>
          <w:sz w:val="18"/>
        </w:rPr>
        <w:t>of continental Europe could, in principle, have brought that about. It was, however, highly uncertain whether this was a material part of the explanation of sterling’s recent</w:t>
      </w:r>
      <w:r>
        <w:rPr>
          <w:spacing w:val="-9"/>
          <w:sz w:val="18"/>
        </w:rPr>
        <w:t> </w:t>
      </w:r>
      <w:r>
        <w:rPr>
          <w:sz w:val="18"/>
        </w:rPr>
        <w:t>rise.</w:t>
      </w:r>
    </w:p>
    <w:p>
      <w:pPr>
        <w:pStyle w:val="BodyText"/>
        <w:spacing w:before="4"/>
        <w:rPr>
          <w:sz w:val="20"/>
        </w:rPr>
      </w:pPr>
    </w:p>
    <w:p>
      <w:pPr>
        <w:pStyle w:val="ListParagraph"/>
        <w:numPr>
          <w:ilvl w:val="0"/>
          <w:numId w:val="42"/>
        </w:numPr>
        <w:tabs>
          <w:tab w:pos="639" w:val="left" w:leader="none"/>
          <w:tab w:pos="640" w:val="left" w:leader="none"/>
        </w:tabs>
        <w:spacing w:line="232" w:lineRule="auto" w:before="0" w:after="0"/>
        <w:ind w:left="159" w:right="42" w:firstLine="0"/>
        <w:jc w:val="left"/>
        <w:rPr>
          <w:sz w:val="18"/>
        </w:rPr>
      </w:pPr>
      <w:r>
        <w:rPr>
          <w:sz w:val="18"/>
        </w:rPr>
        <w:t>If sterling had risen on account of a change in the risk premium, what would that imply for the path of the exchange rate looking forward? A number of possibilities were identified.  First, a reduction in the perceived risk in holding sterling relative to other currencies would mean that holders of sterling-denominated assets would require a lower relative return than otherwise, in which case the market would be expecting sterling to depreciate on a steeper path than otherwise for any given path of interest rate differentials. Second, while a shift in the risk premium in sterling’s favour implied an expectation that sterling would depreciate by more than otherwise over the long run, it did not necessarily follow that sterling should be expected to depreciate in the shorter run, including over the forecast horizon. If, as on this view seemed likely, portfolio managers and others were gradually learning about the new UK monetary framework, perceptions of relative risk and credibility would change gradually. In that case, the risk premium might continue to adjust for a while, with holders of sterling earning supernormal returns during a transition period of uncertain length. Yet another possibility for some members was that sterling had risen because of the significant interest differential </w:t>
      </w:r>
      <w:r>
        <w:rPr>
          <w:i/>
          <w:sz w:val="18"/>
        </w:rPr>
        <w:t>vis-à-vis </w:t>
      </w:r>
      <w:r>
        <w:rPr>
          <w:sz w:val="18"/>
        </w:rPr>
        <w:t>the euro, and the growing expectation that this difference would not decline in the near future. Some empirical evidence supported the notion that one might earn persistent, supernormal returns from currencies that offered the higher interest rate. Views differed on these</w:t>
      </w:r>
      <w:r>
        <w:rPr>
          <w:spacing w:val="-2"/>
          <w:sz w:val="18"/>
        </w:rPr>
        <w:t> </w:t>
      </w:r>
      <w:r>
        <w:rPr>
          <w:sz w:val="18"/>
        </w:rPr>
        <w:t>possibilities.</w:t>
      </w:r>
    </w:p>
    <w:p>
      <w:pPr>
        <w:pStyle w:val="ListParagraph"/>
        <w:numPr>
          <w:ilvl w:val="0"/>
          <w:numId w:val="42"/>
        </w:numPr>
        <w:tabs>
          <w:tab w:pos="639" w:val="left" w:leader="none"/>
          <w:tab w:pos="640" w:val="left" w:leader="none"/>
        </w:tabs>
        <w:spacing w:line="232" w:lineRule="auto" w:before="98" w:after="0"/>
        <w:ind w:left="159" w:right="191" w:firstLine="0"/>
        <w:jc w:val="left"/>
        <w:rPr>
          <w:sz w:val="18"/>
        </w:rPr>
      </w:pPr>
      <w:r>
        <w:rPr>
          <w:spacing w:val="-1"/>
          <w:sz w:val="18"/>
        </w:rPr>
        <w:br w:type="column"/>
      </w:r>
      <w:r>
        <w:rPr>
          <w:sz w:val="18"/>
        </w:rPr>
        <w:t>Committee members differed in their preferred assumptions for the path of sterling’s effective exchange rate in the February </w:t>
      </w:r>
      <w:r>
        <w:rPr>
          <w:i/>
          <w:sz w:val="18"/>
        </w:rPr>
        <w:t>Inflation Report </w:t>
      </w:r>
      <w:r>
        <w:rPr>
          <w:sz w:val="18"/>
        </w:rPr>
        <w:t>projections. Some preferred to assume a constant nominal exchange rate; some others preferred a depreciation in line with</w:t>
      </w:r>
      <w:r>
        <w:rPr>
          <w:spacing w:val="-6"/>
          <w:sz w:val="18"/>
        </w:rPr>
        <w:t> </w:t>
      </w:r>
      <w:r>
        <w:rPr>
          <w:sz w:val="18"/>
        </w:rPr>
        <w:t>interest</w:t>
      </w:r>
      <w:r>
        <w:rPr>
          <w:spacing w:val="-5"/>
          <w:sz w:val="18"/>
        </w:rPr>
        <w:t> </w:t>
      </w:r>
      <w:r>
        <w:rPr>
          <w:sz w:val="18"/>
        </w:rPr>
        <w:t>rate</w:t>
      </w:r>
      <w:r>
        <w:rPr>
          <w:spacing w:val="-6"/>
          <w:sz w:val="18"/>
        </w:rPr>
        <w:t> </w:t>
      </w:r>
      <w:r>
        <w:rPr>
          <w:sz w:val="18"/>
        </w:rPr>
        <w:t>differentials</w:t>
      </w:r>
      <w:r>
        <w:rPr>
          <w:spacing w:val="-5"/>
          <w:sz w:val="18"/>
        </w:rPr>
        <w:t> </w:t>
      </w:r>
      <w:r>
        <w:rPr>
          <w:sz w:val="18"/>
        </w:rPr>
        <w:t>(and</w:t>
      </w:r>
      <w:r>
        <w:rPr>
          <w:spacing w:val="-6"/>
          <w:sz w:val="18"/>
        </w:rPr>
        <w:t> </w:t>
      </w:r>
      <w:r>
        <w:rPr>
          <w:sz w:val="18"/>
        </w:rPr>
        <w:t>perhaps</w:t>
      </w:r>
      <w:r>
        <w:rPr>
          <w:spacing w:val="-5"/>
          <w:sz w:val="18"/>
        </w:rPr>
        <w:t> </w:t>
      </w:r>
      <w:r>
        <w:rPr>
          <w:sz w:val="18"/>
        </w:rPr>
        <w:t>with</w:t>
      </w:r>
      <w:r>
        <w:rPr>
          <w:spacing w:val="-6"/>
          <w:sz w:val="18"/>
        </w:rPr>
        <w:t> </w:t>
      </w:r>
      <w:r>
        <w:rPr>
          <w:sz w:val="18"/>
        </w:rPr>
        <w:t>the</w:t>
      </w:r>
      <w:r>
        <w:rPr>
          <w:spacing w:val="-5"/>
          <w:sz w:val="18"/>
        </w:rPr>
        <w:t> </w:t>
      </w:r>
      <w:r>
        <w:rPr>
          <w:sz w:val="18"/>
        </w:rPr>
        <w:t>balance</w:t>
      </w:r>
      <w:r>
        <w:rPr>
          <w:spacing w:val="-6"/>
          <w:sz w:val="18"/>
        </w:rPr>
        <w:t> </w:t>
      </w:r>
      <w:r>
        <w:rPr>
          <w:sz w:val="18"/>
        </w:rPr>
        <w:t>of</w:t>
      </w:r>
      <w:r>
        <w:rPr>
          <w:spacing w:val="-5"/>
          <w:sz w:val="18"/>
        </w:rPr>
        <w:t> </w:t>
      </w:r>
      <w:r>
        <w:rPr>
          <w:sz w:val="18"/>
        </w:rPr>
        <w:t>risks to sterling towards a steeper depreciation). The assumption used in the best collective projections was half way between the two. Others noted that an econometric model-based projection for the exchange rate yielded a broadly similar</w:t>
      </w:r>
      <w:r>
        <w:rPr>
          <w:spacing w:val="-12"/>
          <w:sz w:val="18"/>
        </w:rPr>
        <w:t> </w:t>
      </w:r>
      <w:r>
        <w:rPr>
          <w:sz w:val="18"/>
        </w:rPr>
        <w:t>answer.</w:t>
      </w:r>
    </w:p>
    <w:p>
      <w:pPr>
        <w:pStyle w:val="BodyText"/>
        <w:spacing w:before="3"/>
        <w:rPr>
          <w:sz w:val="20"/>
        </w:rPr>
      </w:pPr>
    </w:p>
    <w:p>
      <w:pPr>
        <w:pStyle w:val="ListParagraph"/>
        <w:numPr>
          <w:ilvl w:val="0"/>
          <w:numId w:val="42"/>
        </w:numPr>
        <w:tabs>
          <w:tab w:pos="639" w:val="left" w:leader="none"/>
          <w:tab w:pos="640" w:val="left" w:leader="none"/>
        </w:tabs>
        <w:spacing w:line="232" w:lineRule="auto" w:before="0" w:after="0"/>
        <w:ind w:left="159" w:right="239" w:firstLine="0"/>
        <w:jc w:val="left"/>
        <w:rPr>
          <w:sz w:val="18"/>
        </w:rPr>
      </w:pPr>
      <w:r>
        <w:rPr>
          <w:sz w:val="18"/>
        </w:rPr>
        <w:t>Turning to the monetary data, the Committee noted that the rate of increase in narrow money had fallen sharply during January so that, as earlier thought, December’s very rapid growth did seem to be an end-year/end-millennium phenomenon. Nevertheless, the underlying rate of M0 growth appeared to be robust, pointing to strong growth in household spending in the near term. More generally, household M4 growth had picked up; household Divisia growth had risen between Q3 and Q4; and total household borrowing was now rising more quickly than since the</w:t>
      </w:r>
      <w:r>
        <w:rPr>
          <w:spacing w:val="-26"/>
          <w:sz w:val="18"/>
        </w:rPr>
        <w:t> </w:t>
      </w:r>
      <w:r>
        <w:rPr>
          <w:sz w:val="18"/>
        </w:rPr>
        <w:t>early</w:t>
      </w:r>
    </w:p>
    <w:p>
      <w:pPr>
        <w:pStyle w:val="BodyText"/>
        <w:spacing w:line="232" w:lineRule="auto"/>
        <w:ind w:left="159" w:right="391"/>
      </w:pPr>
      <w:r>
        <w:rPr/>
        <w:t>1990s, with mortgage equity withdrawal increasing. Taken together, this supported the buoyant near-term outlook for consumption suggested by rising incomes, consumer confidence, and wealth.</w:t>
      </w:r>
    </w:p>
    <w:p>
      <w:pPr>
        <w:pStyle w:val="BodyText"/>
        <w:rPr>
          <w:sz w:val="20"/>
        </w:rPr>
      </w:pPr>
    </w:p>
    <w:p>
      <w:pPr>
        <w:pStyle w:val="ListParagraph"/>
        <w:numPr>
          <w:ilvl w:val="0"/>
          <w:numId w:val="42"/>
        </w:numPr>
        <w:tabs>
          <w:tab w:pos="639" w:val="left" w:leader="none"/>
          <w:tab w:pos="640" w:val="left" w:leader="none"/>
        </w:tabs>
        <w:spacing w:line="232" w:lineRule="auto" w:before="0" w:after="0"/>
        <w:ind w:left="159" w:right="195" w:firstLine="0"/>
        <w:jc w:val="left"/>
        <w:rPr>
          <w:sz w:val="18"/>
        </w:rPr>
      </w:pPr>
      <w:r>
        <w:rPr>
          <w:sz w:val="18"/>
        </w:rPr>
        <w:t>House price inflation had remained high. The Halifax index had risen by 16% in the year to January, up from around 13</w:t>
      </w:r>
      <w:r>
        <w:rPr>
          <w:position w:val="6"/>
          <w:sz w:val="9"/>
        </w:rPr>
        <w:t>1</w:t>
      </w:r>
      <w:r>
        <w:rPr>
          <w:sz w:val="18"/>
        </w:rPr>
        <w:t>/</w:t>
      </w:r>
      <w:r>
        <w:rPr>
          <w:sz w:val="9"/>
        </w:rPr>
        <w:t>2</w:t>
      </w:r>
      <w:r>
        <w:rPr>
          <w:sz w:val="18"/>
        </w:rPr>
        <w:t>% in December, but the significance of this rise was uncertain as the Halifax index had been volatile over the past few months. The Nationwide index, rising at about 13% year-on-year, had been more stable. There were tentative signs in the activity data that pressures in the housing market might be easing, perhaps reflecting tighter monetary conditions. The number of particulars delivered had fallen in December by about 2</w:t>
      </w:r>
      <w:r>
        <w:rPr>
          <w:position w:val="6"/>
          <w:sz w:val="9"/>
        </w:rPr>
        <w:t>1</w:t>
      </w:r>
      <w:r>
        <w:rPr>
          <w:sz w:val="18"/>
        </w:rPr>
        <w:t>/</w:t>
      </w:r>
      <w:r>
        <w:rPr>
          <w:sz w:val="9"/>
        </w:rPr>
        <w:t>2</w:t>
      </w:r>
      <w:r>
        <w:rPr>
          <w:sz w:val="18"/>
        </w:rPr>
        <w:t>%, and the figure for November had been revised down slightly. The volume of transactions was basically flat. The number of loan approvals had fallen slightly at the end of 1999, having previously been stable since the summer. While the Committee assumed in its best collective projection that there would most probably be some moderation in house price inflation over the coming year or so, it was likely to remain quite high. This would tend to support continuing robust consumption growth, with some members seeing upside</w:t>
      </w:r>
      <w:r>
        <w:rPr>
          <w:spacing w:val="-12"/>
          <w:sz w:val="18"/>
        </w:rPr>
        <w:t> </w:t>
      </w:r>
      <w:r>
        <w:rPr>
          <w:sz w:val="18"/>
        </w:rPr>
        <w:t>risks.</w:t>
      </w:r>
    </w:p>
    <w:p>
      <w:pPr>
        <w:pStyle w:val="BodyText"/>
        <w:rPr>
          <w:sz w:val="23"/>
        </w:rPr>
      </w:pPr>
    </w:p>
    <w:p>
      <w:pPr>
        <w:pStyle w:val="Heading8"/>
        <w:ind w:left="160"/>
      </w:pPr>
      <w:r>
        <w:rPr>
          <w:color w:val="009391"/>
        </w:rPr>
        <w:t>Demand and output</w:t>
      </w:r>
    </w:p>
    <w:p>
      <w:pPr>
        <w:pStyle w:val="ListParagraph"/>
        <w:numPr>
          <w:ilvl w:val="0"/>
          <w:numId w:val="42"/>
        </w:numPr>
        <w:tabs>
          <w:tab w:pos="639" w:val="left" w:leader="none"/>
          <w:tab w:pos="641" w:val="left" w:leader="none"/>
        </w:tabs>
        <w:spacing w:line="203" w:lineRule="exact" w:before="105" w:after="0"/>
        <w:ind w:left="640" w:right="0" w:hanging="481"/>
        <w:jc w:val="left"/>
        <w:rPr>
          <w:sz w:val="18"/>
        </w:rPr>
      </w:pPr>
      <w:r>
        <w:rPr>
          <w:sz w:val="18"/>
        </w:rPr>
        <w:t>As already noted, the underlying determinants</w:t>
      </w:r>
      <w:r>
        <w:rPr>
          <w:spacing w:val="-14"/>
          <w:sz w:val="18"/>
        </w:rPr>
        <w:t> </w:t>
      </w:r>
      <w:r>
        <w:rPr>
          <w:sz w:val="18"/>
        </w:rPr>
        <w:t>and</w:t>
      </w:r>
    </w:p>
    <w:p>
      <w:pPr>
        <w:pStyle w:val="BodyText"/>
        <w:spacing w:line="232" w:lineRule="auto" w:before="1"/>
        <w:ind w:left="160" w:right="211"/>
      </w:pPr>
      <w:r>
        <w:rPr/>
        <w:t>forward-looking indicators of consumption had strengthened. For example, consumer confidence, as measured by the GfK index, had risen by a further 6 points in January to +8, its highest level since autumn 1997. Although new car purchases had recently been relatively</w:t>
      </w:r>
      <w:r>
        <w:rPr>
          <w:spacing w:val="-6"/>
        </w:rPr>
        <w:t> </w:t>
      </w:r>
      <w:r>
        <w:rPr/>
        <w:t>weak,</w:t>
      </w:r>
      <w:r>
        <w:rPr>
          <w:spacing w:val="-5"/>
        </w:rPr>
        <w:t> </w:t>
      </w:r>
      <w:r>
        <w:rPr/>
        <w:t>it</w:t>
      </w:r>
      <w:r>
        <w:rPr>
          <w:spacing w:val="-5"/>
        </w:rPr>
        <w:t> </w:t>
      </w:r>
      <w:r>
        <w:rPr/>
        <w:t>seemed</w:t>
      </w:r>
      <w:r>
        <w:rPr>
          <w:spacing w:val="-6"/>
        </w:rPr>
        <w:t> </w:t>
      </w:r>
      <w:r>
        <w:rPr/>
        <w:t>probable</w:t>
      </w:r>
      <w:r>
        <w:rPr>
          <w:spacing w:val="-5"/>
        </w:rPr>
        <w:t> </w:t>
      </w:r>
      <w:r>
        <w:rPr/>
        <w:t>that</w:t>
      </w:r>
      <w:r>
        <w:rPr>
          <w:spacing w:val="-5"/>
        </w:rPr>
        <w:t> </w:t>
      </w:r>
      <w:r>
        <w:rPr/>
        <w:t>this</w:t>
      </w:r>
      <w:r>
        <w:rPr>
          <w:spacing w:val="-6"/>
        </w:rPr>
        <w:t> </w:t>
      </w:r>
      <w:r>
        <w:rPr/>
        <w:t>reflected</w:t>
      </w:r>
      <w:r>
        <w:rPr>
          <w:spacing w:val="-5"/>
        </w:rPr>
        <w:t> </w:t>
      </w:r>
      <w:r>
        <w:rPr/>
        <w:t>a</w:t>
      </w:r>
      <w:r>
        <w:rPr>
          <w:spacing w:val="-5"/>
        </w:rPr>
        <w:t> </w:t>
      </w:r>
      <w:r>
        <w:rPr/>
        <w:t>pause</w:t>
      </w:r>
      <w:r>
        <w:rPr>
          <w:spacing w:val="-6"/>
        </w:rPr>
        <w:t> </w:t>
      </w:r>
      <w:r>
        <w:rPr/>
        <w:t>while prospective purchasers waited for the results of the Competition Commission inquiry into the car</w:t>
      </w:r>
      <w:r>
        <w:rPr>
          <w:spacing w:val="-8"/>
        </w:rPr>
        <w:t> </w:t>
      </w:r>
      <w:r>
        <w:rPr/>
        <w:t>market.</w:t>
      </w:r>
    </w:p>
    <w:p>
      <w:pPr>
        <w:pStyle w:val="BodyText"/>
        <w:spacing w:before="5"/>
        <w:rPr>
          <w:sz w:val="20"/>
        </w:rPr>
      </w:pPr>
    </w:p>
    <w:p>
      <w:pPr>
        <w:pStyle w:val="ListParagraph"/>
        <w:numPr>
          <w:ilvl w:val="0"/>
          <w:numId w:val="42"/>
        </w:numPr>
        <w:tabs>
          <w:tab w:pos="639" w:val="left" w:leader="none"/>
          <w:tab w:pos="640" w:val="left" w:leader="none"/>
        </w:tabs>
        <w:spacing w:line="232" w:lineRule="auto" w:before="0" w:after="0"/>
        <w:ind w:left="160" w:right="190" w:firstLine="0"/>
        <w:jc w:val="left"/>
        <w:rPr>
          <w:sz w:val="18"/>
        </w:rPr>
      </w:pPr>
      <w:r>
        <w:rPr>
          <w:sz w:val="18"/>
        </w:rPr>
        <w:t>Reports from the Bank’s regional Agents suggested that the apparent weakness in business investment in the second half of 1999 might in part be explained by firms having delayed spending with an IT component until the millennium-date change was safely out of the way. If so, any deferred expenditure would tend to support near-term investment growth, as in the view of some Committee members would the possibility of firms stepping up investment related to e-commerce.  Tighter monetary conditions and the higher exchange rate would, on the other hand, tend to reduce investment spending.  Overall, the Committee concluded that</w:t>
      </w:r>
      <w:r>
        <w:rPr>
          <w:spacing w:val="-6"/>
          <w:sz w:val="18"/>
        </w:rPr>
        <w:t> </w:t>
      </w:r>
      <w:r>
        <w:rPr>
          <w:sz w:val="18"/>
        </w:rPr>
        <w:t>the</w:t>
      </w:r>
      <w:r>
        <w:rPr>
          <w:spacing w:val="-5"/>
          <w:sz w:val="18"/>
        </w:rPr>
        <w:t> </w:t>
      </w:r>
      <w:r>
        <w:rPr>
          <w:sz w:val="18"/>
        </w:rPr>
        <w:t>most</w:t>
      </w:r>
      <w:r>
        <w:rPr>
          <w:spacing w:val="-5"/>
          <w:sz w:val="18"/>
        </w:rPr>
        <w:t> </w:t>
      </w:r>
      <w:r>
        <w:rPr>
          <w:sz w:val="18"/>
        </w:rPr>
        <w:t>likely</w:t>
      </w:r>
      <w:r>
        <w:rPr>
          <w:spacing w:val="-5"/>
          <w:sz w:val="18"/>
        </w:rPr>
        <w:t> </w:t>
      </w:r>
      <w:r>
        <w:rPr>
          <w:sz w:val="18"/>
        </w:rPr>
        <w:t>outlook</w:t>
      </w:r>
      <w:r>
        <w:rPr>
          <w:spacing w:val="-6"/>
          <w:sz w:val="18"/>
        </w:rPr>
        <w:t> </w:t>
      </w:r>
      <w:r>
        <w:rPr>
          <w:sz w:val="18"/>
        </w:rPr>
        <w:t>for</w:t>
      </w:r>
      <w:r>
        <w:rPr>
          <w:spacing w:val="-5"/>
          <w:sz w:val="18"/>
        </w:rPr>
        <w:t> </w:t>
      </w:r>
      <w:r>
        <w:rPr>
          <w:sz w:val="18"/>
        </w:rPr>
        <w:t>investment</w:t>
      </w:r>
      <w:r>
        <w:rPr>
          <w:spacing w:val="-5"/>
          <w:sz w:val="18"/>
        </w:rPr>
        <w:t> </w:t>
      </w:r>
      <w:r>
        <w:rPr>
          <w:sz w:val="18"/>
        </w:rPr>
        <w:t>was</w:t>
      </w:r>
      <w:r>
        <w:rPr>
          <w:spacing w:val="-5"/>
          <w:sz w:val="18"/>
        </w:rPr>
        <w:t> </w:t>
      </w:r>
      <w:r>
        <w:rPr>
          <w:sz w:val="18"/>
        </w:rPr>
        <w:t>slightly</w:t>
      </w:r>
      <w:r>
        <w:rPr>
          <w:spacing w:val="-6"/>
          <w:sz w:val="18"/>
        </w:rPr>
        <w:t> </w:t>
      </w:r>
      <w:r>
        <w:rPr>
          <w:sz w:val="18"/>
        </w:rPr>
        <w:t>weaker</w:t>
      </w:r>
      <w:r>
        <w:rPr>
          <w:spacing w:val="-5"/>
          <w:sz w:val="18"/>
        </w:rPr>
        <w:t> </w:t>
      </w:r>
      <w:r>
        <w:rPr>
          <w:sz w:val="18"/>
        </w:rPr>
        <w:t>than in November, but with some members seeing upside</w:t>
      </w:r>
      <w:r>
        <w:rPr>
          <w:spacing w:val="-21"/>
          <w:sz w:val="18"/>
        </w:rPr>
        <w:t> </w:t>
      </w:r>
      <w:r>
        <w:rPr>
          <w:sz w:val="18"/>
        </w:rPr>
        <w:t>risks.</w:t>
      </w:r>
    </w:p>
    <w:p>
      <w:pPr>
        <w:spacing w:after="0" w:line="232" w:lineRule="auto"/>
        <w:jc w:val="left"/>
        <w:rPr>
          <w:sz w:val="18"/>
        </w:rPr>
        <w:sectPr>
          <w:type w:val="continuous"/>
          <w:pgSz w:w="11900" w:h="16840"/>
          <w:pgMar w:top="1220" w:bottom="280" w:left="640" w:right="620"/>
          <w:cols w:num="2" w:equalWidth="0">
            <w:col w:w="5078" w:space="312"/>
            <w:col w:w="5250"/>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4"/>
        <w:rPr>
          <w:sz w:val="21"/>
        </w:rPr>
      </w:pPr>
    </w:p>
    <w:p>
      <w:pPr>
        <w:pStyle w:val="ListParagraph"/>
        <w:numPr>
          <w:ilvl w:val="0"/>
          <w:numId w:val="42"/>
        </w:numPr>
        <w:tabs>
          <w:tab w:pos="654" w:val="left" w:leader="none"/>
          <w:tab w:pos="655" w:val="left" w:leader="none"/>
        </w:tabs>
        <w:spacing w:line="232" w:lineRule="auto" w:before="1" w:after="0"/>
        <w:ind w:left="174" w:right="78" w:firstLine="0"/>
        <w:jc w:val="left"/>
        <w:rPr>
          <w:sz w:val="18"/>
        </w:rPr>
      </w:pPr>
      <w:r>
        <w:rPr>
          <w:sz w:val="18"/>
        </w:rPr>
        <w:t>The outlook for net trade was important to the Committee’s judgment about the balance of pressures on the economy’s productive capacity and, therefore, the prospects for inflation. Export growth had picked up during 1999 with the recovery in world economic activity; Q3 had been unusually strong. Imports had also increased during 1999. Since the November </w:t>
      </w:r>
      <w:r>
        <w:rPr>
          <w:i/>
          <w:sz w:val="18"/>
        </w:rPr>
        <w:t>Report</w:t>
      </w:r>
      <w:r>
        <w:rPr>
          <w:sz w:val="18"/>
        </w:rPr>
        <w:t>, however, the trade figures had been weaker and the outlook had changed because of the further appreciation in sterling’s exchange rate. It now seemed likely that the contribution of net trade to output growth would be more negative than earlier expected. This had three consequences. First, it would help to offset the effects on GDP growth of the prospective sustained strength of final domestic demand, and so contribute to containing near-term pressures on capacity. Second, it would mean that the imbalances in the economy—in particular between businesses which were externally exposed and those which were not—would be likely to persist, and could even become more pronounced. Third, other things being equal, it would entail a larger current account deficit and accumulating external</w:t>
      </w:r>
      <w:r>
        <w:rPr>
          <w:spacing w:val="-3"/>
          <w:sz w:val="18"/>
        </w:rPr>
        <w:t> </w:t>
      </w:r>
      <w:r>
        <w:rPr>
          <w:sz w:val="18"/>
        </w:rPr>
        <w:t>debt.</w:t>
      </w:r>
    </w:p>
    <w:p>
      <w:pPr>
        <w:pStyle w:val="BodyText"/>
        <w:spacing w:before="1"/>
        <w:rPr>
          <w:sz w:val="16"/>
        </w:rPr>
      </w:pPr>
    </w:p>
    <w:p>
      <w:pPr>
        <w:pStyle w:val="ListParagraph"/>
        <w:numPr>
          <w:ilvl w:val="0"/>
          <w:numId w:val="42"/>
        </w:numPr>
        <w:tabs>
          <w:tab w:pos="654" w:val="left" w:leader="none"/>
          <w:tab w:pos="655" w:val="left" w:leader="none"/>
        </w:tabs>
        <w:spacing w:line="232" w:lineRule="auto" w:before="0" w:after="0"/>
        <w:ind w:left="174" w:right="103" w:firstLine="0"/>
        <w:jc w:val="left"/>
        <w:rPr>
          <w:sz w:val="18"/>
        </w:rPr>
      </w:pPr>
      <w:r>
        <w:rPr>
          <w:sz w:val="18"/>
        </w:rPr>
        <w:t>In the second half of 1999, output had grown at 0.8% per quarter, slightly above trend. There had been some signs in the latter part of 1999 that the sectoral split in activity was becoming somewhat more balanced. Services sector growth had fallen slightly between Q3 and Q4, and manufacturing production as a whole had been picking up. But overall industrial production and manufacturing had fallen in December, and there remained marked differences between industrial sectors. Moreover, the effects of sterling’s further appreciation, which would tend to reduce growth in externally-exposed businesses, would not yet be apparent in the activity</w:t>
      </w:r>
      <w:r>
        <w:rPr>
          <w:spacing w:val="-2"/>
          <w:sz w:val="18"/>
        </w:rPr>
        <w:t> </w:t>
      </w:r>
      <w:r>
        <w:rPr>
          <w:sz w:val="18"/>
        </w:rPr>
        <w:t>data.</w:t>
      </w:r>
    </w:p>
    <w:p>
      <w:pPr>
        <w:pStyle w:val="BodyText"/>
        <w:spacing w:before="7"/>
        <w:rPr>
          <w:sz w:val="16"/>
        </w:rPr>
      </w:pPr>
    </w:p>
    <w:p>
      <w:pPr>
        <w:pStyle w:val="ListParagraph"/>
        <w:numPr>
          <w:ilvl w:val="0"/>
          <w:numId w:val="42"/>
        </w:numPr>
        <w:tabs>
          <w:tab w:pos="654" w:val="left" w:leader="none"/>
          <w:tab w:pos="655" w:val="left" w:leader="none"/>
        </w:tabs>
        <w:spacing w:line="232" w:lineRule="auto" w:before="0" w:after="0"/>
        <w:ind w:left="174" w:right="38" w:firstLine="0"/>
        <w:jc w:val="left"/>
        <w:rPr>
          <w:sz w:val="18"/>
        </w:rPr>
      </w:pPr>
      <w:r>
        <w:rPr>
          <w:sz w:val="18"/>
        </w:rPr>
        <w:t>The Committee discussed whether, or not, an accumulating current account deficit would have implications for the exchange rate. On one view, it was questionable whether it was consistent to assume both a growing external deficit and persistent sterling strength. If there had been a change in the equilibrium real exchange rate, sterling might remain high but then the trade deficit—and so the current account deficit—would be smaller than assumed. Alternatively, an accumulating external deficit would lead to a depreciation. The latter seemed, on this view, more likely: to the extent that the divergence between the growth rates of domestic demand and output persisted and widened, the greater the risk to sterling would become. On another view, there was no obvious inconsistency between the projected current account deficit and persistent sterling strength over the forecast horizon. Two reasons for this were suggested. First, in a world of highly mobile capital, there was no direct link between the current account and the exchange rate. Instead, there were links through asset markets. Second, the size of the prospective current account deficit was on this view modest, at 2%–2</w:t>
      </w:r>
      <w:r>
        <w:rPr>
          <w:position w:val="6"/>
          <w:sz w:val="9"/>
        </w:rPr>
        <w:t>1</w:t>
      </w:r>
      <w:r>
        <w:rPr>
          <w:sz w:val="18"/>
        </w:rPr>
        <w:t>/</w:t>
      </w:r>
      <w:r>
        <w:rPr>
          <w:sz w:val="9"/>
        </w:rPr>
        <w:t>2</w:t>
      </w:r>
      <w:r>
        <w:rPr>
          <w:sz w:val="18"/>
        </w:rPr>
        <w:t>% of GDP.  Third, while a deficit which continued to grow would over the medium-to-long run entail a depreciation in sterling’s real exchange rate, that did not imply that the real, and even less the nominal, exchange rate had to fall during the next two years or so. The UK economy could generate the required surpluses in the future without a sharp near-term nominal</w:t>
      </w:r>
      <w:r>
        <w:rPr>
          <w:spacing w:val="-2"/>
          <w:sz w:val="18"/>
        </w:rPr>
        <w:t> </w:t>
      </w:r>
      <w:r>
        <w:rPr>
          <w:sz w:val="18"/>
        </w:rPr>
        <w:t>depreciation.</w:t>
      </w:r>
    </w:p>
    <w:p>
      <w:pPr>
        <w:pStyle w:val="BodyText"/>
        <w:rPr>
          <w:sz w:val="19"/>
        </w:rPr>
      </w:pPr>
    </w:p>
    <w:p>
      <w:pPr>
        <w:pStyle w:val="Heading8"/>
      </w:pPr>
      <w:r>
        <w:rPr>
          <w:color w:val="009391"/>
        </w:rPr>
        <w:t>Labour market conditions</w:t>
      </w:r>
    </w:p>
    <w:p>
      <w:pPr>
        <w:pStyle w:val="ListParagraph"/>
        <w:numPr>
          <w:ilvl w:val="0"/>
          <w:numId w:val="42"/>
        </w:numPr>
        <w:tabs>
          <w:tab w:pos="654" w:val="left" w:leader="none"/>
          <w:tab w:pos="655" w:val="left" w:leader="none"/>
        </w:tabs>
        <w:spacing w:line="232" w:lineRule="auto" w:before="110" w:after="0"/>
        <w:ind w:left="174" w:right="38" w:firstLine="0"/>
        <w:jc w:val="left"/>
        <w:rPr>
          <w:sz w:val="18"/>
        </w:rPr>
      </w:pPr>
      <w:r>
        <w:rPr>
          <w:sz w:val="18"/>
        </w:rPr>
        <w:t>Labour market conditions might have tightened slightly since the Committee’s November </w:t>
      </w:r>
      <w:r>
        <w:rPr>
          <w:i/>
          <w:sz w:val="18"/>
        </w:rPr>
        <w:t>Inflation Report</w:t>
      </w:r>
      <w:r>
        <w:rPr>
          <w:sz w:val="18"/>
        </w:rPr>
        <w:t>. The evidence since the Committee’s January meeting was mixed. While claimant count unemployment had fallen by around 20,000 in December, taking the rate down 0.1 percentage point to 4.0%,</w:t>
      </w:r>
      <w:r>
        <w:rPr>
          <w:spacing w:val="-19"/>
          <w:sz w:val="18"/>
        </w:rPr>
        <w:t> </w:t>
      </w:r>
      <w:r>
        <w:rPr>
          <w:sz w:val="18"/>
        </w:rPr>
        <w:t>the</w:t>
      </w:r>
    </w:p>
    <w:p>
      <w:pPr>
        <w:pStyle w:val="BodyText"/>
        <w:spacing w:line="232" w:lineRule="auto"/>
        <w:ind w:left="174" w:right="82"/>
      </w:pPr>
      <w:r>
        <w:rPr/>
        <w:t>broader-based LFS measure had increased by around 12,000 in the three months from September to November compared with the previous three months. The LFS measure of employment had risen slightly over the same period, with part-time employment falling and full-time employment rising. Total hours worked had fallen slightly. Survey-based indicators of recruitment intentions remained strong in the services sector and had picked up in</w:t>
      </w:r>
    </w:p>
    <w:p>
      <w:pPr>
        <w:pStyle w:val="BodyText"/>
        <w:spacing w:before="4"/>
        <w:rPr>
          <w:sz w:val="21"/>
        </w:rPr>
      </w:pPr>
      <w:r>
        <w:rPr/>
        <w:br w:type="column"/>
      </w:r>
      <w:r>
        <w:rPr>
          <w:sz w:val="21"/>
        </w:rPr>
      </w:r>
    </w:p>
    <w:p>
      <w:pPr>
        <w:pStyle w:val="BodyText"/>
        <w:spacing w:line="232" w:lineRule="auto" w:before="1"/>
        <w:ind w:left="174" w:right="259"/>
      </w:pPr>
      <w:r>
        <w:rPr/>
        <w:t>manufacturing. The British Chamber of Commerce indicator of recruitment difficulties had been stable, although the Bank’s regional Agents were reporting increased skill shortages compared with the previous quarter.</w:t>
      </w:r>
    </w:p>
    <w:p>
      <w:pPr>
        <w:pStyle w:val="BodyText"/>
        <w:spacing w:before="1"/>
        <w:rPr>
          <w:sz w:val="17"/>
        </w:rPr>
      </w:pPr>
    </w:p>
    <w:p>
      <w:pPr>
        <w:pStyle w:val="ListParagraph"/>
        <w:numPr>
          <w:ilvl w:val="0"/>
          <w:numId w:val="42"/>
        </w:numPr>
        <w:tabs>
          <w:tab w:pos="654" w:val="left" w:leader="none"/>
          <w:tab w:pos="655" w:val="left" w:leader="none"/>
        </w:tabs>
        <w:spacing w:line="232" w:lineRule="auto" w:before="0" w:after="0"/>
        <w:ind w:left="174" w:right="468" w:firstLine="0"/>
        <w:jc w:val="left"/>
        <w:rPr>
          <w:sz w:val="18"/>
        </w:rPr>
      </w:pPr>
      <w:r>
        <w:rPr>
          <w:sz w:val="18"/>
        </w:rPr>
        <w:t>On recent developments on pay, some members drew encouragement from public sector settlements, on the grounds that they could have a useful demonstration effect. But there was also concern that the earnings data would be difficult to interpret</w:t>
      </w:r>
      <w:r>
        <w:rPr>
          <w:spacing w:val="-6"/>
          <w:sz w:val="18"/>
        </w:rPr>
        <w:t> </w:t>
      </w:r>
      <w:r>
        <w:rPr>
          <w:sz w:val="18"/>
        </w:rPr>
        <w:t>over</w:t>
      </w:r>
      <w:r>
        <w:rPr>
          <w:spacing w:val="-5"/>
          <w:sz w:val="18"/>
        </w:rPr>
        <w:t> </w:t>
      </w:r>
      <w:r>
        <w:rPr>
          <w:sz w:val="18"/>
        </w:rPr>
        <w:t>the</w:t>
      </w:r>
      <w:r>
        <w:rPr>
          <w:spacing w:val="-6"/>
          <w:sz w:val="18"/>
        </w:rPr>
        <w:t> </w:t>
      </w:r>
      <w:r>
        <w:rPr>
          <w:sz w:val="18"/>
        </w:rPr>
        <w:t>coming</w:t>
      </w:r>
      <w:r>
        <w:rPr>
          <w:spacing w:val="-5"/>
          <w:sz w:val="18"/>
        </w:rPr>
        <w:t> </w:t>
      </w:r>
      <w:r>
        <w:rPr>
          <w:sz w:val="18"/>
        </w:rPr>
        <w:t>months</w:t>
      </w:r>
      <w:r>
        <w:rPr>
          <w:spacing w:val="-6"/>
          <w:sz w:val="18"/>
        </w:rPr>
        <w:t> </w:t>
      </w:r>
      <w:r>
        <w:rPr>
          <w:sz w:val="18"/>
        </w:rPr>
        <w:t>given</w:t>
      </w:r>
      <w:r>
        <w:rPr>
          <w:spacing w:val="-5"/>
          <w:sz w:val="18"/>
        </w:rPr>
        <w:t> </w:t>
      </w:r>
      <w:r>
        <w:rPr>
          <w:sz w:val="18"/>
        </w:rPr>
        <w:t>that</w:t>
      </w:r>
      <w:r>
        <w:rPr>
          <w:spacing w:val="-6"/>
          <w:sz w:val="18"/>
        </w:rPr>
        <w:t> </w:t>
      </w:r>
      <w:r>
        <w:rPr>
          <w:sz w:val="18"/>
        </w:rPr>
        <w:t>financial</w:t>
      </w:r>
      <w:r>
        <w:rPr>
          <w:spacing w:val="-5"/>
          <w:sz w:val="18"/>
        </w:rPr>
        <w:t> </w:t>
      </w:r>
      <w:r>
        <w:rPr>
          <w:sz w:val="18"/>
        </w:rPr>
        <w:t>sector</w:t>
      </w:r>
      <w:r>
        <w:rPr>
          <w:spacing w:val="-6"/>
          <w:sz w:val="18"/>
        </w:rPr>
        <w:t> </w:t>
      </w:r>
      <w:r>
        <w:rPr>
          <w:sz w:val="18"/>
        </w:rPr>
        <w:t>and millennium-related bonuses were expected to be</w:t>
      </w:r>
      <w:r>
        <w:rPr>
          <w:spacing w:val="-19"/>
          <w:sz w:val="18"/>
        </w:rPr>
        <w:t> </w:t>
      </w:r>
      <w:r>
        <w:rPr>
          <w:sz w:val="18"/>
        </w:rPr>
        <w:t>strong.</w:t>
      </w:r>
    </w:p>
    <w:p>
      <w:pPr>
        <w:pStyle w:val="BodyText"/>
        <w:rPr>
          <w:sz w:val="17"/>
        </w:rPr>
      </w:pPr>
    </w:p>
    <w:p>
      <w:pPr>
        <w:pStyle w:val="ListParagraph"/>
        <w:numPr>
          <w:ilvl w:val="0"/>
          <w:numId w:val="42"/>
        </w:numPr>
        <w:tabs>
          <w:tab w:pos="654" w:val="left" w:leader="none"/>
          <w:tab w:pos="655" w:val="left" w:leader="none"/>
        </w:tabs>
        <w:spacing w:line="232" w:lineRule="auto" w:before="0" w:after="0"/>
        <w:ind w:left="174" w:right="198" w:firstLine="0"/>
        <w:jc w:val="left"/>
        <w:rPr>
          <w:sz w:val="18"/>
        </w:rPr>
      </w:pPr>
      <w:r>
        <w:rPr>
          <w:sz w:val="18"/>
        </w:rPr>
        <w:t>The earnings and settlement data continued to diverge. On the Average Earnings Index (AEI) measure, earnings had grown at an annual rate of 4.9% in the three months to November, and had persistently been higher than had been expected at the time of the Committee’s November </w:t>
      </w:r>
      <w:r>
        <w:rPr>
          <w:i/>
          <w:sz w:val="18"/>
        </w:rPr>
        <w:t>Inflation Report</w:t>
      </w:r>
      <w:r>
        <w:rPr>
          <w:sz w:val="18"/>
        </w:rPr>
        <w:t>. Wage drift appeared to be increasing as settlements had, on average, been running at around</w:t>
      </w:r>
      <w:r>
        <w:rPr>
          <w:spacing w:val="-4"/>
          <w:sz w:val="18"/>
        </w:rPr>
        <w:t> </w:t>
      </w:r>
      <w:r>
        <w:rPr>
          <w:sz w:val="18"/>
        </w:rPr>
        <w:t>3</w:t>
      </w:r>
      <w:r>
        <w:rPr>
          <w:position w:val="6"/>
          <w:sz w:val="9"/>
        </w:rPr>
        <w:t>1</w:t>
      </w:r>
      <w:r>
        <w:rPr>
          <w:sz w:val="18"/>
        </w:rPr>
        <w:t>/</w:t>
      </w:r>
      <w:r>
        <w:rPr>
          <w:sz w:val="9"/>
        </w:rPr>
        <w:t>2</w:t>
      </w:r>
      <w:r>
        <w:rPr>
          <w:sz w:val="18"/>
        </w:rPr>
        <w:t>%</w:t>
      </w:r>
      <w:r>
        <w:rPr>
          <w:spacing w:val="-4"/>
          <w:sz w:val="18"/>
        </w:rPr>
        <w:t> </w:t>
      </w:r>
      <w:r>
        <w:rPr>
          <w:sz w:val="18"/>
        </w:rPr>
        <w:t>over</w:t>
      </w:r>
      <w:r>
        <w:rPr>
          <w:spacing w:val="-4"/>
          <w:sz w:val="18"/>
        </w:rPr>
        <w:t> </w:t>
      </w:r>
      <w:r>
        <w:rPr>
          <w:sz w:val="18"/>
        </w:rPr>
        <w:t>recent</w:t>
      </w:r>
      <w:r>
        <w:rPr>
          <w:spacing w:val="-5"/>
          <w:sz w:val="18"/>
        </w:rPr>
        <w:t> </w:t>
      </w:r>
      <w:r>
        <w:rPr>
          <w:sz w:val="18"/>
        </w:rPr>
        <w:t>months,</w:t>
      </w:r>
      <w:r>
        <w:rPr>
          <w:spacing w:val="-4"/>
          <w:sz w:val="18"/>
        </w:rPr>
        <w:t> </w:t>
      </w:r>
      <w:r>
        <w:rPr>
          <w:sz w:val="18"/>
        </w:rPr>
        <w:t>and</w:t>
      </w:r>
      <w:r>
        <w:rPr>
          <w:spacing w:val="-4"/>
          <w:sz w:val="18"/>
        </w:rPr>
        <w:t> </w:t>
      </w:r>
      <w:r>
        <w:rPr>
          <w:sz w:val="18"/>
        </w:rPr>
        <w:t>on</w:t>
      </w:r>
      <w:r>
        <w:rPr>
          <w:spacing w:val="-4"/>
          <w:sz w:val="18"/>
        </w:rPr>
        <w:t> </w:t>
      </w:r>
      <w:r>
        <w:rPr>
          <w:sz w:val="18"/>
        </w:rPr>
        <w:t>most</w:t>
      </w:r>
      <w:r>
        <w:rPr>
          <w:spacing w:val="-5"/>
          <w:sz w:val="18"/>
        </w:rPr>
        <w:t> </w:t>
      </w:r>
      <w:r>
        <w:rPr>
          <w:sz w:val="18"/>
        </w:rPr>
        <w:t>measures</w:t>
      </w:r>
      <w:r>
        <w:rPr>
          <w:spacing w:val="-4"/>
          <w:sz w:val="18"/>
        </w:rPr>
        <w:t> </w:t>
      </w:r>
      <w:r>
        <w:rPr>
          <w:sz w:val="18"/>
        </w:rPr>
        <w:t>were</w:t>
      </w:r>
      <w:r>
        <w:rPr>
          <w:spacing w:val="-4"/>
          <w:sz w:val="18"/>
        </w:rPr>
        <w:t> </w:t>
      </w:r>
      <w:r>
        <w:rPr>
          <w:sz w:val="18"/>
        </w:rPr>
        <w:t>lower in January than a year ago. The regional Agents’ survey of the prospect for earnings growth in 2000—summarised in the Annex— also showed a divergent picture: settlements were, on balance, expected to be weaker in 2000, but total pay per employee was on balance expected to rise at a faster rate than in</w:t>
      </w:r>
      <w:r>
        <w:rPr>
          <w:spacing w:val="-20"/>
          <w:sz w:val="18"/>
        </w:rPr>
        <w:t> </w:t>
      </w:r>
      <w:r>
        <w:rPr>
          <w:sz w:val="18"/>
        </w:rPr>
        <w:t>1999.</w:t>
      </w:r>
    </w:p>
    <w:p>
      <w:pPr>
        <w:pStyle w:val="BodyText"/>
        <w:spacing w:before="6"/>
        <w:rPr>
          <w:sz w:val="16"/>
        </w:rPr>
      </w:pPr>
    </w:p>
    <w:p>
      <w:pPr>
        <w:pStyle w:val="ListParagraph"/>
        <w:numPr>
          <w:ilvl w:val="0"/>
          <w:numId w:val="42"/>
        </w:numPr>
        <w:tabs>
          <w:tab w:pos="654" w:val="left" w:leader="none"/>
          <w:tab w:pos="655" w:val="left" w:leader="none"/>
        </w:tabs>
        <w:spacing w:line="232" w:lineRule="auto" w:before="1" w:after="0"/>
        <w:ind w:left="174" w:right="188" w:firstLine="0"/>
        <w:jc w:val="left"/>
        <w:rPr>
          <w:sz w:val="18"/>
        </w:rPr>
      </w:pPr>
      <w:r>
        <w:rPr>
          <w:sz w:val="18"/>
        </w:rPr>
        <w:t>It was possible that increasing wage drift was a sign of tight labour market conditions. Alternatively, the wedge between settlement</w:t>
      </w:r>
      <w:r>
        <w:rPr>
          <w:spacing w:val="-6"/>
          <w:sz w:val="18"/>
        </w:rPr>
        <w:t> </w:t>
      </w:r>
      <w:r>
        <w:rPr>
          <w:sz w:val="18"/>
        </w:rPr>
        <w:t>and</w:t>
      </w:r>
      <w:r>
        <w:rPr>
          <w:spacing w:val="-6"/>
          <w:sz w:val="18"/>
        </w:rPr>
        <w:t> </w:t>
      </w:r>
      <w:r>
        <w:rPr>
          <w:sz w:val="18"/>
        </w:rPr>
        <w:t>earnings</w:t>
      </w:r>
      <w:r>
        <w:rPr>
          <w:spacing w:val="-5"/>
          <w:sz w:val="18"/>
        </w:rPr>
        <w:t> </w:t>
      </w:r>
      <w:r>
        <w:rPr>
          <w:sz w:val="18"/>
        </w:rPr>
        <w:t>growth</w:t>
      </w:r>
      <w:r>
        <w:rPr>
          <w:spacing w:val="-6"/>
          <w:sz w:val="18"/>
        </w:rPr>
        <w:t> </w:t>
      </w:r>
      <w:r>
        <w:rPr>
          <w:sz w:val="18"/>
        </w:rPr>
        <w:t>might</w:t>
      </w:r>
      <w:r>
        <w:rPr>
          <w:spacing w:val="-6"/>
          <w:sz w:val="18"/>
        </w:rPr>
        <w:t> </w:t>
      </w:r>
      <w:r>
        <w:rPr>
          <w:sz w:val="18"/>
        </w:rPr>
        <w:t>be</w:t>
      </w:r>
      <w:r>
        <w:rPr>
          <w:spacing w:val="-5"/>
          <w:sz w:val="18"/>
        </w:rPr>
        <w:t> </w:t>
      </w:r>
      <w:r>
        <w:rPr>
          <w:sz w:val="18"/>
        </w:rPr>
        <w:t>accounted</w:t>
      </w:r>
      <w:r>
        <w:rPr>
          <w:spacing w:val="-6"/>
          <w:sz w:val="18"/>
        </w:rPr>
        <w:t> </w:t>
      </w:r>
      <w:r>
        <w:rPr>
          <w:sz w:val="18"/>
        </w:rPr>
        <w:t>for</w:t>
      </w:r>
      <w:r>
        <w:rPr>
          <w:spacing w:val="-6"/>
          <w:sz w:val="18"/>
        </w:rPr>
        <w:t> </w:t>
      </w:r>
      <w:r>
        <w:rPr>
          <w:sz w:val="18"/>
        </w:rPr>
        <w:t>by</w:t>
      </w:r>
      <w:r>
        <w:rPr>
          <w:spacing w:val="-5"/>
          <w:sz w:val="18"/>
        </w:rPr>
        <w:t> </w:t>
      </w:r>
      <w:r>
        <w:rPr>
          <w:sz w:val="18"/>
        </w:rPr>
        <w:t>increases in profit-related—or performance-related—pay, which might more closely reflect productivity improvements. In that case it would not necessarily signal increasing pressure on prices. However, while measured productivity growth had recovered in recent quarters, it was now only broadly in line with the past long-run trend. It was difficult to know whether there had been improvements in productivity that were not reflected in the official data. Views differed on</w:t>
      </w:r>
      <w:r>
        <w:rPr>
          <w:spacing w:val="-3"/>
          <w:sz w:val="18"/>
        </w:rPr>
        <w:t> </w:t>
      </w:r>
      <w:r>
        <w:rPr>
          <w:sz w:val="18"/>
        </w:rPr>
        <w:t>this.</w:t>
      </w:r>
    </w:p>
    <w:p>
      <w:pPr>
        <w:pStyle w:val="BodyText"/>
        <w:spacing w:before="7"/>
        <w:rPr>
          <w:sz w:val="16"/>
        </w:rPr>
      </w:pPr>
    </w:p>
    <w:p>
      <w:pPr>
        <w:pStyle w:val="ListParagraph"/>
        <w:numPr>
          <w:ilvl w:val="0"/>
          <w:numId w:val="42"/>
        </w:numPr>
        <w:tabs>
          <w:tab w:pos="654" w:val="left" w:leader="none"/>
          <w:tab w:pos="655" w:val="left" w:leader="none"/>
        </w:tabs>
        <w:spacing w:line="232" w:lineRule="auto" w:before="0" w:after="0"/>
        <w:ind w:left="174" w:right="188" w:firstLine="0"/>
        <w:jc w:val="left"/>
        <w:rPr>
          <w:sz w:val="18"/>
        </w:rPr>
      </w:pPr>
      <w:r>
        <w:rPr>
          <w:sz w:val="18"/>
        </w:rPr>
        <w:t>Members placed different weight on the earnings and settlement numbers. Overall, the Committee concluded that, partly reflecting the recent stronger-than-expected outturns of the AEI, the path for earnings growth would be higher than had been assumed in the November</w:t>
      </w:r>
      <w:r>
        <w:rPr>
          <w:spacing w:val="-3"/>
          <w:sz w:val="18"/>
        </w:rPr>
        <w:t> </w:t>
      </w:r>
      <w:r>
        <w:rPr>
          <w:sz w:val="18"/>
        </w:rPr>
        <w:t>projections.</w:t>
      </w:r>
    </w:p>
    <w:p>
      <w:pPr>
        <w:pStyle w:val="BodyText"/>
        <w:spacing w:before="4"/>
        <w:rPr>
          <w:sz w:val="20"/>
        </w:rPr>
      </w:pPr>
    </w:p>
    <w:p>
      <w:pPr>
        <w:pStyle w:val="Heading8"/>
      </w:pPr>
      <w:r>
        <w:rPr>
          <w:color w:val="009391"/>
        </w:rPr>
        <w:t>World economy developments</w:t>
      </w:r>
    </w:p>
    <w:p>
      <w:pPr>
        <w:pStyle w:val="ListParagraph"/>
        <w:numPr>
          <w:ilvl w:val="0"/>
          <w:numId w:val="42"/>
        </w:numPr>
        <w:tabs>
          <w:tab w:pos="654" w:val="left" w:leader="none"/>
          <w:tab w:pos="655" w:val="left" w:leader="none"/>
        </w:tabs>
        <w:spacing w:line="232" w:lineRule="auto" w:before="109" w:after="0"/>
        <w:ind w:left="174" w:right="192" w:firstLine="0"/>
        <w:jc w:val="left"/>
        <w:rPr>
          <w:sz w:val="18"/>
        </w:rPr>
      </w:pPr>
      <w:r>
        <w:rPr>
          <w:sz w:val="18"/>
        </w:rPr>
        <w:t>The USA had continued to grow more strongly than earlier expected, and seemed set to continue to do so, although downside risks remained. Recent growth in the euro area had also been stronger than expected in November, and the improvement in business confidence indicators suggested a stronger outlook. Partly against this background, both the Federal Reserve and the ECB had raised interest rates since the Committee’s January meeting. This tightening</w:t>
      </w:r>
      <w:r>
        <w:rPr>
          <w:spacing w:val="-6"/>
          <w:sz w:val="18"/>
        </w:rPr>
        <w:t> </w:t>
      </w:r>
      <w:r>
        <w:rPr>
          <w:sz w:val="18"/>
        </w:rPr>
        <w:t>of</w:t>
      </w:r>
      <w:r>
        <w:rPr>
          <w:spacing w:val="-5"/>
          <w:sz w:val="18"/>
        </w:rPr>
        <w:t> </w:t>
      </w:r>
      <w:r>
        <w:rPr>
          <w:sz w:val="18"/>
        </w:rPr>
        <w:t>global</w:t>
      </w:r>
      <w:r>
        <w:rPr>
          <w:spacing w:val="-5"/>
          <w:sz w:val="18"/>
        </w:rPr>
        <w:t> </w:t>
      </w:r>
      <w:r>
        <w:rPr>
          <w:sz w:val="18"/>
        </w:rPr>
        <w:t>monetary</w:t>
      </w:r>
      <w:r>
        <w:rPr>
          <w:spacing w:val="-5"/>
          <w:sz w:val="18"/>
        </w:rPr>
        <w:t> </w:t>
      </w:r>
      <w:r>
        <w:rPr>
          <w:sz w:val="18"/>
        </w:rPr>
        <w:t>conditions</w:t>
      </w:r>
      <w:r>
        <w:rPr>
          <w:spacing w:val="-5"/>
          <w:sz w:val="18"/>
        </w:rPr>
        <w:t> </w:t>
      </w:r>
      <w:r>
        <w:rPr>
          <w:sz w:val="18"/>
        </w:rPr>
        <w:t>had</w:t>
      </w:r>
      <w:r>
        <w:rPr>
          <w:spacing w:val="-5"/>
          <w:sz w:val="18"/>
        </w:rPr>
        <w:t> </w:t>
      </w:r>
      <w:r>
        <w:rPr>
          <w:sz w:val="18"/>
        </w:rPr>
        <w:t>been</w:t>
      </w:r>
      <w:r>
        <w:rPr>
          <w:spacing w:val="-6"/>
          <w:sz w:val="18"/>
        </w:rPr>
        <w:t> </w:t>
      </w:r>
      <w:r>
        <w:rPr>
          <w:sz w:val="18"/>
        </w:rPr>
        <w:t>in</w:t>
      </w:r>
      <w:r>
        <w:rPr>
          <w:spacing w:val="-5"/>
          <w:sz w:val="18"/>
        </w:rPr>
        <w:t> </w:t>
      </w:r>
      <w:r>
        <w:rPr>
          <w:sz w:val="18"/>
        </w:rPr>
        <w:t>line</w:t>
      </w:r>
      <w:r>
        <w:rPr>
          <w:spacing w:val="-5"/>
          <w:sz w:val="18"/>
        </w:rPr>
        <w:t> </w:t>
      </w:r>
      <w:r>
        <w:rPr>
          <w:sz w:val="18"/>
        </w:rPr>
        <w:t>with</w:t>
      </w:r>
      <w:r>
        <w:rPr>
          <w:spacing w:val="-5"/>
          <w:sz w:val="18"/>
        </w:rPr>
        <w:t> </w:t>
      </w:r>
      <w:r>
        <w:rPr>
          <w:sz w:val="18"/>
        </w:rPr>
        <w:t>what had been assumed in the Committee’s November</w:t>
      </w:r>
      <w:r>
        <w:rPr>
          <w:spacing w:val="-24"/>
          <w:sz w:val="18"/>
        </w:rPr>
        <w:t> </w:t>
      </w:r>
      <w:r>
        <w:rPr>
          <w:sz w:val="18"/>
        </w:rPr>
        <w:t>projections.</w:t>
      </w:r>
    </w:p>
    <w:p>
      <w:pPr>
        <w:pStyle w:val="BodyText"/>
        <w:spacing w:before="9"/>
        <w:rPr>
          <w:sz w:val="16"/>
        </w:rPr>
      </w:pPr>
    </w:p>
    <w:p>
      <w:pPr>
        <w:pStyle w:val="ListParagraph"/>
        <w:numPr>
          <w:ilvl w:val="0"/>
          <w:numId w:val="42"/>
        </w:numPr>
        <w:tabs>
          <w:tab w:pos="654" w:val="left" w:leader="none"/>
          <w:tab w:pos="655" w:val="left" w:leader="none"/>
        </w:tabs>
        <w:spacing w:line="232" w:lineRule="auto" w:before="0" w:after="0"/>
        <w:ind w:left="174" w:right="222" w:firstLine="0"/>
        <w:jc w:val="left"/>
        <w:rPr>
          <w:sz w:val="18"/>
        </w:rPr>
      </w:pPr>
      <w:r>
        <w:rPr>
          <w:sz w:val="18"/>
        </w:rPr>
        <w:t>Developments in Japan were less clear. Consumption remained very weak and output might even have fallen in the second half of 1999, having done so in Q3. But there were signs of improvement in corporate profitability, which could support investment. That might have contributed to the rise in the Nikkei index over the past few months, although it was noted that price rises had been markedly more pronounced in some stocks than in others. The Committee noted that there were some signs of market concerns about the growth in Japanese government debt which, if fiscal policy were as a result to be constrained, would tend to place more pressure on monetary policy in the absence of</w:t>
      </w:r>
      <w:r>
        <w:rPr>
          <w:spacing w:val="-18"/>
          <w:sz w:val="18"/>
        </w:rPr>
        <w:t> </w:t>
      </w:r>
      <w:r>
        <w:rPr>
          <w:sz w:val="18"/>
        </w:rPr>
        <w:t>a</w:t>
      </w:r>
    </w:p>
    <w:p>
      <w:pPr>
        <w:pStyle w:val="BodyText"/>
        <w:spacing w:line="193" w:lineRule="exact"/>
        <w:ind w:left="174"/>
      </w:pPr>
      <w:r>
        <w:rPr/>
        <w:t>self-sustaining recovery in growth.</w:t>
      </w:r>
    </w:p>
    <w:p>
      <w:pPr>
        <w:pStyle w:val="BodyText"/>
        <w:spacing w:before="6"/>
        <w:rPr>
          <w:sz w:val="20"/>
        </w:rPr>
      </w:pPr>
    </w:p>
    <w:p>
      <w:pPr>
        <w:pStyle w:val="Heading8"/>
      </w:pPr>
      <w:r>
        <w:rPr>
          <w:color w:val="009391"/>
        </w:rPr>
        <w:t>Prices and costs</w:t>
      </w:r>
    </w:p>
    <w:p>
      <w:pPr>
        <w:pStyle w:val="ListParagraph"/>
        <w:numPr>
          <w:ilvl w:val="0"/>
          <w:numId w:val="42"/>
        </w:numPr>
        <w:tabs>
          <w:tab w:pos="654" w:val="left" w:leader="none"/>
          <w:tab w:pos="655" w:val="left" w:leader="none"/>
        </w:tabs>
        <w:spacing w:line="232" w:lineRule="auto" w:before="110" w:after="0"/>
        <w:ind w:left="174" w:right="358" w:firstLine="0"/>
        <w:jc w:val="left"/>
        <w:rPr>
          <w:sz w:val="18"/>
        </w:rPr>
      </w:pPr>
      <w:r>
        <w:rPr>
          <w:sz w:val="18"/>
        </w:rPr>
        <w:t>Probably reflecting the stronger world economic conjuncture, commodity prices had continued to rise. The</w:t>
      </w:r>
      <w:r>
        <w:rPr>
          <w:spacing w:val="-5"/>
          <w:sz w:val="18"/>
        </w:rPr>
        <w:t> </w:t>
      </w:r>
      <w:r>
        <w:rPr>
          <w:sz w:val="18"/>
        </w:rPr>
        <w:t>annual</w:t>
      </w:r>
    </w:p>
    <w:p>
      <w:pPr>
        <w:spacing w:after="0" w:line="232" w:lineRule="auto"/>
        <w:jc w:val="left"/>
        <w:rPr>
          <w:sz w:val="18"/>
        </w:rPr>
        <w:sectPr>
          <w:type w:val="continuous"/>
          <w:pgSz w:w="11900" w:h="16840"/>
          <w:pgMar w:top="1220" w:bottom="280" w:left="640" w:right="620"/>
          <w:cols w:num="2" w:equalWidth="0">
            <w:col w:w="5113" w:space="270"/>
            <w:col w:w="5257"/>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6"/>
        <w:rPr>
          <w:sz w:val="20"/>
        </w:rPr>
      </w:pPr>
    </w:p>
    <w:p>
      <w:pPr>
        <w:pStyle w:val="BodyText"/>
        <w:spacing w:line="232" w:lineRule="auto"/>
        <w:ind w:left="180" w:right="49"/>
      </w:pPr>
      <w:r>
        <w:rPr/>
        <w:t>rate of increase in the Bank’s oil-inclusive index had risen to nearly 22% in December; excluding oil, the rate of growth was slightly over 3</w:t>
      </w:r>
      <w:r>
        <w:rPr>
          <w:position w:val="6"/>
          <w:sz w:val="9"/>
        </w:rPr>
        <w:t>1</w:t>
      </w:r>
      <w:r>
        <w:rPr/>
        <w:t>/</w:t>
      </w:r>
      <w:r>
        <w:rPr>
          <w:sz w:val="9"/>
        </w:rPr>
        <w:t>2</w:t>
      </w:r>
      <w:r>
        <w:rPr/>
        <w:t>%, the highest rate since January 1996.</w:t>
      </w:r>
    </w:p>
    <w:p>
      <w:pPr>
        <w:pStyle w:val="BodyText"/>
        <w:spacing w:before="8"/>
        <w:rPr>
          <w:sz w:val="20"/>
        </w:rPr>
      </w:pPr>
    </w:p>
    <w:p>
      <w:pPr>
        <w:pStyle w:val="ListParagraph"/>
        <w:numPr>
          <w:ilvl w:val="0"/>
          <w:numId w:val="42"/>
        </w:numPr>
        <w:tabs>
          <w:tab w:pos="659" w:val="left" w:leader="none"/>
          <w:tab w:pos="660" w:val="left" w:leader="none"/>
        </w:tabs>
        <w:spacing w:line="232" w:lineRule="auto" w:before="0" w:after="0"/>
        <w:ind w:left="180" w:right="268" w:firstLine="0"/>
        <w:jc w:val="left"/>
        <w:rPr>
          <w:sz w:val="18"/>
        </w:rPr>
      </w:pPr>
      <w:r>
        <w:rPr>
          <w:sz w:val="18"/>
        </w:rPr>
        <w:t>Although input prices were rising strongly, intermediate prices</w:t>
      </w:r>
      <w:r>
        <w:rPr>
          <w:spacing w:val="-6"/>
          <w:sz w:val="18"/>
        </w:rPr>
        <w:t> </w:t>
      </w:r>
      <w:r>
        <w:rPr>
          <w:sz w:val="18"/>
        </w:rPr>
        <w:t>(as</w:t>
      </w:r>
      <w:r>
        <w:rPr>
          <w:spacing w:val="-5"/>
          <w:sz w:val="18"/>
        </w:rPr>
        <w:t> </w:t>
      </w:r>
      <w:r>
        <w:rPr>
          <w:sz w:val="18"/>
        </w:rPr>
        <w:t>measured</w:t>
      </w:r>
      <w:r>
        <w:rPr>
          <w:spacing w:val="-6"/>
          <w:sz w:val="18"/>
        </w:rPr>
        <w:t> </w:t>
      </w:r>
      <w:r>
        <w:rPr>
          <w:sz w:val="18"/>
        </w:rPr>
        <w:t>for</w:t>
      </w:r>
      <w:r>
        <w:rPr>
          <w:spacing w:val="-5"/>
          <w:sz w:val="18"/>
        </w:rPr>
        <w:t> </w:t>
      </w:r>
      <w:r>
        <w:rPr>
          <w:sz w:val="18"/>
        </w:rPr>
        <w:t>example</w:t>
      </w:r>
      <w:r>
        <w:rPr>
          <w:spacing w:val="-5"/>
          <w:sz w:val="18"/>
        </w:rPr>
        <w:t> </w:t>
      </w:r>
      <w:r>
        <w:rPr>
          <w:sz w:val="18"/>
        </w:rPr>
        <w:t>by</w:t>
      </w:r>
      <w:r>
        <w:rPr>
          <w:spacing w:val="-6"/>
          <w:sz w:val="18"/>
        </w:rPr>
        <w:t> </w:t>
      </w:r>
      <w:r>
        <w:rPr>
          <w:sz w:val="18"/>
        </w:rPr>
        <w:t>producer</w:t>
      </w:r>
      <w:r>
        <w:rPr>
          <w:spacing w:val="-5"/>
          <w:sz w:val="18"/>
        </w:rPr>
        <w:t> </w:t>
      </w:r>
      <w:r>
        <w:rPr>
          <w:sz w:val="18"/>
        </w:rPr>
        <w:t>output</w:t>
      </w:r>
      <w:r>
        <w:rPr>
          <w:spacing w:val="-6"/>
          <w:sz w:val="18"/>
        </w:rPr>
        <w:t> </w:t>
      </w:r>
      <w:r>
        <w:rPr>
          <w:sz w:val="18"/>
        </w:rPr>
        <w:t>prices)</w:t>
      </w:r>
      <w:r>
        <w:rPr>
          <w:spacing w:val="-5"/>
          <w:sz w:val="18"/>
        </w:rPr>
        <w:t> </w:t>
      </w:r>
      <w:r>
        <w:rPr>
          <w:sz w:val="18"/>
        </w:rPr>
        <w:t>were increasing more moderately, and RPIX inflation had remained below the 2</w:t>
      </w:r>
      <w:r>
        <w:rPr>
          <w:position w:val="6"/>
          <w:sz w:val="9"/>
        </w:rPr>
        <w:t>1</w:t>
      </w:r>
      <w:r>
        <w:rPr>
          <w:sz w:val="18"/>
        </w:rPr>
        <w:t>/</w:t>
      </w:r>
      <w:r>
        <w:rPr>
          <w:sz w:val="9"/>
        </w:rPr>
        <w:t>2</w:t>
      </w:r>
      <w:r>
        <w:rPr>
          <w:sz w:val="18"/>
        </w:rPr>
        <w:t>%</w:t>
      </w:r>
      <w:r>
        <w:rPr>
          <w:spacing w:val="-2"/>
          <w:sz w:val="18"/>
        </w:rPr>
        <w:t> </w:t>
      </w:r>
      <w:r>
        <w:rPr>
          <w:sz w:val="18"/>
        </w:rPr>
        <w:t>target.</w:t>
      </w:r>
    </w:p>
    <w:p>
      <w:pPr>
        <w:pStyle w:val="BodyText"/>
        <w:spacing w:before="7"/>
        <w:rPr>
          <w:sz w:val="20"/>
        </w:rPr>
      </w:pPr>
    </w:p>
    <w:p>
      <w:pPr>
        <w:pStyle w:val="ListParagraph"/>
        <w:numPr>
          <w:ilvl w:val="0"/>
          <w:numId w:val="42"/>
        </w:numPr>
        <w:tabs>
          <w:tab w:pos="659" w:val="left" w:leader="none"/>
          <w:tab w:pos="660" w:val="left" w:leader="none"/>
        </w:tabs>
        <w:spacing w:line="232" w:lineRule="auto" w:before="0" w:after="0"/>
        <w:ind w:left="180" w:right="73" w:firstLine="0"/>
        <w:jc w:val="left"/>
        <w:rPr>
          <w:sz w:val="18"/>
        </w:rPr>
      </w:pPr>
      <w:r>
        <w:rPr>
          <w:sz w:val="18"/>
        </w:rPr>
        <w:t>The counterpart to the rapid recent rise in manufacturing productivity had been that the twelve month rate of change in manufacturing unit wage costs had fallen in every month between July and November, when the twelve month fall had been 1.3%. However, there was little evidence that measured economy-wide labour productivity growth had risen above levels implied by the past long-run trend of around 2% per year. It was plausible that the Internet would facilitate an increase in the level of productivity that might be spread over several</w:t>
      </w:r>
      <w:r>
        <w:rPr>
          <w:spacing w:val="-8"/>
          <w:sz w:val="18"/>
        </w:rPr>
        <w:t> </w:t>
      </w:r>
      <w:r>
        <w:rPr>
          <w:sz w:val="18"/>
        </w:rPr>
        <w:t>years.</w:t>
      </w:r>
    </w:p>
    <w:p>
      <w:pPr>
        <w:pStyle w:val="BodyText"/>
        <w:spacing w:before="9"/>
        <w:rPr>
          <w:sz w:val="19"/>
        </w:rPr>
      </w:pPr>
    </w:p>
    <w:p>
      <w:pPr>
        <w:pStyle w:val="ListParagraph"/>
        <w:numPr>
          <w:ilvl w:val="0"/>
          <w:numId w:val="42"/>
        </w:numPr>
        <w:tabs>
          <w:tab w:pos="659" w:val="left" w:leader="none"/>
          <w:tab w:pos="660" w:val="left" w:leader="none"/>
        </w:tabs>
        <w:spacing w:line="203" w:lineRule="exact" w:before="0" w:after="0"/>
        <w:ind w:left="659" w:right="0" w:hanging="480"/>
        <w:jc w:val="left"/>
        <w:rPr>
          <w:sz w:val="18"/>
        </w:rPr>
      </w:pPr>
      <w:r>
        <w:rPr>
          <w:sz w:val="18"/>
        </w:rPr>
        <w:t>Given that the expected path of aggregate demand</w:t>
      </w:r>
      <w:r>
        <w:rPr>
          <w:spacing w:val="-22"/>
          <w:sz w:val="18"/>
        </w:rPr>
        <w:t> </w:t>
      </w:r>
      <w:r>
        <w:rPr>
          <w:sz w:val="18"/>
        </w:rPr>
        <w:t>was</w:t>
      </w:r>
    </w:p>
    <w:p>
      <w:pPr>
        <w:pStyle w:val="BodyText"/>
        <w:spacing w:line="232" w:lineRule="auto" w:before="2"/>
        <w:ind w:left="180" w:right="59"/>
      </w:pPr>
      <w:r>
        <w:rPr/>
        <w:t>close to estimates of the economy’s productive capacity, judgments on the outlook for inflation over the forecast horizon depended</w:t>
      </w:r>
    </w:p>
    <w:p>
      <w:pPr>
        <w:pStyle w:val="BodyText"/>
        <w:spacing w:line="232" w:lineRule="auto"/>
        <w:ind w:left="180" w:right="323"/>
      </w:pPr>
      <w:r>
        <w:rPr/>
        <w:t>to a significant degree, as in November, on views about the implications of developments in technology and in competition. The Committee concluded that, in its best collective projection, the downward adjustments should be slightly larger than in November.</w:t>
      </w:r>
    </w:p>
    <w:p>
      <w:pPr>
        <w:pStyle w:val="BodyText"/>
        <w:spacing w:before="10"/>
        <w:rPr>
          <w:sz w:val="16"/>
        </w:rPr>
      </w:pPr>
    </w:p>
    <w:p>
      <w:pPr>
        <w:pStyle w:val="ListParagraph"/>
        <w:numPr>
          <w:ilvl w:val="0"/>
          <w:numId w:val="42"/>
        </w:numPr>
        <w:tabs>
          <w:tab w:pos="659" w:val="left" w:leader="none"/>
          <w:tab w:pos="660" w:val="left" w:leader="none"/>
        </w:tabs>
        <w:spacing w:line="232" w:lineRule="auto" w:before="0" w:after="0"/>
        <w:ind w:left="180" w:right="158" w:firstLine="0"/>
        <w:jc w:val="left"/>
        <w:rPr>
          <w:sz w:val="18"/>
        </w:rPr>
      </w:pPr>
      <w:r>
        <w:rPr>
          <w:sz w:val="18"/>
        </w:rPr>
        <w:t>Some members preferred a smaller adjustment to price-cost margins, particularly in the second year of the projection. While there were undoubtedly major changes underway in competition and technology, the implications for inflation were not straightforward. There had been major technological changes in the real economy during the 1970s and 1980s—for example, in computing power—but that period had also seen the highest inflation rates in modern British history. Such developments entailed changes in relative prices, but it was unclear how large changes in some relative prices should be translated into a change in the aggregate price level. Some other members preferred larger downward</w:t>
      </w:r>
      <w:r>
        <w:rPr>
          <w:spacing w:val="-5"/>
          <w:sz w:val="18"/>
        </w:rPr>
        <w:t> </w:t>
      </w:r>
      <w:r>
        <w:rPr>
          <w:sz w:val="18"/>
        </w:rPr>
        <w:t>adjustments</w:t>
      </w:r>
      <w:r>
        <w:rPr>
          <w:spacing w:val="-4"/>
          <w:sz w:val="18"/>
        </w:rPr>
        <w:t> </w:t>
      </w:r>
      <w:r>
        <w:rPr>
          <w:sz w:val="18"/>
        </w:rPr>
        <w:t>to</w:t>
      </w:r>
      <w:r>
        <w:rPr>
          <w:spacing w:val="-4"/>
          <w:sz w:val="18"/>
        </w:rPr>
        <w:t> </w:t>
      </w:r>
      <w:r>
        <w:rPr>
          <w:sz w:val="18"/>
        </w:rPr>
        <w:t>price-cost</w:t>
      </w:r>
      <w:r>
        <w:rPr>
          <w:spacing w:val="-4"/>
          <w:sz w:val="18"/>
        </w:rPr>
        <w:t> </w:t>
      </w:r>
      <w:r>
        <w:rPr>
          <w:sz w:val="18"/>
        </w:rPr>
        <w:t>margins</w:t>
      </w:r>
      <w:r>
        <w:rPr>
          <w:spacing w:val="-4"/>
          <w:sz w:val="18"/>
        </w:rPr>
        <w:t> </w:t>
      </w:r>
      <w:r>
        <w:rPr>
          <w:sz w:val="18"/>
        </w:rPr>
        <w:t>in</w:t>
      </w:r>
      <w:r>
        <w:rPr>
          <w:spacing w:val="-4"/>
          <w:sz w:val="18"/>
        </w:rPr>
        <w:t> </w:t>
      </w:r>
      <w:r>
        <w:rPr>
          <w:sz w:val="18"/>
        </w:rPr>
        <w:t>both</w:t>
      </w:r>
      <w:r>
        <w:rPr>
          <w:spacing w:val="-4"/>
          <w:sz w:val="18"/>
        </w:rPr>
        <w:t> </w:t>
      </w:r>
      <w:r>
        <w:rPr>
          <w:sz w:val="18"/>
        </w:rPr>
        <w:t>years</w:t>
      </w:r>
      <w:r>
        <w:rPr>
          <w:spacing w:val="-5"/>
          <w:sz w:val="18"/>
        </w:rPr>
        <w:t> </w:t>
      </w:r>
      <w:r>
        <w:rPr>
          <w:sz w:val="18"/>
        </w:rPr>
        <w:t>than</w:t>
      </w:r>
    </w:p>
    <w:p>
      <w:pPr>
        <w:pStyle w:val="BodyText"/>
        <w:spacing w:line="232" w:lineRule="auto"/>
        <w:ind w:left="180" w:right="259"/>
      </w:pPr>
      <w:r>
        <w:rPr/>
        <w:t>in the best collective assumptions. For example, the effects of the Internet and e-tailing would most likely be greater than assumed, with larger second-round effects on costs and prices. More generally, the supply side innovations did not just entail relative price changes but were characterised by a generalised intensification of product market competition and so were affecting</w:t>
      </w:r>
      <w:r>
        <w:rPr>
          <w:spacing w:val="-5"/>
        </w:rPr>
        <w:t> </w:t>
      </w:r>
      <w:r>
        <w:rPr/>
        <w:t>the</w:t>
      </w:r>
      <w:r>
        <w:rPr>
          <w:spacing w:val="-5"/>
        </w:rPr>
        <w:t> </w:t>
      </w:r>
      <w:r>
        <w:rPr/>
        <w:t>economy</w:t>
      </w:r>
      <w:r>
        <w:rPr>
          <w:spacing w:val="-5"/>
        </w:rPr>
        <w:t> </w:t>
      </w:r>
      <w:r>
        <w:rPr/>
        <w:t>as</w:t>
      </w:r>
      <w:r>
        <w:rPr>
          <w:spacing w:val="-5"/>
        </w:rPr>
        <w:t> </w:t>
      </w:r>
      <w:r>
        <w:rPr/>
        <w:t>a</w:t>
      </w:r>
      <w:r>
        <w:rPr>
          <w:spacing w:val="-5"/>
        </w:rPr>
        <w:t> </w:t>
      </w:r>
      <w:r>
        <w:rPr/>
        <w:t>whole,</w:t>
      </w:r>
      <w:r>
        <w:rPr>
          <w:spacing w:val="-4"/>
        </w:rPr>
        <w:t> </w:t>
      </w:r>
      <w:r>
        <w:rPr/>
        <w:t>with</w:t>
      </w:r>
      <w:r>
        <w:rPr>
          <w:spacing w:val="-5"/>
        </w:rPr>
        <w:t> </w:t>
      </w:r>
      <w:r>
        <w:rPr/>
        <w:t>a</w:t>
      </w:r>
      <w:r>
        <w:rPr>
          <w:spacing w:val="-5"/>
        </w:rPr>
        <w:t> </w:t>
      </w:r>
      <w:r>
        <w:rPr/>
        <w:t>compression</w:t>
      </w:r>
      <w:r>
        <w:rPr>
          <w:spacing w:val="-5"/>
        </w:rPr>
        <w:t> </w:t>
      </w:r>
      <w:r>
        <w:rPr/>
        <w:t>of</w:t>
      </w:r>
      <w:r>
        <w:rPr>
          <w:spacing w:val="-5"/>
        </w:rPr>
        <w:t> </w:t>
      </w:r>
      <w:r>
        <w:rPr/>
        <w:t>average margins.</w:t>
      </w:r>
    </w:p>
    <w:p>
      <w:pPr>
        <w:pStyle w:val="BodyText"/>
        <w:spacing w:before="4"/>
        <w:rPr>
          <w:sz w:val="19"/>
        </w:rPr>
      </w:pPr>
    </w:p>
    <w:p>
      <w:pPr>
        <w:pStyle w:val="Heading8"/>
        <w:spacing w:line="266" w:lineRule="auto"/>
        <w:ind w:left="180" w:right="49"/>
      </w:pPr>
      <w:r>
        <w:rPr>
          <w:color w:val="009391"/>
        </w:rPr>
        <w:t>The February output growth and inflation projections</w:t>
      </w:r>
    </w:p>
    <w:p>
      <w:pPr>
        <w:pStyle w:val="ListParagraph"/>
        <w:numPr>
          <w:ilvl w:val="0"/>
          <w:numId w:val="42"/>
        </w:numPr>
        <w:tabs>
          <w:tab w:pos="659" w:val="left" w:leader="none"/>
          <w:tab w:pos="660" w:val="left" w:leader="none"/>
        </w:tabs>
        <w:spacing w:line="203" w:lineRule="exact" w:before="76" w:after="0"/>
        <w:ind w:left="659" w:right="0" w:hanging="480"/>
        <w:jc w:val="left"/>
        <w:rPr>
          <w:sz w:val="18"/>
        </w:rPr>
      </w:pPr>
      <w:r>
        <w:rPr>
          <w:sz w:val="18"/>
        </w:rPr>
        <w:t>The</w:t>
      </w:r>
      <w:r>
        <w:rPr>
          <w:spacing w:val="-5"/>
          <w:sz w:val="18"/>
        </w:rPr>
        <w:t> </w:t>
      </w:r>
      <w:r>
        <w:rPr>
          <w:sz w:val="18"/>
        </w:rPr>
        <w:t>Committee</w:t>
      </w:r>
      <w:r>
        <w:rPr>
          <w:spacing w:val="-4"/>
          <w:sz w:val="18"/>
        </w:rPr>
        <w:t> </w:t>
      </w:r>
      <w:r>
        <w:rPr>
          <w:sz w:val="18"/>
        </w:rPr>
        <w:t>agreed</w:t>
      </w:r>
      <w:r>
        <w:rPr>
          <w:spacing w:val="-4"/>
          <w:sz w:val="18"/>
        </w:rPr>
        <w:t> </w:t>
      </w:r>
      <w:r>
        <w:rPr>
          <w:sz w:val="18"/>
        </w:rPr>
        <w:t>the</w:t>
      </w:r>
      <w:r>
        <w:rPr>
          <w:spacing w:val="-4"/>
          <w:sz w:val="18"/>
        </w:rPr>
        <w:t> </w:t>
      </w:r>
      <w:r>
        <w:rPr>
          <w:sz w:val="18"/>
        </w:rPr>
        <w:t>projections</w:t>
      </w:r>
      <w:r>
        <w:rPr>
          <w:spacing w:val="-5"/>
          <w:sz w:val="18"/>
        </w:rPr>
        <w:t> </w:t>
      </w:r>
      <w:r>
        <w:rPr>
          <w:sz w:val="18"/>
        </w:rPr>
        <w:t>to</w:t>
      </w:r>
      <w:r>
        <w:rPr>
          <w:spacing w:val="-4"/>
          <w:sz w:val="18"/>
        </w:rPr>
        <w:t> </w:t>
      </w:r>
      <w:r>
        <w:rPr>
          <w:sz w:val="18"/>
        </w:rPr>
        <w:t>be</w:t>
      </w:r>
      <w:r>
        <w:rPr>
          <w:spacing w:val="-4"/>
          <w:sz w:val="18"/>
        </w:rPr>
        <w:t> </w:t>
      </w:r>
      <w:r>
        <w:rPr>
          <w:sz w:val="18"/>
        </w:rPr>
        <w:t>published</w:t>
      </w:r>
      <w:r>
        <w:rPr>
          <w:spacing w:val="-4"/>
          <w:sz w:val="18"/>
        </w:rPr>
        <w:t> </w:t>
      </w:r>
      <w:r>
        <w:rPr>
          <w:sz w:val="18"/>
        </w:rPr>
        <w:t>in</w:t>
      </w:r>
      <w:r>
        <w:rPr>
          <w:spacing w:val="-5"/>
          <w:sz w:val="18"/>
        </w:rPr>
        <w:t> </w:t>
      </w:r>
      <w:r>
        <w:rPr>
          <w:sz w:val="18"/>
        </w:rPr>
        <w:t>the</w:t>
      </w:r>
    </w:p>
    <w:p>
      <w:pPr>
        <w:spacing w:line="203" w:lineRule="exact" w:before="0"/>
        <w:ind w:left="180" w:right="0" w:firstLine="0"/>
        <w:jc w:val="left"/>
        <w:rPr>
          <w:sz w:val="18"/>
        </w:rPr>
      </w:pPr>
      <w:r>
        <w:rPr>
          <w:i/>
          <w:sz w:val="18"/>
        </w:rPr>
        <w:t>Inflation Report </w:t>
      </w:r>
      <w:r>
        <w:rPr>
          <w:sz w:val="18"/>
        </w:rPr>
        <w:t>on Thursday 17 February.</w:t>
      </w:r>
    </w:p>
    <w:p>
      <w:pPr>
        <w:pStyle w:val="BodyText"/>
        <w:spacing w:before="2"/>
        <w:rPr>
          <w:sz w:val="17"/>
        </w:rPr>
      </w:pPr>
    </w:p>
    <w:p>
      <w:pPr>
        <w:pStyle w:val="ListParagraph"/>
        <w:numPr>
          <w:ilvl w:val="0"/>
          <w:numId w:val="42"/>
        </w:numPr>
        <w:tabs>
          <w:tab w:pos="659" w:val="left" w:leader="none"/>
          <w:tab w:pos="660" w:val="left" w:leader="none"/>
        </w:tabs>
        <w:spacing w:line="232" w:lineRule="auto" w:before="0" w:after="0"/>
        <w:ind w:left="180" w:right="87" w:firstLine="0"/>
        <w:jc w:val="left"/>
        <w:rPr>
          <w:sz w:val="18"/>
        </w:rPr>
      </w:pPr>
      <w:r>
        <w:rPr>
          <w:sz w:val="18"/>
        </w:rPr>
        <w:t>On the assumption of an official repo rate of 6.0% over the next two years, the best collective projection was for output growth to rise to about 3% and then fall back to around 2</w:t>
      </w:r>
      <w:r>
        <w:rPr>
          <w:position w:val="6"/>
          <w:sz w:val="9"/>
        </w:rPr>
        <w:t>1</w:t>
      </w:r>
      <w:r>
        <w:rPr>
          <w:sz w:val="18"/>
        </w:rPr>
        <w:t>/</w:t>
      </w:r>
      <w:r>
        <w:rPr>
          <w:sz w:val="9"/>
        </w:rPr>
        <w:t>2</w:t>
      </w:r>
      <w:r>
        <w:rPr>
          <w:sz w:val="18"/>
        </w:rPr>
        <w:t>%—close to most estimates of trend—for most of the forecast period. This was softer than in November, largely reflecting the tightening of monetary policy and sterling’s</w:t>
      </w:r>
      <w:r>
        <w:rPr>
          <w:spacing w:val="-8"/>
          <w:sz w:val="18"/>
        </w:rPr>
        <w:t> </w:t>
      </w:r>
      <w:r>
        <w:rPr>
          <w:sz w:val="18"/>
        </w:rPr>
        <w:t>appreciation.</w:t>
      </w:r>
    </w:p>
    <w:p>
      <w:pPr>
        <w:pStyle w:val="BodyText"/>
        <w:rPr>
          <w:sz w:val="17"/>
        </w:rPr>
      </w:pPr>
    </w:p>
    <w:p>
      <w:pPr>
        <w:pStyle w:val="ListParagraph"/>
        <w:numPr>
          <w:ilvl w:val="0"/>
          <w:numId w:val="42"/>
        </w:numPr>
        <w:tabs>
          <w:tab w:pos="659" w:val="left" w:leader="none"/>
          <w:tab w:pos="660" w:val="left" w:leader="none"/>
        </w:tabs>
        <w:spacing w:line="232" w:lineRule="auto" w:before="0" w:after="0"/>
        <w:ind w:left="179" w:right="38" w:firstLine="0"/>
        <w:jc w:val="left"/>
        <w:rPr>
          <w:sz w:val="18"/>
        </w:rPr>
      </w:pPr>
      <w:r>
        <w:rPr>
          <w:sz w:val="18"/>
        </w:rPr>
        <w:t>On the best collective projection, RPIX inflation fell slightly from its current level of 2.2% to about 2% during 2000, and then rose gradually to around the 2</w:t>
      </w:r>
      <w:r>
        <w:rPr>
          <w:position w:val="6"/>
          <w:sz w:val="9"/>
        </w:rPr>
        <w:t>1</w:t>
      </w:r>
      <w:r>
        <w:rPr>
          <w:sz w:val="18"/>
        </w:rPr>
        <w:t>/</w:t>
      </w:r>
      <w:r>
        <w:rPr>
          <w:sz w:val="9"/>
        </w:rPr>
        <w:t>2</w:t>
      </w:r>
      <w:r>
        <w:rPr>
          <w:sz w:val="18"/>
        </w:rPr>
        <w:t>% target from mid-2001.  There was less of a saucer shape (that is, a dip followed by a sharp upturn) than in November, reflecting upward pressures early in the forecast period from higher earnings growth than in the November projection and downward pressures later on in the forecast period from the restraining effects of tighter monetary policy and the higher exchange</w:t>
      </w:r>
      <w:r>
        <w:rPr>
          <w:spacing w:val="-3"/>
          <w:sz w:val="18"/>
        </w:rPr>
        <w:t> </w:t>
      </w:r>
      <w:r>
        <w:rPr>
          <w:sz w:val="18"/>
        </w:rPr>
        <w:t>rate.</w:t>
      </w:r>
    </w:p>
    <w:p>
      <w:pPr>
        <w:pStyle w:val="BodyText"/>
        <w:spacing w:before="6"/>
        <w:rPr>
          <w:sz w:val="20"/>
        </w:rPr>
      </w:pPr>
      <w:r>
        <w:rPr/>
        <w:br w:type="column"/>
      </w:r>
      <w:r>
        <w:rPr>
          <w:sz w:val="20"/>
        </w:rPr>
      </w:r>
    </w:p>
    <w:p>
      <w:pPr>
        <w:pStyle w:val="ListParagraph"/>
        <w:numPr>
          <w:ilvl w:val="0"/>
          <w:numId w:val="42"/>
        </w:numPr>
        <w:tabs>
          <w:tab w:pos="659" w:val="left" w:leader="none"/>
          <w:tab w:pos="660" w:val="left" w:leader="none"/>
        </w:tabs>
        <w:spacing w:line="232" w:lineRule="auto" w:before="0" w:after="0"/>
        <w:ind w:left="179" w:right="323" w:firstLine="0"/>
        <w:jc w:val="left"/>
        <w:rPr>
          <w:sz w:val="18"/>
        </w:rPr>
      </w:pPr>
      <w:r>
        <w:rPr>
          <w:sz w:val="18"/>
        </w:rPr>
        <w:t>As already described, there was a range of preferred assumptions for the path of the nominal exchange rate and for price-cost margins; these were presented in Table 6.B on page 57 of the February </w:t>
      </w:r>
      <w:r>
        <w:rPr>
          <w:i/>
          <w:sz w:val="18"/>
        </w:rPr>
        <w:t>Inflation Report</w:t>
      </w:r>
      <w:r>
        <w:rPr>
          <w:sz w:val="18"/>
        </w:rPr>
        <w:t>. Different members preferred different combinations of these assumptions, either raising or lowering the inflation projection at the two-year horizon by up to half a percentage</w:t>
      </w:r>
      <w:r>
        <w:rPr>
          <w:spacing w:val="-4"/>
          <w:sz w:val="18"/>
        </w:rPr>
        <w:t> </w:t>
      </w:r>
      <w:r>
        <w:rPr>
          <w:sz w:val="18"/>
        </w:rPr>
        <w:t>point.</w:t>
      </w:r>
    </w:p>
    <w:p>
      <w:pPr>
        <w:pStyle w:val="BodyText"/>
        <w:spacing w:before="8"/>
        <w:rPr>
          <w:sz w:val="23"/>
        </w:rPr>
      </w:pPr>
    </w:p>
    <w:p>
      <w:pPr>
        <w:pStyle w:val="Heading8"/>
        <w:spacing w:line="266" w:lineRule="auto"/>
        <w:ind w:left="179"/>
      </w:pPr>
      <w:r>
        <w:rPr>
          <w:color w:val="009391"/>
        </w:rPr>
        <w:t>Other considerations: implications of the exchange rate and sectoral imbalances</w:t>
      </w:r>
    </w:p>
    <w:p>
      <w:pPr>
        <w:pStyle w:val="ListParagraph"/>
        <w:numPr>
          <w:ilvl w:val="0"/>
          <w:numId w:val="42"/>
        </w:numPr>
        <w:tabs>
          <w:tab w:pos="659" w:val="left" w:leader="none"/>
          <w:tab w:pos="660" w:val="left" w:leader="none"/>
        </w:tabs>
        <w:spacing w:line="232" w:lineRule="auto" w:before="101" w:after="0"/>
        <w:ind w:left="179" w:right="328" w:firstLine="0"/>
        <w:jc w:val="left"/>
        <w:rPr>
          <w:sz w:val="18"/>
        </w:rPr>
      </w:pPr>
      <w:r>
        <w:rPr>
          <w:sz w:val="18"/>
        </w:rPr>
        <w:t>Against the background of its latest projections and its analysis of the recent data, the Committee discussed a range of issues before turning to its immediate policy decision. In particular, a number of Committee members were very concerned about the further rise in the exchange rate that had occurred over the past few months; and about the associated imbalances in the economy.</w:t>
      </w:r>
    </w:p>
    <w:p>
      <w:pPr>
        <w:pStyle w:val="BodyText"/>
        <w:spacing w:before="4"/>
        <w:rPr>
          <w:sz w:val="20"/>
        </w:rPr>
      </w:pPr>
    </w:p>
    <w:p>
      <w:pPr>
        <w:pStyle w:val="ListParagraph"/>
        <w:numPr>
          <w:ilvl w:val="0"/>
          <w:numId w:val="42"/>
        </w:numPr>
        <w:tabs>
          <w:tab w:pos="659" w:val="left" w:leader="none"/>
          <w:tab w:pos="660" w:val="left" w:leader="none"/>
        </w:tabs>
        <w:spacing w:line="232" w:lineRule="auto" w:before="0" w:after="0"/>
        <w:ind w:left="179" w:right="178" w:firstLine="0"/>
        <w:jc w:val="left"/>
        <w:rPr>
          <w:sz w:val="18"/>
        </w:rPr>
      </w:pPr>
      <w:r>
        <w:rPr>
          <w:sz w:val="18"/>
        </w:rPr>
        <w:t>The prospects for inflation depended heavily on the path of the exchange rate, which was highly uncertain. If sterling were to depreciate in line with interest rate differentials (or more) then, other things being equal, inflation would most likely be above the 2</w:t>
      </w:r>
      <w:r>
        <w:rPr>
          <w:position w:val="6"/>
          <w:sz w:val="9"/>
        </w:rPr>
        <w:t>1</w:t>
      </w:r>
      <w:r>
        <w:rPr>
          <w:sz w:val="18"/>
        </w:rPr>
        <w:t>/</w:t>
      </w:r>
      <w:r>
        <w:rPr>
          <w:sz w:val="9"/>
        </w:rPr>
        <w:t>2</w:t>
      </w:r>
      <w:r>
        <w:rPr>
          <w:sz w:val="18"/>
        </w:rPr>
        <w:t>% target by the forecast horizon. If, on the other hand, sterling’s current strength persisted, inflation would most likely be below target throughout the forecast</w:t>
      </w:r>
      <w:r>
        <w:rPr>
          <w:spacing w:val="-7"/>
          <w:sz w:val="18"/>
        </w:rPr>
        <w:t> </w:t>
      </w:r>
      <w:r>
        <w:rPr>
          <w:sz w:val="18"/>
        </w:rPr>
        <w:t>period.</w:t>
      </w:r>
    </w:p>
    <w:p>
      <w:pPr>
        <w:pStyle w:val="BodyText"/>
        <w:spacing w:before="8"/>
      </w:pPr>
    </w:p>
    <w:p>
      <w:pPr>
        <w:pStyle w:val="ListParagraph"/>
        <w:numPr>
          <w:ilvl w:val="0"/>
          <w:numId w:val="42"/>
        </w:numPr>
        <w:tabs>
          <w:tab w:pos="659" w:val="left" w:leader="none"/>
          <w:tab w:pos="660" w:val="left" w:leader="none"/>
        </w:tabs>
        <w:spacing w:line="232" w:lineRule="auto" w:before="0" w:after="0"/>
        <w:ind w:left="179" w:right="552" w:firstLine="0"/>
        <w:jc w:val="left"/>
        <w:rPr>
          <w:sz w:val="18"/>
        </w:rPr>
      </w:pPr>
      <w:r>
        <w:rPr>
          <w:sz w:val="18"/>
        </w:rPr>
        <w:t>The Committee discussed the implications for monetary policy of domestic sectoral imbalances associated with the continuing strength of</w:t>
      </w:r>
      <w:r>
        <w:rPr>
          <w:spacing w:val="-5"/>
          <w:sz w:val="18"/>
        </w:rPr>
        <w:t> </w:t>
      </w:r>
      <w:r>
        <w:rPr>
          <w:sz w:val="18"/>
        </w:rPr>
        <w:t>sterling.</w:t>
      </w:r>
    </w:p>
    <w:p>
      <w:pPr>
        <w:pStyle w:val="BodyText"/>
        <w:spacing w:before="2"/>
        <w:rPr>
          <w:sz w:val="17"/>
        </w:rPr>
      </w:pPr>
    </w:p>
    <w:p>
      <w:pPr>
        <w:pStyle w:val="ListParagraph"/>
        <w:numPr>
          <w:ilvl w:val="0"/>
          <w:numId w:val="42"/>
        </w:numPr>
        <w:tabs>
          <w:tab w:pos="659" w:val="left" w:leader="none"/>
          <w:tab w:pos="660" w:val="left" w:leader="none"/>
        </w:tabs>
        <w:spacing w:line="232" w:lineRule="auto" w:before="0" w:after="0"/>
        <w:ind w:left="179" w:right="169" w:firstLine="0"/>
        <w:jc w:val="left"/>
        <w:rPr>
          <w:sz w:val="18"/>
        </w:rPr>
      </w:pPr>
      <w:r>
        <w:rPr>
          <w:sz w:val="18"/>
        </w:rPr>
        <w:t>On one view, prospective sectoral imbalances should not of themselves affect the Committee’s interest rate decision given its remit. Moreover, imbalances had, if anything, narrowed in recent months. The difference between recent annual rates of growth for services and manufacturing had declined. Regional differences had also narrowed, with for example the balance of new orders recorded in the January CBI Quarterly Trends survey rising in ten out of eleven regions. Moreover, a marked dispersion of growth rates amongst firms within particular sectors was to be expected in a period of technological and structural change; in that sense the imbalances between old and new industries were a symptom of factors that would otherwise be regarded as</w:t>
      </w:r>
      <w:r>
        <w:rPr>
          <w:spacing w:val="-16"/>
          <w:sz w:val="18"/>
        </w:rPr>
        <w:t> </w:t>
      </w:r>
      <w:r>
        <w:rPr>
          <w:sz w:val="18"/>
        </w:rPr>
        <w:t>desirable.</w:t>
      </w:r>
    </w:p>
    <w:p>
      <w:pPr>
        <w:pStyle w:val="BodyText"/>
        <w:spacing w:before="7"/>
        <w:rPr>
          <w:sz w:val="16"/>
        </w:rPr>
      </w:pPr>
    </w:p>
    <w:p>
      <w:pPr>
        <w:pStyle w:val="ListParagraph"/>
        <w:numPr>
          <w:ilvl w:val="0"/>
          <w:numId w:val="42"/>
        </w:numPr>
        <w:tabs>
          <w:tab w:pos="659" w:val="left" w:leader="none"/>
          <w:tab w:pos="660" w:val="left" w:leader="none"/>
        </w:tabs>
        <w:spacing w:line="232" w:lineRule="auto" w:before="0" w:after="0"/>
        <w:ind w:left="179" w:right="168" w:firstLine="0"/>
        <w:jc w:val="left"/>
        <w:rPr>
          <w:sz w:val="18"/>
        </w:rPr>
      </w:pPr>
      <w:r>
        <w:rPr>
          <w:sz w:val="18"/>
        </w:rPr>
        <w:t>On another view, if the exchange rate persisted at its current level, the imbalances in the economy would probably get worse and that was unwelcome. It was already likely that there had been failures amongst businesses which would have been able to survive at a lower—and, on the view of some members, more sustainable— real exchange rate. It was noted that one recent IMF study had estimated that sterling was overvalued by more than 15%, a bigger misalignment than the study estimated for any other industrialised country. It was, therefore, desirable to consider whether official policy could do anything to mitigate this. It was noted in that context that the textbook response would be fiscal policy tightening. But that kind of active use of fiscal policy was forsworn under the current fiscal framework, and it was observed that fiscal policy had in fact tightened over the past few years.  As to monetary policy, whether the Committee’s remit was in principle consistent with taking these concerns into account depended on whether there were different paths of interest rates which could achieve the inflation target but which might have different implications for the exchange rate. It was noted that an interest rate policy which helped to sustain sterling at current or higher levels ran significant risks with the inflation target at some future point when sterling could fall sharply. In the interests of making it easier to meet the inflation target at all times, an interest rate path now that helped to keep sterling lower would be desirable. On the other hand, an interest rate policy which sought to offset the current strength of sterling would risk fuelling domestic demand, which could have adverse implications for inflation further</w:t>
      </w:r>
      <w:r>
        <w:rPr>
          <w:spacing w:val="-22"/>
          <w:sz w:val="18"/>
        </w:rPr>
        <w:t> </w:t>
      </w:r>
      <w:r>
        <w:rPr>
          <w:sz w:val="18"/>
        </w:rPr>
        <w:t>ahead.</w:t>
      </w:r>
    </w:p>
    <w:p>
      <w:pPr>
        <w:spacing w:after="0" w:line="232" w:lineRule="auto"/>
        <w:jc w:val="left"/>
        <w:rPr>
          <w:sz w:val="18"/>
        </w:rPr>
        <w:sectPr>
          <w:type w:val="continuous"/>
          <w:pgSz w:w="11900" w:h="16840"/>
          <w:pgMar w:top="1220" w:bottom="280" w:left="640" w:right="620"/>
          <w:cols w:num="2" w:equalWidth="0">
            <w:col w:w="5123" w:space="264"/>
            <w:col w:w="5253"/>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7"/>
        <w:rPr>
          <w:sz w:val="19"/>
        </w:rPr>
      </w:pPr>
    </w:p>
    <w:p>
      <w:pPr>
        <w:pStyle w:val="ListParagraph"/>
        <w:numPr>
          <w:ilvl w:val="0"/>
          <w:numId w:val="42"/>
        </w:numPr>
        <w:tabs>
          <w:tab w:pos="639" w:val="left" w:leader="none"/>
          <w:tab w:pos="640" w:val="left" w:leader="none"/>
        </w:tabs>
        <w:spacing w:line="232" w:lineRule="auto" w:before="1" w:after="0"/>
        <w:ind w:left="160" w:right="73" w:firstLine="0"/>
        <w:jc w:val="left"/>
        <w:rPr>
          <w:sz w:val="18"/>
        </w:rPr>
      </w:pPr>
      <w:r>
        <w:rPr>
          <w:sz w:val="18"/>
        </w:rPr>
        <w:t>It was in any event unclear what, if anything, the Committee could do to address these wider concerns given the current conjuncture of market expectations. The market was firmly expecting a 25 basis point rise in the Bank’s repo rate. Some members believed that if that were the Committee’s decision, there would be little change in either the exchange rate or in money market rates. Some other members were concerned that a tightening</w:t>
      </w:r>
      <w:r>
        <w:rPr>
          <w:spacing w:val="-6"/>
          <w:sz w:val="18"/>
        </w:rPr>
        <w:t> </w:t>
      </w:r>
      <w:r>
        <w:rPr>
          <w:sz w:val="18"/>
        </w:rPr>
        <w:t>of</w:t>
      </w:r>
      <w:r>
        <w:rPr>
          <w:spacing w:val="-5"/>
          <w:sz w:val="18"/>
        </w:rPr>
        <w:t> </w:t>
      </w:r>
      <w:r>
        <w:rPr>
          <w:sz w:val="18"/>
        </w:rPr>
        <w:t>policy,</w:t>
      </w:r>
      <w:r>
        <w:rPr>
          <w:spacing w:val="-5"/>
          <w:sz w:val="18"/>
        </w:rPr>
        <w:t> </w:t>
      </w:r>
      <w:r>
        <w:rPr>
          <w:sz w:val="18"/>
        </w:rPr>
        <w:t>even</w:t>
      </w:r>
      <w:r>
        <w:rPr>
          <w:spacing w:val="-5"/>
          <w:sz w:val="18"/>
        </w:rPr>
        <w:t> </w:t>
      </w:r>
      <w:r>
        <w:rPr>
          <w:sz w:val="18"/>
        </w:rPr>
        <w:t>though</w:t>
      </w:r>
      <w:r>
        <w:rPr>
          <w:spacing w:val="-6"/>
          <w:sz w:val="18"/>
        </w:rPr>
        <w:t> </w:t>
      </w:r>
      <w:r>
        <w:rPr>
          <w:sz w:val="18"/>
        </w:rPr>
        <w:t>expected,</w:t>
      </w:r>
      <w:r>
        <w:rPr>
          <w:spacing w:val="-5"/>
          <w:sz w:val="18"/>
        </w:rPr>
        <w:t> </w:t>
      </w:r>
      <w:r>
        <w:rPr>
          <w:sz w:val="18"/>
        </w:rPr>
        <w:t>could</w:t>
      </w:r>
      <w:r>
        <w:rPr>
          <w:spacing w:val="-5"/>
          <w:sz w:val="18"/>
        </w:rPr>
        <w:t> </w:t>
      </w:r>
      <w:r>
        <w:rPr>
          <w:sz w:val="18"/>
        </w:rPr>
        <w:t>have</w:t>
      </w:r>
      <w:r>
        <w:rPr>
          <w:spacing w:val="-5"/>
          <w:sz w:val="18"/>
        </w:rPr>
        <w:t> </w:t>
      </w:r>
      <w:r>
        <w:rPr>
          <w:sz w:val="18"/>
        </w:rPr>
        <w:t>the</w:t>
      </w:r>
      <w:r>
        <w:rPr>
          <w:spacing w:val="-6"/>
          <w:sz w:val="18"/>
        </w:rPr>
        <w:t> </w:t>
      </w:r>
      <w:r>
        <w:rPr>
          <w:sz w:val="18"/>
        </w:rPr>
        <w:t>effect</w:t>
      </w:r>
      <w:r>
        <w:rPr>
          <w:spacing w:val="-5"/>
          <w:sz w:val="18"/>
        </w:rPr>
        <w:t> </w:t>
      </w:r>
      <w:r>
        <w:rPr>
          <w:sz w:val="18"/>
        </w:rPr>
        <w:t>of putting further upward pressure on sterling when the </w:t>
      </w:r>
      <w:r>
        <w:rPr>
          <w:i/>
          <w:sz w:val="18"/>
        </w:rPr>
        <w:t>Inflation </w:t>
      </w:r>
      <w:r>
        <w:rPr>
          <w:i/>
          <w:sz w:val="18"/>
        </w:rPr>
        <w:t>Report </w:t>
      </w:r>
      <w:r>
        <w:rPr>
          <w:sz w:val="18"/>
        </w:rPr>
        <w:t>was released, by making it appear a ‘one way bet’ in the short</w:t>
      </w:r>
      <w:r>
        <w:rPr>
          <w:spacing w:val="-2"/>
          <w:sz w:val="18"/>
        </w:rPr>
        <w:t> </w:t>
      </w:r>
      <w:r>
        <w:rPr>
          <w:sz w:val="18"/>
        </w:rPr>
        <w:t>run.</w:t>
      </w:r>
    </w:p>
    <w:p>
      <w:pPr>
        <w:pStyle w:val="BodyText"/>
        <w:spacing w:before="7"/>
        <w:rPr>
          <w:sz w:val="16"/>
        </w:rPr>
      </w:pPr>
    </w:p>
    <w:p>
      <w:pPr>
        <w:pStyle w:val="ListParagraph"/>
        <w:numPr>
          <w:ilvl w:val="0"/>
          <w:numId w:val="42"/>
        </w:numPr>
        <w:tabs>
          <w:tab w:pos="639" w:val="left" w:leader="none"/>
          <w:tab w:pos="640" w:val="left" w:leader="none"/>
        </w:tabs>
        <w:spacing w:line="232" w:lineRule="auto" w:before="0" w:after="0"/>
        <w:ind w:left="160" w:right="38" w:firstLine="0"/>
        <w:jc w:val="left"/>
        <w:rPr>
          <w:sz w:val="18"/>
        </w:rPr>
      </w:pPr>
      <w:r>
        <w:rPr>
          <w:sz w:val="18"/>
        </w:rPr>
        <w:t>There was also a range of views on the likely market reaction to a decision to maintain the repo rate at 5.75%. Some members thought that, particularly given the </w:t>
      </w:r>
      <w:r>
        <w:rPr>
          <w:i/>
          <w:sz w:val="18"/>
        </w:rPr>
        <w:t>Inflation Report </w:t>
      </w:r>
      <w:r>
        <w:rPr>
          <w:sz w:val="18"/>
        </w:rPr>
        <w:t>projection, it was likely that the market would conclude that a rate rise had simply been deferred, and possibly even that the official rate would end up having to go higher than otherwise. In that case, sterling’s exchange rate would be supported and might even rise rather than falling back. Some other members thought that it might be possible to explain a ‘no change’ decision in a way which avoided that risk and which might create conditions in which sterling eased back. RPIX inflation had been below the 2</w:t>
      </w:r>
      <w:r>
        <w:rPr>
          <w:position w:val="6"/>
          <w:sz w:val="9"/>
        </w:rPr>
        <w:t>1</w:t>
      </w:r>
      <w:r>
        <w:rPr>
          <w:sz w:val="18"/>
        </w:rPr>
        <w:t>/</w:t>
      </w:r>
      <w:r>
        <w:rPr>
          <w:sz w:val="9"/>
        </w:rPr>
        <w:t>2</w:t>
      </w:r>
      <w:r>
        <w:rPr>
          <w:sz w:val="18"/>
        </w:rPr>
        <w:t>% target for nine months and, on current evidence, was set to remain so over the coming year. This profile might make a ‘wait and see’ policy feasible and could potentially provide a safe background against which to explain publicly that inflation would undershoot the target if both sterling and interest rates remained at their current levels. That might help to dent any ‘one way bet’ element in sterling’s short-run strength. In addition, these members doubted that sterling would rise sustainably on a ‘no change’ decision, because if it were to do so, the markets would quickly conclude that, other things being equal, a future interest rate rise had become less likely, which would weaken an important source of support for</w:t>
      </w:r>
      <w:r>
        <w:rPr>
          <w:spacing w:val="-21"/>
          <w:sz w:val="18"/>
        </w:rPr>
        <w:t> </w:t>
      </w:r>
      <w:r>
        <w:rPr>
          <w:sz w:val="18"/>
        </w:rPr>
        <w:t>sterling.</w:t>
      </w:r>
    </w:p>
    <w:p>
      <w:pPr>
        <w:pStyle w:val="BodyText"/>
        <w:spacing w:before="10"/>
        <w:rPr>
          <w:sz w:val="15"/>
        </w:rPr>
      </w:pPr>
    </w:p>
    <w:p>
      <w:pPr>
        <w:pStyle w:val="ListParagraph"/>
        <w:numPr>
          <w:ilvl w:val="0"/>
          <w:numId w:val="42"/>
        </w:numPr>
        <w:tabs>
          <w:tab w:pos="639" w:val="left" w:leader="none"/>
          <w:tab w:pos="640" w:val="left" w:leader="none"/>
        </w:tabs>
        <w:spacing w:line="232" w:lineRule="auto" w:before="1" w:after="0"/>
        <w:ind w:left="160" w:right="38" w:firstLine="0"/>
        <w:jc w:val="left"/>
        <w:rPr>
          <w:sz w:val="18"/>
        </w:rPr>
      </w:pPr>
      <w:r>
        <w:rPr>
          <w:sz w:val="18"/>
        </w:rPr>
        <w:t>The Committee debated whether intervention in the foreign exchange markets could usefully be deployed, either with the announcement of the Committee’s immediate repo rate decision or subsequently.  Those members prepared to contemplate intervention placed some weight on its use as a signal of concerns about the level of the exchange rate—a more powerful signal than words</w:t>
      </w:r>
      <w:r>
        <w:rPr>
          <w:spacing w:val="-5"/>
          <w:sz w:val="18"/>
        </w:rPr>
        <w:t> </w:t>
      </w:r>
      <w:r>
        <w:rPr>
          <w:sz w:val="18"/>
        </w:rPr>
        <w:t>alone—but</w:t>
      </w:r>
      <w:r>
        <w:rPr>
          <w:spacing w:val="-5"/>
          <w:sz w:val="18"/>
        </w:rPr>
        <w:t> </w:t>
      </w:r>
      <w:r>
        <w:rPr>
          <w:sz w:val="18"/>
        </w:rPr>
        <w:t>most</w:t>
      </w:r>
      <w:r>
        <w:rPr>
          <w:spacing w:val="-4"/>
          <w:sz w:val="18"/>
        </w:rPr>
        <w:t> </w:t>
      </w:r>
      <w:r>
        <w:rPr>
          <w:sz w:val="18"/>
        </w:rPr>
        <w:t>of</w:t>
      </w:r>
      <w:r>
        <w:rPr>
          <w:spacing w:val="-5"/>
          <w:sz w:val="18"/>
        </w:rPr>
        <w:t> </w:t>
      </w:r>
      <w:r>
        <w:rPr>
          <w:sz w:val="18"/>
        </w:rPr>
        <w:t>them</w:t>
      </w:r>
      <w:r>
        <w:rPr>
          <w:spacing w:val="-4"/>
          <w:sz w:val="18"/>
        </w:rPr>
        <w:t> </w:t>
      </w:r>
      <w:r>
        <w:rPr>
          <w:sz w:val="18"/>
        </w:rPr>
        <w:t>concluded</w:t>
      </w:r>
      <w:r>
        <w:rPr>
          <w:spacing w:val="-5"/>
          <w:sz w:val="18"/>
        </w:rPr>
        <w:t> </w:t>
      </w:r>
      <w:r>
        <w:rPr>
          <w:sz w:val="18"/>
        </w:rPr>
        <w:t>that</w:t>
      </w:r>
      <w:r>
        <w:rPr>
          <w:spacing w:val="-4"/>
          <w:sz w:val="18"/>
        </w:rPr>
        <w:t> </w:t>
      </w:r>
      <w:r>
        <w:rPr>
          <w:sz w:val="18"/>
        </w:rPr>
        <w:t>it</w:t>
      </w:r>
      <w:r>
        <w:rPr>
          <w:spacing w:val="-5"/>
          <w:sz w:val="18"/>
        </w:rPr>
        <w:t> </w:t>
      </w:r>
      <w:r>
        <w:rPr>
          <w:sz w:val="18"/>
        </w:rPr>
        <w:t>could</w:t>
      </w:r>
      <w:r>
        <w:rPr>
          <w:spacing w:val="-4"/>
          <w:sz w:val="18"/>
        </w:rPr>
        <w:t> </w:t>
      </w:r>
      <w:r>
        <w:rPr>
          <w:sz w:val="18"/>
        </w:rPr>
        <w:t>be</w:t>
      </w:r>
      <w:r>
        <w:rPr>
          <w:spacing w:val="-5"/>
          <w:sz w:val="18"/>
        </w:rPr>
        <w:t> </w:t>
      </w:r>
      <w:r>
        <w:rPr>
          <w:sz w:val="18"/>
        </w:rPr>
        <w:t>an</w:t>
      </w:r>
      <w:r>
        <w:rPr>
          <w:spacing w:val="-4"/>
          <w:sz w:val="18"/>
        </w:rPr>
        <w:t> </w:t>
      </w:r>
      <w:r>
        <w:rPr>
          <w:sz w:val="18"/>
        </w:rPr>
        <w:t>option only if the Committee decided to leave the repo rate unchanged and, even then, would have to depend on market conditions. Other members thought, first, that it was doubtful whether intervention would be effective as there was little evidence that the market consensus which sustained sterling at its current level was fragile; and that a failed attempt to influence the exchange rate via intervention would damage the Committee’s credibility. Second, to the extent that sterling’s strength mainly reflected euro weakness, the MPC could do very little about it. Third, the Committee’s analysis of the exchange rate could be conveyed via the minutes of the</w:t>
      </w:r>
      <w:r>
        <w:rPr>
          <w:spacing w:val="-4"/>
          <w:sz w:val="18"/>
        </w:rPr>
        <w:t> </w:t>
      </w:r>
      <w:r>
        <w:rPr>
          <w:sz w:val="18"/>
        </w:rPr>
        <w:t>meeting</w:t>
      </w:r>
      <w:r>
        <w:rPr>
          <w:spacing w:val="-4"/>
          <w:sz w:val="18"/>
        </w:rPr>
        <w:t> </w:t>
      </w:r>
      <w:r>
        <w:rPr>
          <w:sz w:val="18"/>
        </w:rPr>
        <w:t>and</w:t>
      </w:r>
      <w:r>
        <w:rPr>
          <w:spacing w:val="-4"/>
          <w:sz w:val="18"/>
        </w:rPr>
        <w:t> </w:t>
      </w:r>
      <w:r>
        <w:rPr>
          <w:sz w:val="18"/>
        </w:rPr>
        <w:t>did</w:t>
      </w:r>
      <w:r>
        <w:rPr>
          <w:spacing w:val="-4"/>
          <w:sz w:val="18"/>
        </w:rPr>
        <w:t> </w:t>
      </w:r>
      <w:r>
        <w:rPr>
          <w:sz w:val="18"/>
        </w:rPr>
        <w:t>not</w:t>
      </w:r>
      <w:r>
        <w:rPr>
          <w:spacing w:val="-4"/>
          <w:sz w:val="18"/>
        </w:rPr>
        <w:t> </w:t>
      </w:r>
      <w:r>
        <w:rPr>
          <w:sz w:val="18"/>
        </w:rPr>
        <w:t>need</w:t>
      </w:r>
      <w:r>
        <w:rPr>
          <w:spacing w:val="-4"/>
          <w:sz w:val="18"/>
        </w:rPr>
        <w:t> </w:t>
      </w:r>
      <w:r>
        <w:rPr>
          <w:sz w:val="18"/>
        </w:rPr>
        <w:t>to</w:t>
      </w:r>
      <w:r>
        <w:rPr>
          <w:spacing w:val="-4"/>
          <w:sz w:val="18"/>
        </w:rPr>
        <w:t> </w:t>
      </w:r>
      <w:r>
        <w:rPr>
          <w:sz w:val="18"/>
        </w:rPr>
        <w:t>be</w:t>
      </w:r>
      <w:r>
        <w:rPr>
          <w:spacing w:val="-4"/>
          <w:sz w:val="18"/>
        </w:rPr>
        <w:t> </w:t>
      </w:r>
      <w:r>
        <w:rPr>
          <w:sz w:val="18"/>
        </w:rPr>
        <w:t>demonstrated</w:t>
      </w:r>
      <w:r>
        <w:rPr>
          <w:spacing w:val="-4"/>
          <w:sz w:val="18"/>
        </w:rPr>
        <w:t> </w:t>
      </w:r>
      <w:r>
        <w:rPr>
          <w:sz w:val="18"/>
        </w:rPr>
        <w:t>via</w:t>
      </w:r>
      <w:r>
        <w:rPr>
          <w:spacing w:val="-4"/>
          <w:sz w:val="18"/>
        </w:rPr>
        <w:t> </w:t>
      </w:r>
      <w:r>
        <w:rPr>
          <w:sz w:val="18"/>
        </w:rPr>
        <w:t>intervention.</w:t>
      </w:r>
    </w:p>
    <w:p>
      <w:pPr>
        <w:pStyle w:val="BodyText"/>
        <w:spacing w:before="1"/>
        <w:rPr>
          <w:sz w:val="16"/>
        </w:rPr>
      </w:pPr>
    </w:p>
    <w:p>
      <w:pPr>
        <w:pStyle w:val="ListParagraph"/>
        <w:numPr>
          <w:ilvl w:val="0"/>
          <w:numId w:val="42"/>
        </w:numPr>
        <w:tabs>
          <w:tab w:pos="639" w:val="left" w:leader="none"/>
          <w:tab w:pos="640" w:val="left" w:leader="none"/>
        </w:tabs>
        <w:spacing w:line="232" w:lineRule="auto" w:before="1" w:after="0"/>
        <w:ind w:left="160" w:right="63" w:firstLine="0"/>
        <w:jc w:val="left"/>
        <w:rPr>
          <w:sz w:val="18"/>
        </w:rPr>
      </w:pPr>
      <w:r>
        <w:rPr>
          <w:sz w:val="18"/>
        </w:rPr>
        <w:t>While views differed on the range of options feasibly available to the Committee, there was broader agreement that, subject</w:t>
      </w:r>
      <w:r>
        <w:rPr>
          <w:spacing w:val="-7"/>
          <w:sz w:val="18"/>
        </w:rPr>
        <w:t> </w:t>
      </w:r>
      <w:r>
        <w:rPr>
          <w:sz w:val="18"/>
        </w:rPr>
        <w:t>to</w:t>
      </w:r>
      <w:r>
        <w:rPr>
          <w:spacing w:val="-6"/>
          <w:sz w:val="18"/>
        </w:rPr>
        <w:t> </w:t>
      </w:r>
      <w:r>
        <w:rPr>
          <w:sz w:val="18"/>
        </w:rPr>
        <w:t>the</w:t>
      </w:r>
      <w:r>
        <w:rPr>
          <w:spacing w:val="-6"/>
          <w:sz w:val="18"/>
        </w:rPr>
        <w:t> </w:t>
      </w:r>
      <w:r>
        <w:rPr>
          <w:sz w:val="18"/>
        </w:rPr>
        <w:t>over-riding</w:t>
      </w:r>
      <w:r>
        <w:rPr>
          <w:spacing w:val="-6"/>
          <w:sz w:val="18"/>
        </w:rPr>
        <w:t> </w:t>
      </w:r>
      <w:r>
        <w:rPr>
          <w:sz w:val="18"/>
        </w:rPr>
        <w:t>objective</w:t>
      </w:r>
      <w:r>
        <w:rPr>
          <w:spacing w:val="-6"/>
          <w:sz w:val="18"/>
        </w:rPr>
        <w:t> </w:t>
      </w:r>
      <w:r>
        <w:rPr>
          <w:sz w:val="18"/>
        </w:rPr>
        <w:t>of</w:t>
      </w:r>
      <w:r>
        <w:rPr>
          <w:spacing w:val="-6"/>
          <w:sz w:val="18"/>
        </w:rPr>
        <w:t> </w:t>
      </w:r>
      <w:r>
        <w:rPr>
          <w:sz w:val="18"/>
        </w:rPr>
        <w:t>achieving</w:t>
      </w:r>
      <w:r>
        <w:rPr>
          <w:spacing w:val="-6"/>
          <w:sz w:val="18"/>
        </w:rPr>
        <w:t> </w:t>
      </w:r>
      <w:r>
        <w:rPr>
          <w:sz w:val="18"/>
        </w:rPr>
        <w:t>the</w:t>
      </w:r>
      <w:r>
        <w:rPr>
          <w:spacing w:val="-6"/>
          <w:sz w:val="18"/>
        </w:rPr>
        <w:t> </w:t>
      </w:r>
      <w:r>
        <w:rPr>
          <w:sz w:val="18"/>
        </w:rPr>
        <w:t>inflation</w:t>
      </w:r>
      <w:r>
        <w:rPr>
          <w:spacing w:val="-6"/>
          <w:sz w:val="18"/>
        </w:rPr>
        <w:t> </w:t>
      </w:r>
      <w:r>
        <w:rPr>
          <w:sz w:val="18"/>
        </w:rPr>
        <w:t>target, it would be preferable to have a lower exchange rate and higher interest rates from the point of view of economic conditions and balance more</w:t>
      </w:r>
      <w:r>
        <w:rPr>
          <w:spacing w:val="-3"/>
          <w:sz w:val="18"/>
        </w:rPr>
        <w:t> </w:t>
      </w:r>
      <w:r>
        <w:rPr>
          <w:sz w:val="18"/>
        </w:rPr>
        <w:t>generally.</w:t>
      </w:r>
    </w:p>
    <w:p>
      <w:pPr>
        <w:pStyle w:val="BodyText"/>
        <w:spacing w:before="3"/>
        <w:rPr>
          <w:sz w:val="20"/>
        </w:rPr>
      </w:pPr>
    </w:p>
    <w:p>
      <w:pPr>
        <w:pStyle w:val="Heading8"/>
        <w:ind w:left="160"/>
      </w:pPr>
      <w:r>
        <w:rPr>
          <w:color w:val="009391"/>
        </w:rPr>
        <w:t>The immediate policy decision</w:t>
      </w:r>
    </w:p>
    <w:p>
      <w:pPr>
        <w:pStyle w:val="ListParagraph"/>
        <w:numPr>
          <w:ilvl w:val="0"/>
          <w:numId w:val="42"/>
        </w:numPr>
        <w:tabs>
          <w:tab w:pos="639" w:val="left" w:leader="none"/>
          <w:tab w:pos="640" w:val="left" w:leader="none"/>
        </w:tabs>
        <w:spacing w:line="232" w:lineRule="auto" w:before="109" w:after="0"/>
        <w:ind w:left="160" w:right="603" w:firstLine="0"/>
        <w:jc w:val="left"/>
        <w:rPr>
          <w:sz w:val="18"/>
        </w:rPr>
      </w:pPr>
      <w:r>
        <w:rPr>
          <w:sz w:val="18"/>
        </w:rPr>
        <w:t>Some members of the Committee preferred forecast assumptions—about</w:t>
      </w:r>
      <w:r>
        <w:rPr>
          <w:spacing w:val="-6"/>
          <w:sz w:val="18"/>
        </w:rPr>
        <w:t> </w:t>
      </w:r>
      <w:r>
        <w:rPr>
          <w:sz w:val="18"/>
        </w:rPr>
        <w:t>the</w:t>
      </w:r>
      <w:r>
        <w:rPr>
          <w:spacing w:val="-5"/>
          <w:sz w:val="18"/>
        </w:rPr>
        <w:t> </w:t>
      </w:r>
      <w:r>
        <w:rPr>
          <w:sz w:val="18"/>
        </w:rPr>
        <w:t>path</w:t>
      </w:r>
      <w:r>
        <w:rPr>
          <w:spacing w:val="-6"/>
          <w:sz w:val="18"/>
        </w:rPr>
        <w:t> </w:t>
      </w:r>
      <w:r>
        <w:rPr>
          <w:sz w:val="18"/>
        </w:rPr>
        <w:t>of</w:t>
      </w:r>
      <w:r>
        <w:rPr>
          <w:spacing w:val="-5"/>
          <w:sz w:val="18"/>
        </w:rPr>
        <w:t> </w:t>
      </w:r>
      <w:r>
        <w:rPr>
          <w:sz w:val="18"/>
        </w:rPr>
        <w:t>the</w:t>
      </w:r>
      <w:r>
        <w:rPr>
          <w:spacing w:val="-6"/>
          <w:sz w:val="18"/>
        </w:rPr>
        <w:t> </w:t>
      </w:r>
      <w:r>
        <w:rPr>
          <w:sz w:val="18"/>
        </w:rPr>
        <w:t>exchange</w:t>
      </w:r>
      <w:r>
        <w:rPr>
          <w:spacing w:val="-5"/>
          <w:sz w:val="18"/>
        </w:rPr>
        <w:t> </w:t>
      </w:r>
      <w:r>
        <w:rPr>
          <w:sz w:val="18"/>
        </w:rPr>
        <w:t>rate</w:t>
      </w:r>
      <w:r>
        <w:rPr>
          <w:spacing w:val="-6"/>
          <w:sz w:val="18"/>
        </w:rPr>
        <w:t> </w:t>
      </w:r>
      <w:r>
        <w:rPr>
          <w:sz w:val="18"/>
        </w:rPr>
        <w:t>and</w:t>
      </w:r>
      <w:r>
        <w:rPr>
          <w:spacing w:val="-5"/>
          <w:sz w:val="18"/>
        </w:rPr>
        <w:t> </w:t>
      </w:r>
      <w:r>
        <w:rPr>
          <w:sz w:val="18"/>
        </w:rPr>
        <w:t>about</w:t>
      </w:r>
    </w:p>
    <w:p>
      <w:pPr>
        <w:pStyle w:val="BodyText"/>
        <w:spacing w:line="232" w:lineRule="auto"/>
        <w:ind w:left="159" w:right="65"/>
      </w:pPr>
      <w:r>
        <w:rPr/>
        <w:t>price-cost margins—which would produce a central projection for inflation at the two-year forecast horizon closer to 3% than 2</w:t>
      </w:r>
      <w:r>
        <w:rPr>
          <w:position w:val="6"/>
          <w:sz w:val="9"/>
        </w:rPr>
        <w:t>1</w:t>
      </w:r>
      <w:r>
        <w:rPr/>
        <w:t>/</w:t>
      </w:r>
      <w:r>
        <w:rPr>
          <w:sz w:val="9"/>
        </w:rPr>
        <w:t>2</w:t>
      </w:r>
      <w:r>
        <w:rPr/>
        <w:t>%. In the short run, inflation would continue to be below target and would be further restrained by the appreciation in sterling, which would more than offset the increase in oil prices. But it was vital to be forward-looking. Given the medium-term outlook, policy needed to be tighter, and in particular domestic demand</w:t>
      </w:r>
      <w:r>
        <w:rPr>
          <w:spacing w:val="-32"/>
        </w:rPr>
        <w:t> </w:t>
      </w:r>
      <w:r>
        <w:rPr/>
        <w:t>growth</w:t>
      </w:r>
    </w:p>
    <w:p>
      <w:pPr>
        <w:pStyle w:val="BodyText"/>
        <w:spacing w:before="7"/>
        <w:rPr>
          <w:sz w:val="19"/>
        </w:rPr>
      </w:pPr>
      <w:r>
        <w:rPr/>
        <w:br w:type="column"/>
      </w:r>
      <w:r>
        <w:rPr>
          <w:sz w:val="19"/>
        </w:rPr>
      </w:r>
    </w:p>
    <w:p>
      <w:pPr>
        <w:pStyle w:val="BodyText"/>
        <w:spacing w:line="232" w:lineRule="auto" w:before="1"/>
        <w:ind w:left="160" w:right="196"/>
      </w:pPr>
      <w:r>
        <w:rPr/>
        <w:t>needed to be reined back. The choice was, therefore, for an immediate increase in the repo rate of 25 basis points or 50 basis points. Another view accepted the best collective judgment of the central projection, but regarded the balance of risks to inflation as clearly on the upside, on account of the possibility of a faster depreciation in the exchange rate and stronger domestic demand growth than assumed in the central projection.  On this view too, the choice was between a 25 basis point and a 50 basis point increase. There was, however, more than one path for interest rates that would enable the Committee to achieve the target. Given that inflation was set to remain below target in the relatively short term, there was time to gather more evidence, in particular about the path of</w:t>
      </w:r>
      <w:r>
        <w:rPr>
          <w:spacing w:val="-7"/>
        </w:rPr>
        <w:t> </w:t>
      </w:r>
      <w:r>
        <w:rPr/>
        <w:t>the</w:t>
      </w:r>
      <w:r>
        <w:rPr>
          <w:spacing w:val="-7"/>
        </w:rPr>
        <w:t> </w:t>
      </w:r>
      <w:r>
        <w:rPr/>
        <w:t>exchange</w:t>
      </w:r>
      <w:r>
        <w:rPr>
          <w:spacing w:val="-6"/>
        </w:rPr>
        <w:t> </w:t>
      </w:r>
      <w:r>
        <w:rPr/>
        <w:t>rate,</w:t>
      </w:r>
      <w:r>
        <w:rPr>
          <w:spacing w:val="-7"/>
        </w:rPr>
        <w:t> </w:t>
      </w:r>
      <w:r>
        <w:rPr/>
        <w:t>earnings,</w:t>
      </w:r>
      <w:r>
        <w:rPr>
          <w:spacing w:val="-7"/>
        </w:rPr>
        <w:t> </w:t>
      </w:r>
      <w:r>
        <w:rPr/>
        <w:t>price-cost</w:t>
      </w:r>
      <w:r>
        <w:rPr>
          <w:spacing w:val="-6"/>
        </w:rPr>
        <w:t> </w:t>
      </w:r>
      <w:r>
        <w:rPr/>
        <w:t>margins,</w:t>
      </w:r>
      <w:r>
        <w:rPr>
          <w:spacing w:val="-7"/>
        </w:rPr>
        <w:t> </w:t>
      </w:r>
      <w:r>
        <w:rPr/>
        <w:t>and</w:t>
      </w:r>
      <w:r>
        <w:rPr>
          <w:spacing w:val="-7"/>
        </w:rPr>
        <w:t> </w:t>
      </w:r>
      <w:r>
        <w:rPr/>
        <w:t>productivity, all of which were highly uncertain but important to the inflation outlook.  There was, thus, no need to take the risk that an immediate 50 basis point increase might put further upward pressure on sterling. An immediate rise of 25 basis points was the best</w:t>
      </w:r>
      <w:r>
        <w:rPr>
          <w:spacing w:val="-2"/>
        </w:rPr>
        <w:t> </w:t>
      </w:r>
      <w:r>
        <w:rPr/>
        <w:t>course.</w:t>
      </w:r>
    </w:p>
    <w:p>
      <w:pPr>
        <w:pStyle w:val="BodyText"/>
        <w:spacing w:before="1"/>
        <w:rPr>
          <w:sz w:val="16"/>
        </w:rPr>
      </w:pPr>
    </w:p>
    <w:p>
      <w:pPr>
        <w:pStyle w:val="ListParagraph"/>
        <w:numPr>
          <w:ilvl w:val="0"/>
          <w:numId w:val="42"/>
        </w:numPr>
        <w:tabs>
          <w:tab w:pos="639" w:val="left" w:leader="none"/>
          <w:tab w:pos="640" w:val="left" w:leader="none"/>
        </w:tabs>
        <w:spacing w:line="232" w:lineRule="auto" w:before="1" w:after="0"/>
        <w:ind w:left="160" w:right="180" w:firstLine="0"/>
        <w:jc w:val="left"/>
        <w:rPr>
          <w:sz w:val="18"/>
        </w:rPr>
      </w:pPr>
      <w:r>
        <w:rPr>
          <w:sz w:val="18"/>
        </w:rPr>
        <w:t>For some other members, the immediate choice was between a 25 basis point increase and no change, and for them that choice was very finely balanced. On the one hand, there were risks to the inflation outlook from continued buoyant domestic demand growth and a tight labour market, which implied strong underlying domestically-generated inflation. On the other hand, inflation could remain below target for a protracted period if sterling’s strength persisted, as the experience of the past few years suggested it clearly might. While inflation would tend to be higher than expected if sterling fell by more than assumed in the best collective projection, it was arguable that there could be time to raise rates if and when that happened as inflation was otherwise set to remain below target for a further period. Given the immediate benign outlook and the major uncertainties about the more distant prospect, this analysis suggested that either a rise of 25 basis points or no change would be consistent with pursuit of the inflation target and thus with the Committee’s remit. However, given the Committee’s inflation projection profile, in the view of some there was a risk that leaving rates unchanged would have the perverse effect of putting further upwards pressure on sterling, by leaving the market with the expectation that tighter policy had simply been deferred; and in the view of others, that sterling could not fall much on a no-change decision without engendering expectations of further interest rate rises. Although sterling was substantially overvalued against the euro, it was not clear how monetary policy could in the short run help to produce a better balance between external and internal monetary conditions. In those circumstances, the better course was to continue to restrain domestic demand growth, which remained above trend and so posed an upside risk to the medium-term outlook for inflation unless brought back to a more sustainable rate. On a delicate balance, the better course was therefore to raise rates by 25 basis points. Some members taking this view thought that, subject to any new evidence about the inflation outlook, there might then be an opportunity to wait and see before making any further change, and that this would offer the best chance of achieving the inflation target while enabling sterling to return to a more realistic level.</w:t>
      </w:r>
    </w:p>
    <w:p>
      <w:pPr>
        <w:pStyle w:val="ListParagraph"/>
        <w:numPr>
          <w:ilvl w:val="0"/>
          <w:numId w:val="42"/>
        </w:numPr>
        <w:tabs>
          <w:tab w:pos="639" w:val="left" w:leader="none"/>
          <w:tab w:pos="640" w:val="left" w:leader="none"/>
        </w:tabs>
        <w:spacing w:line="232" w:lineRule="auto" w:before="171" w:after="0"/>
        <w:ind w:left="160" w:right="285" w:firstLine="0"/>
        <w:jc w:val="left"/>
        <w:rPr>
          <w:sz w:val="18"/>
        </w:rPr>
      </w:pPr>
      <w:r>
        <w:rPr>
          <w:sz w:val="18"/>
        </w:rPr>
        <w:t>On another view, there was no need for a further increase in the repo rate. Internationally, the tightening of monetary policy elsewhere over the past month would help to contain any inflationary pressures from the stronger world economy. Domestically, there had been little news, and recent labour market data had, if anything, been encouraging. The outlook for domestic demand growth might have strengthened slightly but sterling had continued to appreciate over the month, which would restrain activity and inflation. In terms of the forecast, if sterling remained at its current level and/or the downward pressures on prices from stronger competition and new technology were greater than in the best collective assumption, then inflation would continue to undershoot the target for the next two years. A further increase in the repo rate would increase this undershoot and would also create a short-term risk of adding to sterling’s</w:t>
      </w:r>
      <w:r>
        <w:rPr>
          <w:spacing w:val="-14"/>
          <w:sz w:val="18"/>
        </w:rPr>
        <w:t> </w:t>
      </w:r>
      <w:r>
        <w:rPr>
          <w:sz w:val="18"/>
        </w:rPr>
        <w:t>strength.</w:t>
      </w:r>
    </w:p>
    <w:p>
      <w:pPr>
        <w:spacing w:after="0" w:line="232" w:lineRule="auto"/>
        <w:jc w:val="left"/>
        <w:rPr>
          <w:sz w:val="18"/>
        </w:rPr>
        <w:sectPr>
          <w:type w:val="continuous"/>
          <w:pgSz w:w="11900" w:h="16840"/>
          <w:pgMar w:top="1220" w:bottom="280" w:left="640" w:right="620"/>
          <w:cols w:num="2" w:equalWidth="0">
            <w:col w:w="5103" w:space="287"/>
            <w:col w:w="5250"/>
          </w:cols>
        </w:sectPr>
      </w:pPr>
    </w:p>
    <w:p>
      <w:pPr>
        <w:pStyle w:val="BodyText"/>
        <w:rPr>
          <w:sz w:val="20"/>
        </w:rPr>
      </w:pPr>
    </w:p>
    <w:p>
      <w:pPr>
        <w:pStyle w:val="BodyText"/>
        <w:spacing w:before="4"/>
        <w:rPr>
          <w:sz w:val="21"/>
        </w:rPr>
      </w:pPr>
    </w:p>
    <w:p>
      <w:pPr>
        <w:pStyle w:val="ListParagraph"/>
        <w:numPr>
          <w:ilvl w:val="0"/>
          <w:numId w:val="42"/>
        </w:numPr>
        <w:tabs>
          <w:tab w:pos="639" w:val="left" w:leader="none"/>
          <w:tab w:pos="640" w:val="left" w:leader="none"/>
        </w:tabs>
        <w:spacing w:line="232" w:lineRule="auto" w:before="1" w:after="0"/>
        <w:ind w:left="160" w:right="5665" w:firstLine="0"/>
        <w:jc w:val="left"/>
        <w:rPr>
          <w:sz w:val="18"/>
        </w:rPr>
      </w:pPr>
      <w:r>
        <w:rPr>
          <w:sz w:val="18"/>
        </w:rPr>
        <w:t>The Governor invited members of the Committee to vote on the proposition that the Bank’s repo rate be increased</w:t>
      </w:r>
      <w:r>
        <w:rPr>
          <w:spacing w:val="-22"/>
          <w:sz w:val="18"/>
        </w:rPr>
        <w:t> </w:t>
      </w:r>
      <w:r>
        <w:rPr>
          <w:sz w:val="18"/>
        </w:rPr>
        <w:t>by</w:t>
      </w:r>
    </w:p>
    <w:p>
      <w:pPr>
        <w:pStyle w:val="BodyText"/>
        <w:spacing w:line="232" w:lineRule="auto"/>
        <w:ind w:left="160" w:right="5561"/>
      </w:pPr>
      <w:r>
        <w:rPr/>
        <w:t>25 basis points to 6.0%. Eight members of the Committee (the Governor, Mervyn King, David Clementi, Charles Goodhart, Willem Buiter, Ian Plenderleith, John Vickers and Sushil Wadhwani) voted for the proposition. DeAnne Julius voted against, preferring to maintain interest rates at 5.75%.</w:t>
      </w:r>
    </w:p>
    <w:p>
      <w:pPr>
        <w:pStyle w:val="ListParagraph"/>
        <w:numPr>
          <w:ilvl w:val="0"/>
          <w:numId w:val="43"/>
        </w:numPr>
        <w:tabs>
          <w:tab w:pos="639" w:val="left" w:leader="none"/>
          <w:tab w:pos="640" w:val="left" w:leader="none"/>
        </w:tabs>
        <w:spacing w:line="400" w:lineRule="exact" w:before="37" w:after="0"/>
        <w:ind w:left="160" w:right="5955" w:firstLine="0"/>
        <w:jc w:val="left"/>
        <w:rPr>
          <w:sz w:val="18"/>
        </w:rPr>
      </w:pPr>
      <w:r>
        <w:rPr>
          <w:sz w:val="18"/>
        </w:rPr>
        <w:t>The following members of the Committee were present: Eddie George,</w:t>
      </w:r>
      <w:r>
        <w:rPr>
          <w:spacing w:val="-3"/>
          <w:sz w:val="18"/>
        </w:rPr>
        <w:t> </w:t>
      </w:r>
      <w:r>
        <w:rPr>
          <w:sz w:val="18"/>
        </w:rPr>
        <w:t>Governor</w:t>
      </w:r>
    </w:p>
    <w:p>
      <w:pPr>
        <w:pStyle w:val="BodyText"/>
        <w:spacing w:line="155" w:lineRule="exact"/>
        <w:ind w:left="160"/>
      </w:pPr>
      <w:r>
        <w:rPr/>
        <w:t>Mervyn King, Deputy Governor responsible for monetary policy</w:t>
      </w:r>
    </w:p>
    <w:p>
      <w:pPr>
        <w:pStyle w:val="BodyText"/>
        <w:spacing w:line="232" w:lineRule="auto" w:before="2"/>
        <w:ind w:left="160" w:right="5541"/>
      </w:pPr>
      <w:r>
        <w:rPr/>
        <w:t>David Clementi, Deputy Governor responsible for financial stability Willem Buiter</w:t>
      </w:r>
    </w:p>
    <w:p>
      <w:pPr>
        <w:pStyle w:val="BodyText"/>
        <w:spacing w:line="232" w:lineRule="auto"/>
        <w:ind w:left="160" w:right="9185"/>
      </w:pPr>
      <w:r>
        <w:rPr/>
        <w:t>Charles Goodhart DeAnne Julius Ian Plenderleith John Vickers Sushil Wadhwani</w:t>
      </w:r>
    </w:p>
    <w:p>
      <w:pPr>
        <w:pStyle w:val="BodyText"/>
        <w:spacing w:before="5"/>
        <w:rPr>
          <w:sz w:val="16"/>
        </w:rPr>
      </w:pPr>
    </w:p>
    <w:p>
      <w:pPr>
        <w:pStyle w:val="ListParagraph"/>
        <w:numPr>
          <w:ilvl w:val="0"/>
          <w:numId w:val="43"/>
        </w:numPr>
        <w:tabs>
          <w:tab w:pos="639" w:val="left" w:leader="none"/>
          <w:tab w:pos="640" w:val="left" w:leader="none"/>
        </w:tabs>
        <w:spacing w:line="240" w:lineRule="auto" w:before="0" w:after="0"/>
        <w:ind w:left="639" w:right="0" w:hanging="480"/>
        <w:jc w:val="left"/>
        <w:rPr>
          <w:sz w:val="18"/>
        </w:rPr>
      </w:pPr>
      <w:r>
        <w:rPr>
          <w:sz w:val="18"/>
        </w:rPr>
        <w:t>Gus O’Donnell was present as the Treasury</w:t>
      </w:r>
      <w:r>
        <w:rPr>
          <w:spacing w:val="-10"/>
          <w:sz w:val="18"/>
        </w:rPr>
        <w:t> </w:t>
      </w:r>
      <w:r>
        <w:rPr>
          <w:sz w:val="18"/>
        </w:rPr>
        <w:t>representative.</w:t>
      </w:r>
    </w:p>
    <w:p>
      <w:pPr>
        <w:spacing w:after="0" w:line="240" w:lineRule="auto"/>
        <w:jc w:val="left"/>
        <w:rPr>
          <w:sz w:val="18"/>
        </w:rPr>
        <w:sectPr>
          <w:pgSz w:w="11900" w:h="16840"/>
          <w:pgMar w:header="566" w:footer="597" w:top="760" w:bottom="780" w:left="640" w:right="620"/>
        </w:sectPr>
      </w:pPr>
    </w:p>
    <w:p>
      <w:pPr>
        <w:pStyle w:val="BodyText"/>
        <w:rPr>
          <w:sz w:val="20"/>
        </w:rPr>
      </w:pPr>
    </w:p>
    <w:p>
      <w:pPr>
        <w:pStyle w:val="BodyText"/>
        <w:rPr>
          <w:sz w:val="20"/>
        </w:rPr>
      </w:pPr>
    </w:p>
    <w:p>
      <w:pPr>
        <w:spacing w:before="256"/>
        <w:ind w:left="169" w:right="0" w:firstLine="0"/>
        <w:jc w:val="left"/>
        <w:rPr>
          <w:b/>
          <w:sz w:val="32"/>
        </w:rPr>
      </w:pPr>
      <w:r>
        <w:rPr>
          <w:b/>
          <w:color w:val="009391"/>
          <w:sz w:val="32"/>
        </w:rPr>
        <w:t>Annex: Summary of data presented by Bank staff</w:t>
      </w:r>
    </w:p>
    <w:p>
      <w:pPr>
        <w:pStyle w:val="BodyText"/>
        <w:spacing w:before="5"/>
        <w:rPr>
          <w:b/>
          <w:sz w:val="26"/>
        </w:rPr>
      </w:pPr>
    </w:p>
    <w:p>
      <w:pPr>
        <w:spacing w:after="0"/>
        <w:rPr>
          <w:sz w:val="26"/>
        </w:rPr>
        <w:sectPr>
          <w:pgSz w:w="11900" w:h="16840"/>
          <w:pgMar w:header="566" w:footer="597" w:top="760" w:bottom="780" w:left="640" w:right="620"/>
        </w:sectPr>
      </w:pPr>
    </w:p>
    <w:p>
      <w:pPr>
        <w:pStyle w:val="ListParagraph"/>
        <w:numPr>
          <w:ilvl w:val="0"/>
          <w:numId w:val="44"/>
        </w:numPr>
        <w:tabs>
          <w:tab w:pos="649" w:val="left" w:leader="none"/>
          <w:tab w:pos="650" w:val="left" w:leader="none"/>
        </w:tabs>
        <w:spacing w:line="232" w:lineRule="auto" w:before="98" w:after="0"/>
        <w:ind w:left="170" w:right="157" w:firstLine="0"/>
        <w:jc w:val="left"/>
        <w:rPr>
          <w:sz w:val="18"/>
        </w:rPr>
      </w:pPr>
      <w:r>
        <w:rPr>
          <w:sz w:val="18"/>
        </w:rPr>
        <w:t>This annex summarises the analysis presented by the Bank staff</w:t>
      </w:r>
      <w:r>
        <w:rPr>
          <w:spacing w:val="-5"/>
          <w:sz w:val="18"/>
        </w:rPr>
        <w:t> </w:t>
      </w:r>
      <w:r>
        <w:rPr>
          <w:sz w:val="18"/>
        </w:rPr>
        <w:t>to</w:t>
      </w:r>
      <w:r>
        <w:rPr>
          <w:spacing w:val="-5"/>
          <w:sz w:val="18"/>
        </w:rPr>
        <w:t> </w:t>
      </w:r>
      <w:r>
        <w:rPr>
          <w:sz w:val="18"/>
        </w:rPr>
        <w:t>the</w:t>
      </w:r>
      <w:r>
        <w:rPr>
          <w:spacing w:val="-5"/>
          <w:sz w:val="18"/>
        </w:rPr>
        <w:t> </w:t>
      </w:r>
      <w:r>
        <w:rPr>
          <w:sz w:val="18"/>
        </w:rPr>
        <w:t>Monetary</w:t>
      </w:r>
      <w:r>
        <w:rPr>
          <w:spacing w:val="-5"/>
          <w:sz w:val="18"/>
        </w:rPr>
        <w:t> </w:t>
      </w:r>
      <w:r>
        <w:rPr>
          <w:sz w:val="18"/>
        </w:rPr>
        <w:t>Policy</w:t>
      </w:r>
      <w:r>
        <w:rPr>
          <w:spacing w:val="-5"/>
          <w:sz w:val="18"/>
        </w:rPr>
        <w:t> </w:t>
      </w:r>
      <w:r>
        <w:rPr>
          <w:sz w:val="18"/>
        </w:rPr>
        <w:t>Committee</w:t>
      </w:r>
      <w:r>
        <w:rPr>
          <w:spacing w:val="-5"/>
          <w:sz w:val="18"/>
        </w:rPr>
        <w:t> </w:t>
      </w:r>
      <w:r>
        <w:rPr>
          <w:sz w:val="18"/>
        </w:rPr>
        <w:t>on</w:t>
      </w:r>
      <w:r>
        <w:rPr>
          <w:spacing w:val="-5"/>
          <w:sz w:val="18"/>
        </w:rPr>
        <w:t> </w:t>
      </w:r>
      <w:r>
        <w:rPr>
          <w:sz w:val="18"/>
        </w:rPr>
        <w:t>4</w:t>
      </w:r>
      <w:r>
        <w:rPr>
          <w:spacing w:val="-4"/>
          <w:sz w:val="18"/>
        </w:rPr>
        <w:t> </w:t>
      </w:r>
      <w:r>
        <w:rPr>
          <w:sz w:val="18"/>
        </w:rPr>
        <w:t>February,</w:t>
      </w:r>
      <w:r>
        <w:rPr>
          <w:spacing w:val="-5"/>
          <w:sz w:val="18"/>
        </w:rPr>
        <w:t> </w:t>
      </w:r>
      <w:r>
        <w:rPr>
          <w:sz w:val="18"/>
        </w:rPr>
        <w:t>in</w:t>
      </w:r>
      <w:r>
        <w:rPr>
          <w:spacing w:val="-5"/>
          <w:sz w:val="18"/>
        </w:rPr>
        <w:t> </w:t>
      </w:r>
      <w:r>
        <w:rPr>
          <w:sz w:val="18"/>
        </w:rPr>
        <w:t>advance of its meeting on 9–10 February 2000. At the start of the Committee meeting itself, members were made aware of subsequent information that had become available, and that information is included in this</w:t>
      </w:r>
      <w:r>
        <w:rPr>
          <w:spacing w:val="-8"/>
          <w:sz w:val="18"/>
        </w:rPr>
        <w:t> </w:t>
      </w:r>
      <w:r>
        <w:rPr>
          <w:sz w:val="18"/>
        </w:rPr>
        <w:t>Annex.</w:t>
      </w:r>
    </w:p>
    <w:p>
      <w:pPr>
        <w:pStyle w:val="BodyText"/>
        <w:spacing w:before="2"/>
        <w:rPr>
          <w:sz w:val="20"/>
        </w:rPr>
      </w:pPr>
    </w:p>
    <w:p>
      <w:pPr>
        <w:pStyle w:val="Heading8"/>
        <w:numPr>
          <w:ilvl w:val="0"/>
          <w:numId w:val="45"/>
        </w:numPr>
        <w:tabs>
          <w:tab w:pos="649" w:val="left" w:leader="none"/>
          <w:tab w:pos="651" w:val="left" w:leader="none"/>
        </w:tabs>
        <w:spacing w:line="240" w:lineRule="auto" w:before="1" w:after="0"/>
        <w:ind w:left="650" w:right="0" w:hanging="481"/>
        <w:jc w:val="left"/>
      </w:pPr>
      <w:r>
        <w:rPr>
          <w:color w:val="009391"/>
        </w:rPr>
        <w:t>The international</w:t>
      </w:r>
      <w:r>
        <w:rPr>
          <w:color w:val="009391"/>
          <w:spacing w:val="-5"/>
        </w:rPr>
        <w:t> </w:t>
      </w:r>
      <w:r>
        <w:rPr>
          <w:color w:val="009391"/>
        </w:rPr>
        <w:t>environment</w:t>
      </w:r>
    </w:p>
    <w:p>
      <w:pPr>
        <w:pStyle w:val="ListParagraph"/>
        <w:numPr>
          <w:ilvl w:val="0"/>
          <w:numId w:val="44"/>
        </w:numPr>
        <w:tabs>
          <w:tab w:pos="649" w:val="left" w:leader="none"/>
          <w:tab w:pos="650" w:val="left" w:leader="none"/>
        </w:tabs>
        <w:spacing w:line="232" w:lineRule="auto" w:before="109" w:after="0"/>
        <w:ind w:left="170" w:right="77" w:firstLine="0"/>
        <w:jc w:val="left"/>
        <w:rPr>
          <w:sz w:val="18"/>
        </w:rPr>
      </w:pPr>
      <w:r>
        <w:rPr>
          <w:sz w:val="18"/>
        </w:rPr>
        <w:t>Recent data releases confirmed the stronger outlook for the global economy. Growth in the United States had remained robust in 1999 Q4, and leading indicators in the euro area had remained strong. There was also evidence that emerging markets had continued to recover. Japanese growth remained fragile, but had been supported by strengthening exports. Oil prices had increased further since January, as had metals prices. Increased concern about inflationary risks had led to 25 basis point increases in policy rates in the United States and the euro area. The markets continued to expect further increases over the coming</w:t>
      </w:r>
      <w:r>
        <w:rPr>
          <w:spacing w:val="-15"/>
          <w:sz w:val="18"/>
        </w:rPr>
        <w:t> </w:t>
      </w:r>
      <w:r>
        <w:rPr>
          <w:sz w:val="18"/>
        </w:rPr>
        <w:t>months.</w:t>
      </w:r>
    </w:p>
    <w:p>
      <w:pPr>
        <w:pStyle w:val="BodyText"/>
        <w:spacing w:before="8"/>
        <w:rPr>
          <w:sz w:val="16"/>
        </w:rPr>
      </w:pPr>
    </w:p>
    <w:p>
      <w:pPr>
        <w:pStyle w:val="ListParagraph"/>
        <w:numPr>
          <w:ilvl w:val="0"/>
          <w:numId w:val="44"/>
        </w:numPr>
        <w:tabs>
          <w:tab w:pos="649" w:val="left" w:leader="none"/>
          <w:tab w:pos="650" w:val="left" w:leader="none"/>
        </w:tabs>
        <w:spacing w:line="232" w:lineRule="auto" w:before="0" w:after="0"/>
        <w:ind w:left="170" w:right="38" w:firstLine="0"/>
        <w:jc w:val="left"/>
        <w:rPr>
          <w:sz w:val="18"/>
        </w:rPr>
      </w:pPr>
      <w:r>
        <w:rPr>
          <w:sz w:val="18"/>
        </w:rPr>
        <w:t>US GDP had grown by 1.4% in 1999 Q4, the same rate as in Q3. Consumption had continued to grow strongly in Q4. Investment growth had slowed—perhaps partly reflecting a Y2K effect—but growth in government expenditure had increased. Productivity had grown strongly in Q4.  Manufacturing productivity</w:t>
      </w:r>
      <w:r>
        <w:rPr>
          <w:spacing w:val="-7"/>
          <w:sz w:val="18"/>
        </w:rPr>
        <w:t> </w:t>
      </w:r>
      <w:r>
        <w:rPr>
          <w:sz w:val="18"/>
        </w:rPr>
        <w:t>had</w:t>
      </w:r>
      <w:r>
        <w:rPr>
          <w:spacing w:val="-7"/>
          <w:sz w:val="18"/>
        </w:rPr>
        <w:t> </w:t>
      </w:r>
      <w:r>
        <w:rPr>
          <w:sz w:val="18"/>
        </w:rPr>
        <w:t>increased</w:t>
      </w:r>
      <w:r>
        <w:rPr>
          <w:spacing w:val="-7"/>
          <w:sz w:val="18"/>
        </w:rPr>
        <w:t> </w:t>
      </w:r>
      <w:r>
        <w:rPr>
          <w:sz w:val="18"/>
        </w:rPr>
        <w:t>particularly</w:t>
      </w:r>
      <w:r>
        <w:rPr>
          <w:spacing w:val="-6"/>
          <w:sz w:val="18"/>
        </w:rPr>
        <w:t> </w:t>
      </w:r>
      <w:r>
        <w:rPr>
          <w:sz w:val="18"/>
        </w:rPr>
        <w:t>rapidly,</w:t>
      </w:r>
      <w:r>
        <w:rPr>
          <w:spacing w:val="-7"/>
          <w:sz w:val="18"/>
        </w:rPr>
        <w:t> </w:t>
      </w:r>
      <w:r>
        <w:rPr>
          <w:sz w:val="18"/>
        </w:rPr>
        <w:t>at</w:t>
      </w:r>
      <w:r>
        <w:rPr>
          <w:spacing w:val="-7"/>
          <w:sz w:val="18"/>
        </w:rPr>
        <w:t> </w:t>
      </w:r>
      <w:r>
        <w:rPr>
          <w:sz w:val="18"/>
        </w:rPr>
        <w:t>an</w:t>
      </w:r>
      <w:r>
        <w:rPr>
          <w:spacing w:val="-7"/>
          <w:sz w:val="18"/>
        </w:rPr>
        <w:t> </w:t>
      </w:r>
      <w:r>
        <w:rPr>
          <w:sz w:val="18"/>
        </w:rPr>
        <w:t>annualised</w:t>
      </w:r>
      <w:r>
        <w:rPr>
          <w:spacing w:val="-6"/>
          <w:sz w:val="18"/>
        </w:rPr>
        <w:t> </w:t>
      </w:r>
      <w:r>
        <w:rPr>
          <w:sz w:val="18"/>
        </w:rPr>
        <w:t>rate of 6.4%, its fastest pace since 1971. New orders had risen strongly in December. Consumer confidence had increased to 144.7 in December, its highest recorded level, and retail sales growth had remained strong in that month, before slowing in January. US headline CPI inflation had picked up to 2.7% in December, but core CPI inflation had decelerated to 1.9%. Final producer price inflation had risen by 3% in December. Growth in the employment cost index had risen slightly in Q4, largely reflecting increases in benefits costs.  Employment growth had remained strong in January.</w:t>
      </w:r>
    </w:p>
    <w:p>
      <w:pPr>
        <w:pStyle w:val="BodyText"/>
        <w:spacing w:before="4"/>
        <w:rPr>
          <w:sz w:val="16"/>
        </w:rPr>
      </w:pPr>
    </w:p>
    <w:p>
      <w:pPr>
        <w:pStyle w:val="ListParagraph"/>
        <w:numPr>
          <w:ilvl w:val="0"/>
          <w:numId w:val="44"/>
        </w:numPr>
        <w:tabs>
          <w:tab w:pos="649" w:val="left" w:leader="none"/>
          <w:tab w:pos="650" w:val="left" w:leader="none"/>
        </w:tabs>
        <w:spacing w:line="232" w:lineRule="auto" w:before="0" w:after="0"/>
        <w:ind w:left="170" w:right="351" w:firstLine="0"/>
        <w:jc w:val="left"/>
        <w:rPr>
          <w:sz w:val="18"/>
        </w:rPr>
      </w:pPr>
      <w:r>
        <w:rPr>
          <w:sz w:val="18"/>
        </w:rPr>
        <w:t>The FOMC had raised the Federal funds target rate by 25</w:t>
      </w:r>
      <w:r>
        <w:rPr>
          <w:spacing w:val="-4"/>
          <w:sz w:val="18"/>
        </w:rPr>
        <w:t> </w:t>
      </w:r>
      <w:r>
        <w:rPr>
          <w:sz w:val="18"/>
        </w:rPr>
        <w:t>basis</w:t>
      </w:r>
      <w:r>
        <w:rPr>
          <w:spacing w:val="-4"/>
          <w:sz w:val="18"/>
        </w:rPr>
        <w:t> </w:t>
      </w:r>
      <w:r>
        <w:rPr>
          <w:sz w:val="18"/>
        </w:rPr>
        <w:t>points</w:t>
      </w:r>
      <w:r>
        <w:rPr>
          <w:spacing w:val="-5"/>
          <w:sz w:val="18"/>
        </w:rPr>
        <w:t> </w:t>
      </w:r>
      <w:r>
        <w:rPr>
          <w:sz w:val="18"/>
        </w:rPr>
        <w:t>to</w:t>
      </w:r>
      <w:r>
        <w:rPr>
          <w:spacing w:val="-4"/>
          <w:sz w:val="18"/>
        </w:rPr>
        <w:t> </w:t>
      </w:r>
      <w:r>
        <w:rPr>
          <w:sz w:val="18"/>
        </w:rPr>
        <w:t>5.75%</w:t>
      </w:r>
      <w:r>
        <w:rPr>
          <w:spacing w:val="-5"/>
          <w:sz w:val="18"/>
        </w:rPr>
        <w:t> </w:t>
      </w:r>
      <w:r>
        <w:rPr>
          <w:sz w:val="18"/>
        </w:rPr>
        <w:t>on</w:t>
      </w:r>
      <w:r>
        <w:rPr>
          <w:spacing w:val="-5"/>
          <w:sz w:val="18"/>
        </w:rPr>
        <w:t> </w:t>
      </w:r>
      <w:r>
        <w:rPr>
          <w:sz w:val="18"/>
        </w:rPr>
        <w:t>2</w:t>
      </w:r>
      <w:r>
        <w:rPr>
          <w:spacing w:val="-4"/>
          <w:sz w:val="18"/>
        </w:rPr>
        <w:t> </w:t>
      </w:r>
      <w:r>
        <w:rPr>
          <w:sz w:val="18"/>
        </w:rPr>
        <w:t>February,</w:t>
      </w:r>
      <w:r>
        <w:rPr>
          <w:spacing w:val="-5"/>
          <w:sz w:val="18"/>
        </w:rPr>
        <w:t> </w:t>
      </w:r>
      <w:r>
        <w:rPr>
          <w:sz w:val="18"/>
        </w:rPr>
        <w:t>with</w:t>
      </w:r>
      <w:r>
        <w:rPr>
          <w:spacing w:val="-5"/>
          <w:sz w:val="18"/>
        </w:rPr>
        <w:t> </w:t>
      </w:r>
      <w:r>
        <w:rPr>
          <w:sz w:val="18"/>
        </w:rPr>
        <w:t>the</w:t>
      </w:r>
      <w:r>
        <w:rPr>
          <w:spacing w:val="-4"/>
          <w:sz w:val="18"/>
        </w:rPr>
        <w:t> </w:t>
      </w:r>
      <w:r>
        <w:rPr>
          <w:sz w:val="18"/>
        </w:rPr>
        <w:t>announcement</w:t>
      </w:r>
    </w:p>
    <w:p>
      <w:pPr>
        <w:pStyle w:val="BodyText"/>
        <w:spacing w:line="232" w:lineRule="auto"/>
        <w:ind w:left="170" w:right="148"/>
      </w:pPr>
      <w:r>
        <w:rPr/>
        <w:t>(using the new format) that ‘the Committee believes the risks are weighted mainly towards conditions that may generate heightened inflationary pressures in the foreseeable future’. This assessment reflected concerns that demand would continue to outstrip growth in potential supply.</w:t>
      </w:r>
    </w:p>
    <w:p>
      <w:pPr>
        <w:pStyle w:val="BodyText"/>
        <w:spacing w:before="10"/>
        <w:rPr>
          <w:sz w:val="16"/>
        </w:rPr>
      </w:pPr>
    </w:p>
    <w:p>
      <w:pPr>
        <w:pStyle w:val="ListParagraph"/>
        <w:numPr>
          <w:ilvl w:val="0"/>
          <w:numId w:val="44"/>
        </w:numPr>
        <w:tabs>
          <w:tab w:pos="649" w:val="left" w:leader="none"/>
          <w:tab w:pos="650" w:val="left" w:leader="none"/>
        </w:tabs>
        <w:spacing w:line="232" w:lineRule="auto" w:before="0" w:after="0"/>
        <w:ind w:left="170" w:right="86" w:firstLine="0"/>
        <w:jc w:val="left"/>
        <w:rPr>
          <w:sz w:val="18"/>
        </w:rPr>
      </w:pPr>
      <w:r>
        <w:rPr>
          <w:sz w:val="18"/>
        </w:rPr>
        <w:t>Annual industrial production growth in France and Germany had continued to accelerate in November (measured on</w:t>
      </w:r>
      <w:r>
        <w:rPr>
          <w:spacing w:val="-20"/>
          <w:sz w:val="18"/>
        </w:rPr>
        <w:t> </w:t>
      </w:r>
      <w:r>
        <w:rPr>
          <w:sz w:val="18"/>
        </w:rPr>
        <w:t>a</w:t>
      </w:r>
    </w:p>
    <w:p>
      <w:pPr>
        <w:pStyle w:val="BodyText"/>
        <w:spacing w:line="232" w:lineRule="auto"/>
        <w:ind w:left="170" w:right="83"/>
      </w:pPr>
      <w:r>
        <w:rPr/>
        <w:t>three-month moving-average basis). Production growth in Germany had remained buoyant in December, and though orders had fallen in that month, the underlying trend remained strong. Euro-area business confidence had improved for the ninth successive month, while consumer confidence had remained stable at a high level. Annual euro-area HICP inflation had accelerated to 1.7% in December, from 1.5% in November. HICP inflation excluding energy, food, alcohol and tobacco had increased by less, to 1.1%, from 1.0% in November, while annual euro-area total producer price inflation had increased to 3.0%, mainly reflecting energy price increases. Annual euro-area labour cost growth had increased slightly in 1999 Q3, to 2.2%, from 2.0% in</w:t>
      </w:r>
      <w:r>
        <w:rPr>
          <w:spacing w:val="-22"/>
        </w:rPr>
        <w:t> </w:t>
      </w:r>
      <w:r>
        <w:rPr/>
        <w:t>Q2.</w:t>
      </w:r>
    </w:p>
    <w:p>
      <w:pPr>
        <w:pStyle w:val="BodyText"/>
        <w:spacing w:before="5"/>
        <w:rPr>
          <w:sz w:val="16"/>
        </w:rPr>
      </w:pPr>
    </w:p>
    <w:p>
      <w:pPr>
        <w:pStyle w:val="ListParagraph"/>
        <w:numPr>
          <w:ilvl w:val="0"/>
          <w:numId w:val="44"/>
        </w:numPr>
        <w:tabs>
          <w:tab w:pos="649" w:val="left" w:leader="none"/>
          <w:tab w:pos="650" w:val="left" w:leader="none"/>
        </w:tabs>
        <w:spacing w:line="232" w:lineRule="auto" w:before="1" w:after="0"/>
        <w:ind w:left="170" w:right="57" w:firstLine="0"/>
        <w:jc w:val="left"/>
        <w:rPr>
          <w:sz w:val="18"/>
        </w:rPr>
      </w:pPr>
      <w:r>
        <w:rPr>
          <w:sz w:val="18"/>
        </w:rPr>
        <w:t>The average annual growth rate of euro-area M3 had increased to 6.1% in the three months to December, from 6.0% in the</w:t>
      </w:r>
      <w:r>
        <w:rPr>
          <w:spacing w:val="-6"/>
          <w:sz w:val="18"/>
        </w:rPr>
        <w:t> </w:t>
      </w:r>
      <w:r>
        <w:rPr>
          <w:sz w:val="18"/>
        </w:rPr>
        <w:t>three</w:t>
      </w:r>
      <w:r>
        <w:rPr>
          <w:spacing w:val="-5"/>
          <w:sz w:val="18"/>
        </w:rPr>
        <w:t> </w:t>
      </w:r>
      <w:r>
        <w:rPr>
          <w:sz w:val="18"/>
        </w:rPr>
        <w:t>months</w:t>
      </w:r>
      <w:r>
        <w:rPr>
          <w:spacing w:val="-5"/>
          <w:sz w:val="18"/>
        </w:rPr>
        <w:t> </w:t>
      </w:r>
      <w:r>
        <w:rPr>
          <w:sz w:val="18"/>
        </w:rPr>
        <w:t>to</w:t>
      </w:r>
      <w:r>
        <w:rPr>
          <w:spacing w:val="-5"/>
          <w:sz w:val="18"/>
        </w:rPr>
        <w:t> </w:t>
      </w:r>
      <w:r>
        <w:rPr>
          <w:sz w:val="18"/>
        </w:rPr>
        <w:t>November,</w:t>
      </w:r>
      <w:r>
        <w:rPr>
          <w:spacing w:val="-5"/>
          <w:sz w:val="18"/>
        </w:rPr>
        <w:t> </w:t>
      </w:r>
      <w:r>
        <w:rPr>
          <w:sz w:val="18"/>
        </w:rPr>
        <w:t>still</w:t>
      </w:r>
      <w:r>
        <w:rPr>
          <w:spacing w:val="-5"/>
          <w:sz w:val="18"/>
        </w:rPr>
        <w:t> </w:t>
      </w:r>
      <w:r>
        <w:rPr>
          <w:sz w:val="18"/>
        </w:rPr>
        <w:t>well</w:t>
      </w:r>
      <w:r>
        <w:rPr>
          <w:spacing w:val="-5"/>
          <w:sz w:val="18"/>
        </w:rPr>
        <w:t> </w:t>
      </w:r>
      <w:r>
        <w:rPr>
          <w:sz w:val="18"/>
        </w:rPr>
        <w:t>above</w:t>
      </w:r>
      <w:r>
        <w:rPr>
          <w:spacing w:val="-5"/>
          <w:sz w:val="18"/>
        </w:rPr>
        <w:t> </w:t>
      </w:r>
      <w:r>
        <w:rPr>
          <w:sz w:val="18"/>
        </w:rPr>
        <w:t>the</w:t>
      </w:r>
      <w:r>
        <w:rPr>
          <w:spacing w:val="-5"/>
          <w:sz w:val="18"/>
        </w:rPr>
        <w:t> </w:t>
      </w:r>
      <w:r>
        <w:rPr>
          <w:sz w:val="18"/>
        </w:rPr>
        <w:t>ECB’s</w:t>
      </w:r>
      <w:r>
        <w:rPr>
          <w:spacing w:val="-5"/>
          <w:sz w:val="18"/>
        </w:rPr>
        <w:t> </w:t>
      </w:r>
      <w:r>
        <w:rPr>
          <w:sz w:val="18"/>
        </w:rPr>
        <w:t>reference rate of 4.5%. But a number of special factors had been distorting the annual growth rate of M3, and would continue to do so for several months. The ECB had increased its refinancing rate</w:t>
      </w:r>
      <w:r>
        <w:rPr>
          <w:spacing w:val="-32"/>
          <w:sz w:val="18"/>
        </w:rPr>
        <w:t> </w:t>
      </w:r>
      <w:r>
        <w:rPr>
          <w:sz w:val="18"/>
        </w:rPr>
        <w:t>by</w:t>
      </w:r>
    </w:p>
    <w:p>
      <w:pPr>
        <w:pStyle w:val="BodyText"/>
        <w:spacing w:line="197" w:lineRule="exact"/>
        <w:ind w:left="170"/>
      </w:pPr>
      <w:r>
        <w:rPr/>
        <w:t>25 basis points to 3.25%, reflecting an increase in the risks of</w:t>
      </w:r>
    </w:p>
    <w:p>
      <w:pPr>
        <w:pStyle w:val="BodyText"/>
        <w:spacing w:line="232" w:lineRule="auto" w:before="97"/>
        <w:ind w:left="170" w:right="228"/>
        <w:jc w:val="both"/>
      </w:pPr>
      <w:r>
        <w:rPr/>
        <w:br w:type="column"/>
      </w:r>
      <w:r>
        <w:rPr/>
        <w:t>‘second-round effects’ from oil and non-energy commodity prices, developments in the euro exchange rate, and expectations of higher inflation rates in the next few months.</w:t>
      </w:r>
    </w:p>
    <w:p>
      <w:pPr>
        <w:pStyle w:val="BodyText"/>
        <w:spacing w:before="2"/>
        <w:rPr>
          <w:sz w:val="17"/>
        </w:rPr>
      </w:pPr>
    </w:p>
    <w:p>
      <w:pPr>
        <w:pStyle w:val="ListParagraph"/>
        <w:numPr>
          <w:ilvl w:val="0"/>
          <w:numId w:val="46"/>
        </w:numPr>
        <w:tabs>
          <w:tab w:pos="649" w:val="left" w:leader="none"/>
          <w:tab w:pos="651" w:val="left" w:leader="none"/>
        </w:tabs>
        <w:spacing w:line="232" w:lineRule="auto" w:before="1" w:after="0"/>
        <w:ind w:left="170" w:right="188" w:firstLine="0"/>
        <w:jc w:val="left"/>
        <w:rPr>
          <w:sz w:val="18"/>
        </w:rPr>
      </w:pPr>
      <w:r>
        <w:rPr>
          <w:sz w:val="18"/>
        </w:rPr>
        <w:t>Japanese data on industrial production and the tertiary sector suggested that output growth in 1999 Q4 had increased moderately. There had been minor revisions to the National Accounts data for Q3, but these had left quarterly GDP growth unchanged, at -1.0%. Annual export volume growth had increased in the three months to December. But private demand indicators had remained weak. Annual retail sales growth had remained negative, and the rate of decline of workers’ incomes had increased in December. Annual CPI inflation had remained at -1.1% in December. But, excluding food, annual CPI inflation had been less negative, at -0.1%. And the</w:t>
      </w:r>
      <w:r>
        <w:rPr>
          <w:spacing w:val="-5"/>
          <w:sz w:val="18"/>
        </w:rPr>
        <w:t> </w:t>
      </w:r>
      <w:r>
        <w:rPr>
          <w:sz w:val="18"/>
        </w:rPr>
        <w:t>rate</w:t>
      </w:r>
      <w:r>
        <w:rPr>
          <w:spacing w:val="-4"/>
          <w:sz w:val="18"/>
        </w:rPr>
        <w:t> </w:t>
      </w:r>
      <w:r>
        <w:rPr>
          <w:sz w:val="18"/>
        </w:rPr>
        <w:t>of</w:t>
      </w:r>
      <w:r>
        <w:rPr>
          <w:spacing w:val="-4"/>
          <w:sz w:val="18"/>
        </w:rPr>
        <w:t> </w:t>
      </w:r>
      <w:r>
        <w:rPr>
          <w:sz w:val="18"/>
        </w:rPr>
        <w:t>decline</w:t>
      </w:r>
      <w:r>
        <w:rPr>
          <w:spacing w:val="-5"/>
          <w:sz w:val="18"/>
        </w:rPr>
        <w:t> </w:t>
      </w:r>
      <w:r>
        <w:rPr>
          <w:sz w:val="18"/>
        </w:rPr>
        <w:t>of</w:t>
      </w:r>
      <w:r>
        <w:rPr>
          <w:spacing w:val="-4"/>
          <w:sz w:val="18"/>
        </w:rPr>
        <w:t> </w:t>
      </w:r>
      <w:r>
        <w:rPr>
          <w:sz w:val="18"/>
        </w:rPr>
        <w:t>wholesale</w:t>
      </w:r>
      <w:r>
        <w:rPr>
          <w:spacing w:val="-4"/>
          <w:sz w:val="18"/>
        </w:rPr>
        <w:t> </w:t>
      </w:r>
      <w:r>
        <w:rPr>
          <w:sz w:val="18"/>
        </w:rPr>
        <w:t>prices</w:t>
      </w:r>
      <w:r>
        <w:rPr>
          <w:spacing w:val="-5"/>
          <w:sz w:val="18"/>
        </w:rPr>
        <w:t> </w:t>
      </w:r>
      <w:r>
        <w:rPr>
          <w:sz w:val="18"/>
        </w:rPr>
        <w:t>had</w:t>
      </w:r>
      <w:r>
        <w:rPr>
          <w:spacing w:val="-4"/>
          <w:sz w:val="18"/>
        </w:rPr>
        <w:t> </w:t>
      </w:r>
      <w:r>
        <w:rPr>
          <w:sz w:val="18"/>
        </w:rPr>
        <w:t>slowed,</w:t>
      </w:r>
      <w:r>
        <w:rPr>
          <w:spacing w:val="-4"/>
          <w:sz w:val="18"/>
        </w:rPr>
        <w:t> </w:t>
      </w:r>
      <w:r>
        <w:rPr>
          <w:sz w:val="18"/>
        </w:rPr>
        <w:t>to</w:t>
      </w:r>
      <w:r>
        <w:rPr>
          <w:spacing w:val="-5"/>
          <w:sz w:val="18"/>
        </w:rPr>
        <w:t> </w:t>
      </w:r>
      <w:r>
        <w:rPr>
          <w:sz w:val="18"/>
        </w:rPr>
        <w:t>only</w:t>
      </w:r>
      <w:r>
        <w:rPr>
          <w:spacing w:val="-4"/>
          <w:sz w:val="18"/>
        </w:rPr>
        <w:t> </w:t>
      </w:r>
      <w:r>
        <w:rPr>
          <w:sz w:val="18"/>
        </w:rPr>
        <w:t>-0.5%</w:t>
      </w:r>
      <w:r>
        <w:rPr>
          <w:spacing w:val="-4"/>
          <w:sz w:val="18"/>
        </w:rPr>
        <w:t> </w:t>
      </w:r>
      <w:r>
        <w:rPr>
          <w:sz w:val="18"/>
        </w:rPr>
        <w:t>on a year earlier in January. Annual growth in M2+CDs had fallen to 2.6% in December, from 2.9% in</w:t>
      </w:r>
      <w:r>
        <w:rPr>
          <w:spacing w:val="-10"/>
          <w:sz w:val="18"/>
        </w:rPr>
        <w:t> </w:t>
      </w:r>
      <w:r>
        <w:rPr>
          <w:sz w:val="18"/>
        </w:rPr>
        <w:t>November.</w:t>
      </w:r>
    </w:p>
    <w:p>
      <w:pPr>
        <w:pStyle w:val="BodyText"/>
        <w:spacing w:before="9"/>
        <w:rPr>
          <w:sz w:val="19"/>
        </w:rPr>
      </w:pPr>
    </w:p>
    <w:p>
      <w:pPr>
        <w:pStyle w:val="Heading8"/>
        <w:numPr>
          <w:ilvl w:val="0"/>
          <w:numId w:val="45"/>
        </w:numPr>
        <w:tabs>
          <w:tab w:pos="650" w:val="left" w:leader="none"/>
        </w:tabs>
        <w:spacing w:line="240" w:lineRule="auto" w:before="0" w:after="0"/>
        <w:ind w:left="650" w:right="0" w:hanging="480"/>
        <w:jc w:val="both"/>
      </w:pPr>
      <w:r>
        <w:rPr>
          <w:color w:val="009391"/>
        </w:rPr>
        <w:t>Monetary and financial</w:t>
      </w:r>
      <w:r>
        <w:rPr>
          <w:color w:val="009391"/>
          <w:spacing w:val="-7"/>
        </w:rPr>
        <w:t> </w:t>
      </w:r>
      <w:r>
        <w:rPr>
          <w:color w:val="009391"/>
        </w:rPr>
        <w:t>conditions</w:t>
      </w:r>
    </w:p>
    <w:p>
      <w:pPr>
        <w:pStyle w:val="ListParagraph"/>
        <w:numPr>
          <w:ilvl w:val="0"/>
          <w:numId w:val="46"/>
        </w:numPr>
        <w:tabs>
          <w:tab w:pos="649" w:val="left" w:leader="none"/>
          <w:tab w:pos="651" w:val="left" w:leader="none"/>
        </w:tabs>
        <w:spacing w:line="232" w:lineRule="auto" w:before="109" w:after="0"/>
        <w:ind w:left="170" w:right="268" w:firstLine="0"/>
        <w:jc w:val="left"/>
        <w:rPr>
          <w:sz w:val="18"/>
        </w:rPr>
      </w:pPr>
      <w:r>
        <w:rPr>
          <w:sz w:val="18"/>
        </w:rPr>
        <w:t>Narrow money had grown very strongly in January. After adjustment</w:t>
      </w:r>
      <w:r>
        <w:rPr>
          <w:spacing w:val="-6"/>
          <w:sz w:val="18"/>
        </w:rPr>
        <w:t> </w:t>
      </w:r>
      <w:r>
        <w:rPr>
          <w:sz w:val="18"/>
        </w:rPr>
        <w:t>for</w:t>
      </w:r>
      <w:r>
        <w:rPr>
          <w:spacing w:val="-5"/>
          <w:sz w:val="18"/>
        </w:rPr>
        <w:t> </w:t>
      </w:r>
      <w:r>
        <w:rPr>
          <w:sz w:val="18"/>
        </w:rPr>
        <w:t>seasonality</w:t>
      </w:r>
      <w:r>
        <w:rPr>
          <w:spacing w:val="-5"/>
          <w:sz w:val="18"/>
        </w:rPr>
        <w:t> </w:t>
      </w:r>
      <w:r>
        <w:rPr>
          <w:sz w:val="18"/>
        </w:rPr>
        <w:t>and</w:t>
      </w:r>
      <w:r>
        <w:rPr>
          <w:spacing w:val="-5"/>
          <w:sz w:val="18"/>
        </w:rPr>
        <w:t> </w:t>
      </w:r>
      <w:r>
        <w:rPr>
          <w:sz w:val="18"/>
        </w:rPr>
        <w:t>the</w:t>
      </w:r>
      <w:r>
        <w:rPr>
          <w:spacing w:val="-5"/>
          <w:sz w:val="18"/>
        </w:rPr>
        <w:t> </w:t>
      </w:r>
      <w:r>
        <w:rPr>
          <w:sz w:val="18"/>
        </w:rPr>
        <w:t>introduction</w:t>
      </w:r>
      <w:r>
        <w:rPr>
          <w:spacing w:val="-5"/>
          <w:sz w:val="18"/>
        </w:rPr>
        <w:t> </w:t>
      </w:r>
      <w:r>
        <w:rPr>
          <w:sz w:val="18"/>
        </w:rPr>
        <w:t>of</w:t>
      </w:r>
      <w:r>
        <w:rPr>
          <w:spacing w:val="-5"/>
          <w:sz w:val="18"/>
        </w:rPr>
        <w:t> </w:t>
      </w:r>
      <w:r>
        <w:rPr>
          <w:sz w:val="18"/>
        </w:rPr>
        <w:t>the</w:t>
      </w:r>
      <w:r>
        <w:rPr>
          <w:spacing w:val="-5"/>
          <w:sz w:val="18"/>
        </w:rPr>
        <w:t> </w:t>
      </w:r>
      <w:r>
        <w:rPr>
          <w:sz w:val="18"/>
        </w:rPr>
        <w:t>new</w:t>
      </w:r>
      <w:r>
        <w:rPr>
          <w:spacing w:val="-5"/>
          <w:sz w:val="18"/>
        </w:rPr>
        <w:t> </w:t>
      </w:r>
      <w:r>
        <w:rPr>
          <w:sz w:val="18"/>
        </w:rPr>
        <w:t>50p</w:t>
      </w:r>
      <w:r>
        <w:rPr>
          <w:spacing w:val="-5"/>
          <w:sz w:val="18"/>
        </w:rPr>
        <w:t> </w:t>
      </w:r>
      <w:r>
        <w:rPr>
          <w:sz w:val="18"/>
        </w:rPr>
        <w:t>and</w:t>
      </w:r>
    </w:p>
    <w:p>
      <w:pPr>
        <w:pStyle w:val="BodyText"/>
        <w:spacing w:line="232" w:lineRule="auto"/>
        <w:ind w:left="170" w:right="191"/>
      </w:pPr>
      <w:r>
        <w:rPr/>
        <w:t>£2 coins, notes and coin had increased by 2.0% on the month, and the twelve-month growth rate had risen to 13.0%. The published growth</w:t>
      </w:r>
      <w:r>
        <w:rPr>
          <w:spacing w:val="-5"/>
        </w:rPr>
        <w:t> </w:t>
      </w:r>
      <w:r>
        <w:rPr/>
        <w:t>rate</w:t>
      </w:r>
      <w:r>
        <w:rPr>
          <w:spacing w:val="-4"/>
        </w:rPr>
        <w:t> </w:t>
      </w:r>
      <w:r>
        <w:rPr/>
        <w:t>is</w:t>
      </w:r>
      <w:r>
        <w:rPr>
          <w:spacing w:val="-4"/>
        </w:rPr>
        <w:t> </w:t>
      </w:r>
      <w:r>
        <w:rPr/>
        <w:t>based</w:t>
      </w:r>
      <w:r>
        <w:rPr>
          <w:spacing w:val="-5"/>
        </w:rPr>
        <w:t> </w:t>
      </w:r>
      <w:r>
        <w:rPr/>
        <w:t>on</w:t>
      </w:r>
      <w:r>
        <w:rPr>
          <w:spacing w:val="-4"/>
        </w:rPr>
        <w:t> </w:t>
      </w:r>
      <w:r>
        <w:rPr/>
        <w:t>the</w:t>
      </w:r>
      <w:r>
        <w:rPr>
          <w:spacing w:val="-4"/>
        </w:rPr>
        <w:t> </w:t>
      </w:r>
      <w:r>
        <w:rPr/>
        <w:t>average</w:t>
      </w:r>
      <w:r>
        <w:rPr>
          <w:spacing w:val="-5"/>
        </w:rPr>
        <w:t> </w:t>
      </w:r>
      <w:r>
        <w:rPr/>
        <w:t>levels</w:t>
      </w:r>
      <w:r>
        <w:rPr>
          <w:spacing w:val="-4"/>
        </w:rPr>
        <w:t> </w:t>
      </w:r>
      <w:r>
        <w:rPr/>
        <w:t>during</w:t>
      </w:r>
      <w:r>
        <w:rPr>
          <w:spacing w:val="-4"/>
        </w:rPr>
        <w:t> </w:t>
      </w:r>
      <w:r>
        <w:rPr/>
        <w:t>the</w:t>
      </w:r>
      <w:r>
        <w:rPr>
          <w:spacing w:val="-5"/>
        </w:rPr>
        <w:t> </w:t>
      </w:r>
      <w:r>
        <w:rPr/>
        <w:t>month</w:t>
      </w:r>
      <w:r>
        <w:rPr>
          <w:spacing w:val="-4"/>
        </w:rPr>
        <w:t> </w:t>
      </w:r>
      <w:r>
        <w:rPr/>
        <w:t>and</w:t>
      </w:r>
      <w:r>
        <w:rPr>
          <w:spacing w:val="-4"/>
        </w:rPr>
        <w:t> </w:t>
      </w:r>
      <w:r>
        <w:rPr/>
        <w:t>this had been distorted upwards by the effects of the millennium persisting into the early weeks of January. The distortion had affected January’s level proportionately more than December’s but had appeared to have largely unwound by the end of January. Data from the end of January and beginning of February had suggested that the underlying annual rate of growth of narrow money had been</w:t>
      </w:r>
      <w:r>
        <w:rPr>
          <w:spacing w:val="-4"/>
        </w:rPr>
        <w:t> </w:t>
      </w:r>
      <w:r>
        <w:rPr/>
        <w:t>in</w:t>
      </w:r>
      <w:r>
        <w:rPr>
          <w:spacing w:val="-3"/>
        </w:rPr>
        <w:t> </w:t>
      </w:r>
      <w:r>
        <w:rPr/>
        <w:t>the</w:t>
      </w:r>
      <w:r>
        <w:rPr>
          <w:spacing w:val="-4"/>
        </w:rPr>
        <w:t> </w:t>
      </w:r>
      <w:r>
        <w:rPr/>
        <w:t>8%–9%</w:t>
      </w:r>
      <w:r>
        <w:rPr>
          <w:spacing w:val="-3"/>
        </w:rPr>
        <w:t> </w:t>
      </w:r>
      <w:r>
        <w:rPr/>
        <w:t>range</w:t>
      </w:r>
      <w:r>
        <w:rPr>
          <w:spacing w:val="-4"/>
        </w:rPr>
        <w:t> </w:t>
      </w:r>
      <w:r>
        <w:rPr/>
        <w:t>in</w:t>
      </w:r>
      <w:r>
        <w:rPr>
          <w:spacing w:val="-3"/>
        </w:rPr>
        <w:t> </w:t>
      </w:r>
      <w:r>
        <w:rPr/>
        <w:t>January,</w:t>
      </w:r>
      <w:r>
        <w:rPr>
          <w:spacing w:val="-4"/>
        </w:rPr>
        <w:t> </w:t>
      </w:r>
      <w:r>
        <w:rPr/>
        <w:t>a</w:t>
      </w:r>
      <w:r>
        <w:rPr>
          <w:spacing w:val="-3"/>
        </w:rPr>
        <w:t> </w:t>
      </w:r>
      <w:r>
        <w:rPr/>
        <w:t>similar</w:t>
      </w:r>
      <w:r>
        <w:rPr>
          <w:spacing w:val="-4"/>
        </w:rPr>
        <w:t> </w:t>
      </w:r>
      <w:r>
        <w:rPr/>
        <w:t>rate</w:t>
      </w:r>
      <w:r>
        <w:rPr>
          <w:spacing w:val="-3"/>
        </w:rPr>
        <w:t> </w:t>
      </w:r>
      <w:r>
        <w:rPr/>
        <w:t>to</w:t>
      </w:r>
      <w:r>
        <w:rPr>
          <w:spacing w:val="-4"/>
        </w:rPr>
        <w:t> </w:t>
      </w:r>
      <w:r>
        <w:rPr/>
        <w:t>November.</w:t>
      </w:r>
    </w:p>
    <w:p>
      <w:pPr>
        <w:pStyle w:val="BodyText"/>
        <w:spacing w:before="7"/>
        <w:rPr>
          <w:sz w:val="16"/>
        </w:rPr>
      </w:pPr>
    </w:p>
    <w:p>
      <w:pPr>
        <w:pStyle w:val="ListParagraph"/>
        <w:numPr>
          <w:ilvl w:val="0"/>
          <w:numId w:val="46"/>
        </w:numPr>
        <w:tabs>
          <w:tab w:pos="649" w:val="left" w:leader="none"/>
          <w:tab w:pos="651" w:val="left" w:leader="none"/>
        </w:tabs>
        <w:spacing w:line="232" w:lineRule="auto" w:before="0" w:after="0"/>
        <w:ind w:left="170" w:right="207" w:firstLine="0"/>
        <w:jc w:val="left"/>
        <w:rPr>
          <w:sz w:val="18"/>
        </w:rPr>
      </w:pPr>
      <w:r>
        <w:rPr>
          <w:sz w:val="18"/>
        </w:rPr>
        <w:t>The stock of M4 had risen by £5.1 billion (0.6%) in December. The three-month annualised rate of growth had increased by 3.5 percentage points to 6.6%, the highest rate since May. The twelve-month rate had picked up slightly to 3.6% but remained low, due primarily to the run-down of deposits by other financial corporations (OFCs). Excluding the volatile OFCs sector, the growth rate of M4 had been stable over the past year, at around 6.0%. M4 lending (excluding securitisations) had grown</w:t>
      </w:r>
      <w:r>
        <w:rPr>
          <w:spacing w:val="-24"/>
          <w:sz w:val="18"/>
        </w:rPr>
        <w:t> </w:t>
      </w:r>
      <w:r>
        <w:rPr>
          <w:sz w:val="18"/>
        </w:rPr>
        <w:t>by</w:t>
      </w:r>
    </w:p>
    <w:p>
      <w:pPr>
        <w:pStyle w:val="BodyText"/>
        <w:spacing w:line="232" w:lineRule="auto"/>
        <w:ind w:left="170" w:right="189"/>
      </w:pPr>
      <w:r>
        <w:rPr/>
        <w:t>£9.2 billion (0.9%) in December, and the twelve-month rate had risen to 9.0%, its highest since October 1998.  The rapid growth had been broadly based: household borrowing had remained strong and private non-financial corporations’ (PNFCs) and OFCs’ borrowing had strengthened in Q4. Flows of M4 and M4 lending had diverged since mid-1998. In an accounting sense, that reflected the strength of net sterling deposits from</w:t>
      </w:r>
      <w:r>
        <w:rPr>
          <w:spacing w:val="-18"/>
        </w:rPr>
        <w:t> </w:t>
      </w:r>
      <w:r>
        <w:rPr/>
        <w:t>non-residents.</w:t>
      </w:r>
    </w:p>
    <w:p>
      <w:pPr>
        <w:pStyle w:val="BodyText"/>
        <w:spacing w:before="4"/>
        <w:rPr>
          <w:sz w:val="16"/>
        </w:rPr>
      </w:pPr>
    </w:p>
    <w:p>
      <w:pPr>
        <w:pStyle w:val="ListParagraph"/>
        <w:numPr>
          <w:ilvl w:val="0"/>
          <w:numId w:val="46"/>
        </w:numPr>
        <w:tabs>
          <w:tab w:pos="649" w:val="left" w:leader="none"/>
          <w:tab w:pos="651" w:val="left" w:leader="none"/>
        </w:tabs>
        <w:spacing w:line="232" w:lineRule="auto" w:before="0" w:after="0"/>
        <w:ind w:left="170" w:right="258" w:firstLine="0"/>
        <w:jc w:val="left"/>
        <w:rPr>
          <w:sz w:val="18"/>
        </w:rPr>
      </w:pPr>
      <w:r>
        <w:rPr>
          <w:sz w:val="18"/>
        </w:rPr>
        <w:t>Households’ deposits at banks had grown by 1.0% in December (rather stronger than the monthly average of 0.7% in Q4); annual growth had been 6.5%. Households’ borrowing had remained robust. The rate of growth in the year to Q4 of 9.5% had been the strongest since 1991 Q2. Net secured lending had increased by £3.6 billion in December despite slight falls in both the value and number of loans approved. Total unsecured lending had increased by 1.1% in December, continuing the robust growth seen throughout 1999.</w:t>
      </w:r>
    </w:p>
    <w:p>
      <w:pPr>
        <w:pStyle w:val="BodyText"/>
        <w:spacing w:before="9"/>
        <w:rPr>
          <w:sz w:val="16"/>
        </w:rPr>
      </w:pPr>
    </w:p>
    <w:p>
      <w:pPr>
        <w:pStyle w:val="ListParagraph"/>
        <w:numPr>
          <w:ilvl w:val="0"/>
          <w:numId w:val="46"/>
        </w:numPr>
        <w:tabs>
          <w:tab w:pos="649" w:val="left" w:leader="none"/>
          <w:tab w:pos="650" w:val="left" w:leader="none"/>
        </w:tabs>
        <w:spacing w:line="232" w:lineRule="auto" w:before="0" w:after="0"/>
        <w:ind w:left="170" w:right="581" w:firstLine="0"/>
        <w:jc w:val="left"/>
        <w:rPr>
          <w:sz w:val="18"/>
        </w:rPr>
      </w:pPr>
      <w:r>
        <w:rPr>
          <w:sz w:val="18"/>
        </w:rPr>
        <w:t>The M4 deposits of PNFCs had fallen by £0.2 billion in December, but strong growth in previous months had resulted in strong growth in the fourth quarter as a whole. In contrast, M4</w:t>
      </w:r>
      <w:r>
        <w:rPr>
          <w:spacing w:val="-5"/>
          <w:sz w:val="18"/>
        </w:rPr>
        <w:t> </w:t>
      </w:r>
      <w:r>
        <w:rPr>
          <w:sz w:val="18"/>
        </w:rPr>
        <w:t>lending</w:t>
      </w:r>
      <w:r>
        <w:rPr>
          <w:spacing w:val="-4"/>
          <w:sz w:val="18"/>
        </w:rPr>
        <w:t> </w:t>
      </w:r>
      <w:r>
        <w:rPr>
          <w:sz w:val="18"/>
        </w:rPr>
        <w:t>to</w:t>
      </w:r>
      <w:r>
        <w:rPr>
          <w:spacing w:val="-4"/>
          <w:sz w:val="18"/>
        </w:rPr>
        <w:t> </w:t>
      </w:r>
      <w:r>
        <w:rPr>
          <w:sz w:val="18"/>
        </w:rPr>
        <w:t>PNFCs</w:t>
      </w:r>
      <w:r>
        <w:rPr>
          <w:spacing w:val="-4"/>
          <w:sz w:val="18"/>
        </w:rPr>
        <w:t> </w:t>
      </w:r>
      <w:r>
        <w:rPr>
          <w:sz w:val="18"/>
        </w:rPr>
        <w:t>had</w:t>
      </w:r>
      <w:r>
        <w:rPr>
          <w:spacing w:val="-5"/>
          <w:sz w:val="18"/>
        </w:rPr>
        <w:t> </w:t>
      </w:r>
      <w:r>
        <w:rPr>
          <w:sz w:val="18"/>
        </w:rPr>
        <w:t>increased</w:t>
      </w:r>
      <w:r>
        <w:rPr>
          <w:spacing w:val="-4"/>
          <w:sz w:val="18"/>
        </w:rPr>
        <w:t> </w:t>
      </w:r>
      <w:r>
        <w:rPr>
          <w:sz w:val="18"/>
        </w:rPr>
        <w:t>rapidly</w:t>
      </w:r>
      <w:r>
        <w:rPr>
          <w:spacing w:val="-4"/>
          <w:sz w:val="18"/>
        </w:rPr>
        <w:t> </w:t>
      </w:r>
      <w:r>
        <w:rPr>
          <w:sz w:val="18"/>
        </w:rPr>
        <w:t>in</w:t>
      </w:r>
      <w:r>
        <w:rPr>
          <w:spacing w:val="-4"/>
          <w:sz w:val="18"/>
        </w:rPr>
        <w:t> </w:t>
      </w:r>
      <w:r>
        <w:rPr>
          <w:sz w:val="18"/>
        </w:rPr>
        <w:t>December,</w:t>
      </w:r>
      <w:r>
        <w:rPr>
          <w:spacing w:val="-5"/>
          <w:sz w:val="18"/>
        </w:rPr>
        <w:t> </w:t>
      </w:r>
      <w:r>
        <w:rPr>
          <w:sz w:val="18"/>
        </w:rPr>
        <w:t>by</w:t>
      </w:r>
    </w:p>
    <w:p>
      <w:pPr>
        <w:pStyle w:val="BodyText"/>
        <w:spacing w:line="232" w:lineRule="auto"/>
        <w:ind w:left="170" w:right="173"/>
      </w:pPr>
      <w:r>
        <w:rPr/>
        <w:t>£3 billion. But taking the fourth quarter as a whole, both M4 deposits and lending had shown similar strength. PNFCs’ non-bank borrowing had also been strong in the fourth quarter, particularly via</w:t>
      </w:r>
      <w:r>
        <w:rPr>
          <w:spacing w:val="-2"/>
        </w:rPr>
        <w:t> </w:t>
      </w:r>
      <w:r>
        <w:rPr/>
        <w:t>equities.</w:t>
      </w:r>
    </w:p>
    <w:p>
      <w:pPr>
        <w:spacing w:after="0" w:line="232" w:lineRule="auto"/>
        <w:sectPr>
          <w:type w:val="continuous"/>
          <w:pgSz w:w="11900" w:h="16840"/>
          <w:pgMar w:top="1220" w:bottom="280" w:left="640" w:right="620"/>
          <w:cols w:num="2" w:equalWidth="0">
            <w:col w:w="5112" w:space="280"/>
            <w:col w:w="5248"/>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4"/>
        <w:rPr>
          <w:sz w:val="21"/>
        </w:rPr>
      </w:pPr>
    </w:p>
    <w:p>
      <w:pPr>
        <w:pStyle w:val="ListParagraph"/>
        <w:numPr>
          <w:ilvl w:val="0"/>
          <w:numId w:val="46"/>
        </w:numPr>
        <w:tabs>
          <w:tab w:pos="645" w:val="left" w:leader="none"/>
          <w:tab w:pos="646" w:val="left" w:leader="none"/>
        </w:tabs>
        <w:spacing w:line="232" w:lineRule="auto" w:before="1" w:after="0"/>
        <w:ind w:left="165" w:right="53" w:firstLine="0"/>
        <w:jc w:val="left"/>
        <w:rPr>
          <w:sz w:val="18"/>
        </w:rPr>
      </w:pPr>
      <w:r>
        <w:rPr>
          <w:sz w:val="18"/>
        </w:rPr>
        <w:t>Since the previous MPC meeting, short-term interest rate expectations, as measured by the gilt repo curve, had fallen by around 0.2%. There had been virtually no change in longer-term nominal rates since that meeting. Corporate spreads were little changed on a month earlier and the yield on corporate bonds had remained much lower at long maturities than at shorter maturities. PNFCs’ bond issuance data had suggested that companies viewed longer-term rates as relatively attractive: throughout the second half of 1999 the proportion of bond issuance with a maturity of greater than fifteen years had increased. There had been almost complete pass-through of the January repo rate increase to standard variable mortgage rates by the beginning of</w:t>
      </w:r>
      <w:r>
        <w:rPr>
          <w:spacing w:val="-17"/>
          <w:sz w:val="18"/>
        </w:rPr>
        <w:t> </w:t>
      </w:r>
      <w:r>
        <w:rPr>
          <w:sz w:val="18"/>
        </w:rPr>
        <w:t>February.</w:t>
      </w:r>
    </w:p>
    <w:p>
      <w:pPr>
        <w:pStyle w:val="BodyText"/>
        <w:spacing w:before="6"/>
        <w:rPr>
          <w:sz w:val="16"/>
        </w:rPr>
      </w:pPr>
    </w:p>
    <w:p>
      <w:pPr>
        <w:pStyle w:val="ListParagraph"/>
        <w:numPr>
          <w:ilvl w:val="0"/>
          <w:numId w:val="46"/>
        </w:numPr>
        <w:tabs>
          <w:tab w:pos="645" w:val="left" w:leader="none"/>
          <w:tab w:pos="646" w:val="left" w:leader="none"/>
        </w:tabs>
        <w:spacing w:line="232" w:lineRule="auto" w:before="0" w:after="0"/>
        <w:ind w:left="165" w:right="73" w:firstLine="0"/>
        <w:jc w:val="left"/>
        <w:rPr>
          <w:sz w:val="18"/>
        </w:rPr>
      </w:pPr>
      <w:r>
        <w:rPr>
          <w:sz w:val="18"/>
        </w:rPr>
        <w:t>There had been little change in RPIX inflation expectations derived from surveys for 2000. Most survey-based measures had fallen by 0.1 percentage points to between 2.1% and 2.3%. Survey estimates of RPIX inflation for 2001 had suggested that people expected inflation to rise to</w:t>
      </w:r>
      <w:r>
        <w:rPr>
          <w:spacing w:val="-8"/>
          <w:sz w:val="18"/>
        </w:rPr>
        <w:t> </w:t>
      </w:r>
      <w:r>
        <w:rPr>
          <w:sz w:val="18"/>
        </w:rPr>
        <w:t>2.4%.</w:t>
      </w:r>
    </w:p>
    <w:p>
      <w:pPr>
        <w:pStyle w:val="BodyText"/>
        <w:spacing w:before="1"/>
        <w:rPr>
          <w:sz w:val="17"/>
        </w:rPr>
      </w:pPr>
    </w:p>
    <w:p>
      <w:pPr>
        <w:pStyle w:val="ListParagraph"/>
        <w:numPr>
          <w:ilvl w:val="0"/>
          <w:numId w:val="46"/>
        </w:numPr>
        <w:tabs>
          <w:tab w:pos="645" w:val="left" w:leader="none"/>
          <w:tab w:pos="646" w:val="left" w:leader="none"/>
        </w:tabs>
        <w:spacing w:line="232" w:lineRule="auto" w:before="0" w:after="0"/>
        <w:ind w:left="165" w:right="182" w:firstLine="0"/>
        <w:jc w:val="left"/>
        <w:rPr>
          <w:sz w:val="18"/>
        </w:rPr>
      </w:pPr>
      <w:r>
        <w:rPr>
          <w:sz w:val="18"/>
        </w:rPr>
        <w:t>Equity prices had fallen by 3.6% since the January MPC meeting, well below the performance of other stock markets. Equity prices in all sectors other than information technology and non-cyclical</w:t>
      </w:r>
      <w:r>
        <w:rPr>
          <w:spacing w:val="-6"/>
          <w:sz w:val="18"/>
        </w:rPr>
        <w:t> </w:t>
      </w:r>
      <w:r>
        <w:rPr>
          <w:sz w:val="18"/>
        </w:rPr>
        <w:t>services</w:t>
      </w:r>
      <w:r>
        <w:rPr>
          <w:spacing w:val="-5"/>
          <w:sz w:val="18"/>
        </w:rPr>
        <w:t> </w:t>
      </w:r>
      <w:r>
        <w:rPr>
          <w:sz w:val="18"/>
        </w:rPr>
        <w:t>had</w:t>
      </w:r>
      <w:r>
        <w:rPr>
          <w:spacing w:val="-5"/>
          <w:sz w:val="18"/>
        </w:rPr>
        <w:t> </w:t>
      </w:r>
      <w:r>
        <w:rPr>
          <w:sz w:val="18"/>
        </w:rPr>
        <w:t>fallen</w:t>
      </w:r>
      <w:r>
        <w:rPr>
          <w:spacing w:val="-6"/>
          <w:sz w:val="18"/>
        </w:rPr>
        <w:t> </w:t>
      </w:r>
      <w:r>
        <w:rPr>
          <w:sz w:val="18"/>
        </w:rPr>
        <w:t>since</w:t>
      </w:r>
      <w:r>
        <w:rPr>
          <w:spacing w:val="-5"/>
          <w:sz w:val="18"/>
        </w:rPr>
        <w:t> </w:t>
      </w:r>
      <w:r>
        <w:rPr>
          <w:sz w:val="18"/>
        </w:rPr>
        <w:t>the</w:t>
      </w:r>
      <w:r>
        <w:rPr>
          <w:spacing w:val="-5"/>
          <w:sz w:val="18"/>
        </w:rPr>
        <w:t> </w:t>
      </w:r>
      <w:r>
        <w:rPr>
          <w:sz w:val="18"/>
        </w:rPr>
        <w:t>January</w:t>
      </w:r>
      <w:r>
        <w:rPr>
          <w:spacing w:val="-6"/>
          <w:sz w:val="18"/>
        </w:rPr>
        <w:t> </w:t>
      </w:r>
      <w:r>
        <w:rPr>
          <w:sz w:val="18"/>
        </w:rPr>
        <w:t>MPC</w:t>
      </w:r>
      <w:r>
        <w:rPr>
          <w:spacing w:val="-5"/>
          <w:sz w:val="18"/>
        </w:rPr>
        <w:t> </w:t>
      </w:r>
      <w:r>
        <w:rPr>
          <w:sz w:val="18"/>
        </w:rPr>
        <w:t>meeting.</w:t>
      </w:r>
    </w:p>
    <w:p>
      <w:pPr>
        <w:pStyle w:val="BodyText"/>
        <w:spacing w:before="1"/>
        <w:rPr>
          <w:sz w:val="17"/>
        </w:rPr>
      </w:pPr>
    </w:p>
    <w:p>
      <w:pPr>
        <w:pStyle w:val="ListParagraph"/>
        <w:numPr>
          <w:ilvl w:val="0"/>
          <w:numId w:val="46"/>
        </w:numPr>
        <w:tabs>
          <w:tab w:pos="645" w:val="left" w:leader="none"/>
          <w:tab w:pos="646" w:val="left" w:leader="none"/>
        </w:tabs>
        <w:spacing w:line="232" w:lineRule="auto" w:before="0" w:after="0"/>
        <w:ind w:left="165" w:right="58" w:firstLine="0"/>
        <w:jc w:val="left"/>
        <w:rPr>
          <w:sz w:val="18"/>
        </w:rPr>
      </w:pPr>
      <w:r>
        <w:rPr>
          <w:sz w:val="18"/>
        </w:rPr>
        <w:t>Sterling had been volatile at the end of January and beginning of February. By the close of business on 9 February the effective exchange rate index had appreciated by 0.7% from its level at the January MPC meeting to 108.6. Over the month sterling had depreciated markedly against the dollar (2.2%) but had appreciated by 1.5% against the</w:t>
      </w:r>
      <w:r>
        <w:rPr>
          <w:spacing w:val="-8"/>
          <w:sz w:val="18"/>
        </w:rPr>
        <w:t> </w:t>
      </w:r>
      <w:r>
        <w:rPr>
          <w:sz w:val="18"/>
        </w:rPr>
        <w:t>euro.</w:t>
      </w:r>
    </w:p>
    <w:p>
      <w:pPr>
        <w:pStyle w:val="BodyText"/>
        <w:spacing w:before="3"/>
        <w:rPr>
          <w:sz w:val="20"/>
        </w:rPr>
      </w:pPr>
    </w:p>
    <w:p>
      <w:pPr>
        <w:pStyle w:val="Heading8"/>
        <w:numPr>
          <w:ilvl w:val="0"/>
          <w:numId w:val="45"/>
        </w:numPr>
        <w:tabs>
          <w:tab w:pos="645" w:val="left" w:leader="none"/>
          <w:tab w:pos="646" w:val="left" w:leader="none"/>
        </w:tabs>
        <w:spacing w:line="240" w:lineRule="auto" w:before="0" w:after="0"/>
        <w:ind w:left="645" w:right="0" w:hanging="481"/>
        <w:jc w:val="left"/>
      </w:pPr>
      <w:r>
        <w:rPr>
          <w:color w:val="009391"/>
        </w:rPr>
        <w:t>Demand and</w:t>
      </w:r>
      <w:r>
        <w:rPr>
          <w:color w:val="009391"/>
          <w:spacing w:val="-3"/>
        </w:rPr>
        <w:t> </w:t>
      </w:r>
      <w:r>
        <w:rPr>
          <w:color w:val="009391"/>
        </w:rPr>
        <w:t>output</w:t>
      </w:r>
    </w:p>
    <w:p>
      <w:pPr>
        <w:pStyle w:val="ListParagraph"/>
        <w:numPr>
          <w:ilvl w:val="0"/>
          <w:numId w:val="46"/>
        </w:numPr>
        <w:tabs>
          <w:tab w:pos="645" w:val="left" w:leader="none"/>
          <w:tab w:pos="646" w:val="left" w:leader="none"/>
        </w:tabs>
        <w:spacing w:line="232" w:lineRule="auto" w:before="110" w:after="0"/>
        <w:ind w:left="165" w:right="73" w:firstLine="0"/>
        <w:jc w:val="left"/>
        <w:rPr>
          <w:sz w:val="18"/>
        </w:rPr>
      </w:pPr>
      <w:r>
        <w:rPr>
          <w:sz w:val="18"/>
        </w:rPr>
        <w:t>The preliminary ONS estimate of GDP growth in 1999 Q4 had been 0.8%, unchanged from Q3. The annual growth rate had risen to 2.7%. Service sector output had grown by 0.9% in Q4 and had been 2.9% up on a year earlier. Within services, the distribution, hotels and catering sector had grown by 0.6%. The more recently available industrial production data had shown a rise of 0.3% in Q4 while manufacturing output had risen by 0.7% over the same</w:t>
      </w:r>
      <w:r>
        <w:rPr>
          <w:spacing w:val="-3"/>
          <w:sz w:val="18"/>
        </w:rPr>
        <w:t> </w:t>
      </w:r>
      <w:r>
        <w:rPr>
          <w:sz w:val="18"/>
        </w:rPr>
        <w:t>period.</w:t>
      </w:r>
    </w:p>
    <w:p>
      <w:pPr>
        <w:pStyle w:val="BodyText"/>
        <w:spacing w:before="9"/>
        <w:rPr>
          <w:sz w:val="16"/>
        </w:rPr>
      </w:pPr>
    </w:p>
    <w:p>
      <w:pPr>
        <w:pStyle w:val="ListParagraph"/>
        <w:numPr>
          <w:ilvl w:val="0"/>
          <w:numId w:val="46"/>
        </w:numPr>
        <w:tabs>
          <w:tab w:pos="645" w:val="left" w:leader="none"/>
          <w:tab w:pos="646" w:val="left" w:leader="none"/>
        </w:tabs>
        <w:spacing w:line="232" w:lineRule="auto" w:before="1" w:after="0"/>
        <w:ind w:left="165" w:right="102" w:firstLine="0"/>
        <w:jc w:val="left"/>
        <w:rPr>
          <w:sz w:val="18"/>
        </w:rPr>
      </w:pPr>
      <w:r>
        <w:rPr>
          <w:sz w:val="18"/>
        </w:rPr>
        <w:t>New construction orders had risen by 0.6% in the three months to December. The CIPS index of construction activity had indicated robust growth since February</w:t>
      </w:r>
      <w:r>
        <w:rPr>
          <w:spacing w:val="-10"/>
          <w:sz w:val="18"/>
        </w:rPr>
        <w:t> </w:t>
      </w:r>
      <w:r>
        <w:rPr>
          <w:sz w:val="18"/>
        </w:rPr>
        <w:t>1999.</w:t>
      </w:r>
    </w:p>
    <w:p>
      <w:pPr>
        <w:pStyle w:val="BodyText"/>
        <w:spacing w:before="8"/>
        <w:rPr>
          <w:sz w:val="16"/>
        </w:rPr>
      </w:pPr>
    </w:p>
    <w:p>
      <w:pPr>
        <w:pStyle w:val="ListParagraph"/>
        <w:numPr>
          <w:ilvl w:val="0"/>
          <w:numId w:val="46"/>
        </w:numPr>
        <w:tabs>
          <w:tab w:pos="645" w:val="left" w:leader="none"/>
          <w:tab w:pos="646" w:val="left" w:leader="none"/>
        </w:tabs>
        <w:spacing w:line="203" w:lineRule="exact" w:before="0" w:after="0"/>
        <w:ind w:left="645" w:right="0" w:hanging="481"/>
        <w:jc w:val="left"/>
        <w:rPr>
          <w:sz w:val="18"/>
        </w:rPr>
      </w:pPr>
      <w:r>
        <w:rPr>
          <w:sz w:val="18"/>
        </w:rPr>
        <w:t>The deficit on trade in goods had widened slightly,</w:t>
      </w:r>
      <w:r>
        <w:rPr>
          <w:spacing w:val="-23"/>
          <w:sz w:val="18"/>
        </w:rPr>
        <w:t> </w:t>
      </w:r>
      <w:r>
        <w:rPr>
          <w:sz w:val="18"/>
        </w:rPr>
        <w:t>to</w:t>
      </w:r>
    </w:p>
    <w:p>
      <w:pPr>
        <w:pStyle w:val="BodyText"/>
        <w:spacing w:line="232" w:lineRule="auto" w:before="2"/>
        <w:ind w:left="165" w:right="38"/>
      </w:pPr>
      <w:r>
        <w:rPr/>
        <w:t>£2.5 billion in November from £2.3 billion in October. The EU deficit had widened to £0.5 billion but the non-EU goods deficit had narrowed slightly to £2.0 billion. The non-EU goods deficit had widened to £2.3 billion in December. Excluding oil and erratics, the volume of goods exports had risen by 1.2% in the three months to November and the volume of imports had risen by 2.4%. Total goods imports had risen by 0.7% over the same</w:t>
      </w:r>
      <w:r>
        <w:rPr>
          <w:spacing w:val="-28"/>
        </w:rPr>
        <w:t> </w:t>
      </w:r>
      <w:r>
        <w:rPr/>
        <w:t>period.</w:t>
      </w:r>
    </w:p>
    <w:p>
      <w:pPr>
        <w:pStyle w:val="BodyText"/>
        <w:spacing w:before="10"/>
        <w:rPr>
          <w:sz w:val="16"/>
        </w:rPr>
      </w:pPr>
    </w:p>
    <w:p>
      <w:pPr>
        <w:pStyle w:val="ListParagraph"/>
        <w:numPr>
          <w:ilvl w:val="0"/>
          <w:numId w:val="46"/>
        </w:numPr>
        <w:tabs>
          <w:tab w:pos="645" w:val="left" w:leader="none"/>
          <w:tab w:pos="646" w:val="left" w:leader="none"/>
        </w:tabs>
        <w:spacing w:line="232" w:lineRule="auto" w:before="0" w:after="0"/>
        <w:ind w:left="165" w:right="102" w:firstLine="0"/>
        <w:jc w:val="left"/>
        <w:rPr>
          <w:sz w:val="18"/>
        </w:rPr>
      </w:pPr>
      <w:r>
        <w:rPr>
          <w:sz w:val="18"/>
        </w:rPr>
        <w:t>Retail sales volumes had risen by 0.6% in December and by 1.3% on a three-monthly basis. Consumer confidence remained strong. The GfK consumer confidence index had risen to +8.0 in January, its highest level for more than two years and above its historical average. The Consumers’ Association quarterly survey of confidence had been +41 in January, compared with +34 in October.</w:t>
      </w:r>
    </w:p>
    <w:p>
      <w:pPr>
        <w:pStyle w:val="BodyText"/>
        <w:spacing w:before="11"/>
        <w:rPr>
          <w:sz w:val="16"/>
        </w:rPr>
      </w:pPr>
    </w:p>
    <w:p>
      <w:pPr>
        <w:pStyle w:val="ListParagraph"/>
        <w:numPr>
          <w:ilvl w:val="0"/>
          <w:numId w:val="46"/>
        </w:numPr>
        <w:tabs>
          <w:tab w:pos="646" w:val="left" w:leader="none"/>
        </w:tabs>
        <w:spacing w:line="232" w:lineRule="auto" w:before="0" w:after="0"/>
        <w:ind w:left="165" w:right="148" w:firstLine="0"/>
        <w:jc w:val="both"/>
        <w:rPr>
          <w:sz w:val="18"/>
        </w:rPr>
      </w:pPr>
      <w:r>
        <w:rPr>
          <w:sz w:val="18"/>
        </w:rPr>
        <w:t>Private new car registrations in the three months to January had fallen by 12.6% on a year earlier. Total new registrations had fallen by 4.1% over the same</w:t>
      </w:r>
      <w:r>
        <w:rPr>
          <w:spacing w:val="-9"/>
          <w:sz w:val="18"/>
        </w:rPr>
        <w:t> </w:t>
      </w:r>
      <w:r>
        <w:rPr>
          <w:sz w:val="18"/>
        </w:rPr>
        <w:t>period.</w:t>
      </w:r>
    </w:p>
    <w:p>
      <w:pPr>
        <w:pStyle w:val="BodyText"/>
        <w:spacing w:before="2"/>
        <w:rPr>
          <w:sz w:val="17"/>
        </w:rPr>
      </w:pPr>
    </w:p>
    <w:p>
      <w:pPr>
        <w:pStyle w:val="ListParagraph"/>
        <w:numPr>
          <w:ilvl w:val="0"/>
          <w:numId w:val="46"/>
        </w:numPr>
        <w:tabs>
          <w:tab w:pos="645" w:val="left" w:leader="none"/>
          <w:tab w:pos="646" w:val="left" w:leader="none"/>
        </w:tabs>
        <w:spacing w:line="232" w:lineRule="auto" w:before="0" w:after="0"/>
        <w:ind w:left="165" w:right="63" w:firstLine="0"/>
        <w:jc w:val="left"/>
        <w:rPr>
          <w:sz w:val="18"/>
        </w:rPr>
      </w:pPr>
      <w:r>
        <w:rPr>
          <w:sz w:val="18"/>
        </w:rPr>
        <w:t>Both the Halifax and Nationwide house price indices had shown further increases in January, of 2.4% and 0.9% respectively. Annual house price inflation had remained high on these measures, at 16.0% and 13.1% respectively. Particulars delivered had fallen by</w:t>
      </w:r>
      <w:r>
        <w:rPr>
          <w:spacing w:val="-4"/>
          <w:sz w:val="18"/>
        </w:rPr>
        <w:t> </w:t>
      </w:r>
      <w:r>
        <w:rPr>
          <w:sz w:val="18"/>
        </w:rPr>
        <w:t>2.4%</w:t>
      </w:r>
      <w:r>
        <w:rPr>
          <w:spacing w:val="-3"/>
          <w:sz w:val="18"/>
        </w:rPr>
        <w:t> </w:t>
      </w:r>
      <w:r>
        <w:rPr>
          <w:sz w:val="18"/>
        </w:rPr>
        <w:t>in</w:t>
      </w:r>
      <w:r>
        <w:rPr>
          <w:spacing w:val="-4"/>
          <w:sz w:val="18"/>
        </w:rPr>
        <w:t> </w:t>
      </w:r>
      <w:r>
        <w:rPr>
          <w:sz w:val="18"/>
        </w:rPr>
        <w:t>December</w:t>
      </w:r>
      <w:r>
        <w:rPr>
          <w:spacing w:val="-4"/>
          <w:sz w:val="18"/>
        </w:rPr>
        <w:t> </w:t>
      </w:r>
      <w:r>
        <w:rPr>
          <w:sz w:val="18"/>
        </w:rPr>
        <w:t>and</w:t>
      </w:r>
      <w:r>
        <w:rPr>
          <w:spacing w:val="-3"/>
          <w:sz w:val="18"/>
        </w:rPr>
        <w:t> </w:t>
      </w:r>
      <w:r>
        <w:rPr>
          <w:sz w:val="18"/>
        </w:rPr>
        <w:t>the</w:t>
      </w:r>
      <w:r>
        <w:rPr>
          <w:spacing w:val="-4"/>
          <w:sz w:val="18"/>
        </w:rPr>
        <w:t> </w:t>
      </w:r>
      <w:r>
        <w:rPr>
          <w:sz w:val="18"/>
        </w:rPr>
        <w:t>annual</w:t>
      </w:r>
      <w:r>
        <w:rPr>
          <w:spacing w:val="-3"/>
          <w:sz w:val="18"/>
        </w:rPr>
        <w:t> </w:t>
      </w:r>
      <w:r>
        <w:rPr>
          <w:sz w:val="18"/>
        </w:rPr>
        <w:t>growth</w:t>
      </w:r>
      <w:r>
        <w:rPr>
          <w:spacing w:val="-4"/>
          <w:sz w:val="18"/>
        </w:rPr>
        <w:t> </w:t>
      </w:r>
      <w:r>
        <w:rPr>
          <w:sz w:val="18"/>
        </w:rPr>
        <w:t>rate</w:t>
      </w:r>
      <w:r>
        <w:rPr>
          <w:spacing w:val="-3"/>
          <w:sz w:val="18"/>
        </w:rPr>
        <w:t> </w:t>
      </w:r>
      <w:r>
        <w:rPr>
          <w:sz w:val="18"/>
        </w:rPr>
        <w:t>had</w:t>
      </w:r>
      <w:r>
        <w:rPr>
          <w:spacing w:val="-4"/>
          <w:sz w:val="18"/>
        </w:rPr>
        <w:t> </w:t>
      </w:r>
      <w:r>
        <w:rPr>
          <w:sz w:val="18"/>
        </w:rPr>
        <w:t>declined</w:t>
      </w:r>
      <w:r>
        <w:rPr>
          <w:spacing w:val="-3"/>
          <w:sz w:val="18"/>
        </w:rPr>
        <w:t> </w:t>
      </w:r>
      <w:r>
        <w:rPr>
          <w:sz w:val="18"/>
        </w:rPr>
        <w:t>to</w:t>
      </w:r>
    </w:p>
    <w:p>
      <w:pPr>
        <w:pStyle w:val="BodyText"/>
        <w:spacing w:before="4"/>
        <w:rPr>
          <w:sz w:val="21"/>
        </w:rPr>
      </w:pPr>
      <w:r>
        <w:rPr/>
        <w:br w:type="column"/>
      </w:r>
      <w:r>
        <w:rPr>
          <w:sz w:val="21"/>
        </w:rPr>
      </w:r>
    </w:p>
    <w:p>
      <w:pPr>
        <w:pStyle w:val="BodyText"/>
        <w:spacing w:line="232" w:lineRule="auto" w:before="1"/>
        <w:ind w:left="165" w:right="246"/>
      </w:pPr>
      <w:r>
        <w:rPr/>
        <w:t>11.7%. The RICS survey had shown weaker sales and instructions in December.</w:t>
      </w:r>
    </w:p>
    <w:p>
      <w:pPr>
        <w:pStyle w:val="BodyText"/>
        <w:spacing w:before="2"/>
        <w:rPr>
          <w:sz w:val="17"/>
        </w:rPr>
      </w:pPr>
    </w:p>
    <w:p>
      <w:pPr>
        <w:pStyle w:val="ListParagraph"/>
        <w:numPr>
          <w:ilvl w:val="0"/>
          <w:numId w:val="46"/>
        </w:numPr>
        <w:tabs>
          <w:tab w:pos="645" w:val="left" w:leader="none"/>
          <w:tab w:pos="646" w:val="left" w:leader="none"/>
        </w:tabs>
        <w:spacing w:line="232" w:lineRule="auto" w:before="1" w:after="0"/>
        <w:ind w:left="165" w:right="254" w:firstLine="0"/>
        <w:jc w:val="left"/>
        <w:rPr>
          <w:sz w:val="18"/>
        </w:rPr>
      </w:pPr>
      <w:r>
        <w:rPr>
          <w:sz w:val="18"/>
        </w:rPr>
        <w:t>The public sector net cash requirement had been £9.2 billion in</w:t>
      </w:r>
      <w:r>
        <w:rPr>
          <w:spacing w:val="-2"/>
          <w:sz w:val="18"/>
        </w:rPr>
        <w:t> </w:t>
      </w:r>
      <w:r>
        <w:rPr>
          <w:sz w:val="18"/>
        </w:rPr>
        <w:t>December.</w:t>
      </w:r>
    </w:p>
    <w:p>
      <w:pPr>
        <w:pStyle w:val="BodyText"/>
        <w:spacing w:before="2"/>
        <w:rPr>
          <w:sz w:val="17"/>
        </w:rPr>
      </w:pPr>
    </w:p>
    <w:p>
      <w:pPr>
        <w:pStyle w:val="ListParagraph"/>
        <w:numPr>
          <w:ilvl w:val="0"/>
          <w:numId w:val="46"/>
        </w:numPr>
        <w:tabs>
          <w:tab w:pos="645" w:val="left" w:leader="none"/>
          <w:tab w:pos="646" w:val="left" w:leader="none"/>
        </w:tabs>
        <w:spacing w:line="232" w:lineRule="auto" w:before="0" w:after="0"/>
        <w:ind w:left="165" w:right="294" w:firstLine="0"/>
        <w:jc w:val="left"/>
        <w:rPr>
          <w:sz w:val="18"/>
        </w:rPr>
      </w:pPr>
      <w:r>
        <w:rPr>
          <w:sz w:val="18"/>
        </w:rPr>
        <w:t>The BCC and CBI surveys had shown a pick-up of manufacturing investment intentions in Q4 compared with levels a year earlier. The CBI intentions balance rose slightly, to -9 in Q4 from -11 in Q3. The BCC had shown an increase in investment intentions (plant and machinery), to +14 in Q4 from +11 in Q3. The BCC survey had also shown an increase in service sector investment intentions, the balance rising to +25 in Q4 from +21 in Q3.</w:t>
      </w:r>
    </w:p>
    <w:p>
      <w:pPr>
        <w:pStyle w:val="BodyText"/>
        <w:spacing w:before="10"/>
        <w:rPr>
          <w:sz w:val="16"/>
        </w:rPr>
      </w:pPr>
    </w:p>
    <w:p>
      <w:pPr>
        <w:pStyle w:val="ListParagraph"/>
        <w:numPr>
          <w:ilvl w:val="0"/>
          <w:numId w:val="46"/>
        </w:numPr>
        <w:tabs>
          <w:tab w:pos="645" w:val="left" w:leader="none"/>
          <w:tab w:pos="646" w:val="left" w:leader="none"/>
        </w:tabs>
        <w:spacing w:line="232" w:lineRule="auto" w:before="0" w:after="0"/>
        <w:ind w:left="165" w:right="239" w:firstLine="0"/>
        <w:jc w:val="left"/>
        <w:rPr>
          <w:sz w:val="18"/>
        </w:rPr>
      </w:pPr>
      <w:r>
        <w:rPr>
          <w:sz w:val="18"/>
        </w:rPr>
        <w:t>The CBI quarterly industrial trends survey had shown fewer firms with more than adequate stocks: however, the stocks of finished goods balance had risen sharply since Q2. The CIPS survey of manufacturing had shown that stocks of finished goods had been built up ahead of the millennium, perhaps consistent with a positive contribution to GDP growth in Q4. The CBI distributive trades</w:t>
      </w:r>
      <w:r>
        <w:rPr>
          <w:spacing w:val="-6"/>
          <w:sz w:val="18"/>
        </w:rPr>
        <w:t> </w:t>
      </w:r>
      <w:r>
        <w:rPr>
          <w:sz w:val="18"/>
        </w:rPr>
        <w:t>survey</w:t>
      </w:r>
      <w:r>
        <w:rPr>
          <w:spacing w:val="-5"/>
          <w:sz w:val="18"/>
        </w:rPr>
        <w:t> </w:t>
      </w:r>
      <w:r>
        <w:rPr>
          <w:sz w:val="18"/>
        </w:rPr>
        <w:t>had</w:t>
      </w:r>
      <w:r>
        <w:rPr>
          <w:spacing w:val="-5"/>
          <w:sz w:val="18"/>
        </w:rPr>
        <w:t> </w:t>
      </w:r>
      <w:r>
        <w:rPr>
          <w:sz w:val="18"/>
        </w:rPr>
        <w:t>reported</w:t>
      </w:r>
      <w:r>
        <w:rPr>
          <w:spacing w:val="-5"/>
          <w:sz w:val="18"/>
        </w:rPr>
        <w:t> </w:t>
      </w:r>
      <w:r>
        <w:rPr>
          <w:sz w:val="18"/>
        </w:rPr>
        <w:t>a</w:t>
      </w:r>
      <w:r>
        <w:rPr>
          <w:spacing w:val="-5"/>
          <w:sz w:val="18"/>
        </w:rPr>
        <w:t> </w:t>
      </w:r>
      <w:r>
        <w:rPr>
          <w:sz w:val="18"/>
        </w:rPr>
        <w:t>build-up</w:t>
      </w:r>
      <w:r>
        <w:rPr>
          <w:spacing w:val="-5"/>
          <w:sz w:val="18"/>
        </w:rPr>
        <w:t> </w:t>
      </w:r>
      <w:r>
        <w:rPr>
          <w:sz w:val="18"/>
        </w:rPr>
        <w:t>of</w:t>
      </w:r>
      <w:r>
        <w:rPr>
          <w:spacing w:val="-5"/>
          <w:sz w:val="18"/>
        </w:rPr>
        <w:t> </w:t>
      </w:r>
      <w:r>
        <w:rPr>
          <w:sz w:val="18"/>
        </w:rPr>
        <w:t>retailers</w:t>
      </w:r>
      <w:r>
        <w:rPr>
          <w:spacing w:val="-6"/>
          <w:sz w:val="18"/>
        </w:rPr>
        <w:t> </w:t>
      </w:r>
      <w:r>
        <w:rPr>
          <w:sz w:val="18"/>
        </w:rPr>
        <w:t>stocks</w:t>
      </w:r>
      <w:r>
        <w:rPr>
          <w:spacing w:val="-5"/>
          <w:sz w:val="18"/>
        </w:rPr>
        <w:t> </w:t>
      </w:r>
      <w:r>
        <w:rPr>
          <w:sz w:val="18"/>
        </w:rPr>
        <w:t>in</w:t>
      </w:r>
      <w:r>
        <w:rPr>
          <w:spacing w:val="-5"/>
          <w:sz w:val="18"/>
        </w:rPr>
        <w:t> </w:t>
      </w:r>
      <w:r>
        <w:rPr>
          <w:sz w:val="18"/>
        </w:rPr>
        <w:t>January.</w:t>
      </w:r>
    </w:p>
    <w:p>
      <w:pPr>
        <w:pStyle w:val="BodyText"/>
        <w:spacing w:before="11"/>
        <w:rPr>
          <w:sz w:val="16"/>
        </w:rPr>
      </w:pPr>
    </w:p>
    <w:p>
      <w:pPr>
        <w:pStyle w:val="ListParagraph"/>
        <w:numPr>
          <w:ilvl w:val="0"/>
          <w:numId w:val="46"/>
        </w:numPr>
        <w:tabs>
          <w:tab w:pos="645" w:val="left" w:leader="none"/>
          <w:tab w:pos="646" w:val="left" w:leader="none"/>
        </w:tabs>
        <w:spacing w:line="232" w:lineRule="auto" w:before="0" w:after="0"/>
        <w:ind w:left="165" w:right="274" w:firstLine="0"/>
        <w:jc w:val="left"/>
        <w:rPr>
          <w:sz w:val="18"/>
        </w:rPr>
      </w:pPr>
      <w:r>
        <w:rPr>
          <w:sz w:val="18"/>
        </w:rPr>
        <w:t>Looking ahead to 2000 Q1, survey evidence suggested continuing growth. The CBI quarterly industrial trends survey had shown a marked improvement in new manufacturing orders in Q4. The BCC survey for Q4 had shown slight improvements in domestic and overseas orders in the manufacturing sector, and declines in the service sector. The CIPS purchasing managers’ survey</w:t>
      </w:r>
      <w:r>
        <w:rPr>
          <w:spacing w:val="-4"/>
          <w:sz w:val="18"/>
        </w:rPr>
        <w:t> </w:t>
      </w:r>
      <w:r>
        <w:rPr>
          <w:sz w:val="18"/>
        </w:rPr>
        <w:t>of</w:t>
      </w:r>
      <w:r>
        <w:rPr>
          <w:spacing w:val="-3"/>
          <w:sz w:val="18"/>
        </w:rPr>
        <w:t> </w:t>
      </w:r>
      <w:r>
        <w:rPr>
          <w:sz w:val="18"/>
        </w:rPr>
        <w:t>manufacturing</w:t>
      </w:r>
      <w:r>
        <w:rPr>
          <w:spacing w:val="-4"/>
          <w:sz w:val="18"/>
        </w:rPr>
        <w:t> </w:t>
      </w:r>
      <w:r>
        <w:rPr>
          <w:sz w:val="18"/>
        </w:rPr>
        <w:t>showed</w:t>
      </w:r>
      <w:r>
        <w:rPr>
          <w:spacing w:val="-3"/>
          <w:sz w:val="18"/>
        </w:rPr>
        <w:t> </w:t>
      </w:r>
      <w:r>
        <w:rPr>
          <w:sz w:val="18"/>
        </w:rPr>
        <w:t>a</w:t>
      </w:r>
      <w:r>
        <w:rPr>
          <w:spacing w:val="-4"/>
          <w:sz w:val="18"/>
        </w:rPr>
        <w:t> </w:t>
      </w:r>
      <w:r>
        <w:rPr>
          <w:sz w:val="18"/>
        </w:rPr>
        <w:t>fall</w:t>
      </w:r>
      <w:r>
        <w:rPr>
          <w:spacing w:val="-3"/>
          <w:sz w:val="18"/>
        </w:rPr>
        <w:t> </w:t>
      </w:r>
      <w:r>
        <w:rPr>
          <w:sz w:val="18"/>
        </w:rPr>
        <w:t>in</w:t>
      </w:r>
      <w:r>
        <w:rPr>
          <w:spacing w:val="-4"/>
          <w:sz w:val="18"/>
        </w:rPr>
        <w:t> </w:t>
      </w:r>
      <w:r>
        <w:rPr>
          <w:sz w:val="18"/>
        </w:rPr>
        <w:t>the</w:t>
      </w:r>
      <w:r>
        <w:rPr>
          <w:spacing w:val="-3"/>
          <w:sz w:val="18"/>
        </w:rPr>
        <w:t> </w:t>
      </w:r>
      <w:r>
        <w:rPr>
          <w:sz w:val="18"/>
        </w:rPr>
        <w:t>headline</w:t>
      </w:r>
      <w:r>
        <w:rPr>
          <w:spacing w:val="-4"/>
          <w:sz w:val="18"/>
        </w:rPr>
        <w:t> </w:t>
      </w:r>
      <w:r>
        <w:rPr>
          <w:sz w:val="18"/>
        </w:rPr>
        <w:t>index,</w:t>
      </w:r>
      <w:r>
        <w:rPr>
          <w:spacing w:val="-3"/>
          <w:sz w:val="18"/>
        </w:rPr>
        <w:t> </w:t>
      </w:r>
      <w:r>
        <w:rPr>
          <w:sz w:val="18"/>
        </w:rPr>
        <w:t>to</w:t>
      </w:r>
    </w:p>
    <w:p>
      <w:pPr>
        <w:pStyle w:val="BodyText"/>
        <w:spacing w:line="232" w:lineRule="auto"/>
        <w:ind w:left="165" w:right="391"/>
      </w:pPr>
      <w:r>
        <w:rPr/>
        <w:t>+52.0 in January from +56.3 in December, reflecting the ‘millennium effect’ as firms adjusted stock positions. The CIPS services measure had fallen by less and construction was broadly flat.</w:t>
      </w:r>
    </w:p>
    <w:p>
      <w:pPr>
        <w:pStyle w:val="BodyText"/>
        <w:spacing w:before="10"/>
        <w:rPr>
          <w:sz w:val="19"/>
        </w:rPr>
      </w:pPr>
    </w:p>
    <w:p>
      <w:pPr>
        <w:pStyle w:val="Heading8"/>
        <w:numPr>
          <w:ilvl w:val="0"/>
          <w:numId w:val="45"/>
        </w:numPr>
        <w:tabs>
          <w:tab w:pos="645" w:val="left" w:leader="none"/>
          <w:tab w:pos="646" w:val="left" w:leader="none"/>
        </w:tabs>
        <w:spacing w:line="240" w:lineRule="auto" w:before="1" w:after="0"/>
        <w:ind w:left="645" w:right="0" w:hanging="481"/>
        <w:jc w:val="left"/>
      </w:pPr>
      <w:r>
        <w:rPr>
          <w:color w:val="009391"/>
        </w:rPr>
        <w:t>The labour</w:t>
      </w:r>
      <w:r>
        <w:rPr>
          <w:color w:val="009391"/>
          <w:spacing w:val="-3"/>
        </w:rPr>
        <w:t> </w:t>
      </w:r>
      <w:r>
        <w:rPr>
          <w:color w:val="009391"/>
        </w:rPr>
        <w:t>market</w:t>
      </w:r>
    </w:p>
    <w:p>
      <w:pPr>
        <w:pStyle w:val="ListParagraph"/>
        <w:numPr>
          <w:ilvl w:val="0"/>
          <w:numId w:val="46"/>
        </w:numPr>
        <w:tabs>
          <w:tab w:pos="645" w:val="left" w:leader="none"/>
          <w:tab w:pos="646" w:val="left" w:leader="none"/>
        </w:tabs>
        <w:spacing w:line="232" w:lineRule="auto" w:before="109" w:after="0"/>
        <w:ind w:left="165" w:right="194" w:firstLine="0"/>
        <w:jc w:val="left"/>
        <w:rPr>
          <w:sz w:val="18"/>
        </w:rPr>
      </w:pPr>
      <w:r>
        <w:rPr>
          <w:sz w:val="18"/>
        </w:rPr>
        <w:t>LFS employment had increased by 60,000 (0.2%) in the three months to November, compared with the previous three months. This was considerably slower growth than in the three months to August, but much the same as in the three months to October. The increase had been more than accounted for by a 101,000 (0.5%) rise in full-time employment; part-time employment</w:t>
      </w:r>
      <w:r>
        <w:rPr>
          <w:spacing w:val="-6"/>
          <w:sz w:val="18"/>
        </w:rPr>
        <w:t> </w:t>
      </w:r>
      <w:r>
        <w:rPr>
          <w:sz w:val="18"/>
        </w:rPr>
        <w:t>had</w:t>
      </w:r>
      <w:r>
        <w:rPr>
          <w:spacing w:val="-5"/>
          <w:sz w:val="18"/>
        </w:rPr>
        <w:t> </w:t>
      </w:r>
      <w:r>
        <w:rPr>
          <w:sz w:val="18"/>
        </w:rPr>
        <w:t>fallen</w:t>
      </w:r>
      <w:r>
        <w:rPr>
          <w:spacing w:val="-6"/>
          <w:sz w:val="18"/>
        </w:rPr>
        <w:t> </w:t>
      </w:r>
      <w:r>
        <w:rPr>
          <w:sz w:val="18"/>
        </w:rPr>
        <w:t>by</w:t>
      </w:r>
      <w:r>
        <w:rPr>
          <w:spacing w:val="-5"/>
          <w:sz w:val="18"/>
        </w:rPr>
        <w:t> </w:t>
      </w:r>
      <w:r>
        <w:rPr>
          <w:sz w:val="18"/>
        </w:rPr>
        <w:t>42,000</w:t>
      </w:r>
      <w:r>
        <w:rPr>
          <w:spacing w:val="-5"/>
          <w:sz w:val="18"/>
        </w:rPr>
        <w:t> </w:t>
      </w:r>
      <w:r>
        <w:rPr>
          <w:sz w:val="18"/>
        </w:rPr>
        <w:t>(0.6%),</w:t>
      </w:r>
      <w:r>
        <w:rPr>
          <w:spacing w:val="-6"/>
          <w:sz w:val="18"/>
        </w:rPr>
        <w:t> </w:t>
      </w:r>
      <w:r>
        <w:rPr>
          <w:sz w:val="18"/>
        </w:rPr>
        <w:t>so</w:t>
      </w:r>
      <w:r>
        <w:rPr>
          <w:spacing w:val="-5"/>
          <w:sz w:val="18"/>
        </w:rPr>
        <w:t> </w:t>
      </w:r>
      <w:r>
        <w:rPr>
          <w:sz w:val="18"/>
        </w:rPr>
        <w:t>employment</w:t>
      </w:r>
      <w:r>
        <w:rPr>
          <w:spacing w:val="-6"/>
          <w:sz w:val="18"/>
        </w:rPr>
        <w:t> </w:t>
      </w:r>
      <w:r>
        <w:rPr>
          <w:sz w:val="18"/>
        </w:rPr>
        <w:t>growth</w:t>
      </w:r>
      <w:r>
        <w:rPr>
          <w:spacing w:val="-5"/>
          <w:sz w:val="18"/>
        </w:rPr>
        <w:t> </w:t>
      </w:r>
      <w:r>
        <w:rPr>
          <w:sz w:val="18"/>
        </w:rPr>
        <w:t>in full-time equivalent terms had been faster than in heads. The total number of hours worked had fallen by 0.1% in the three months to November, largely reflecting a fall of 0.4% in average hours worked per person.</w:t>
      </w:r>
    </w:p>
    <w:p>
      <w:pPr>
        <w:pStyle w:val="BodyText"/>
        <w:spacing w:before="7"/>
        <w:rPr>
          <w:sz w:val="16"/>
        </w:rPr>
      </w:pPr>
    </w:p>
    <w:p>
      <w:pPr>
        <w:pStyle w:val="ListParagraph"/>
        <w:numPr>
          <w:ilvl w:val="0"/>
          <w:numId w:val="46"/>
        </w:numPr>
        <w:tabs>
          <w:tab w:pos="645" w:val="left" w:leader="none"/>
          <w:tab w:pos="646" w:val="left" w:leader="none"/>
        </w:tabs>
        <w:spacing w:line="232" w:lineRule="auto" w:before="1" w:after="0"/>
        <w:ind w:left="165" w:right="235" w:firstLine="0"/>
        <w:jc w:val="left"/>
        <w:rPr>
          <w:sz w:val="18"/>
        </w:rPr>
      </w:pPr>
      <w:r>
        <w:rPr>
          <w:sz w:val="18"/>
        </w:rPr>
        <w:t>Turning to survey data, the CIPS manufacturing survey for January had suggested that there had been a further decline in manufacturing employment. The same survey had suggested that construction</w:t>
      </w:r>
      <w:r>
        <w:rPr>
          <w:spacing w:val="-5"/>
          <w:sz w:val="18"/>
        </w:rPr>
        <w:t> </w:t>
      </w:r>
      <w:r>
        <w:rPr>
          <w:sz w:val="18"/>
        </w:rPr>
        <w:t>employment</w:t>
      </w:r>
      <w:r>
        <w:rPr>
          <w:spacing w:val="-5"/>
          <w:sz w:val="18"/>
        </w:rPr>
        <w:t> </w:t>
      </w:r>
      <w:r>
        <w:rPr>
          <w:sz w:val="18"/>
        </w:rPr>
        <w:t>had</w:t>
      </w:r>
      <w:r>
        <w:rPr>
          <w:spacing w:val="-5"/>
          <w:sz w:val="18"/>
        </w:rPr>
        <w:t> </w:t>
      </w:r>
      <w:r>
        <w:rPr>
          <w:sz w:val="18"/>
        </w:rPr>
        <w:t>expanded</w:t>
      </w:r>
      <w:r>
        <w:rPr>
          <w:spacing w:val="-5"/>
          <w:sz w:val="18"/>
        </w:rPr>
        <w:t> </w:t>
      </w:r>
      <w:r>
        <w:rPr>
          <w:sz w:val="18"/>
        </w:rPr>
        <w:t>at</w:t>
      </w:r>
      <w:r>
        <w:rPr>
          <w:spacing w:val="-5"/>
          <w:sz w:val="18"/>
        </w:rPr>
        <w:t> </w:t>
      </w:r>
      <w:r>
        <w:rPr>
          <w:sz w:val="18"/>
        </w:rPr>
        <w:t>a</w:t>
      </w:r>
      <w:r>
        <w:rPr>
          <w:spacing w:val="-5"/>
          <w:sz w:val="18"/>
        </w:rPr>
        <w:t> </w:t>
      </w:r>
      <w:r>
        <w:rPr>
          <w:sz w:val="18"/>
        </w:rPr>
        <w:t>more</w:t>
      </w:r>
      <w:r>
        <w:rPr>
          <w:spacing w:val="-5"/>
          <w:sz w:val="18"/>
        </w:rPr>
        <w:t> </w:t>
      </w:r>
      <w:r>
        <w:rPr>
          <w:sz w:val="18"/>
        </w:rPr>
        <w:t>rapid</w:t>
      </w:r>
      <w:r>
        <w:rPr>
          <w:spacing w:val="-5"/>
          <w:sz w:val="18"/>
        </w:rPr>
        <w:t> </w:t>
      </w:r>
      <w:r>
        <w:rPr>
          <w:sz w:val="18"/>
        </w:rPr>
        <w:t>rate</w:t>
      </w:r>
      <w:r>
        <w:rPr>
          <w:spacing w:val="-5"/>
          <w:sz w:val="18"/>
        </w:rPr>
        <w:t> </w:t>
      </w:r>
      <w:r>
        <w:rPr>
          <w:sz w:val="18"/>
        </w:rPr>
        <w:t>than</w:t>
      </w:r>
      <w:r>
        <w:rPr>
          <w:spacing w:val="-5"/>
          <w:sz w:val="18"/>
        </w:rPr>
        <w:t> </w:t>
      </w:r>
      <w:r>
        <w:rPr>
          <w:sz w:val="18"/>
        </w:rPr>
        <w:t>in December, while services employment growth had stabilised. Forward-looking surveys by the BCC and CBI had suggested an upturn in manufacturing employment intentions in 1999 Q4, although the CBI balance had remained</w:t>
      </w:r>
      <w:r>
        <w:rPr>
          <w:spacing w:val="-12"/>
          <w:sz w:val="18"/>
        </w:rPr>
        <w:t> </w:t>
      </w:r>
      <w:r>
        <w:rPr>
          <w:sz w:val="18"/>
        </w:rPr>
        <w:t>negative.</w:t>
      </w:r>
    </w:p>
    <w:p>
      <w:pPr>
        <w:pStyle w:val="BodyText"/>
        <w:spacing w:before="9"/>
        <w:rPr>
          <w:sz w:val="16"/>
        </w:rPr>
      </w:pPr>
    </w:p>
    <w:p>
      <w:pPr>
        <w:pStyle w:val="ListParagraph"/>
        <w:numPr>
          <w:ilvl w:val="0"/>
          <w:numId w:val="46"/>
        </w:numPr>
        <w:tabs>
          <w:tab w:pos="645" w:val="left" w:leader="none"/>
          <w:tab w:pos="646" w:val="left" w:leader="none"/>
        </w:tabs>
        <w:spacing w:line="232" w:lineRule="auto" w:before="0" w:after="0"/>
        <w:ind w:left="165" w:right="380" w:firstLine="0"/>
        <w:jc w:val="left"/>
        <w:rPr>
          <w:sz w:val="18"/>
        </w:rPr>
      </w:pPr>
      <w:r>
        <w:rPr>
          <w:sz w:val="18"/>
        </w:rPr>
        <w:t>New vacancies notified to Jobcentres had risen slightly in December, to 237,800. The CBI industrial trends survey had reported a sharp increase in skill shortages in 1999 Q4, while the net balance of manufacturers reporting shortages of unskilled labour had fallen back towards its historical average. The BCC had reported a slight rise in recruitment difficulties in manufacturing and services. The Recruitment and Employment Confederation (REC) survey had shown that there had been a further deterioration in the availability of agency staff. The latest reports by the Bank’s regional Agents had suggested that skill shortages had</w:t>
      </w:r>
      <w:r>
        <w:rPr>
          <w:spacing w:val="-3"/>
          <w:sz w:val="18"/>
        </w:rPr>
        <w:t> </w:t>
      </w:r>
      <w:r>
        <w:rPr>
          <w:sz w:val="18"/>
        </w:rPr>
        <w:t>persisted.</w:t>
      </w:r>
    </w:p>
    <w:p>
      <w:pPr>
        <w:pStyle w:val="BodyText"/>
        <w:spacing w:before="8"/>
        <w:rPr>
          <w:sz w:val="16"/>
        </w:rPr>
      </w:pPr>
    </w:p>
    <w:p>
      <w:pPr>
        <w:pStyle w:val="ListParagraph"/>
        <w:numPr>
          <w:ilvl w:val="0"/>
          <w:numId w:val="46"/>
        </w:numPr>
        <w:tabs>
          <w:tab w:pos="645" w:val="left" w:leader="none"/>
          <w:tab w:pos="646" w:val="left" w:leader="none"/>
        </w:tabs>
        <w:spacing w:line="232" w:lineRule="auto" w:before="0" w:after="0"/>
        <w:ind w:left="165" w:right="374" w:firstLine="0"/>
        <w:jc w:val="left"/>
        <w:rPr>
          <w:sz w:val="18"/>
        </w:rPr>
      </w:pPr>
      <w:r>
        <w:rPr>
          <w:sz w:val="18"/>
        </w:rPr>
        <w:t>The latest unemployment statistics had shown a mixed picture. LFS unemployment had increased by 11,000 in the</w:t>
      </w:r>
      <w:r>
        <w:rPr>
          <w:spacing w:val="-4"/>
          <w:sz w:val="18"/>
        </w:rPr>
        <w:t> </w:t>
      </w:r>
      <w:r>
        <w:rPr>
          <w:sz w:val="18"/>
        </w:rPr>
        <w:t>three</w:t>
      </w:r>
    </w:p>
    <w:p>
      <w:pPr>
        <w:spacing w:after="0" w:line="232" w:lineRule="auto"/>
        <w:jc w:val="left"/>
        <w:rPr>
          <w:sz w:val="18"/>
        </w:rPr>
        <w:sectPr>
          <w:type w:val="continuous"/>
          <w:pgSz w:w="11900" w:h="16840"/>
          <w:pgMar w:top="1220" w:bottom="280" w:left="640" w:right="620"/>
          <w:cols w:num="2" w:equalWidth="0">
            <w:col w:w="5074" w:space="306"/>
            <w:col w:w="5260"/>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4"/>
        <w:rPr>
          <w:sz w:val="21"/>
        </w:rPr>
      </w:pPr>
    </w:p>
    <w:p>
      <w:pPr>
        <w:pStyle w:val="BodyText"/>
        <w:spacing w:line="232" w:lineRule="auto" w:before="1"/>
        <w:ind w:left="174" w:right="94"/>
      </w:pPr>
      <w:r>
        <w:rPr/>
        <w:t>months to November compared with three months earlier, though the rate had remained unchanged at 5.9%. But claimant count unemployment had fallen by 28,700 over the same period and by a further 21,900 in December. The claimant count rate had fallen by</w:t>
      </w:r>
    </w:p>
    <w:p>
      <w:pPr>
        <w:pStyle w:val="BodyText"/>
        <w:spacing w:line="232" w:lineRule="auto"/>
        <w:ind w:left="174" w:right="254"/>
      </w:pPr>
      <w:r>
        <w:rPr/>
        <w:t>0.1 percentage points to 4.0% in December. The rise in LFS unemployment had been among the very short term unemployed (up to six months) and the long term unemployed (over twelve months).</w:t>
      </w:r>
    </w:p>
    <w:p>
      <w:pPr>
        <w:pStyle w:val="BodyText"/>
        <w:spacing w:before="9"/>
        <w:rPr>
          <w:sz w:val="16"/>
        </w:rPr>
      </w:pPr>
    </w:p>
    <w:p>
      <w:pPr>
        <w:pStyle w:val="ListParagraph"/>
        <w:numPr>
          <w:ilvl w:val="0"/>
          <w:numId w:val="46"/>
        </w:numPr>
        <w:tabs>
          <w:tab w:pos="654" w:val="left" w:leader="none"/>
          <w:tab w:pos="655" w:val="left" w:leader="none"/>
        </w:tabs>
        <w:spacing w:line="232" w:lineRule="auto" w:before="0" w:after="0"/>
        <w:ind w:left="174" w:right="38" w:firstLine="0"/>
        <w:jc w:val="left"/>
        <w:rPr>
          <w:sz w:val="18"/>
        </w:rPr>
      </w:pPr>
      <w:r>
        <w:rPr>
          <w:sz w:val="18"/>
        </w:rPr>
        <w:t>Labour market inactivity had fallen by 36,000 in the three months to November compared with the previous three months. This</w:t>
      </w:r>
      <w:r>
        <w:rPr>
          <w:spacing w:val="-4"/>
          <w:sz w:val="18"/>
        </w:rPr>
        <w:t> </w:t>
      </w:r>
      <w:r>
        <w:rPr>
          <w:sz w:val="18"/>
        </w:rPr>
        <w:t>fall</w:t>
      </w:r>
      <w:r>
        <w:rPr>
          <w:spacing w:val="-4"/>
          <w:sz w:val="18"/>
        </w:rPr>
        <w:t> </w:t>
      </w:r>
      <w:r>
        <w:rPr>
          <w:sz w:val="18"/>
        </w:rPr>
        <w:t>was</w:t>
      </w:r>
      <w:r>
        <w:rPr>
          <w:spacing w:val="-4"/>
          <w:sz w:val="18"/>
        </w:rPr>
        <w:t> </w:t>
      </w:r>
      <w:r>
        <w:rPr>
          <w:sz w:val="18"/>
        </w:rPr>
        <w:t>more</w:t>
      </w:r>
      <w:r>
        <w:rPr>
          <w:spacing w:val="-4"/>
          <w:sz w:val="18"/>
        </w:rPr>
        <w:t> </w:t>
      </w:r>
      <w:r>
        <w:rPr>
          <w:sz w:val="18"/>
        </w:rPr>
        <w:t>than</w:t>
      </w:r>
      <w:r>
        <w:rPr>
          <w:spacing w:val="-4"/>
          <w:sz w:val="18"/>
        </w:rPr>
        <w:t> </w:t>
      </w:r>
      <w:r>
        <w:rPr>
          <w:sz w:val="18"/>
        </w:rPr>
        <w:t>accounted</w:t>
      </w:r>
      <w:r>
        <w:rPr>
          <w:spacing w:val="-4"/>
          <w:sz w:val="18"/>
        </w:rPr>
        <w:t> </w:t>
      </w:r>
      <w:r>
        <w:rPr>
          <w:sz w:val="18"/>
        </w:rPr>
        <w:t>for</w:t>
      </w:r>
      <w:r>
        <w:rPr>
          <w:spacing w:val="-4"/>
          <w:sz w:val="18"/>
        </w:rPr>
        <w:t> </w:t>
      </w:r>
      <w:r>
        <w:rPr>
          <w:sz w:val="18"/>
        </w:rPr>
        <w:t>by</w:t>
      </w:r>
      <w:r>
        <w:rPr>
          <w:spacing w:val="-3"/>
          <w:sz w:val="18"/>
        </w:rPr>
        <w:t> </w:t>
      </w:r>
      <w:r>
        <w:rPr>
          <w:sz w:val="18"/>
        </w:rPr>
        <w:t>a</w:t>
      </w:r>
      <w:r>
        <w:rPr>
          <w:spacing w:val="-4"/>
          <w:sz w:val="18"/>
        </w:rPr>
        <w:t> </w:t>
      </w:r>
      <w:r>
        <w:rPr>
          <w:sz w:val="18"/>
        </w:rPr>
        <w:t>decline</w:t>
      </w:r>
      <w:r>
        <w:rPr>
          <w:spacing w:val="-4"/>
          <w:sz w:val="18"/>
        </w:rPr>
        <w:t> </w:t>
      </w:r>
      <w:r>
        <w:rPr>
          <w:sz w:val="18"/>
        </w:rPr>
        <w:t>in</w:t>
      </w:r>
      <w:r>
        <w:rPr>
          <w:spacing w:val="-4"/>
          <w:sz w:val="18"/>
        </w:rPr>
        <w:t> </w:t>
      </w:r>
      <w:r>
        <w:rPr>
          <w:sz w:val="18"/>
        </w:rPr>
        <w:t>the</w:t>
      </w:r>
      <w:r>
        <w:rPr>
          <w:spacing w:val="-4"/>
          <w:sz w:val="18"/>
        </w:rPr>
        <w:t> </w:t>
      </w:r>
      <w:r>
        <w:rPr>
          <w:sz w:val="18"/>
        </w:rPr>
        <w:t>number</w:t>
      </w:r>
      <w:r>
        <w:rPr>
          <w:spacing w:val="-4"/>
          <w:sz w:val="18"/>
        </w:rPr>
        <w:t> </w:t>
      </w:r>
      <w:r>
        <w:rPr>
          <w:sz w:val="18"/>
        </w:rPr>
        <w:t>of people who reported that they did not want a job.  The percentage of the working-age inactive wanting a job had increased</w:t>
      </w:r>
      <w:r>
        <w:rPr>
          <w:spacing w:val="-24"/>
          <w:sz w:val="18"/>
        </w:rPr>
        <w:t> </w:t>
      </w:r>
      <w:r>
        <w:rPr>
          <w:sz w:val="18"/>
        </w:rPr>
        <w:t>by</w:t>
      </w:r>
    </w:p>
    <w:p>
      <w:pPr>
        <w:pStyle w:val="BodyText"/>
        <w:spacing w:line="198" w:lineRule="exact"/>
        <w:ind w:left="174"/>
      </w:pPr>
      <w:r>
        <w:rPr/>
        <w:t>0.6 percentage points to 30.3%.</w:t>
      </w:r>
    </w:p>
    <w:p>
      <w:pPr>
        <w:pStyle w:val="BodyText"/>
        <w:spacing w:before="3"/>
        <w:rPr>
          <w:sz w:val="17"/>
        </w:rPr>
      </w:pPr>
    </w:p>
    <w:p>
      <w:pPr>
        <w:pStyle w:val="ListParagraph"/>
        <w:numPr>
          <w:ilvl w:val="0"/>
          <w:numId w:val="46"/>
        </w:numPr>
        <w:tabs>
          <w:tab w:pos="654" w:val="left" w:leader="none"/>
          <w:tab w:pos="655" w:val="left" w:leader="none"/>
        </w:tabs>
        <w:spacing w:line="232" w:lineRule="auto" w:before="0" w:after="0"/>
        <w:ind w:left="174" w:right="87" w:firstLine="0"/>
        <w:jc w:val="left"/>
        <w:rPr>
          <w:sz w:val="18"/>
        </w:rPr>
      </w:pPr>
      <w:r>
        <w:rPr>
          <w:sz w:val="18"/>
        </w:rPr>
        <w:t>Whole-economy headline earnings growth, a three-month moving average of the annual monthly rates, had remained unchanged in November, at 4.9%. Both private and public sector headline earnings growth had also remained unchanged. Headline earnings growth in manufacturing had increased to 4.5%, while service sector headline earnings growth had eased slightly to 5.1%. The twelve-month growth rate of earnings had fallen back slightly to 5.0%.</w:t>
      </w:r>
    </w:p>
    <w:p>
      <w:pPr>
        <w:pStyle w:val="BodyText"/>
        <w:spacing w:before="10"/>
        <w:rPr>
          <w:sz w:val="16"/>
        </w:rPr>
      </w:pPr>
    </w:p>
    <w:p>
      <w:pPr>
        <w:pStyle w:val="ListParagraph"/>
        <w:numPr>
          <w:ilvl w:val="0"/>
          <w:numId w:val="46"/>
        </w:numPr>
        <w:tabs>
          <w:tab w:pos="654" w:val="left" w:leader="none"/>
          <w:tab w:pos="655" w:val="left" w:leader="none"/>
        </w:tabs>
        <w:spacing w:line="232" w:lineRule="auto" w:before="0" w:after="0"/>
        <w:ind w:left="174" w:right="182" w:firstLine="0"/>
        <w:jc w:val="left"/>
        <w:rPr>
          <w:sz w:val="18"/>
        </w:rPr>
      </w:pPr>
      <w:r>
        <w:rPr>
          <w:sz w:val="18"/>
        </w:rPr>
        <w:t>Other earnings data had offered contrasting pictures. The Reward index had fallen from 3.5% in November to 3.4% in December. The January REC survey had indicated a sharp rise in earnings growth for permanent staff supplied by job agencies, though growth rates for temporary staff had eased</w:t>
      </w:r>
      <w:r>
        <w:rPr>
          <w:spacing w:val="-25"/>
          <w:sz w:val="18"/>
        </w:rPr>
        <w:t> </w:t>
      </w:r>
      <w:r>
        <w:rPr>
          <w:sz w:val="18"/>
        </w:rPr>
        <w:t>slightly.</w:t>
      </w:r>
    </w:p>
    <w:p>
      <w:pPr>
        <w:pStyle w:val="BodyText"/>
        <w:rPr>
          <w:sz w:val="17"/>
        </w:rPr>
      </w:pPr>
    </w:p>
    <w:p>
      <w:pPr>
        <w:pStyle w:val="ListParagraph"/>
        <w:numPr>
          <w:ilvl w:val="0"/>
          <w:numId w:val="46"/>
        </w:numPr>
        <w:tabs>
          <w:tab w:pos="655" w:val="left" w:leader="none"/>
        </w:tabs>
        <w:spacing w:line="232" w:lineRule="auto" w:before="0" w:after="0"/>
        <w:ind w:left="174" w:right="222" w:firstLine="0"/>
        <w:jc w:val="both"/>
        <w:rPr>
          <w:sz w:val="18"/>
        </w:rPr>
      </w:pPr>
      <w:r>
        <w:rPr>
          <w:sz w:val="18"/>
        </w:rPr>
        <w:t>The Bank’s AEI-weighted twelve-month mean measure of whole-economy settlements had been unchanged in December at 3.5%. The three-month whole-economy mean had fallen</w:t>
      </w:r>
      <w:r>
        <w:rPr>
          <w:spacing w:val="-26"/>
          <w:sz w:val="18"/>
        </w:rPr>
        <w:t> </w:t>
      </w:r>
      <w:r>
        <w:rPr>
          <w:sz w:val="18"/>
        </w:rPr>
        <w:t>by</w:t>
      </w:r>
    </w:p>
    <w:p>
      <w:pPr>
        <w:pStyle w:val="BodyText"/>
        <w:spacing w:line="232" w:lineRule="auto"/>
        <w:ind w:left="174" w:right="159"/>
      </w:pPr>
      <w:r>
        <w:rPr/>
        <w:t>0.4 percentage points to 2.7% in December. This was mostly accounted for by a decline in public sector settlements, which had fallen by 1.0 percentage points to 2.2%. The real value of settlements had fallen back in 1999 Q4, reflecting the rise in RPI inflation.</w:t>
      </w:r>
    </w:p>
    <w:p>
      <w:pPr>
        <w:pStyle w:val="BodyText"/>
        <w:spacing w:before="10"/>
        <w:rPr>
          <w:sz w:val="16"/>
        </w:rPr>
      </w:pPr>
    </w:p>
    <w:p>
      <w:pPr>
        <w:pStyle w:val="ListParagraph"/>
        <w:numPr>
          <w:ilvl w:val="0"/>
          <w:numId w:val="46"/>
        </w:numPr>
        <w:tabs>
          <w:tab w:pos="654" w:val="left" w:leader="none"/>
          <w:tab w:pos="655" w:val="left" w:leader="none"/>
        </w:tabs>
        <w:spacing w:line="232" w:lineRule="auto" w:before="0" w:after="0"/>
        <w:ind w:left="174" w:right="167" w:firstLine="0"/>
        <w:jc w:val="left"/>
        <w:rPr>
          <w:sz w:val="18"/>
        </w:rPr>
      </w:pPr>
      <w:r>
        <w:rPr>
          <w:sz w:val="18"/>
        </w:rPr>
        <w:t>Details of the settlements for NHS workers covered by the NHS Pay Review Body had been announced on 17 January. Overall, the paybill of NHS workers covered by the Review Body was to increase by 3.4%. Details of the settlements for school teachers covered by the School Teachers’ Review Body had been announced on 1 February. The paybill of school teachers covered was to rise by 3.3%. Both come into effect on 1</w:t>
      </w:r>
      <w:r>
        <w:rPr>
          <w:spacing w:val="-24"/>
          <w:sz w:val="18"/>
        </w:rPr>
        <w:t> </w:t>
      </w:r>
      <w:r>
        <w:rPr>
          <w:sz w:val="18"/>
        </w:rPr>
        <w:t>April.</w:t>
      </w:r>
    </w:p>
    <w:p>
      <w:pPr>
        <w:pStyle w:val="BodyText"/>
        <w:spacing w:before="11"/>
        <w:rPr>
          <w:sz w:val="16"/>
        </w:rPr>
      </w:pPr>
    </w:p>
    <w:p>
      <w:pPr>
        <w:pStyle w:val="ListParagraph"/>
        <w:numPr>
          <w:ilvl w:val="0"/>
          <w:numId w:val="46"/>
        </w:numPr>
        <w:tabs>
          <w:tab w:pos="654" w:val="left" w:leader="none"/>
          <w:tab w:pos="655" w:val="left" w:leader="none"/>
        </w:tabs>
        <w:spacing w:line="232" w:lineRule="auto" w:before="0" w:after="0"/>
        <w:ind w:left="174" w:right="83" w:firstLine="0"/>
        <w:jc w:val="left"/>
        <w:rPr>
          <w:sz w:val="18"/>
        </w:rPr>
      </w:pPr>
      <w:r>
        <w:rPr>
          <w:sz w:val="18"/>
        </w:rPr>
        <w:t>The Bank’s regional Agents had conducted an informal survey of around 270 firms on the prospects for earnings growth in 2000. Among the contacts sampled that had a company-wide settlement,</w:t>
      </w:r>
      <w:r>
        <w:rPr>
          <w:spacing w:val="-5"/>
          <w:sz w:val="18"/>
        </w:rPr>
        <w:t> </w:t>
      </w:r>
      <w:r>
        <w:rPr>
          <w:sz w:val="18"/>
        </w:rPr>
        <w:t>21%</w:t>
      </w:r>
      <w:r>
        <w:rPr>
          <w:spacing w:val="-5"/>
          <w:sz w:val="18"/>
        </w:rPr>
        <w:t> </w:t>
      </w:r>
      <w:r>
        <w:rPr>
          <w:sz w:val="18"/>
        </w:rPr>
        <w:t>had</w:t>
      </w:r>
      <w:r>
        <w:rPr>
          <w:spacing w:val="-4"/>
          <w:sz w:val="18"/>
        </w:rPr>
        <w:t> </w:t>
      </w:r>
      <w:r>
        <w:rPr>
          <w:sz w:val="18"/>
        </w:rPr>
        <w:t>expected</w:t>
      </w:r>
      <w:r>
        <w:rPr>
          <w:spacing w:val="-5"/>
          <w:sz w:val="18"/>
        </w:rPr>
        <w:t> </w:t>
      </w:r>
      <w:r>
        <w:rPr>
          <w:sz w:val="18"/>
        </w:rPr>
        <w:t>it</w:t>
      </w:r>
      <w:r>
        <w:rPr>
          <w:spacing w:val="-5"/>
          <w:sz w:val="18"/>
        </w:rPr>
        <w:t> </w:t>
      </w:r>
      <w:r>
        <w:rPr>
          <w:sz w:val="18"/>
        </w:rPr>
        <w:t>to</w:t>
      </w:r>
      <w:r>
        <w:rPr>
          <w:spacing w:val="-4"/>
          <w:sz w:val="18"/>
        </w:rPr>
        <w:t> </w:t>
      </w:r>
      <w:r>
        <w:rPr>
          <w:sz w:val="18"/>
        </w:rPr>
        <w:t>be</w:t>
      </w:r>
      <w:r>
        <w:rPr>
          <w:spacing w:val="-5"/>
          <w:sz w:val="18"/>
        </w:rPr>
        <w:t> </w:t>
      </w:r>
      <w:r>
        <w:rPr>
          <w:sz w:val="18"/>
        </w:rPr>
        <w:t>higher</w:t>
      </w:r>
      <w:r>
        <w:rPr>
          <w:spacing w:val="-5"/>
          <w:sz w:val="18"/>
        </w:rPr>
        <w:t> </w:t>
      </w:r>
      <w:r>
        <w:rPr>
          <w:sz w:val="18"/>
        </w:rPr>
        <w:t>in</w:t>
      </w:r>
      <w:r>
        <w:rPr>
          <w:spacing w:val="-4"/>
          <w:sz w:val="18"/>
        </w:rPr>
        <w:t> </w:t>
      </w:r>
      <w:r>
        <w:rPr>
          <w:sz w:val="18"/>
        </w:rPr>
        <w:t>percentage</w:t>
      </w:r>
      <w:r>
        <w:rPr>
          <w:spacing w:val="-5"/>
          <w:sz w:val="18"/>
        </w:rPr>
        <w:t> </w:t>
      </w:r>
      <w:r>
        <w:rPr>
          <w:sz w:val="18"/>
        </w:rPr>
        <w:t>terms</w:t>
      </w:r>
      <w:r>
        <w:rPr>
          <w:spacing w:val="-5"/>
          <w:sz w:val="18"/>
        </w:rPr>
        <w:t> </w:t>
      </w:r>
      <w:r>
        <w:rPr>
          <w:sz w:val="18"/>
        </w:rPr>
        <w:t>in 2000 than in 1999, while 34% had expected their settlement to fall. But 38% had expected growth in total pay per employee to be higher</w:t>
      </w:r>
      <w:r>
        <w:rPr>
          <w:spacing w:val="-4"/>
          <w:sz w:val="18"/>
        </w:rPr>
        <w:t> </w:t>
      </w:r>
      <w:r>
        <w:rPr>
          <w:sz w:val="18"/>
        </w:rPr>
        <w:t>in</w:t>
      </w:r>
      <w:r>
        <w:rPr>
          <w:spacing w:val="-3"/>
          <w:sz w:val="18"/>
        </w:rPr>
        <w:t> </w:t>
      </w:r>
      <w:r>
        <w:rPr>
          <w:sz w:val="18"/>
        </w:rPr>
        <w:t>2000</w:t>
      </w:r>
      <w:r>
        <w:rPr>
          <w:spacing w:val="-3"/>
          <w:sz w:val="18"/>
        </w:rPr>
        <w:t> </w:t>
      </w:r>
      <w:r>
        <w:rPr>
          <w:sz w:val="18"/>
        </w:rPr>
        <w:t>than</w:t>
      </w:r>
      <w:r>
        <w:rPr>
          <w:spacing w:val="-3"/>
          <w:sz w:val="18"/>
        </w:rPr>
        <w:t> </w:t>
      </w:r>
      <w:r>
        <w:rPr>
          <w:sz w:val="18"/>
        </w:rPr>
        <w:t>in</w:t>
      </w:r>
      <w:r>
        <w:rPr>
          <w:spacing w:val="-3"/>
          <w:sz w:val="18"/>
        </w:rPr>
        <w:t> </w:t>
      </w:r>
      <w:r>
        <w:rPr>
          <w:sz w:val="18"/>
        </w:rPr>
        <w:t>1999,</w:t>
      </w:r>
      <w:r>
        <w:rPr>
          <w:spacing w:val="-3"/>
          <w:sz w:val="18"/>
        </w:rPr>
        <w:t> </w:t>
      </w:r>
      <w:r>
        <w:rPr>
          <w:sz w:val="18"/>
        </w:rPr>
        <w:t>with</w:t>
      </w:r>
      <w:r>
        <w:rPr>
          <w:spacing w:val="-3"/>
          <w:sz w:val="18"/>
        </w:rPr>
        <w:t> </w:t>
      </w:r>
      <w:r>
        <w:rPr>
          <w:sz w:val="18"/>
        </w:rPr>
        <w:t>26%</w:t>
      </w:r>
      <w:r>
        <w:rPr>
          <w:spacing w:val="-3"/>
          <w:sz w:val="18"/>
        </w:rPr>
        <w:t> </w:t>
      </w:r>
      <w:r>
        <w:rPr>
          <w:sz w:val="18"/>
        </w:rPr>
        <w:t>expecting</w:t>
      </w:r>
      <w:r>
        <w:rPr>
          <w:spacing w:val="-3"/>
          <w:sz w:val="18"/>
        </w:rPr>
        <w:t> </w:t>
      </w:r>
      <w:r>
        <w:rPr>
          <w:sz w:val="18"/>
        </w:rPr>
        <w:t>it</w:t>
      </w:r>
      <w:r>
        <w:rPr>
          <w:spacing w:val="-3"/>
          <w:sz w:val="18"/>
        </w:rPr>
        <w:t> </w:t>
      </w:r>
      <w:r>
        <w:rPr>
          <w:sz w:val="18"/>
        </w:rPr>
        <w:t>to</w:t>
      </w:r>
      <w:r>
        <w:rPr>
          <w:spacing w:val="-3"/>
          <w:sz w:val="18"/>
        </w:rPr>
        <w:t> </w:t>
      </w:r>
      <w:r>
        <w:rPr>
          <w:sz w:val="18"/>
        </w:rPr>
        <w:t>be</w:t>
      </w:r>
      <w:r>
        <w:rPr>
          <w:spacing w:val="-3"/>
          <w:sz w:val="18"/>
        </w:rPr>
        <w:t> </w:t>
      </w:r>
      <w:r>
        <w:rPr>
          <w:sz w:val="18"/>
        </w:rPr>
        <w:t>lower.</w:t>
      </w:r>
    </w:p>
    <w:p>
      <w:pPr>
        <w:pStyle w:val="BodyText"/>
        <w:spacing w:before="10"/>
        <w:rPr>
          <w:sz w:val="16"/>
        </w:rPr>
      </w:pPr>
    </w:p>
    <w:p>
      <w:pPr>
        <w:pStyle w:val="ListParagraph"/>
        <w:numPr>
          <w:ilvl w:val="0"/>
          <w:numId w:val="46"/>
        </w:numPr>
        <w:tabs>
          <w:tab w:pos="654" w:val="left" w:leader="none"/>
          <w:tab w:pos="655" w:val="left" w:leader="none"/>
        </w:tabs>
        <w:spacing w:line="232" w:lineRule="auto" w:before="0" w:after="0"/>
        <w:ind w:left="174" w:right="87" w:firstLine="0"/>
        <w:jc w:val="left"/>
        <w:rPr>
          <w:sz w:val="18"/>
        </w:rPr>
      </w:pPr>
      <w:r>
        <w:rPr>
          <w:sz w:val="18"/>
        </w:rPr>
        <w:t>Respondents had expected that the recruitment and retention of staff, especially in construction, would be the main factor likely to raise earnings growth in 2000. Other notable upward pressures had included productivity and company profitability. The outlook for inflation had been highlighted as the main downward pressure, especially in the retail</w:t>
      </w:r>
      <w:r>
        <w:rPr>
          <w:spacing w:val="-6"/>
          <w:sz w:val="18"/>
        </w:rPr>
        <w:t> </w:t>
      </w:r>
      <w:r>
        <w:rPr>
          <w:sz w:val="18"/>
        </w:rPr>
        <w:t>sector.</w:t>
      </w:r>
    </w:p>
    <w:p>
      <w:pPr>
        <w:pStyle w:val="BodyText"/>
        <w:spacing w:before="3"/>
        <w:rPr>
          <w:sz w:val="20"/>
        </w:rPr>
      </w:pPr>
    </w:p>
    <w:p>
      <w:pPr>
        <w:pStyle w:val="Heading8"/>
        <w:numPr>
          <w:ilvl w:val="0"/>
          <w:numId w:val="45"/>
        </w:numPr>
        <w:tabs>
          <w:tab w:pos="654" w:val="left" w:leader="none"/>
          <w:tab w:pos="655" w:val="left" w:leader="none"/>
        </w:tabs>
        <w:spacing w:line="240" w:lineRule="auto" w:before="1" w:after="0"/>
        <w:ind w:left="654" w:right="0" w:hanging="481"/>
        <w:jc w:val="left"/>
      </w:pPr>
      <w:r>
        <w:rPr>
          <w:color w:val="009391"/>
        </w:rPr>
        <w:t>Prices</w:t>
      </w:r>
    </w:p>
    <w:p>
      <w:pPr>
        <w:pStyle w:val="ListParagraph"/>
        <w:numPr>
          <w:ilvl w:val="0"/>
          <w:numId w:val="46"/>
        </w:numPr>
        <w:tabs>
          <w:tab w:pos="654" w:val="left" w:leader="none"/>
          <w:tab w:pos="655" w:val="left" w:leader="none"/>
        </w:tabs>
        <w:spacing w:line="232" w:lineRule="auto" w:before="109" w:after="0"/>
        <w:ind w:left="174" w:right="152" w:firstLine="0"/>
        <w:jc w:val="left"/>
        <w:rPr>
          <w:sz w:val="18"/>
        </w:rPr>
      </w:pPr>
      <w:r>
        <w:rPr>
          <w:sz w:val="18"/>
        </w:rPr>
        <w:t>The Bank oil-inclusive commodity price index had risen by 1.9% in December. The annual inflation rate rose from 17.8% in November to 21.8% in December. The monthly rise had partly reflected the rise in crude oil prices in December: the</w:t>
      </w:r>
      <w:r>
        <w:rPr>
          <w:spacing w:val="-30"/>
          <w:sz w:val="18"/>
        </w:rPr>
        <w:t> </w:t>
      </w:r>
      <w:r>
        <w:rPr>
          <w:sz w:val="18"/>
        </w:rPr>
        <w:t>Brent</w:t>
      </w:r>
    </w:p>
    <w:p>
      <w:pPr>
        <w:pStyle w:val="BodyText"/>
        <w:spacing w:line="232" w:lineRule="auto"/>
        <w:ind w:left="174" w:right="44"/>
      </w:pPr>
      <w:r>
        <w:rPr/>
        <w:t>one-month futures price had risen by 4% (in sterling terms). Excluding oil, commodity prices had risen by 1.3% in December to give an annual inflation rate of 3.7%. Metals prices had risen</w:t>
      </w:r>
    </w:p>
    <w:p>
      <w:pPr>
        <w:pStyle w:val="BodyText"/>
        <w:spacing w:before="4"/>
        <w:rPr>
          <w:sz w:val="21"/>
        </w:rPr>
      </w:pPr>
      <w:r>
        <w:rPr/>
        <w:br w:type="column"/>
      </w:r>
      <w:r>
        <w:rPr>
          <w:sz w:val="21"/>
        </w:rPr>
      </w:r>
    </w:p>
    <w:p>
      <w:pPr>
        <w:pStyle w:val="BodyText"/>
        <w:spacing w:line="232" w:lineRule="auto" w:before="1"/>
        <w:ind w:left="174" w:right="252"/>
      </w:pPr>
      <w:r>
        <w:rPr/>
        <w:t>strongly again, and there were signs that domestic food prices may have reached their trough.</w:t>
      </w:r>
    </w:p>
    <w:p>
      <w:pPr>
        <w:pStyle w:val="BodyText"/>
        <w:spacing w:before="2"/>
        <w:rPr>
          <w:sz w:val="17"/>
        </w:rPr>
      </w:pPr>
    </w:p>
    <w:p>
      <w:pPr>
        <w:pStyle w:val="ListParagraph"/>
        <w:numPr>
          <w:ilvl w:val="0"/>
          <w:numId w:val="46"/>
        </w:numPr>
        <w:tabs>
          <w:tab w:pos="654" w:val="left" w:leader="none"/>
          <w:tab w:pos="655" w:val="left" w:leader="none"/>
        </w:tabs>
        <w:spacing w:line="232" w:lineRule="auto" w:before="1" w:after="0"/>
        <w:ind w:left="174" w:right="176" w:firstLine="0"/>
        <w:jc w:val="left"/>
        <w:rPr>
          <w:sz w:val="18"/>
        </w:rPr>
      </w:pPr>
      <w:r>
        <w:rPr>
          <w:sz w:val="18"/>
        </w:rPr>
        <w:t>Seasonally adjusted manufacturing input prices had risen by 0.7% in December, taking the annual inflation rate from 10.0% to 12.0%, the highest rate since 1985. This largely reflected the recent rise in crude oil prices, but import prices as a whole had also risen sharply on the year. According to the latest CIPS manufacturing survey, the input prices index had risen to +56.3 in January, up from +55.4 in December. Seasonally adjusted total output prices excluding excise duties (PPIY) had risen by 0.2% in December, to give an annual inflation rate of 1.5%, slightly up from 1.2% in the previous month. The latest quarterly BCC output price intentions balance</w:t>
      </w:r>
      <w:r>
        <w:rPr>
          <w:spacing w:val="-5"/>
          <w:sz w:val="18"/>
        </w:rPr>
        <w:t> </w:t>
      </w:r>
      <w:r>
        <w:rPr>
          <w:sz w:val="18"/>
        </w:rPr>
        <w:t>had</w:t>
      </w:r>
      <w:r>
        <w:rPr>
          <w:spacing w:val="-4"/>
          <w:sz w:val="18"/>
        </w:rPr>
        <w:t> </w:t>
      </w:r>
      <w:r>
        <w:rPr>
          <w:sz w:val="18"/>
        </w:rPr>
        <w:t>risen</w:t>
      </w:r>
      <w:r>
        <w:rPr>
          <w:spacing w:val="-4"/>
          <w:sz w:val="18"/>
        </w:rPr>
        <w:t> </w:t>
      </w:r>
      <w:r>
        <w:rPr>
          <w:sz w:val="18"/>
        </w:rPr>
        <w:t>for</w:t>
      </w:r>
      <w:r>
        <w:rPr>
          <w:spacing w:val="-4"/>
          <w:sz w:val="18"/>
        </w:rPr>
        <w:t> </w:t>
      </w:r>
      <w:r>
        <w:rPr>
          <w:sz w:val="18"/>
        </w:rPr>
        <w:t>both</w:t>
      </w:r>
      <w:r>
        <w:rPr>
          <w:spacing w:val="-4"/>
          <w:sz w:val="18"/>
        </w:rPr>
        <w:t> </w:t>
      </w:r>
      <w:r>
        <w:rPr>
          <w:sz w:val="18"/>
        </w:rPr>
        <w:t>the</w:t>
      </w:r>
      <w:r>
        <w:rPr>
          <w:spacing w:val="-4"/>
          <w:sz w:val="18"/>
        </w:rPr>
        <w:t> </w:t>
      </w:r>
      <w:r>
        <w:rPr>
          <w:sz w:val="18"/>
        </w:rPr>
        <w:t>manufacturing</w:t>
      </w:r>
      <w:r>
        <w:rPr>
          <w:spacing w:val="-4"/>
          <w:sz w:val="18"/>
        </w:rPr>
        <w:t> </w:t>
      </w:r>
      <w:r>
        <w:rPr>
          <w:sz w:val="18"/>
        </w:rPr>
        <w:t>and</w:t>
      </w:r>
      <w:r>
        <w:rPr>
          <w:spacing w:val="-4"/>
          <w:sz w:val="18"/>
        </w:rPr>
        <w:t> </w:t>
      </w:r>
      <w:r>
        <w:rPr>
          <w:sz w:val="18"/>
        </w:rPr>
        <w:t>service</w:t>
      </w:r>
      <w:r>
        <w:rPr>
          <w:spacing w:val="-4"/>
          <w:sz w:val="18"/>
        </w:rPr>
        <w:t> </w:t>
      </w:r>
      <w:r>
        <w:rPr>
          <w:sz w:val="18"/>
        </w:rPr>
        <w:t>sectors.</w:t>
      </w:r>
    </w:p>
    <w:p>
      <w:pPr>
        <w:pStyle w:val="BodyText"/>
        <w:spacing w:before="7"/>
        <w:rPr>
          <w:sz w:val="16"/>
        </w:rPr>
      </w:pPr>
    </w:p>
    <w:p>
      <w:pPr>
        <w:pStyle w:val="ListParagraph"/>
        <w:numPr>
          <w:ilvl w:val="0"/>
          <w:numId w:val="46"/>
        </w:numPr>
        <w:tabs>
          <w:tab w:pos="654" w:val="left" w:leader="none"/>
          <w:tab w:pos="655" w:val="left" w:leader="none"/>
        </w:tabs>
        <w:spacing w:line="232" w:lineRule="auto" w:before="0" w:after="0"/>
        <w:ind w:left="174" w:right="420" w:firstLine="0"/>
        <w:jc w:val="left"/>
        <w:rPr>
          <w:sz w:val="18"/>
        </w:rPr>
      </w:pPr>
      <w:r>
        <w:rPr>
          <w:sz w:val="18"/>
        </w:rPr>
        <w:t>Export and import prices had risen by 0.2% and 1.3% in November. Stripping out the oil component, export and import prices had fallen by 2.3% and 0.7% in the previous three months compared with the same period a year</w:t>
      </w:r>
      <w:r>
        <w:rPr>
          <w:spacing w:val="-13"/>
          <w:sz w:val="18"/>
        </w:rPr>
        <w:t> </w:t>
      </w:r>
      <w:r>
        <w:rPr>
          <w:sz w:val="18"/>
        </w:rPr>
        <w:t>earlier.</w:t>
      </w:r>
    </w:p>
    <w:p>
      <w:pPr>
        <w:pStyle w:val="BodyText"/>
        <w:spacing w:before="1"/>
        <w:rPr>
          <w:sz w:val="17"/>
        </w:rPr>
      </w:pPr>
    </w:p>
    <w:p>
      <w:pPr>
        <w:pStyle w:val="ListParagraph"/>
        <w:numPr>
          <w:ilvl w:val="0"/>
          <w:numId w:val="46"/>
        </w:numPr>
        <w:tabs>
          <w:tab w:pos="654" w:val="left" w:leader="none"/>
          <w:tab w:pos="655" w:val="left" w:leader="none"/>
        </w:tabs>
        <w:spacing w:line="232" w:lineRule="auto" w:before="0" w:after="0"/>
        <w:ind w:left="174" w:right="211" w:firstLine="0"/>
        <w:jc w:val="left"/>
        <w:rPr>
          <w:sz w:val="18"/>
        </w:rPr>
      </w:pPr>
      <w:r>
        <w:rPr>
          <w:sz w:val="18"/>
        </w:rPr>
        <w:t>RPIX inflation had remained at 2.2% in December, unchanged since October. The wedge between RPIX services and RPIX goods inflation had widened to its greatest level since September 1992. RPIX service price inflation had remained unchanged at 3.9%. The largest positive contributions had come from leisure and vehicle insurance. RPIX goods price inflation had fallen to 0.3%, the lowest rate on record, mainly reflecting lower tobacco and seasonal food</w:t>
      </w:r>
      <w:r>
        <w:rPr>
          <w:spacing w:val="-6"/>
          <w:sz w:val="18"/>
        </w:rPr>
        <w:t> </w:t>
      </w:r>
      <w:r>
        <w:rPr>
          <w:sz w:val="18"/>
        </w:rPr>
        <w:t>prices.</w:t>
      </w:r>
    </w:p>
    <w:p>
      <w:pPr>
        <w:pStyle w:val="BodyText"/>
        <w:spacing w:before="2"/>
        <w:rPr>
          <w:sz w:val="20"/>
        </w:rPr>
      </w:pPr>
    </w:p>
    <w:p>
      <w:pPr>
        <w:pStyle w:val="Heading8"/>
        <w:numPr>
          <w:ilvl w:val="0"/>
          <w:numId w:val="45"/>
        </w:numPr>
        <w:tabs>
          <w:tab w:pos="654" w:val="left" w:leader="none"/>
          <w:tab w:pos="655" w:val="left" w:leader="none"/>
        </w:tabs>
        <w:spacing w:line="240" w:lineRule="auto" w:before="0" w:after="0"/>
        <w:ind w:left="654" w:right="0" w:hanging="481"/>
        <w:jc w:val="left"/>
      </w:pPr>
      <w:r>
        <w:rPr>
          <w:color w:val="009391"/>
        </w:rPr>
        <w:t>Reports by the </w:t>
      </w:r>
      <w:r>
        <w:rPr>
          <w:color w:val="009391"/>
          <w:spacing w:val="-2"/>
        </w:rPr>
        <w:t>Bank’s </w:t>
      </w:r>
      <w:r>
        <w:rPr>
          <w:color w:val="009391"/>
        </w:rPr>
        <w:t>regional</w:t>
      </w:r>
      <w:r>
        <w:rPr>
          <w:color w:val="009391"/>
          <w:spacing w:val="-9"/>
        </w:rPr>
        <w:t> </w:t>
      </w:r>
      <w:r>
        <w:rPr>
          <w:color w:val="009391"/>
        </w:rPr>
        <w:t>Agents</w:t>
      </w:r>
    </w:p>
    <w:p>
      <w:pPr>
        <w:pStyle w:val="ListParagraph"/>
        <w:numPr>
          <w:ilvl w:val="0"/>
          <w:numId w:val="46"/>
        </w:numPr>
        <w:tabs>
          <w:tab w:pos="654" w:val="left" w:leader="none"/>
          <w:tab w:pos="655" w:val="left" w:leader="none"/>
        </w:tabs>
        <w:spacing w:line="232" w:lineRule="auto" w:before="109" w:after="0"/>
        <w:ind w:left="174" w:right="310" w:firstLine="0"/>
        <w:jc w:val="left"/>
        <w:rPr>
          <w:sz w:val="18"/>
        </w:rPr>
      </w:pPr>
      <w:r>
        <w:rPr>
          <w:sz w:val="18"/>
        </w:rPr>
        <w:t>The Bank’s regional Agents had reported continued widespread, if moderate, recovery in manufacturing output and orders. The improvement in orders had been evenly spread between domestic and external orders. There had been stronger growth in business services mainly related to information technology, corporate restructuring and property. Steady growth was also reported in consumer services. Consistent with the latest CIPS construction survey, construction orders had continued to grow, but had not</w:t>
      </w:r>
      <w:r>
        <w:rPr>
          <w:spacing w:val="-6"/>
          <w:sz w:val="18"/>
        </w:rPr>
        <w:t> </w:t>
      </w:r>
      <w:r>
        <w:rPr>
          <w:sz w:val="18"/>
        </w:rPr>
        <w:t>accelerated.</w:t>
      </w:r>
    </w:p>
    <w:p>
      <w:pPr>
        <w:pStyle w:val="BodyText"/>
        <w:spacing w:before="9"/>
        <w:rPr>
          <w:sz w:val="16"/>
        </w:rPr>
      </w:pPr>
    </w:p>
    <w:p>
      <w:pPr>
        <w:pStyle w:val="ListParagraph"/>
        <w:numPr>
          <w:ilvl w:val="0"/>
          <w:numId w:val="46"/>
        </w:numPr>
        <w:tabs>
          <w:tab w:pos="654" w:val="left" w:leader="none"/>
          <w:tab w:pos="655" w:val="left" w:leader="none"/>
        </w:tabs>
        <w:spacing w:line="232" w:lineRule="auto" w:before="0" w:after="0"/>
        <w:ind w:left="174" w:right="176" w:firstLine="0"/>
        <w:jc w:val="left"/>
        <w:rPr>
          <w:sz w:val="18"/>
        </w:rPr>
      </w:pPr>
      <w:r>
        <w:rPr>
          <w:sz w:val="18"/>
        </w:rPr>
        <w:t>Agents had reported strong retail sales growth over Christmas and the New Year, particularly in household goods. The new</w:t>
      </w:r>
      <w:r>
        <w:rPr>
          <w:spacing w:val="-5"/>
          <w:sz w:val="18"/>
        </w:rPr>
        <w:t> </w:t>
      </w:r>
      <w:r>
        <w:rPr>
          <w:sz w:val="18"/>
        </w:rPr>
        <w:t>car</w:t>
      </w:r>
      <w:r>
        <w:rPr>
          <w:spacing w:val="-5"/>
          <w:sz w:val="18"/>
        </w:rPr>
        <w:t> </w:t>
      </w:r>
      <w:r>
        <w:rPr>
          <w:sz w:val="18"/>
        </w:rPr>
        <w:t>market</w:t>
      </w:r>
      <w:r>
        <w:rPr>
          <w:spacing w:val="-4"/>
          <w:sz w:val="18"/>
        </w:rPr>
        <w:t> </w:t>
      </w:r>
      <w:r>
        <w:rPr>
          <w:sz w:val="18"/>
        </w:rPr>
        <w:t>remained</w:t>
      </w:r>
      <w:r>
        <w:rPr>
          <w:spacing w:val="-5"/>
          <w:sz w:val="18"/>
        </w:rPr>
        <w:t> </w:t>
      </w:r>
      <w:r>
        <w:rPr>
          <w:sz w:val="18"/>
        </w:rPr>
        <w:t>subdued,</w:t>
      </w:r>
      <w:r>
        <w:rPr>
          <w:spacing w:val="-5"/>
          <w:sz w:val="18"/>
        </w:rPr>
        <w:t> </w:t>
      </w:r>
      <w:r>
        <w:rPr>
          <w:sz w:val="18"/>
        </w:rPr>
        <w:t>but</w:t>
      </w:r>
      <w:r>
        <w:rPr>
          <w:spacing w:val="-4"/>
          <w:sz w:val="18"/>
        </w:rPr>
        <w:t> </w:t>
      </w:r>
      <w:r>
        <w:rPr>
          <w:sz w:val="18"/>
        </w:rPr>
        <w:t>there</w:t>
      </w:r>
      <w:r>
        <w:rPr>
          <w:spacing w:val="-5"/>
          <w:sz w:val="18"/>
        </w:rPr>
        <w:t> </w:t>
      </w:r>
      <w:r>
        <w:rPr>
          <w:sz w:val="18"/>
        </w:rPr>
        <w:t>were</w:t>
      </w:r>
      <w:r>
        <w:rPr>
          <w:spacing w:val="-5"/>
          <w:sz w:val="18"/>
        </w:rPr>
        <w:t> </w:t>
      </w:r>
      <w:r>
        <w:rPr>
          <w:sz w:val="18"/>
        </w:rPr>
        <w:t>reports</w:t>
      </w:r>
      <w:r>
        <w:rPr>
          <w:spacing w:val="-4"/>
          <w:sz w:val="18"/>
        </w:rPr>
        <w:t> </w:t>
      </w:r>
      <w:r>
        <w:rPr>
          <w:sz w:val="18"/>
        </w:rPr>
        <w:t>of</w:t>
      </w:r>
      <w:r>
        <w:rPr>
          <w:spacing w:val="-5"/>
          <w:sz w:val="18"/>
        </w:rPr>
        <w:t> </w:t>
      </w:r>
      <w:r>
        <w:rPr>
          <w:sz w:val="18"/>
        </w:rPr>
        <w:t>a</w:t>
      </w:r>
      <w:r>
        <w:rPr>
          <w:spacing w:val="-5"/>
          <w:sz w:val="18"/>
        </w:rPr>
        <w:t> </w:t>
      </w:r>
      <w:r>
        <w:rPr>
          <w:sz w:val="18"/>
        </w:rPr>
        <w:t>slight recovery in the used car market. External demand had continued to pick up. While services investment remained strong, manufacturers were reported to be more</w:t>
      </w:r>
      <w:r>
        <w:rPr>
          <w:spacing w:val="-7"/>
          <w:sz w:val="18"/>
        </w:rPr>
        <w:t> </w:t>
      </w:r>
      <w:r>
        <w:rPr>
          <w:sz w:val="18"/>
        </w:rPr>
        <w:t>hesitant.</w:t>
      </w:r>
    </w:p>
    <w:p>
      <w:pPr>
        <w:pStyle w:val="BodyText"/>
        <w:rPr>
          <w:sz w:val="17"/>
        </w:rPr>
      </w:pPr>
    </w:p>
    <w:p>
      <w:pPr>
        <w:pStyle w:val="ListParagraph"/>
        <w:numPr>
          <w:ilvl w:val="0"/>
          <w:numId w:val="46"/>
        </w:numPr>
        <w:tabs>
          <w:tab w:pos="654" w:val="left" w:leader="none"/>
          <w:tab w:pos="655" w:val="left" w:leader="none"/>
        </w:tabs>
        <w:spacing w:line="232" w:lineRule="auto" w:before="0" w:after="0"/>
        <w:ind w:left="174" w:right="186" w:firstLine="0"/>
        <w:jc w:val="left"/>
        <w:rPr>
          <w:sz w:val="18"/>
        </w:rPr>
      </w:pPr>
      <w:r>
        <w:rPr>
          <w:sz w:val="18"/>
        </w:rPr>
        <w:t>Manufacturers’ input prices had continued to rise. There had been continued downward pressure on manufacturers’ output prices, squeezing margins further. In the service sector, input price increases and higher wage costs had remained easier to pass through to consumers. Retail prices were reported to be flat or falling. The labour market had remained tight, with growing shortages of both skilled and unskilled staff leading to sizeable pay pressure in some areas, notably in information technology and accountancy. There had been steady growth in employment in services.</w:t>
      </w:r>
    </w:p>
    <w:p>
      <w:pPr>
        <w:pStyle w:val="BodyText"/>
        <w:rPr>
          <w:sz w:val="20"/>
        </w:rPr>
      </w:pPr>
    </w:p>
    <w:p>
      <w:pPr>
        <w:pStyle w:val="Heading8"/>
        <w:numPr>
          <w:ilvl w:val="0"/>
          <w:numId w:val="45"/>
        </w:numPr>
        <w:tabs>
          <w:tab w:pos="655" w:val="left" w:leader="none"/>
        </w:tabs>
        <w:spacing w:line="240" w:lineRule="auto" w:before="0" w:after="0"/>
        <w:ind w:left="654" w:right="0" w:hanging="481"/>
        <w:jc w:val="left"/>
      </w:pPr>
      <w:r>
        <w:rPr>
          <w:color w:val="009391"/>
        </w:rPr>
        <w:t>Market</w:t>
      </w:r>
      <w:r>
        <w:rPr>
          <w:color w:val="009391"/>
          <w:spacing w:val="-2"/>
        </w:rPr>
        <w:t> </w:t>
      </w:r>
      <w:r>
        <w:rPr>
          <w:color w:val="009391"/>
        </w:rPr>
        <w:t>intelligence</w:t>
      </w:r>
    </w:p>
    <w:p>
      <w:pPr>
        <w:pStyle w:val="ListParagraph"/>
        <w:numPr>
          <w:ilvl w:val="0"/>
          <w:numId w:val="46"/>
        </w:numPr>
        <w:tabs>
          <w:tab w:pos="654" w:val="left" w:leader="none"/>
          <w:tab w:pos="655" w:val="left" w:leader="none"/>
        </w:tabs>
        <w:spacing w:line="232" w:lineRule="auto" w:before="110" w:after="0"/>
        <w:ind w:left="174" w:right="246" w:firstLine="0"/>
        <w:jc w:val="left"/>
        <w:rPr>
          <w:sz w:val="18"/>
        </w:rPr>
      </w:pPr>
      <w:r>
        <w:rPr>
          <w:sz w:val="18"/>
        </w:rPr>
        <w:t>The sterling effective exchange rate index had continued to rise over most of the month, reaching 110.3 on 1 February, its highest level since December 1985. However, the index had fallen sharply after 1 February. It ended the period at 108.6, 0.7% above its level at the time of the January MPC</w:t>
      </w:r>
      <w:r>
        <w:rPr>
          <w:spacing w:val="-17"/>
          <w:sz w:val="18"/>
        </w:rPr>
        <w:t> </w:t>
      </w:r>
      <w:r>
        <w:rPr>
          <w:sz w:val="18"/>
        </w:rPr>
        <w:t>meeting.</w:t>
      </w:r>
    </w:p>
    <w:p>
      <w:pPr>
        <w:pStyle w:val="BodyText"/>
        <w:rPr>
          <w:sz w:val="17"/>
        </w:rPr>
      </w:pPr>
    </w:p>
    <w:p>
      <w:pPr>
        <w:pStyle w:val="ListParagraph"/>
        <w:numPr>
          <w:ilvl w:val="0"/>
          <w:numId w:val="46"/>
        </w:numPr>
        <w:tabs>
          <w:tab w:pos="654" w:val="left" w:leader="none"/>
          <w:tab w:pos="655" w:val="left" w:leader="none"/>
        </w:tabs>
        <w:spacing w:line="232" w:lineRule="auto" w:before="0" w:after="0"/>
        <w:ind w:left="174" w:right="267" w:firstLine="0"/>
        <w:jc w:val="left"/>
        <w:rPr>
          <w:sz w:val="18"/>
        </w:rPr>
      </w:pPr>
      <w:r>
        <w:rPr>
          <w:sz w:val="18"/>
        </w:rPr>
        <w:t>The rise in sterling’s trade-weighted index during January had largely reflected the euro’s depreciation against all the major currencies. News about relative interest rate differentials had been unable to provide much explanation for exchange rate movements during the month. A number of commentators had concluded that</w:t>
      </w:r>
    </w:p>
    <w:p>
      <w:pPr>
        <w:spacing w:after="0" w:line="232" w:lineRule="auto"/>
        <w:jc w:val="left"/>
        <w:rPr>
          <w:sz w:val="18"/>
        </w:rPr>
        <w:sectPr>
          <w:type w:val="continuous"/>
          <w:pgSz w:w="11900" w:h="16840"/>
          <w:pgMar w:top="1220" w:bottom="280" w:left="640" w:right="620"/>
          <w:cols w:num="2" w:equalWidth="0">
            <w:col w:w="5097" w:space="293"/>
            <w:col w:w="5250"/>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4"/>
        <w:rPr>
          <w:sz w:val="21"/>
        </w:rPr>
      </w:pPr>
    </w:p>
    <w:p>
      <w:pPr>
        <w:pStyle w:val="BodyText"/>
        <w:spacing w:line="232" w:lineRule="auto" w:before="1"/>
        <w:ind w:left="165" w:right="38"/>
      </w:pPr>
      <w:r>
        <w:rPr/>
        <w:t>the euro had been overvalued in 1998 and 1999 and had illustrated this point with reference to the euro area’s negative ‘basic balance’, defined</w:t>
      </w:r>
      <w:r>
        <w:rPr>
          <w:spacing w:val="-5"/>
        </w:rPr>
        <w:t> </w:t>
      </w:r>
      <w:r>
        <w:rPr/>
        <w:t>as</w:t>
      </w:r>
      <w:r>
        <w:rPr>
          <w:spacing w:val="-5"/>
        </w:rPr>
        <w:t> </w:t>
      </w:r>
      <w:r>
        <w:rPr/>
        <w:t>the</w:t>
      </w:r>
      <w:r>
        <w:rPr>
          <w:spacing w:val="-4"/>
        </w:rPr>
        <w:t> </w:t>
      </w:r>
      <w:r>
        <w:rPr/>
        <w:t>sum</w:t>
      </w:r>
      <w:r>
        <w:rPr>
          <w:spacing w:val="-5"/>
        </w:rPr>
        <w:t> </w:t>
      </w:r>
      <w:r>
        <w:rPr/>
        <w:t>of</w:t>
      </w:r>
      <w:r>
        <w:rPr>
          <w:spacing w:val="-5"/>
        </w:rPr>
        <w:t> </w:t>
      </w:r>
      <w:r>
        <w:rPr/>
        <w:t>the</w:t>
      </w:r>
      <w:r>
        <w:rPr>
          <w:spacing w:val="-4"/>
        </w:rPr>
        <w:t> </w:t>
      </w:r>
      <w:r>
        <w:rPr/>
        <w:t>current</w:t>
      </w:r>
      <w:r>
        <w:rPr>
          <w:spacing w:val="-5"/>
        </w:rPr>
        <w:t> </w:t>
      </w:r>
      <w:r>
        <w:rPr/>
        <w:t>account</w:t>
      </w:r>
      <w:r>
        <w:rPr>
          <w:spacing w:val="-5"/>
        </w:rPr>
        <w:t> </w:t>
      </w:r>
      <w:r>
        <w:rPr/>
        <w:t>balance</w:t>
      </w:r>
      <w:r>
        <w:rPr>
          <w:spacing w:val="-4"/>
        </w:rPr>
        <w:t> </w:t>
      </w:r>
      <w:r>
        <w:rPr/>
        <w:t>and</w:t>
      </w:r>
      <w:r>
        <w:rPr>
          <w:spacing w:val="-5"/>
        </w:rPr>
        <w:t> </w:t>
      </w:r>
      <w:r>
        <w:rPr/>
        <w:t>net</w:t>
      </w:r>
      <w:r>
        <w:rPr>
          <w:spacing w:val="-5"/>
        </w:rPr>
        <w:t> </w:t>
      </w:r>
      <w:r>
        <w:rPr/>
        <w:t>long-term capital flows (direct and portfolio investments). For these commentators, a negative ‘basic balance’ was consistent with the view that structural factors had made euro-denominated assets unattractive for investors. A second explanation put forward by some commentators for sterling’s appreciation had related to mergers and acquisitions involving UK companies—both actual and</w:t>
      </w:r>
      <w:r>
        <w:rPr>
          <w:spacing w:val="-2"/>
        </w:rPr>
        <w:t> </w:t>
      </w:r>
      <w:r>
        <w:rPr/>
        <w:t>rumoured.</w:t>
      </w:r>
    </w:p>
    <w:p>
      <w:pPr>
        <w:pStyle w:val="BodyText"/>
        <w:spacing w:before="8"/>
        <w:rPr>
          <w:sz w:val="16"/>
        </w:rPr>
      </w:pPr>
    </w:p>
    <w:p>
      <w:pPr>
        <w:pStyle w:val="ListParagraph"/>
        <w:numPr>
          <w:ilvl w:val="0"/>
          <w:numId w:val="46"/>
        </w:numPr>
        <w:tabs>
          <w:tab w:pos="645" w:val="left" w:leader="none"/>
          <w:tab w:pos="646" w:val="left" w:leader="none"/>
        </w:tabs>
        <w:spacing w:line="232" w:lineRule="auto" w:before="0" w:after="0"/>
        <w:ind w:left="165" w:right="132" w:firstLine="0"/>
        <w:jc w:val="left"/>
        <w:rPr>
          <w:sz w:val="18"/>
        </w:rPr>
      </w:pPr>
      <w:r>
        <w:rPr>
          <w:sz w:val="18"/>
        </w:rPr>
        <w:t>Market expectations of official UK interest rates implied by short</w:t>
      </w:r>
      <w:r>
        <w:rPr>
          <w:spacing w:val="-4"/>
          <w:sz w:val="18"/>
        </w:rPr>
        <w:t> </w:t>
      </w:r>
      <w:r>
        <w:rPr>
          <w:sz w:val="18"/>
        </w:rPr>
        <w:t>sterling</w:t>
      </w:r>
      <w:r>
        <w:rPr>
          <w:spacing w:val="-4"/>
          <w:sz w:val="18"/>
        </w:rPr>
        <w:t> </w:t>
      </w:r>
      <w:r>
        <w:rPr>
          <w:sz w:val="18"/>
        </w:rPr>
        <w:t>futures</w:t>
      </w:r>
      <w:r>
        <w:rPr>
          <w:spacing w:val="-3"/>
          <w:sz w:val="18"/>
        </w:rPr>
        <w:t> </w:t>
      </w:r>
      <w:r>
        <w:rPr>
          <w:sz w:val="18"/>
        </w:rPr>
        <w:t>contracts</w:t>
      </w:r>
      <w:r>
        <w:rPr>
          <w:spacing w:val="-4"/>
          <w:sz w:val="18"/>
        </w:rPr>
        <w:t> </w:t>
      </w:r>
      <w:r>
        <w:rPr>
          <w:sz w:val="18"/>
        </w:rPr>
        <w:t>for</w:t>
      </w:r>
      <w:r>
        <w:rPr>
          <w:spacing w:val="-3"/>
          <w:sz w:val="18"/>
        </w:rPr>
        <w:t> </w:t>
      </w:r>
      <w:r>
        <w:rPr>
          <w:sz w:val="18"/>
        </w:rPr>
        <w:t>2000</w:t>
      </w:r>
      <w:r>
        <w:rPr>
          <w:spacing w:val="-4"/>
          <w:sz w:val="18"/>
        </w:rPr>
        <w:t> </w:t>
      </w:r>
      <w:r>
        <w:rPr>
          <w:sz w:val="18"/>
        </w:rPr>
        <w:t>and</w:t>
      </w:r>
      <w:r>
        <w:rPr>
          <w:spacing w:val="-4"/>
          <w:sz w:val="18"/>
        </w:rPr>
        <w:t> </w:t>
      </w:r>
      <w:r>
        <w:rPr>
          <w:sz w:val="18"/>
        </w:rPr>
        <w:t>2001</w:t>
      </w:r>
      <w:r>
        <w:rPr>
          <w:spacing w:val="-3"/>
          <w:sz w:val="18"/>
        </w:rPr>
        <w:t> </w:t>
      </w:r>
      <w:r>
        <w:rPr>
          <w:sz w:val="18"/>
        </w:rPr>
        <w:t>had</w:t>
      </w:r>
      <w:r>
        <w:rPr>
          <w:spacing w:val="-4"/>
          <w:sz w:val="18"/>
        </w:rPr>
        <w:t> </w:t>
      </w:r>
      <w:r>
        <w:rPr>
          <w:sz w:val="18"/>
        </w:rPr>
        <w:t>fallen</w:t>
      </w:r>
      <w:r>
        <w:rPr>
          <w:spacing w:val="-3"/>
          <w:sz w:val="18"/>
        </w:rPr>
        <w:t> </w:t>
      </w:r>
      <w:r>
        <w:rPr>
          <w:sz w:val="18"/>
        </w:rPr>
        <w:t>by</w:t>
      </w:r>
    </w:p>
    <w:p>
      <w:pPr>
        <w:pStyle w:val="BodyText"/>
        <w:spacing w:before="4"/>
        <w:rPr>
          <w:sz w:val="21"/>
        </w:rPr>
      </w:pPr>
      <w:r>
        <w:rPr/>
        <w:br w:type="column"/>
      </w:r>
      <w:r>
        <w:rPr>
          <w:sz w:val="21"/>
        </w:rPr>
      </w:r>
    </w:p>
    <w:p>
      <w:pPr>
        <w:pStyle w:val="BodyText"/>
        <w:spacing w:line="232" w:lineRule="auto" w:before="1"/>
        <w:ind w:left="165" w:right="278"/>
      </w:pPr>
      <w:r>
        <w:rPr/>
        <w:t>10–25 basis points during the month. This had largely been attributed to a fall in interest rate expectations following the publication of the minutes of the January MPC meeting, as well as the effects of some weaker-than-expected economic surveys.</w:t>
      </w:r>
    </w:p>
    <w:p>
      <w:pPr>
        <w:pStyle w:val="BodyText"/>
        <w:spacing w:line="232" w:lineRule="auto"/>
        <w:ind w:left="165" w:right="459"/>
      </w:pPr>
      <w:r>
        <w:rPr/>
        <w:t>Market participants had also cited the continued appreciation of sterling as a factor likely to influence near-term MPC decisions. Beyond 2001, however, interest rates implied by short sterling futures contracts had risen.</w:t>
      </w:r>
    </w:p>
    <w:p>
      <w:pPr>
        <w:pStyle w:val="BodyText"/>
        <w:spacing w:before="9"/>
        <w:rPr>
          <w:sz w:val="16"/>
        </w:rPr>
      </w:pPr>
    </w:p>
    <w:p>
      <w:pPr>
        <w:pStyle w:val="ListParagraph"/>
        <w:numPr>
          <w:ilvl w:val="0"/>
          <w:numId w:val="46"/>
        </w:numPr>
        <w:tabs>
          <w:tab w:pos="645" w:val="left" w:leader="none"/>
          <w:tab w:pos="646" w:val="left" w:leader="none"/>
        </w:tabs>
        <w:spacing w:line="232" w:lineRule="auto" w:before="0" w:after="0"/>
        <w:ind w:left="165" w:right="188" w:firstLine="0"/>
        <w:jc w:val="left"/>
        <w:rPr>
          <w:sz w:val="18"/>
        </w:rPr>
      </w:pPr>
      <w:r>
        <w:rPr>
          <w:sz w:val="18"/>
        </w:rPr>
        <w:t>Market anecdote for the immediate policy decision had been a</w:t>
      </w:r>
      <w:r>
        <w:rPr>
          <w:spacing w:val="-5"/>
          <w:sz w:val="18"/>
        </w:rPr>
        <w:t> </w:t>
      </w:r>
      <w:r>
        <w:rPr>
          <w:sz w:val="18"/>
        </w:rPr>
        <w:t>perceived</w:t>
      </w:r>
      <w:r>
        <w:rPr>
          <w:spacing w:val="-4"/>
          <w:sz w:val="18"/>
        </w:rPr>
        <w:t> </w:t>
      </w:r>
      <w:r>
        <w:rPr>
          <w:sz w:val="18"/>
        </w:rPr>
        <w:t>75:25</w:t>
      </w:r>
      <w:r>
        <w:rPr>
          <w:spacing w:val="-4"/>
          <w:sz w:val="18"/>
        </w:rPr>
        <w:t> </w:t>
      </w:r>
      <w:r>
        <w:rPr>
          <w:sz w:val="18"/>
        </w:rPr>
        <w:t>chance</w:t>
      </w:r>
      <w:r>
        <w:rPr>
          <w:spacing w:val="-5"/>
          <w:sz w:val="18"/>
        </w:rPr>
        <w:t> </w:t>
      </w:r>
      <w:r>
        <w:rPr>
          <w:sz w:val="18"/>
        </w:rPr>
        <w:t>of</w:t>
      </w:r>
      <w:r>
        <w:rPr>
          <w:spacing w:val="-4"/>
          <w:sz w:val="18"/>
        </w:rPr>
        <w:t> </w:t>
      </w:r>
      <w:r>
        <w:rPr>
          <w:sz w:val="18"/>
        </w:rPr>
        <w:t>a</w:t>
      </w:r>
      <w:r>
        <w:rPr>
          <w:spacing w:val="-4"/>
          <w:sz w:val="18"/>
        </w:rPr>
        <w:t> </w:t>
      </w:r>
      <w:r>
        <w:rPr>
          <w:sz w:val="18"/>
        </w:rPr>
        <w:t>25</w:t>
      </w:r>
      <w:r>
        <w:rPr>
          <w:spacing w:val="-5"/>
          <w:sz w:val="18"/>
        </w:rPr>
        <w:t> </w:t>
      </w:r>
      <w:r>
        <w:rPr>
          <w:sz w:val="18"/>
        </w:rPr>
        <w:t>basis</w:t>
      </w:r>
      <w:r>
        <w:rPr>
          <w:spacing w:val="-3"/>
          <w:sz w:val="18"/>
        </w:rPr>
        <w:t> </w:t>
      </w:r>
      <w:r>
        <w:rPr>
          <w:sz w:val="18"/>
        </w:rPr>
        <w:t>points</w:t>
      </w:r>
      <w:r>
        <w:rPr>
          <w:spacing w:val="-4"/>
          <w:sz w:val="18"/>
        </w:rPr>
        <w:t> </w:t>
      </w:r>
      <w:r>
        <w:rPr>
          <w:sz w:val="18"/>
        </w:rPr>
        <w:t>increase</w:t>
      </w:r>
      <w:r>
        <w:rPr>
          <w:spacing w:val="-5"/>
          <w:sz w:val="18"/>
        </w:rPr>
        <w:t> </w:t>
      </w:r>
      <w:r>
        <w:rPr>
          <w:sz w:val="18"/>
        </w:rPr>
        <w:t>in</w:t>
      </w:r>
      <w:r>
        <w:rPr>
          <w:spacing w:val="-4"/>
          <w:sz w:val="18"/>
        </w:rPr>
        <w:t> </w:t>
      </w:r>
      <w:r>
        <w:rPr>
          <w:sz w:val="18"/>
        </w:rPr>
        <w:t>the</w:t>
      </w:r>
      <w:r>
        <w:rPr>
          <w:spacing w:val="-4"/>
          <w:sz w:val="18"/>
        </w:rPr>
        <w:t> </w:t>
      </w:r>
      <w:r>
        <w:rPr>
          <w:sz w:val="18"/>
        </w:rPr>
        <w:t>Bank’s repo rate. This was broadly consistent with the term structure of market interest rates for very short maturity</w:t>
      </w:r>
      <w:r>
        <w:rPr>
          <w:spacing w:val="-15"/>
          <w:sz w:val="18"/>
        </w:rPr>
        <w:t> </w:t>
      </w:r>
      <w:r>
        <w:rPr>
          <w:sz w:val="18"/>
        </w:rPr>
        <w:t>assets.</w:t>
      </w:r>
    </w:p>
    <w:p>
      <w:pPr>
        <w:spacing w:after="0" w:line="232" w:lineRule="auto"/>
        <w:jc w:val="left"/>
        <w:rPr>
          <w:sz w:val="18"/>
        </w:rPr>
        <w:sectPr>
          <w:type w:val="continuous"/>
          <w:pgSz w:w="11900" w:h="16840"/>
          <w:pgMar w:top="1220" w:bottom="280" w:left="640" w:right="620"/>
          <w:cols w:num="2" w:equalWidth="0">
            <w:col w:w="5088" w:space="299"/>
            <w:col w:w="5253"/>
          </w:cols>
        </w:sectPr>
      </w:pPr>
    </w:p>
    <w:p>
      <w:pPr>
        <w:pStyle w:val="BodyText"/>
        <w:rPr>
          <w:sz w:val="20"/>
        </w:rPr>
      </w:pPr>
    </w:p>
    <w:p>
      <w:pPr>
        <w:pStyle w:val="BodyText"/>
        <w:rPr>
          <w:sz w:val="20"/>
        </w:rPr>
      </w:pPr>
    </w:p>
    <w:p>
      <w:pPr>
        <w:pStyle w:val="BodyText"/>
        <w:rPr>
          <w:sz w:val="21"/>
        </w:rPr>
      </w:pPr>
    </w:p>
    <w:p>
      <w:pPr>
        <w:pStyle w:val="Heading2"/>
        <w:spacing w:before="87"/>
        <w:ind w:left="170"/>
      </w:pPr>
      <w:bookmarkStart w:name="March minutes" w:id="98"/>
      <w:bookmarkEnd w:id="98"/>
      <w:r>
        <w:rPr>
          <w:b w:val="0"/>
        </w:rPr>
      </w:r>
      <w:bookmarkStart w:name="_bookmark49" w:id="99"/>
      <w:bookmarkEnd w:id="99"/>
      <w:r>
        <w:rPr>
          <w:b w:val="0"/>
        </w:rPr>
      </w:r>
      <w:bookmarkStart w:name="_bookmark50" w:id="100"/>
      <w:bookmarkEnd w:id="100"/>
      <w:r>
        <w:rPr>
          <w:b w:val="0"/>
        </w:rPr>
      </w:r>
      <w:r>
        <w:rPr>
          <w:color w:val="009391"/>
        </w:rPr>
        <w:t>Minutes of the Monetary Policy Committee meeting on 8–9 March 2000</w:t>
      </w:r>
    </w:p>
    <w:p>
      <w:pPr>
        <w:pStyle w:val="BodyText"/>
        <w:rPr>
          <w:b/>
          <w:sz w:val="20"/>
        </w:rPr>
      </w:pPr>
    </w:p>
    <w:p>
      <w:pPr>
        <w:pStyle w:val="BodyText"/>
        <w:spacing w:before="10"/>
        <w:rPr>
          <w:b/>
          <w:sz w:val="28"/>
        </w:rPr>
      </w:pPr>
    </w:p>
    <w:p>
      <w:pPr>
        <w:spacing w:after="0"/>
        <w:rPr>
          <w:sz w:val="28"/>
        </w:rPr>
        <w:sectPr>
          <w:pgSz w:w="11900" w:h="16840"/>
          <w:pgMar w:header="566" w:footer="597" w:top="760" w:bottom="780" w:left="640" w:right="620"/>
        </w:sectPr>
      </w:pPr>
    </w:p>
    <w:p>
      <w:pPr>
        <w:pStyle w:val="ListParagraph"/>
        <w:numPr>
          <w:ilvl w:val="0"/>
          <w:numId w:val="47"/>
        </w:numPr>
        <w:tabs>
          <w:tab w:pos="654" w:val="left" w:leader="none"/>
          <w:tab w:pos="655" w:val="left" w:leader="none"/>
        </w:tabs>
        <w:spacing w:line="232" w:lineRule="auto" w:before="98" w:after="0"/>
        <w:ind w:left="174" w:right="123" w:firstLine="0"/>
        <w:jc w:val="left"/>
        <w:rPr>
          <w:sz w:val="18"/>
        </w:rPr>
      </w:pPr>
      <w:r>
        <w:rPr>
          <w:sz w:val="18"/>
        </w:rPr>
        <w:t>Before</w:t>
      </w:r>
      <w:r>
        <w:rPr>
          <w:spacing w:val="-6"/>
          <w:sz w:val="18"/>
        </w:rPr>
        <w:t> </w:t>
      </w:r>
      <w:r>
        <w:rPr>
          <w:sz w:val="18"/>
        </w:rPr>
        <w:t>considering</w:t>
      </w:r>
      <w:r>
        <w:rPr>
          <w:spacing w:val="-5"/>
          <w:sz w:val="18"/>
        </w:rPr>
        <w:t> </w:t>
      </w:r>
      <w:r>
        <w:rPr>
          <w:sz w:val="18"/>
        </w:rPr>
        <w:t>the</w:t>
      </w:r>
      <w:r>
        <w:rPr>
          <w:spacing w:val="-5"/>
          <w:sz w:val="18"/>
        </w:rPr>
        <w:t> </w:t>
      </w:r>
      <w:r>
        <w:rPr>
          <w:sz w:val="18"/>
        </w:rPr>
        <w:t>implications</w:t>
      </w:r>
      <w:r>
        <w:rPr>
          <w:spacing w:val="-6"/>
          <w:sz w:val="18"/>
        </w:rPr>
        <w:t> </w:t>
      </w:r>
      <w:r>
        <w:rPr>
          <w:sz w:val="18"/>
        </w:rPr>
        <w:t>of</w:t>
      </w:r>
      <w:r>
        <w:rPr>
          <w:spacing w:val="-5"/>
          <w:sz w:val="18"/>
        </w:rPr>
        <w:t> </w:t>
      </w:r>
      <w:r>
        <w:rPr>
          <w:sz w:val="18"/>
        </w:rPr>
        <w:t>the</w:t>
      </w:r>
      <w:r>
        <w:rPr>
          <w:spacing w:val="-5"/>
          <w:sz w:val="18"/>
        </w:rPr>
        <w:t> </w:t>
      </w:r>
      <w:r>
        <w:rPr>
          <w:sz w:val="18"/>
        </w:rPr>
        <w:t>latest</w:t>
      </w:r>
      <w:r>
        <w:rPr>
          <w:spacing w:val="-6"/>
          <w:sz w:val="18"/>
        </w:rPr>
        <w:t> </w:t>
      </w:r>
      <w:r>
        <w:rPr>
          <w:sz w:val="18"/>
        </w:rPr>
        <w:t>data</w:t>
      </w:r>
      <w:r>
        <w:rPr>
          <w:spacing w:val="-5"/>
          <w:sz w:val="18"/>
        </w:rPr>
        <w:t> </w:t>
      </w:r>
      <w:r>
        <w:rPr>
          <w:sz w:val="18"/>
        </w:rPr>
        <w:t>for</w:t>
      </w:r>
      <w:r>
        <w:rPr>
          <w:spacing w:val="-5"/>
          <w:sz w:val="18"/>
        </w:rPr>
        <w:t> </w:t>
      </w:r>
      <w:r>
        <w:rPr>
          <w:sz w:val="18"/>
        </w:rPr>
        <w:t>the immediate policy decision, the Committee discussed the implications of the forthcoming Budget; recent developments in demand and output; money and asset prices; the labour market; prices and costs; the world economy; other forecasts of the UK economy; and other</w:t>
      </w:r>
      <w:r>
        <w:rPr>
          <w:spacing w:val="-6"/>
          <w:sz w:val="18"/>
        </w:rPr>
        <w:t> </w:t>
      </w:r>
      <w:r>
        <w:rPr>
          <w:sz w:val="18"/>
        </w:rPr>
        <w:t>considerations.</w:t>
      </w:r>
    </w:p>
    <w:p>
      <w:pPr>
        <w:pStyle w:val="BodyText"/>
        <w:spacing w:before="3"/>
        <w:rPr>
          <w:sz w:val="20"/>
        </w:rPr>
      </w:pPr>
    </w:p>
    <w:p>
      <w:pPr>
        <w:pStyle w:val="Heading8"/>
      </w:pPr>
      <w:r>
        <w:rPr>
          <w:color w:val="009391"/>
        </w:rPr>
        <w:t>The</w:t>
      </w:r>
      <w:r>
        <w:rPr>
          <w:color w:val="009391"/>
          <w:spacing w:val="-9"/>
        </w:rPr>
        <w:t> </w:t>
      </w:r>
      <w:r>
        <w:rPr>
          <w:color w:val="009391"/>
        </w:rPr>
        <w:t>Budget</w:t>
      </w:r>
    </w:p>
    <w:p>
      <w:pPr>
        <w:pStyle w:val="ListParagraph"/>
        <w:numPr>
          <w:ilvl w:val="0"/>
          <w:numId w:val="47"/>
        </w:numPr>
        <w:tabs>
          <w:tab w:pos="654" w:val="left" w:leader="none"/>
          <w:tab w:pos="655" w:val="left" w:leader="none"/>
        </w:tabs>
        <w:spacing w:line="232" w:lineRule="auto" w:before="109" w:after="0"/>
        <w:ind w:left="174" w:right="68" w:firstLine="0"/>
        <w:jc w:val="left"/>
        <w:rPr>
          <w:sz w:val="18"/>
        </w:rPr>
      </w:pPr>
      <w:r>
        <w:rPr>
          <w:sz w:val="18"/>
        </w:rPr>
        <w:t>The Committee had been briefed by Treasury officials prior to its meeting on the broad shape of the forthcoming Budget’s macroeconomic projections and public finances. The fiscal outturn for</w:t>
      </w:r>
      <w:r>
        <w:rPr>
          <w:spacing w:val="-5"/>
          <w:sz w:val="18"/>
        </w:rPr>
        <w:t> </w:t>
      </w:r>
      <w:r>
        <w:rPr>
          <w:sz w:val="18"/>
        </w:rPr>
        <w:t>1999/2000</w:t>
      </w:r>
      <w:r>
        <w:rPr>
          <w:spacing w:val="-4"/>
          <w:sz w:val="18"/>
        </w:rPr>
        <w:t> </w:t>
      </w:r>
      <w:r>
        <w:rPr>
          <w:sz w:val="18"/>
        </w:rPr>
        <w:t>was</w:t>
      </w:r>
      <w:r>
        <w:rPr>
          <w:spacing w:val="-4"/>
          <w:sz w:val="18"/>
        </w:rPr>
        <w:t> </w:t>
      </w:r>
      <w:r>
        <w:rPr>
          <w:sz w:val="18"/>
        </w:rPr>
        <w:t>tighter</w:t>
      </w:r>
      <w:r>
        <w:rPr>
          <w:spacing w:val="-4"/>
          <w:sz w:val="18"/>
        </w:rPr>
        <w:t> </w:t>
      </w:r>
      <w:r>
        <w:rPr>
          <w:sz w:val="18"/>
        </w:rPr>
        <w:t>than</w:t>
      </w:r>
      <w:r>
        <w:rPr>
          <w:spacing w:val="-5"/>
          <w:sz w:val="18"/>
        </w:rPr>
        <w:t> </w:t>
      </w:r>
      <w:r>
        <w:rPr>
          <w:sz w:val="18"/>
        </w:rPr>
        <w:t>had</w:t>
      </w:r>
      <w:r>
        <w:rPr>
          <w:spacing w:val="-4"/>
          <w:sz w:val="18"/>
        </w:rPr>
        <w:t> </w:t>
      </w:r>
      <w:r>
        <w:rPr>
          <w:sz w:val="18"/>
        </w:rPr>
        <w:t>been</w:t>
      </w:r>
      <w:r>
        <w:rPr>
          <w:spacing w:val="-4"/>
          <w:sz w:val="18"/>
        </w:rPr>
        <w:t> </w:t>
      </w:r>
      <w:r>
        <w:rPr>
          <w:sz w:val="18"/>
        </w:rPr>
        <w:t>expected</w:t>
      </w:r>
      <w:r>
        <w:rPr>
          <w:spacing w:val="-4"/>
          <w:sz w:val="18"/>
        </w:rPr>
        <w:t> </w:t>
      </w:r>
      <w:r>
        <w:rPr>
          <w:sz w:val="18"/>
        </w:rPr>
        <w:t>at</w:t>
      </w:r>
      <w:r>
        <w:rPr>
          <w:spacing w:val="-5"/>
          <w:sz w:val="18"/>
        </w:rPr>
        <w:t> </w:t>
      </w:r>
      <w:r>
        <w:rPr>
          <w:sz w:val="18"/>
        </w:rPr>
        <w:t>the</w:t>
      </w:r>
      <w:r>
        <w:rPr>
          <w:spacing w:val="-4"/>
          <w:sz w:val="18"/>
        </w:rPr>
        <w:t> </w:t>
      </w:r>
      <w:r>
        <w:rPr>
          <w:sz w:val="18"/>
        </w:rPr>
        <w:t>time</w:t>
      </w:r>
      <w:r>
        <w:rPr>
          <w:spacing w:val="-4"/>
          <w:sz w:val="18"/>
        </w:rPr>
        <w:t> </w:t>
      </w:r>
      <w:r>
        <w:rPr>
          <w:sz w:val="18"/>
        </w:rPr>
        <w:t>of</w:t>
      </w:r>
      <w:r>
        <w:rPr>
          <w:spacing w:val="-4"/>
          <w:sz w:val="18"/>
        </w:rPr>
        <w:t> </w:t>
      </w:r>
      <w:r>
        <w:rPr>
          <w:sz w:val="18"/>
        </w:rPr>
        <w:t>the Pre-Budget Report, but much of that tightening had already happened and was in the data. Essentially, the broad picture was one of both higher tax revenues and lower public spending. The Treasury’s estimates were for the cyclically-adjusted Public Sector Net Borrowing Requirement for 1999/00 to be almost 1% of GDP tighter than thought at the time of the November Pre-Budget Report, and looking forward that it would remain some </w:t>
      </w:r>
      <w:r>
        <w:rPr>
          <w:position w:val="6"/>
          <w:sz w:val="9"/>
        </w:rPr>
        <w:t>1</w:t>
      </w:r>
      <w:r>
        <w:rPr>
          <w:sz w:val="18"/>
        </w:rPr>
        <w:t>/</w:t>
      </w:r>
      <w:r>
        <w:rPr>
          <w:sz w:val="9"/>
        </w:rPr>
        <w:t>4</w:t>
      </w:r>
      <w:r>
        <w:rPr>
          <w:sz w:val="18"/>
        </w:rPr>
        <w:t>% to </w:t>
      </w:r>
      <w:r>
        <w:rPr>
          <w:position w:val="6"/>
          <w:sz w:val="9"/>
        </w:rPr>
        <w:t>1</w:t>
      </w:r>
      <w:r>
        <w:rPr>
          <w:sz w:val="18"/>
        </w:rPr>
        <w:t>/</w:t>
      </w:r>
      <w:r>
        <w:rPr>
          <w:sz w:val="9"/>
        </w:rPr>
        <w:t>2</w:t>
      </w:r>
      <w:r>
        <w:rPr>
          <w:sz w:val="18"/>
        </w:rPr>
        <w:t>% tighter over the next two fiscal</w:t>
      </w:r>
      <w:r>
        <w:rPr>
          <w:spacing w:val="-9"/>
          <w:sz w:val="18"/>
        </w:rPr>
        <w:t> </w:t>
      </w:r>
      <w:r>
        <w:rPr>
          <w:sz w:val="18"/>
        </w:rPr>
        <w:t>years.</w:t>
      </w:r>
    </w:p>
    <w:p>
      <w:pPr>
        <w:pStyle w:val="BodyText"/>
        <w:spacing w:before="7"/>
        <w:rPr>
          <w:sz w:val="16"/>
        </w:rPr>
      </w:pPr>
    </w:p>
    <w:p>
      <w:pPr>
        <w:pStyle w:val="ListParagraph"/>
        <w:numPr>
          <w:ilvl w:val="0"/>
          <w:numId w:val="47"/>
        </w:numPr>
        <w:tabs>
          <w:tab w:pos="654" w:val="left" w:leader="none"/>
          <w:tab w:pos="655" w:val="left" w:leader="none"/>
        </w:tabs>
        <w:spacing w:line="232" w:lineRule="auto" w:before="0" w:after="0"/>
        <w:ind w:left="174" w:right="78" w:firstLine="0"/>
        <w:jc w:val="left"/>
        <w:rPr>
          <w:sz w:val="18"/>
        </w:rPr>
      </w:pPr>
      <w:r>
        <w:rPr>
          <w:sz w:val="18"/>
        </w:rPr>
        <w:t>The Budget’s spending profile assumed that the current fiscal</w:t>
      </w:r>
      <w:r>
        <w:rPr>
          <w:spacing w:val="-6"/>
          <w:sz w:val="18"/>
        </w:rPr>
        <w:t> </w:t>
      </w:r>
      <w:r>
        <w:rPr>
          <w:sz w:val="18"/>
        </w:rPr>
        <w:t>year’s</w:t>
      </w:r>
      <w:r>
        <w:rPr>
          <w:spacing w:val="-6"/>
          <w:sz w:val="18"/>
        </w:rPr>
        <w:t> </w:t>
      </w:r>
      <w:r>
        <w:rPr>
          <w:sz w:val="18"/>
        </w:rPr>
        <w:t>underspending</w:t>
      </w:r>
      <w:r>
        <w:rPr>
          <w:spacing w:val="-5"/>
          <w:sz w:val="18"/>
        </w:rPr>
        <w:t> </w:t>
      </w:r>
      <w:r>
        <w:rPr>
          <w:sz w:val="18"/>
        </w:rPr>
        <w:t>would</w:t>
      </w:r>
      <w:r>
        <w:rPr>
          <w:spacing w:val="-6"/>
          <w:sz w:val="18"/>
        </w:rPr>
        <w:t> </w:t>
      </w:r>
      <w:r>
        <w:rPr>
          <w:sz w:val="18"/>
        </w:rPr>
        <w:t>be</w:t>
      </w:r>
      <w:r>
        <w:rPr>
          <w:spacing w:val="-5"/>
          <w:sz w:val="18"/>
        </w:rPr>
        <w:t> </w:t>
      </w:r>
      <w:r>
        <w:rPr>
          <w:sz w:val="18"/>
        </w:rPr>
        <w:t>made</w:t>
      </w:r>
      <w:r>
        <w:rPr>
          <w:spacing w:val="-6"/>
          <w:sz w:val="18"/>
        </w:rPr>
        <w:t> </w:t>
      </w:r>
      <w:r>
        <w:rPr>
          <w:sz w:val="18"/>
        </w:rPr>
        <w:t>up</w:t>
      </w:r>
      <w:r>
        <w:rPr>
          <w:spacing w:val="-5"/>
          <w:sz w:val="18"/>
        </w:rPr>
        <w:t> </w:t>
      </w:r>
      <w:r>
        <w:rPr>
          <w:sz w:val="18"/>
        </w:rPr>
        <w:t>in</w:t>
      </w:r>
      <w:r>
        <w:rPr>
          <w:spacing w:val="-6"/>
          <w:sz w:val="18"/>
        </w:rPr>
        <w:t> </w:t>
      </w:r>
      <w:r>
        <w:rPr>
          <w:sz w:val="18"/>
        </w:rPr>
        <w:t>subsequent</w:t>
      </w:r>
      <w:r>
        <w:rPr>
          <w:spacing w:val="-6"/>
          <w:sz w:val="18"/>
        </w:rPr>
        <w:t> </w:t>
      </w:r>
      <w:r>
        <w:rPr>
          <w:sz w:val="18"/>
        </w:rPr>
        <w:t>years, but spending was otherwise broadly unchanged as a share of GDP in aggregate terms since the Pre-Budget Report. There had, however, been some changes within the aggregate. In particular, lower social security spending—lower transfers to the household sector—was offset by higher government consumption spending. Since the marginal propensity to spend out of these transfers was likely to be quite high, the demand-weighted impact of these changes might be broadly</w:t>
      </w:r>
      <w:r>
        <w:rPr>
          <w:spacing w:val="-7"/>
          <w:sz w:val="18"/>
        </w:rPr>
        <w:t> </w:t>
      </w:r>
      <w:r>
        <w:rPr>
          <w:sz w:val="18"/>
        </w:rPr>
        <w:t>offsetting.</w:t>
      </w:r>
    </w:p>
    <w:p>
      <w:pPr>
        <w:pStyle w:val="BodyText"/>
        <w:spacing w:before="8"/>
        <w:rPr>
          <w:sz w:val="16"/>
        </w:rPr>
      </w:pPr>
    </w:p>
    <w:p>
      <w:pPr>
        <w:pStyle w:val="ListParagraph"/>
        <w:numPr>
          <w:ilvl w:val="0"/>
          <w:numId w:val="47"/>
        </w:numPr>
        <w:tabs>
          <w:tab w:pos="654" w:val="left" w:leader="none"/>
          <w:tab w:pos="655" w:val="left" w:leader="none"/>
        </w:tabs>
        <w:spacing w:line="232" w:lineRule="auto" w:before="0" w:after="0"/>
        <w:ind w:left="174" w:right="73" w:firstLine="0"/>
        <w:jc w:val="left"/>
        <w:rPr>
          <w:sz w:val="18"/>
        </w:rPr>
      </w:pPr>
      <w:r>
        <w:rPr>
          <w:sz w:val="18"/>
        </w:rPr>
        <w:t>The Committee discussed the possible implications for inflation. Three factors were discussed. First, much of the tightening was already in the data. So the relationship between, for example, consumption and post-tax income was different from that expected at the time of the Pre-Budget Report, and would need to be re-examined in the next </w:t>
      </w:r>
      <w:r>
        <w:rPr>
          <w:i/>
          <w:sz w:val="18"/>
        </w:rPr>
        <w:t>Inflation Report </w:t>
      </w:r>
      <w:r>
        <w:rPr>
          <w:sz w:val="18"/>
        </w:rPr>
        <w:t>forecast round. Second, since the reasons for the rise in tax revenues were not well understood, it was possible that those higher revenues would not persist—statutory tax rates had not been raised. However, it was noted that the fiscal projections were, as usual, produced on the basis of cautious assumptions, for example that the ratio of VAT to consumption would fall somewhat over the period of the projections, albeit from a higher starting point. Third, it was possible that higher tax revenues indicated higher activity than currently recorded in the national accounts, rather than an increase in effective tax rates. The implications of this for inflation depended in part on whether any under-recording of output was matched by a commensurate under-estimate of potential</w:t>
      </w:r>
      <w:r>
        <w:rPr>
          <w:spacing w:val="-31"/>
          <w:sz w:val="18"/>
        </w:rPr>
        <w:t> </w:t>
      </w:r>
      <w:r>
        <w:rPr>
          <w:sz w:val="18"/>
        </w:rPr>
        <w:t>output.</w:t>
      </w:r>
    </w:p>
    <w:p>
      <w:pPr>
        <w:pStyle w:val="BodyText"/>
        <w:spacing w:before="2"/>
        <w:rPr>
          <w:sz w:val="16"/>
        </w:rPr>
      </w:pPr>
    </w:p>
    <w:p>
      <w:pPr>
        <w:pStyle w:val="ListParagraph"/>
        <w:numPr>
          <w:ilvl w:val="0"/>
          <w:numId w:val="47"/>
        </w:numPr>
        <w:tabs>
          <w:tab w:pos="654" w:val="left" w:leader="none"/>
          <w:tab w:pos="655" w:val="left" w:leader="none"/>
        </w:tabs>
        <w:spacing w:line="232" w:lineRule="auto" w:before="0" w:after="0"/>
        <w:ind w:left="174" w:right="43" w:firstLine="0"/>
        <w:jc w:val="left"/>
        <w:rPr>
          <w:sz w:val="18"/>
        </w:rPr>
      </w:pPr>
      <w:r>
        <w:rPr>
          <w:sz w:val="18"/>
        </w:rPr>
        <w:t>Overall, the broad fiscal picture looked somewhat tighter than had seemed probable a month ago. The impact on future activity and inflation seemed to be fairly small, although that would,</w:t>
      </w:r>
      <w:r>
        <w:rPr>
          <w:spacing w:val="-5"/>
          <w:sz w:val="18"/>
        </w:rPr>
        <w:t> </w:t>
      </w:r>
      <w:r>
        <w:rPr>
          <w:sz w:val="18"/>
        </w:rPr>
        <w:t>in</w:t>
      </w:r>
      <w:r>
        <w:rPr>
          <w:spacing w:val="-5"/>
          <w:sz w:val="18"/>
        </w:rPr>
        <w:t> </w:t>
      </w:r>
      <w:r>
        <w:rPr>
          <w:sz w:val="18"/>
        </w:rPr>
        <w:t>part,</w:t>
      </w:r>
      <w:r>
        <w:rPr>
          <w:spacing w:val="-4"/>
          <w:sz w:val="18"/>
        </w:rPr>
        <w:t> </w:t>
      </w:r>
      <w:r>
        <w:rPr>
          <w:sz w:val="18"/>
        </w:rPr>
        <w:t>depend</w:t>
      </w:r>
      <w:r>
        <w:rPr>
          <w:spacing w:val="-5"/>
          <w:sz w:val="18"/>
        </w:rPr>
        <w:t> </w:t>
      </w:r>
      <w:r>
        <w:rPr>
          <w:sz w:val="18"/>
        </w:rPr>
        <w:t>on</w:t>
      </w:r>
      <w:r>
        <w:rPr>
          <w:spacing w:val="-5"/>
          <w:sz w:val="18"/>
        </w:rPr>
        <w:t> </w:t>
      </w:r>
      <w:r>
        <w:rPr>
          <w:sz w:val="18"/>
        </w:rPr>
        <w:t>whether</w:t>
      </w:r>
      <w:r>
        <w:rPr>
          <w:spacing w:val="-4"/>
          <w:sz w:val="18"/>
        </w:rPr>
        <w:t> </w:t>
      </w:r>
      <w:r>
        <w:rPr>
          <w:sz w:val="18"/>
        </w:rPr>
        <w:t>the</w:t>
      </w:r>
      <w:r>
        <w:rPr>
          <w:spacing w:val="-5"/>
          <w:sz w:val="18"/>
        </w:rPr>
        <w:t> </w:t>
      </w:r>
      <w:r>
        <w:rPr>
          <w:sz w:val="18"/>
        </w:rPr>
        <w:t>Budget</w:t>
      </w:r>
      <w:r>
        <w:rPr>
          <w:spacing w:val="-5"/>
          <w:sz w:val="18"/>
        </w:rPr>
        <w:t> </w:t>
      </w:r>
      <w:r>
        <w:rPr>
          <w:sz w:val="18"/>
        </w:rPr>
        <w:t>had</w:t>
      </w:r>
      <w:r>
        <w:rPr>
          <w:spacing w:val="-4"/>
          <w:sz w:val="18"/>
        </w:rPr>
        <w:t> </w:t>
      </w:r>
      <w:r>
        <w:rPr>
          <w:sz w:val="18"/>
        </w:rPr>
        <w:t>any</w:t>
      </w:r>
      <w:r>
        <w:rPr>
          <w:spacing w:val="-5"/>
          <w:sz w:val="18"/>
        </w:rPr>
        <w:t> </w:t>
      </w:r>
      <w:r>
        <w:rPr>
          <w:sz w:val="18"/>
        </w:rPr>
        <w:t>lasting</w:t>
      </w:r>
      <w:r>
        <w:rPr>
          <w:spacing w:val="-5"/>
          <w:sz w:val="18"/>
        </w:rPr>
        <w:t> </w:t>
      </w:r>
      <w:r>
        <w:rPr>
          <w:sz w:val="18"/>
        </w:rPr>
        <w:t>effect on sterling’s exchange rate. More analysis would be needed once the full details of the Budget were</w:t>
      </w:r>
      <w:r>
        <w:rPr>
          <w:spacing w:val="-11"/>
          <w:sz w:val="18"/>
        </w:rPr>
        <w:t> </w:t>
      </w:r>
      <w:r>
        <w:rPr>
          <w:sz w:val="18"/>
        </w:rPr>
        <w:t>known.</w:t>
      </w:r>
    </w:p>
    <w:p>
      <w:pPr>
        <w:pStyle w:val="BodyText"/>
        <w:spacing w:before="3"/>
        <w:rPr>
          <w:sz w:val="20"/>
        </w:rPr>
      </w:pPr>
    </w:p>
    <w:p>
      <w:pPr>
        <w:pStyle w:val="Heading8"/>
      </w:pPr>
      <w:r>
        <w:rPr>
          <w:color w:val="009391"/>
        </w:rPr>
        <w:t>Demand and output</w:t>
      </w:r>
    </w:p>
    <w:p>
      <w:pPr>
        <w:pStyle w:val="ListParagraph"/>
        <w:numPr>
          <w:ilvl w:val="0"/>
          <w:numId w:val="47"/>
        </w:numPr>
        <w:tabs>
          <w:tab w:pos="654" w:val="left" w:leader="none"/>
          <w:tab w:pos="655" w:val="left" w:leader="none"/>
        </w:tabs>
        <w:spacing w:line="232" w:lineRule="auto" w:before="110" w:after="0"/>
        <w:ind w:left="174" w:right="38" w:firstLine="0"/>
        <w:jc w:val="left"/>
        <w:rPr>
          <w:sz w:val="18"/>
        </w:rPr>
      </w:pPr>
      <w:r>
        <w:rPr>
          <w:sz w:val="18"/>
        </w:rPr>
        <w:t>Prior</w:t>
      </w:r>
      <w:r>
        <w:rPr>
          <w:spacing w:val="-5"/>
          <w:sz w:val="18"/>
        </w:rPr>
        <w:t> </w:t>
      </w:r>
      <w:r>
        <w:rPr>
          <w:sz w:val="18"/>
        </w:rPr>
        <w:t>to</w:t>
      </w:r>
      <w:r>
        <w:rPr>
          <w:spacing w:val="-5"/>
          <w:sz w:val="18"/>
        </w:rPr>
        <w:t> </w:t>
      </w:r>
      <w:r>
        <w:rPr>
          <w:sz w:val="18"/>
        </w:rPr>
        <w:t>the</w:t>
      </w:r>
      <w:r>
        <w:rPr>
          <w:spacing w:val="-4"/>
          <w:sz w:val="18"/>
        </w:rPr>
        <w:t> </w:t>
      </w:r>
      <w:r>
        <w:rPr>
          <w:sz w:val="18"/>
        </w:rPr>
        <w:t>recent</w:t>
      </w:r>
      <w:r>
        <w:rPr>
          <w:spacing w:val="-5"/>
          <w:sz w:val="18"/>
        </w:rPr>
        <w:t> </w:t>
      </w:r>
      <w:r>
        <w:rPr>
          <w:sz w:val="18"/>
        </w:rPr>
        <w:t>release</w:t>
      </w:r>
      <w:r>
        <w:rPr>
          <w:spacing w:val="-5"/>
          <w:sz w:val="18"/>
        </w:rPr>
        <w:t> </w:t>
      </w:r>
      <w:r>
        <w:rPr>
          <w:sz w:val="18"/>
        </w:rPr>
        <w:t>of</w:t>
      </w:r>
      <w:r>
        <w:rPr>
          <w:spacing w:val="-4"/>
          <w:sz w:val="18"/>
        </w:rPr>
        <w:t> </w:t>
      </w:r>
      <w:r>
        <w:rPr>
          <w:sz w:val="18"/>
        </w:rPr>
        <w:t>1999</w:t>
      </w:r>
      <w:r>
        <w:rPr>
          <w:spacing w:val="-5"/>
          <w:sz w:val="18"/>
        </w:rPr>
        <w:t> </w:t>
      </w:r>
      <w:r>
        <w:rPr>
          <w:sz w:val="18"/>
        </w:rPr>
        <w:t>Q4</w:t>
      </w:r>
      <w:r>
        <w:rPr>
          <w:spacing w:val="-5"/>
          <w:sz w:val="18"/>
        </w:rPr>
        <w:t> </w:t>
      </w:r>
      <w:r>
        <w:rPr>
          <w:sz w:val="18"/>
        </w:rPr>
        <w:t>output</w:t>
      </w:r>
      <w:r>
        <w:rPr>
          <w:spacing w:val="-4"/>
          <w:sz w:val="18"/>
        </w:rPr>
        <w:t> </w:t>
      </w:r>
      <w:r>
        <w:rPr>
          <w:sz w:val="18"/>
        </w:rPr>
        <w:t>and</w:t>
      </w:r>
      <w:r>
        <w:rPr>
          <w:spacing w:val="-5"/>
          <w:sz w:val="18"/>
        </w:rPr>
        <w:t> </w:t>
      </w:r>
      <w:r>
        <w:rPr>
          <w:sz w:val="18"/>
        </w:rPr>
        <w:t>expenditure data, the picture had been one of a gradual slowing in the annual rate of growth of final domestic demand from around 4</w:t>
      </w:r>
      <w:r>
        <w:rPr>
          <w:position w:val="6"/>
          <w:sz w:val="9"/>
        </w:rPr>
        <w:t>1</w:t>
      </w:r>
      <w:r>
        <w:rPr>
          <w:sz w:val="18"/>
        </w:rPr>
        <w:t>/</w:t>
      </w:r>
      <w:r>
        <w:rPr>
          <w:sz w:val="9"/>
        </w:rPr>
        <w:t>2</w:t>
      </w:r>
      <w:r>
        <w:rPr>
          <w:sz w:val="18"/>
        </w:rPr>
        <w:t>% to around 3%–3</w:t>
      </w:r>
      <w:r>
        <w:rPr>
          <w:position w:val="6"/>
          <w:sz w:val="9"/>
        </w:rPr>
        <w:t>1</w:t>
      </w:r>
      <w:r>
        <w:rPr>
          <w:sz w:val="18"/>
        </w:rPr>
        <w:t>/</w:t>
      </w:r>
      <w:r>
        <w:rPr>
          <w:sz w:val="9"/>
        </w:rPr>
        <w:t>2</w:t>
      </w:r>
      <w:r>
        <w:rPr>
          <w:sz w:val="18"/>
        </w:rPr>
        <w:t>%. The latest data showed that the rate was</w:t>
      </w:r>
      <w:r>
        <w:rPr>
          <w:spacing w:val="-33"/>
          <w:sz w:val="18"/>
        </w:rPr>
        <w:t> </w:t>
      </w:r>
      <w:r>
        <w:rPr>
          <w:sz w:val="18"/>
        </w:rPr>
        <w:t>now</w:t>
      </w:r>
    </w:p>
    <w:p>
      <w:pPr>
        <w:pStyle w:val="BodyText"/>
        <w:spacing w:line="232" w:lineRule="auto" w:before="98"/>
        <w:ind w:left="174" w:right="220"/>
      </w:pPr>
      <w:r>
        <w:rPr/>
        <w:br w:type="column"/>
      </w:r>
      <w:r>
        <w:rPr/>
        <w:t>back in the 4%–4</w:t>
      </w:r>
      <w:r>
        <w:rPr>
          <w:position w:val="6"/>
          <w:sz w:val="9"/>
        </w:rPr>
        <w:t>1</w:t>
      </w:r>
      <w:r>
        <w:rPr/>
        <w:t>/</w:t>
      </w:r>
      <w:r>
        <w:rPr>
          <w:sz w:val="9"/>
        </w:rPr>
        <w:t>2</w:t>
      </w:r>
      <w:r>
        <w:rPr/>
        <w:t>% range at the end of 1999, on account of upward revisions to both consumption and investment. Considered in this way there was less evidence that final domestic demand was slowing to a more sustainable pace. However, it was possible to analyse the data in a variety of different ways. For example, smoothing the data over two quarters still suggested a moderation in the rate of growth during 1999. Furthermore, the growth rate of final domestic demand in the fourth quarter had been in line with the February </w:t>
      </w:r>
      <w:r>
        <w:rPr>
          <w:i/>
        </w:rPr>
        <w:t>Inflation Report </w:t>
      </w:r>
      <w:r>
        <w:rPr/>
        <w:t>central projection.</w:t>
      </w:r>
    </w:p>
    <w:p>
      <w:pPr>
        <w:pStyle w:val="BodyText"/>
        <w:spacing w:before="9"/>
        <w:rPr>
          <w:sz w:val="16"/>
        </w:rPr>
      </w:pPr>
    </w:p>
    <w:p>
      <w:pPr>
        <w:pStyle w:val="ListParagraph"/>
        <w:numPr>
          <w:ilvl w:val="0"/>
          <w:numId w:val="47"/>
        </w:numPr>
        <w:tabs>
          <w:tab w:pos="654" w:val="left" w:leader="none"/>
          <w:tab w:pos="655" w:val="left" w:leader="none"/>
        </w:tabs>
        <w:spacing w:line="232" w:lineRule="auto" w:before="0" w:after="0"/>
        <w:ind w:left="174" w:right="183" w:firstLine="0"/>
        <w:jc w:val="left"/>
        <w:rPr>
          <w:sz w:val="18"/>
        </w:rPr>
      </w:pPr>
      <w:r>
        <w:rPr>
          <w:sz w:val="18"/>
        </w:rPr>
        <w:t>There was a 1.2 percentage point negative contribution from net trade to GDP growth in Q4, much larger than expected. This, in turn, had been offset by a stronger-than-expected contribution from inventories, so that total domestic demand growth was much stronger than expected. It was possible that these two factors were linked, as the increase in stocks might be import-intensive. In addition, some of the change in net trade on the quarter might be erratic. Nonetheless net trade looked weaker than had been previously thought and possibly reflected quicker or larger effects from the most recent appreciation of sterling, or a delayed response from the past appreciation of sterling. This suggested that even if the overall pace of output growth was as expected, the mix of aggregate demand—between domestic demand and net trade—now looked less benign than it had appeared a few months ago when the net trade contribution had for a while been</w:t>
      </w:r>
      <w:r>
        <w:rPr>
          <w:spacing w:val="-17"/>
          <w:sz w:val="18"/>
        </w:rPr>
        <w:t> </w:t>
      </w:r>
      <w:r>
        <w:rPr>
          <w:sz w:val="18"/>
        </w:rPr>
        <w:t>positive.</w:t>
      </w:r>
    </w:p>
    <w:p>
      <w:pPr>
        <w:pStyle w:val="BodyText"/>
        <w:spacing w:before="4"/>
        <w:rPr>
          <w:sz w:val="16"/>
        </w:rPr>
      </w:pPr>
    </w:p>
    <w:p>
      <w:pPr>
        <w:pStyle w:val="ListParagraph"/>
        <w:numPr>
          <w:ilvl w:val="0"/>
          <w:numId w:val="47"/>
        </w:numPr>
        <w:tabs>
          <w:tab w:pos="654" w:val="left" w:leader="none"/>
          <w:tab w:pos="655" w:val="left" w:leader="none"/>
        </w:tabs>
        <w:spacing w:line="232" w:lineRule="auto" w:before="0" w:after="0"/>
        <w:ind w:left="174" w:right="213" w:firstLine="0"/>
        <w:jc w:val="left"/>
        <w:rPr>
          <w:sz w:val="18"/>
        </w:rPr>
      </w:pPr>
      <w:r>
        <w:rPr>
          <w:sz w:val="18"/>
        </w:rPr>
        <w:t>On inventories, it was possible that the increase might also prove to be erratic. It was still difficult to assess the size of the millennium effects. In addition, the change in manufacturing, wholesale and distribution stocks did not account for much of the aggregate change in inventories over the quarter. The increase was largely accounted for by ‘other’ industries, which included the quarterly statistical alignment adjustment. The rise in stocks in these industries in Q4 might also be linked to the recent weakness of car registrations. If, for example, the number of car registrations eventually recovered to its former level, then the underlying picture for consumption would have been stronger (and inventories weaker) than recorded. The change in seasonal pattern following the change to new car registration practice last year also made comparisons</w:t>
      </w:r>
      <w:r>
        <w:rPr>
          <w:spacing w:val="-2"/>
          <w:sz w:val="18"/>
        </w:rPr>
        <w:t> </w:t>
      </w:r>
      <w:r>
        <w:rPr>
          <w:sz w:val="18"/>
        </w:rPr>
        <w:t>difficult.</w:t>
      </w:r>
    </w:p>
    <w:p>
      <w:pPr>
        <w:pStyle w:val="BodyText"/>
        <w:spacing w:before="5"/>
        <w:rPr>
          <w:sz w:val="16"/>
        </w:rPr>
      </w:pPr>
    </w:p>
    <w:p>
      <w:pPr>
        <w:pStyle w:val="ListParagraph"/>
        <w:numPr>
          <w:ilvl w:val="0"/>
          <w:numId w:val="47"/>
        </w:numPr>
        <w:tabs>
          <w:tab w:pos="654" w:val="left" w:leader="none"/>
          <w:tab w:pos="655" w:val="left" w:leader="none"/>
        </w:tabs>
        <w:spacing w:line="232" w:lineRule="auto" w:before="0" w:after="0"/>
        <w:ind w:left="174" w:right="263" w:firstLine="0"/>
        <w:jc w:val="left"/>
        <w:rPr>
          <w:sz w:val="18"/>
        </w:rPr>
      </w:pPr>
      <w:r>
        <w:rPr>
          <w:sz w:val="18"/>
        </w:rPr>
        <w:t>Overall the latest indicators of demand and output gave a rather mixed picture, with some remaining strong and others weakening. Many of the strong indicators pointed to continuing buoyancy of domestic demand. In particular, real earnings growth had been strong and wealth continued to rise. The GfK consumer confidence index had fallen on the month, but this was as expected following its surge in January and the index remained close to the level it had been at throughout 1999. The latest CBI Distributive Trades survey pointed to both a strong outturn for February and an expectation of a strong March. However, the Bank’s regional Agents had detected a mixed retailing picture in February. In aggregate, retail sales growth had continued at broadly the same pace, but with some regions reporting stronger and others weaker growth.</w:t>
      </w:r>
    </w:p>
    <w:p>
      <w:pPr>
        <w:pStyle w:val="BodyText"/>
        <w:spacing w:before="5"/>
        <w:rPr>
          <w:sz w:val="16"/>
        </w:rPr>
      </w:pPr>
    </w:p>
    <w:p>
      <w:pPr>
        <w:pStyle w:val="ListParagraph"/>
        <w:numPr>
          <w:ilvl w:val="0"/>
          <w:numId w:val="47"/>
        </w:numPr>
        <w:tabs>
          <w:tab w:pos="654" w:val="left" w:leader="none"/>
          <w:tab w:pos="655" w:val="left" w:leader="none"/>
        </w:tabs>
        <w:spacing w:line="232" w:lineRule="auto" w:before="0" w:after="0"/>
        <w:ind w:left="174" w:right="233" w:firstLine="0"/>
        <w:jc w:val="left"/>
        <w:rPr>
          <w:sz w:val="18"/>
        </w:rPr>
      </w:pPr>
      <w:r>
        <w:rPr>
          <w:sz w:val="18"/>
        </w:rPr>
        <w:t>A number of indicators on the output side showed perhaps greater signs of a slowdown in the rate of growth, many reflecting the recent weakness in net trade. Industrial production had been weak in January and there had been small downward revisions to earlier quarters. The Chartered Institute of Purchasing and Supply (CIPS) manufacturing activity index had fallen slightly in February and had therefore remained well below its level in Q4—though it remained above the neutral 50 level. The OECD leading indicator for the UK had also turned lower. It was possible that the</w:t>
      </w:r>
      <w:r>
        <w:rPr>
          <w:spacing w:val="4"/>
          <w:sz w:val="18"/>
        </w:rPr>
        <w:t> </w:t>
      </w:r>
      <w:r>
        <w:rPr>
          <w:sz w:val="18"/>
        </w:rPr>
        <w:t>recent</w:t>
      </w:r>
    </w:p>
    <w:p>
      <w:pPr>
        <w:spacing w:after="0" w:line="232" w:lineRule="auto"/>
        <w:jc w:val="left"/>
        <w:rPr>
          <w:sz w:val="18"/>
        </w:rPr>
        <w:sectPr>
          <w:type w:val="continuous"/>
          <w:pgSz w:w="11900" w:h="16840"/>
          <w:pgMar w:top="1220" w:bottom="280" w:left="640" w:right="620"/>
          <w:cols w:num="2" w:equalWidth="0">
            <w:col w:w="5102" w:space="280"/>
            <w:col w:w="5258"/>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4"/>
        <w:rPr>
          <w:sz w:val="21"/>
        </w:rPr>
      </w:pPr>
    </w:p>
    <w:p>
      <w:pPr>
        <w:pStyle w:val="BodyText"/>
        <w:spacing w:line="232" w:lineRule="auto" w:before="1"/>
        <w:ind w:left="165" w:right="179"/>
      </w:pPr>
      <w:r>
        <w:rPr/>
        <w:t>weakness in some of the output indicators might slow income growth and, in turn, domestic demand. By way of contrast with weaker industrial production data, the latest CIPS services and construction indices had continued to show strong growth and the 3i survey had shown business optimism to be strong.</w:t>
      </w:r>
    </w:p>
    <w:p>
      <w:pPr>
        <w:pStyle w:val="BodyText"/>
        <w:spacing w:before="3"/>
        <w:rPr>
          <w:sz w:val="20"/>
        </w:rPr>
      </w:pPr>
    </w:p>
    <w:p>
      <w:pPr>
        <w:pStyle w:val="Heading8"/>
        <w:ind w:left="165"/>
      </w:pPr>
      <w:r>
        <w:rPr>
          <w:color w:val="009391"/>
        </w:rPr>
        <w:t>Money and asset prices</w:t>
      </w:r>
    </w:p>
    <w:p>
      <w:pPr>
        <w:pStyle w:val="ListParagraph"/>
        <w:numPr>
          <w:ilvl w:val="0"/>
          <w:numId w:val="47"/>
        </w:numPr>
        <w:tabs>
          <w:tab w:pos="645" w:val="left" w:leader="none"/>
          <w:tab w:pos="646" w:val="left" w:leader="none"/>
        </w:tabs>
        <w:spacing w:line="232" w:lineRule="auto" w:before="110" w:after="0"/>
        <w:ind w:left="165" w:right="42" w:firstLine="0"/>
        <w:jc w:val="left"/>
        <w:rPr>
          <w:sz w:val="18"/>
        </w:rPr>
      </w:pPr>
      <w:r>
        <w:rPr>
          <w:sz w:val="18"/>
        </w:rPr>
        <w:t>Broad money was growing at the slowest annual rate of growth since July 1983, when the monthly figures had first been published. In addition, the disaggregated data indicated that this month, unlike in recent months, Other Financial Corporations could not account for the reduction in the aggregate M4 growth rate. It was possible that some of the weakness in household and corporate deposits was accounted for by the unusual seasonal timing of tax payments which might prove temporary, and it would therefore be useful to see another month’s data before drawing any conclusions. The large financial deficit of the corporate sector was another possible contributing</w:t>
      </w:r>
      <w:r>
        <w:rPr>
          <w:spacing w:val="-3"/>
          <w:sz w:val="18"/>
        </w:rPr>
        <w:t> </w:t>
      </w:r>
      <w:r>
        <w:rPr>
          <w:sz w:val="18"/>
        </w:rPr>
        <w:t>factor.</w:t>
      </w:r>
    </w:p>
    <w:p>
      <w:pPr>
        <w:pStyle w:val="BodyText"/>
        <w:spacing w:before="7"/>
        <w:rPr>
          <w:sz w:val="16"/>
        </w:rPr>
      </w:pPr>
    </w:p>
    <w:p>
      <w:pPr>
        <w:pStyle w:val="ListParagraph"/>
        <w:numPr>
          <w:ilvl w:val="0"/>
          <w:numId w:val="47"/>
        </w:numPr>
        <w:tabs>
          <w:tab w:pos="645" w:val="left" w:leader="none"/>
          <w:tab w:pos="646" w:val="left" w:leader="none"/>
        </w:tabs>
        <w:spacing w:line="232" w:lineRule="auto" w:before="0" w:after="0"/>
        <w:ind w:left="165" w:right="38" w:firstLine="0"/>
        <w:jc w:val="left"/>
        <w:rPr>
          <w:sz w:val="18"/>
        </w:rPr>
      </w:pPr>
      <w:r>
        <w:rPr>
          <w:sz w:val="18"/>
        </w:rPr>
        <w:t>By contrast growth in lending remained strong. Household credit growth, in particular, was breaking records, with annual growth at 10% the highest since the early 1990s. In the housing market, both the number and value of approvals for house purchase had fallen on the month, but there was uncertainty as to whether this was a stronger than normal seasonal effect around the year-end. Corporate borrowing also remained strong.  There were few signs of significant financial stress in other indicators. While the latest evidence showed that the corporate sector financial deficit as a percentage of GDP was quite large by historical standards, the special survey conducted by the Bank’s regional Agents had found little evidence of distress borrowing, and suggested that companies were borrowing to</w:t>
      </w:r>
      <w:r>
        <w:rPr>
          <w:spacing w:val="-4"/>
          <w:sz w:val="18"/>
        </w:rPr>
        <w:t> </w:t>
      </w:r>
      <w:r>
        <w:rPr>
          <w:sz w:val="18"/>
        </w:rPr>
        <w:t>invest.</w:t>
      </w:r>
    </w:p>
    <w:p>
      <w:pPr>
        <w:pStyle w:val="BodyText"/>
        <w:spacing w:before="6"/>
        <w:rPr>
          <w:sz w:val="16"/>
        </w:rPr>
      </w:pPr>
    </w:p>
    <w:p>
      <w:pPr>
        <w:pStyle w:val="ListParagraph"/>
        <w:numPr>
          <w:ilvl w:val="0"/>
          <w:numId w:val="47"/>
        </w:numPr>
        <w:tabs>
          <w:tab w:pos="645" w:val="left" w:leader="none"/>
          <w:tab w:pos="646" w:val="left" w:leader="none"/>
        </w:tabs>
        <w:spacing w:line="232" w:lineRule="auto" w:before="0" w:after="0"/>
        <w:ind w:left="165" w:right="38" w:firstLine="0"/>
        <w:jc w:val="left"/>
        <w:rPr>
          <w:sz w:val="18"/>
        </w:rPr>
      </w:pPr>
      <w:r>
        <w:rPr>
          <w:sz w:val="18"/>
        </w:rPr>
        <w:t>Exchange rates between the dollar, euro and yen had been volatile over the past month. Although there were further signs of stronger activity in the euro area, there had been continued signs of even</w:t>
      </w:r>
      <w:r>
        <w:rPr>
          <w:spacing w:val="-5"/>
          <w:sz w:val="18"/>
        </w:rPr>
        <w:t> </w:t>
      </w:r>
      <w:r>
        <w:rPr>
          <w:sz w:val="18"/>
        </w:rPr>
        <w:t>stronger</w:t>
      </w:r>
      <w:r>
        <w:rPr>
          <w:spacing w:val="-4"/>
          <w:sz w:val="18"/>
        </w:rPr>
        <w:t> </w:t>
      </w:r>
      <w:r>
        <w:rPr>
          <w:sz w:val="18"/>
        </w:rPr>
        <w:t>activity</w:t>
      </w:r>
      <w:r>
        <w:rPr>
          <w:spacing w:val="-5"/>
          <w:sz w:val="18"/>
        </w:rPr>
        <w:t> </w:t>
      </w:r>
      <w:r>
        <w:rPr>
          <w:sz w:val="18"/>
        </w:rPr>
        <w:t>in</w:t>
      </w:r>
      <w:r>
        <w:rPr>
          <w:spacing w:val="-4"/>
          <w:sz w:val="18"/>
        </w:rPr>
        <w:t> </w:t>
      </w:r>
      <w:r>
        <w:rPr>
          <w:sz w:val="18"/>
        </w:rPr>
        <w:t>the</w:t>
      </w:r>
      <w:r>
        <w:rPr>
          <w:spacing w:val="-5"/>
          <w:sz w:val="18"/>
        </w:rPr>
        <w:t> </w:t>
      </w:r>
      <w:r>
        <w:rPr>
          <w:sz w:val="18"/>
        </w:rPr>
        <w:t>United</w:t>
      </w:r>
      <w:r>
        <w:rPr>
          <w:spacing w:val="-4"/>
          <w:sz w:val="18"/>
        </w:rPr>
        <w:t> </w:t>
      </w:r>
      <w:r>
        <w:rPr>
          <w:sz w:val="18"/>
        </w:rPr>
        <w:t>States,</w:t>
      </w:r>
      <w:r>
        <w:rPr>
          <w:spacing w:val="-5"/>
          <w:sz w:val="18"/>
        </w:rPr>
        <w:t> </w:t>
      </w:r>
      <w:r>
        <w:rPr>
          <w:sz w:val="18"/>
        </w:rPr>
        <w:t>so</w:t>
      </w:r>
      <w:r>
        <w:rPr>
          <w:spacing w:val="-4"/>
          <w:sz w:val="18"/>
        </w:rPr>
        <w:t> </w:t>
      </w:r>
      <w:r>
        <w:rPr>
          <w:sz w:val="18"/>
        </w:rPr>
        <w:t>it</w:t>
      </w:r>
      <w:r>
        <w:rPr>
          <w:spacing w:val="-4"/>
          <w:sz w:val="18"/>
        </w:rPr>
        <w:t> </w:t>
      </w:r>
      <w:r>
        <w:rPr>
          <w:sz w:val="18"/>
        </w:rPr>
        <w:t>was</w:t>
      </w:r>
      <w:r>
        <w:rPr>
          <w:spacing w:val="-5"/>
          <w:sz w:val="18"/>
        </w:rPr>
        <w:t> </w:t>
      </w:r>
      <w:r>
        <w:rPr>
          <w:sz w:val="18"/>
        </w:rPr>
        <w:t>perhaps</w:t>
      </w:r>
      <w:r>
        <w:rPr>
          <w:spacing w:val="-4"/>
          <w:sz w:val="18"/>
        </w:rPr>
        <w:t> </w:t>
      </w:r>
      <w:r>
        <w:rPr>
          <w:sz w:val="18"/>
        </w:rPr>
        <w:t>not</w:t>
      </w:r>
      <w:r>
        <w:rPr>
          <w:spacing w:val="-5"/>
          <w:sz w:val="18"/>
        </w:rPr>
        <w:t> </w:t>
      </w:r>
      <w:r>
        <w:rPr>
          <w:sz w:val="18"/>
        </w:rPr>
        <w:t>too surprising that the euro had remained weak. Some of the recent strength of the yen against the dollar might be related to year-end repatriation effects, which could prove temporary. It was perhaps surprising that sterling had not moved much over this period, despite large movements in other currencies. The sterling effective exchange rate index had risen a little compared with the time of the Committee’s previous meeting, but was broadly in line with the assumption underpinning the central projection in the February </w:t>
      </w:r>
      <w:r>
        <w:rPr>
          <w:i/>
          <w:sz w:val="18"/>
        </w:rPr>
        <w:t>Report. </w:t>
      </w:r>
      <w:r>
        <w:rPr>
          <w:sz w:val="18"/>
        </w:rPr>
        <w:t>However, during the month sterling had reached</w:t>
      </w:r>
      <w:r>
        <w:rPr>
          <w:spacing w:val="-24"/>
          <w:sz w:val="18"/>
        </w:rPr>
        <w:t> </w:t>
      </w:r>
      <w:r>
        <w:rPr>
          <w:sz w:val="18"/>
        </w:rPr>
        <w:t>its</w:t>
      </w:r>
    </w:p>
    <w:p>
      <w:pPr>
        <w:pStyle w:val="BodyText"/>
        <w:spacing w:line="232" w:lineRule="auto"/>
        <w:ind w:left="165" w:right="125"/>
      </w:pPr>
      <w:r>
        <w:rPr/>
        <w:t>highest-ever level against the euro, and a seven-month low against the dollar. Looking over a longer period the risk premium on sterling relative to the euro might have fallen.</w:t>
      </w:r>
    </w:p>
    <w:p>
      <w:pPr>
        <w:pStyle w:val="BodyText"/>
        <w:spacing w:before="4"/>
        <w:rPr>
          <w:sz w:val="16"/>
        </w:rPr>
      </w:pPr>
    </w:p>
    <w:p>
      <w:pPr>
        <w:pStyle w:val="ListParagraph"/>
        <w:numPr>
          <w:ilvl w:val="0"/>
          <w:numId w:val="47"/>
        </w:numPr>
        <w:tabs>
          <w:tab w:pos="645" w:val="left" w:leader="none"/>
          <w:tab w:pos="646" w:val="left" w:leader="none"/>
        </w:tabs>
        <w:spacing w:line="232" w:lineRule="auto" w:before="0" w:after="0"/>
        <w:ind w:left="165" w:right="53" w:firstLine="0"/>
        <w:jc w:val="left"/>
        <w:rPr>
          <w:sz w:val="18"/>
        </w:rPr>
      </w:pPr>
      <w:r>
        <w:rPr>
          <w:sz w:val="18"/>
        </w:rPr>
        <w:t>If, as the Committee had discussed at a previous meeting, there was a positive correlation between the US stock market, corporate sector profitability and investment, and the dollar, then any fall in the US stock market might be associated with a weakening of the dollar. The Committee noted that while there had been a fall in the Dow Jones stock market index recently, the NASDAQ index had continued to rise, reflecting the weight and differential movement of new technology stocks. The difference between the performance of stocks in new and old sectors was striking, and was apparent in the UK and continental European indices too. The Committee also noted the change in the composition of the FTSE 100, which had led to the inclusion of a number of new IT</w:t>
      </w:r>
      <w:r>
        <w:rPr>
          <w:spacing w:val="-6"/>
          <w:sz w:val="18"/>
        </w:rPr>
        <w:t> </w:t>
      </w:r>
      <w:r>
        <w:rPr>
          <w:sz w:val="18"/>
        </w:rPr>
        <w:t>companies.</w:t>
      </w:r>
    </w:p>
    <w:p>
      <w:pPr>
        <w:pStyle w:val="BodyText"/>
        <w:spacing w:before="6"/>
        <w:rPr>
          <w:sz w:val="16"/>
        </w:rPr>
      </w:pPr>
    </w:p>
    <w:p>
      <w:pPr>
        <w:pStyle w:val="ListParagraph"/>
        <w:numPr>
          <w:ilvl w:val="0"/>
          <w:numId w:val="47"/>
        </w:numPr>
        <w:tabs>
          <w:tab w:pos="645" w:val="left" w:leader="none"/>
          <w:tab w:pos="646" w:val="left" w:leader="none"/>
        </w:tabs>
        <w:spacing w:line="232" w:lineRule="auto" w:before="0" w:after="0"/>
        <w:ind w:left="165" w:right="138" w:firstLine="0"/>
        <w:jc w:val="left"/>
        <w:rPr>
          <w:sz w:val="18"/>
        </w:rPr>
      </w:pPr>
      <w:r>
        <w:rPr>
          <w:sz w:val="18"/>
        </w:rPr>
        <w:t>Regarding house prices, both the Halifax and Nationwide indexes showed growth of 15% in the year to February. The latest Royal Institute of Chartered Surveyors survey indicated that the balance of estate agents reporting rising prices remained strongly positive in January. There were tentative signs that the rate of increase in some of the southern regions of the UK might be slowing slightly, offset by a corresponding rise in the rate</w:t>
      </w:r>
      <w:r>
        <w:rPr>
          <w:spacing w:val="-31"/>
          <w:sz w:val="18"/>
        </w:rPr>
        <w:t> </w:t>
      </w:r>
      <w:r>
        <w:rPr>
          <w:sz w:val="18"/>
        </w:rPr>
        <w:t>of</w:t>
      </w:r>
    </w:p>
    <w:p>
      <w:pPr>
        <w:pStyle w:val="BodyText"/>
        <w:spacing w:before="4"/>
        <w:rPr>
          <w:sz w:val="21"/>
        </w:rPr>
      </w:pPr>
      <w:r>
        <w:rPr/>
        <w:br w:type="column"/>
      </w:r>
      <w:r>
        <w:rPr>
          <w:sz w:val="21"/>
        </w:rPr>
      </w:r>
    </w:p>
    <w:p>
      <w:pPr>
        <w:pStyle w:val="BodyText"/>
        <w:spacing w:line="232" w:lineRule="auto"/>
        <w:ind w:left="165" w:right="246"/>
      </w:pPr>
      <w:r>
        <w:rPr/>
        <w:t>increase in other regions. As well as the fall in approvals around the turn of the year, there were also signs that the number of site visits and reservations might be falling. But these indicators might have been affected by the millennium, and it was too early to judge whether activity had in fact slowed. The Committee noted that the rate of increase in prices would have to slow substantially from current rates over the next two years if the projection in the February </w:t>
      </w:r>
      <w:r>
        <w:rPr>
          <w:i/>
        </w:rPr>
        <w:t>Inflation Report </w:t>
      </w:r>
      <w:r>
        <w:rPr/>
        <w:t>was to be met.</w:t>
      </w:r>
    </w:p>
    <w:p>
      <w:pPr>
        <w:pStyle w:val="BodyText"/>
        <w:spacing w:before="2"/>
        <w:rPr>
          <w:sz w:val="20"/>
        </w:rPr>
      </w:pPr>
    </w:p>
    <w:p>
      <w:pPr>
        <w:pStyle w:val="Heading8"/>
        <w:ind w:left="165"/>
      </w:pPr>
      <w:r>
        <w:rPr>
          <w:color w:val="009391"/>
        </w:rPr>
        <w:t>The labour market</w:t>
      </w:r>
    </w:p>
    <w:p>
      <w:pPr>
        <w:pStyle w:val="ListParagraph"/>
        <w:numPr>
          <w:ilvl w:val="0"/>
          <w:numId w:val="47"/>
        </w:numPr>
        <w:tabs>
          <w:tab w:pos="645" w:val="left" w:leader="none"/>
          <w:tab w:pos="646" w:val="left" w:leader="none"/>
        </w:tabs>
        <w:spacing w:line="232" w:lineRule="auto" w:before="109" w:after="0"/>
        <w:ind w:left="165" w:right="234" w:firstLine="0"/>
        <w:jc w:val="left"/>
        <w:rPr>
          <w:sz w:val="18"/>
        </w:rPr>
      </w:pPr>
      <w:r>
        <w:rPr>
          <w:sz w:val="18"/>
        </w:rPr>
        <w:t>There was little news in the data published on labour market quantities this month. The LFS data for employment were likely to be revised up in April, with revisions spread over a number of years. The implications for other data—such as productivity— were not</w:t>
      </w:r>
      <w:r>
        <w:rPr>
          <w:spacing w:val="-3"/>
          <w:sz w:val="18"/>
        </w:rPr>
        <w:t> </w:t>
      </w:r>
      <w:r>
        <w:rPr>
          <w:sz w:val="18"/>
        </w:rPr>
        <w:t>clear.</w:t>
      </w:r>
    </w:p>
    <w:p>
      <w:pPr>
        <w:pStyle w:val="BodyText"/>
        <w:spacing w:before="1"/>
        <w:rPr>
          <w:sz w:val="17"/>
        </w:rPr>
      </w:pPr>
    </w:p>
    <w:p>
      <w:pPr>
        <w:pStyle w:val="ListParagraph"/>
        <w:numPr>
          <w:ilvl w:val="0"/>
          <w:numId w:val="47"/>
        </w:numPr>
        <w:tabs>
          <w:tab w:pos="645" w:val="left" w:leader="none"/>
          <w:tab w:pos="646" w:val="left" w:leader="none"/>
        </w:tabs>
        <w:spacing w:line="232" w:lineRule="auto" w:before="0" w:after="0"/>
        <w:ind w:left="165" w:right="224" w:firstLine="0"/>
        <w:jc w:val="left"/>
        <w:rPr>
          <w:sz w:val="18"/>
        </w:rPr>
      </w:pPr>
      <w:r>
        <w:rPr>
          <w:sz w:val="18"/>
        </w:rPr>
        <w:t>There had been a sharp rise in earnings growth in December. It was interesting that the rise in earnings growth was not restricted to the private service sector, as there had been a marked increase in manufacturing too. There were two main questions. First, how much weight should be placed on the December number in gauging the underlying growth rate? Second, what did it imply about the underlying determinants driving both costs and prices, and also consumption, and hence affecting the outlook for</w:t>
      </w:r>
      <w:r>
        <w:rPr>
          <w:spacing w:val="-22"/>
          <w:sz w:val="18"/>
        </w:rPr>
        <w:t> </w:t>
      </w:r>
      <w:r>
        <w:rPr>
          <w:sz w:val="18"/>
        </w:rPr>
        <w:t>inflation?</w:t>
      </w:r>
    </w:p>
    <w:p>
      <w:pPr>
        <w:pStyle w:val="BodyText"/>
        <w:spacing w:before="10"/>
        <w:rPr>
          <w:sz w:val="16"/>
        </w:rPr>
      </w:pPr>
    </w:p>
    <w:p>
      <w:pPr>
        <w:pStyle w:val="ListParagraph"/>
        <w:numPr>
          <w:ilvl w:val="0"/>
          <w:numId w:val="47"/>
        </w:numPr>
        <w:tabs>
          <w:tab w:pos="645" w:val="left" w:leader="none"/>
          <w:tab w:pos="646" w:val="left" w:leader="none"/>
        </w:tabs>
        <w:spacing w:line="232" w:lineRule="auto" w:before="0" w:after="0"/>
        <w:ind w:left="165" w:right="200" w:firstLine="0"/>
        <w:jc w:val="left"/>
        <w:rPr>
          <w:sz w:val="18"/>
        </w:rPr>
      </w:pPr>
      <w:r>
        <w:rPr>
          <w:sz w:val="18"/>
        </w:rPr>
        <w:t>Some of the marked rise in annual earnings growth in December probably related to bonuses. But because of the change in the ONS’s survey form early last year, it was not yet possible to get a clear view on the contribution from bonuses to the change in the annual rate of earnings growth. If it related to bonuses, it would be sensible to smooth the effects. Since it was possible that part of the bonuses related to millennium preparation and working, it was also possible that significant increases in earnings might be recorded for some months to come, and that consequently the annual rate of growth might not decline and even rise in January. One suggestion was that some of the payments might be millennium-related ‘loyalty’ bonuses, which were negotiated some time ago when companies feared potentially large effects from the Y2K computer problems. If so, these payments might not be directly related to past profits, as in the case of more traditional bonuses, and hence would represent an additional cost to the firm, albeit a one-off cost. In any event, these bonuses would be paid to the household sector, but it was uncertain whether households would consume only the annuity value of the addition to their wealth. Even if they did, ‘saving’ through purchases of consumer durables would add to aggregate demand. More information would be needed, but taken at face value the latest earnings data were higher than the starting point for earnings growth assumed in the February </w:t>
      </w:r>
      <w:r>
        <w:rPr>
          <w:i/>
          <w:sz w:val="18"/>
        </w:rPr>
        <w:t>Inflation</w:t>
      </w:r>
      <w:r>
        <w:rPr>
          <w:i/>
          <w:spacing w:val="-3"/>
          <w:sz w:val="18"/>
        </w:rPr>
        <w:t> </w:t>
      </w:r>
      <w:r>
        <w:rPr>
          <w:i/>
          <w:sz w:val="18"/>
        </w:rPr>
        <w:t>Report</w:t>
      </w:r>
      <w:r>
        <w:rPr>
          <w:sz w:val="18"/>
        </w:rPr>
        <w:t>.</w:t>
      </w:r>
    </w:p>
    <w:p>
      <w:pPr>
        <w:pStyle w:val="BodyText"/>
        <w:spacing w:before="9"/>
        <w:rPr>
          <w:sz w:val="15"/>
        </w:rPr>
      </w:pPr>
    </w:p>
    <w:p>
      <w:pPr>
        <w:pStyle w:val="ListParagraph"/>
        <w:numPr>
          <w:ilvl w:val="0"/>
          <w:numId w:val="47"/>
        </w:numPr>
        <w:tabs>
          <w:tab w:pos="645" w:val="left" w:leader="none"/>
          <w:tab w:pos="646" w:val="left" w:leader="none"/>
        </w:tabs>
        <w:spacing w:line="232" w:lineRule="auto" w:before="0" w:after="0"/>
        <w:ind w:left="165" w:right="216" w:firstLine="0"/>
        <w:jc w:val="left"/>
        <w:rPr>
          <w:sz w:val="18"/>
        </w:rPr>
      </w:pPr>
      <w:r>
        <w:rPr>
          <w:sz w:val="18"/>
        </w:rPr>
        <w:t>The contrast between the level of US and UK nominal (and real) earnings growth was quite marked, especially given that recent rapid productivity growth might warrant higher real earnings growth</w:t>
      </w:r>
      <w:r>
        <w:rPr>
          <w:spacing w:val="-5"/>
          <w:sz w:val="18"/>
        </w:rPr>
        <w:t> </w:t>
      </w:r>
      <w:r>
        <w:rPr>
          <w:sz w:val="18"/>
        </w:rPr>
        <w:t>in</w:t>
      </w:r>
      <w:r>
        <w:rPr>
          <w:spacing w:val="-5"/>
          <w:sz w:val="18"/>
        </w:rPr>
        <w:t> </w:t>
      </w:r>
      <w:r>
        <w:rPr>
          <w:sz w:val="18"/>
        </w:rPr>
        <w:t>the</w:t>
      </w:r>
      <w:r>
        <w:rPr>
          <w:spacing w:val="-5"/>
          <w:sz w:val="18"/>
        </w:rPr>
        <w:t> </w:t>
      </w:r>
      <w:r>
        <w:rPr>
          <w:sz w:val="18"/>
        </w:rPr>
        <w:t>United</w:t>
      </w:r>
      <w:r>
        <w:rPr>
          <w:spacing w:val="-5"/>
          <w:sz w:val="18"/>
        </w:rPr>
        <w:t> </w:t>
      </w:r>
      <w:r>
        <w:rPr>
          <w:sz w:val="18"/>
        </w:rPr>
        <w:t>States,</w:t>
      </w:r>
      <w:r>
        <w:rPr>
          <w:spacing w:val="-5"/>
          <w:sz w:val="18"/>
        </w:rPr>
        <w:t> </w:t>
      </w:r>
      <w:r>
        <w:rPr>
          <w:sz w:val="18"/>
        </w:rPr>
        <w:t>and</w:t>
      </w:r>
      <w:r>
        <w:rPr>
          <w:spacing w:val="-4"/>
          <w:sz w:val="18"/>
        </w:rPr>
        <w:t> </w:t>
      </w:r>
      <w:r>
        <w:rPr>
          <w:sz w:val="18"/>
        </w:rPr>
        <w:t>the</w:t>
      </w:r>
      <w:r>
        <w:rPr>
          <w:spacing w:val="-5"/>
          <w:sz w:val="18"/>
        </w:rPr>
        <w:t> </w:t>
      </w:r>
      <w:r>
        <w:rPr>
          <w:sz w:val="18"/>
        </w:rPr>
        <w:t>fact</w:t>
      </w:r>
      <w:r>
        <w:rPr>
          <w:spacing w:val="-5"/>
          <w:sz w:val="18"/>
        </w:rPr>
        <w:t> </w:t>
      </w:r>
      <w:r>
        <w:rPr>
          <w:sz w:val="18"/>
        </w:rPr>
        <w:t>that</w:t>
      </w:r>
      <w:r>
        <w:rPr>
          <w:spacing w:val="-5"/>
          <w:sz w:val="18"/>
        </w:rPr>
        <w:t> </w:t>
      </w:r>
      <w:r>
        <w:rPr>
          <w:sz w:val="18"/>
        </w:rPr>
        <w:t>the</w:t>
      </w:r>
      <w:r>
        <w:rPr>
          <w:spacing w:val="-5"/>
          <w:sz w:val="18"/>
        </w:rPr>
        <w:t> </w:t>
      </w:r>
      <w:r>
        <w:rPr>
          <w:sz w:val="18"/>
        </w:rPr>
        <w:t>millennium</w:t>
      </w:r>
      <w:r>
        <w:rPr>
          <w:spacing w:val="-4"/>
          <w:sz w:val="18"/>
        </w:rPr>
        <w:t> </w:t>
      </w:r>
      <w:r>
        <w:rPr>
          <w:sz w:val="18"/>
        </w:rPr>
        <w:t>effects on pay might have been expected in the US as well. Although UK productivity growth was rising, it was lower than in the US and seemed unlikely to explain the entire rise in earnings growth over recent months. The increase in UK earnings growth looked less dramatic when an adjustment was made for hours—growth in nominal</w:t>
      </w:r>
      <w:r>
        <w:rPr>
          <w:spacing w:val="-5"/>
          <w:sz w:val="18"/>
        </w:rPr>
        <w:t> </w:t>
      </w:r>
      <w:r>
        <w:rPr>
          <w:sz w:val="18"/>
        </w:rPr>
        <w:t>earnings</w:t>
      </w:r>
      <w:r>
        <w:rPr>
          <w:spacing w:val="-4"/>
          <w:sz w:val="18"/>
        </w:rPr>
        <w:t> </w:t>
      </w:r>
      <w:r>
        <w:rPr>
          <w:sz w:val="18"/>
        </w:rPr>
        <w:t>per</w:t>
      </w:r>
      <w:r>
        <w:rPr>
          <w:spacing w:val="-4"/>
          <w:sz w:val="18"/>
        </w:rPr>
        <w:t> </w:t>
      </w:r>
      <w:r>
        <w:rPr>
          <w:sz w:val="18"/>
        </w:rPr>
        <w:t>hour</w:t>
      </w:r>
      <w:r>
        <w:rPr>
          <w:spacing w:val="-4"/>
          <w:sz w:val="18"/>
        </w:rPr>
        <w:t> </w:t>
      </w:r>
      <w:r>
        <w:rPr>
          <w:sz w:val="18"/>
        </w:rPr>
        <w:t>had</w:t>
      </w:r>
      <w:r>
        <w:rPr>
          <w:spacing w:val="-4"/>
          <w:sz w:val="18"/>
        </w:rPr>
        <w:t> </w:t>
      </w:r>
      <w:r>
        <w:rPr>
          <w:sz w:val="18"/>
        </w:rPr>
        <w:t>been</w:t>
      </w:r>
      <w:r>
        <w:rPr>
          <w:spacing w:val="-4"/>
          <w:sz w:val="18"/>
        </w:rPr>
        <w:t> </w:t>
      </w:r>
      <w:r>
        <w:rPr>
          <w:sz w:val="18"/>
        </w:rPr>
        <w:t>flat,</w:t>
      </w:r>
      <w:r>
        <w:rPr>
          <w:spacing w:val="-4"/>
          <w:sz w:val="18"/>
        </w:rPr>
        <w:t> </w:t>
      </w:r>
      <w:r>
        <w:rPr>
          <w:sz w:val="18"/>
        </w:rPr>
        <w:t>but</w:t>
      </w:r>
      <w:r>
        <w:rPr>
          <w:spacing w:val="-4"/>
          <w:sz w:val="18"/>
        </w:rPr>
        <w:t> </w:t>
      </w:r>
      <w:r>
        <w:rPr>
          <w:sz w:val="18"/>
        </w:rPr>
        <w:t>at</w:t>
      </w:r>
      <w:r>
        <w:rPr>
          <w:spacing w:val="-4"/>
          <w:sz w:val="18"/>
        </w:rPr>
        <w:t> </w:t>
      </w:r>
      <w:r>
        <w:rPr>
          <w:sz w:val="18"/>
        </w:rPr>
        <w:t>a</w:t>
      </w:r>
      <w:r>
        <w:rPr>
          <w:spacing w:val="-4"/>
          <w:sz w:val="18"/>
        </w:rPr>
        <w:t> </w:t>
      </w:r>
      <w:r>
        <w:rPr>
          <w:sz w:val="18"/>
        </w:rPr>
        <w:t>fairly</w:t>
      </w:r>
      <w:r>
        <w:rPr>
          <w:spacing w:val="-4"/>
          <w:sz w:val="18"/>
        </w:rPr>
        <w:t> </w:t>
      </w:r>
      <w:r>
        <w:rPr>
          <w:sz w:val="18"/>
        </w:rPr>
        <w:t>high</w:t>
      </w:r>
      <w:r>
        <w:rPr>
          <w:spacing w:val="-4"/>
          <w:sz w:val="18"/>
        </w:rPr>
        <w:t> </w:t>
      </w:r>
      <w:r>
        <w:rPr>
          <w:sz w:val="18"/>
        </w:rPr>
        <w:t>level</w:t>
      </w:r>
      <w:r>
        <w:rPr>
          <w:spacing w:val="-4"/>
          <w:sz w:val="18"/>
        </w:rPr>
        <w:t> </w:t>
      </w:r>
      <w:r>
        <w:rPr>
          <w:sz w:val="18"/>
        </w:rPr>
        <w:t>of around 5</w:t>
      </w:r>
      <w:r>
        <w:rPr>
          <w:position w:val="6"/>
          <w:sz w:val="9"/>
        </w:rPr>
        <w:t>1</w:t>
      </w:r>
      <w:r>
        <w:rPr>
          <w:sz w:val="18"/>
        </w:rPr>
        <w:t>/</w:t>
      </w:r>
      <w:r>
        <w:rPr>
          <w:sz w:val="9"/>
        </w:rPr>
        <w:t>2</w:t>
      </w:r>
      <w:r>
        <w:rPr>
          <w:sz w:val="18"/>
        </w:rPr>
        <w:t>%, for some</w:t>
      </w:r>
      <w:r>
        <w:rPr>
          <w:spacing w:val="-4"/>
          <w:sz w:val="18"/>
        </w:rPr>
        <w:t> </w:t>
      </w:r>
      <w:r>
        <w:rPr>
          <w:sz w:val="18"/>
        </w:rPr>
        <w:t>time.</w:t>
      </w:r>
    </w:p>
    <w:p>
      <w:pPr>
        <w:pStyle w:val="BodyText"/>
        <w:spacing w:before="2"/>
        <w:rPr>
          <w:sz w:val="16"/>
        </w:rPr>
      </w:pPr>
    </w:p>
    <w:p>
      <w:pPr>
        <w:pStyle w:val="ListParagraph"/>
        <w:numPr>
          <w:ilvl w:val="0"/>
          <w:numId w:val="47"/>
        </w:numPr>
        <w:tabs>
          <w:tab w:pos="645" w:val="left" w:leader="none"/>
          <w:tab w:pos="646" w:val="left" w:leader="none"/>
        </w:tabs>
        <w:spacing w:line="203" w:lineRule="exact" w:before="0" w:after="0"/>
        <w:ind w:left="645" w:right="0" w:hanging="481"/>
        <w:jc w:val="left"/>
        <w:rPr>
          <w:sz w:val="18"/>
        </w:rPr>
      </w:pPr>
      <w:r>
        <w:rPr>
          <w:sz w:val="18"/>
        </w:rPr>
        <w:t>In contrast to the earnings figures, the</w:t>
      </w:r>
      <w:r>
        <w:rPr>
          <w:spacing w:val="-16"/>
          <w:sz w:val="18"/>
        </w:rPr>
        <w:t> </w:t>
      </w:r>
      <w:r>
        <w:rPr>
          <w:sz w:val="18"/>
        </w:rPr>
        <w:t>three-month</w:t>
      </w:r>
    </w:p>
    <w:p>
      <w:pPr>
        <w:pStyle w:val="BodyText"/>
        <w:spacing w:line="232" w:lineRule="auto" w:before="2"/>
        <w:ind w:left="165" w:right="216"/>
      </w:pPr>
      <w:r>
        <w:rPr/>
        <w:t>AEI-weighted series for pay settlements had fallen slightly over the past month, so the latest settlements data could not account for the rise in earnings growth. The two series implied that there had been a further rise in pay drift, which would be consistent with higher bonuses and/or other factors. This measure of drift had been surprisingly strong over the late 1990s relative to measured productivity growth. Companies continued to report that pay increases were warranted by productivity growth and profits, and</w:t>
      </w:r>
    </w:p>
    <w:p>
      <w:pPr>
        <w:spacing w:after="0" w:line="232" w:lineRule="auto"/>
        <w:sectPr>
          <w:type w:val="continuous"/>
          <w:pgSz w:w="11900" w:h="16840"/>
          <w:pgMar w:top="1220" w:bottom="280" w:left="640" w:right="620"/>
          <w:cols w:num="2" w:equalWidth="0">
            <w:col w:w="5099" w:space="281"/>
            <w:col w:w="5260"/>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7"/>
        <w:rPr>
          <w:sz w:val="19"/>
        </w:rPr>
      </w:pPr>
    </w:p>
    <w:p>
      <w:pPr>
        <w:pStyle w:val="BodyText"/>
        <w:spacing w:line="232" w:lineRule="auto" w:before="1"/>
        <w:ind w:left="174" w:right="439"/>
      </w:pPr>
      <w:r>
        <w:rPr/>
        <w:t>that pay deals were often self-financing with unit costs kept in check.</w:t>
      </w:r>
    </w:p>
    <w:p>
      <w:pPr>
        <w:pStyle w:val="BodyText"/>
        <w:spacing w:before="2"/>
        <w:rPr>
          <w:sz w:val="17"/>
        </w:rPr>
      </w:pPr>
    </w:p>
    <w:p>
      <w:pPr>
        <w:pStyle w:val="ListParagraph"/>
        <w:numPr>
          <w:ilvl w:val="0"/>
          <w:numId w:val="47"/>
        </w:numPr>
        <w:tabs>
          <w:tab w:pos="654" w:val="left" w:leader="none"/>
          <w:tab w:pos="655" w:val="left" w:leader="none"/>
        </w:tabs>
        <w:spacing w:line="232" w:lineRule="auto" w:before="1" w:after="0"/>
        <w:ind w:left="174" w:right="38" w:firstLine="0"/>
        <w:jc w:val="left"/>
        <w:rPr>
          <w:sz w:val="18"/>
        </w:rPr>
      </w:pPr>
      <w:r>
        <w:rPr>
          <w:sz w:val="18"/>
        </w:rPr>
        <w:t>There were a number of ways in which to reconcile the apparent contradictions between what individual companies said and what was recorded in the earnings data. First, one possibility continued to be that both aggregate output and productivity were under-recorded. Although this probably had little implication for the output gap as the data for both supply and demand would be affected, there would be lower unit labour costs than currently recorded. However, for this to be significant the under-recording of the level of productivity would have to be increasing through time, which was unproven, but possible in the light of US experience. Second, it was possible that for some companies the falls in input prices over recent years had financed increases in labour costs. In that case, overall costs would rise or drift would fall (to the extent it was profit related) given that input prices were now rising. Another possibility was that a small increase in labour costs in each individual company had only a small effect on its total costs, since labour costs were generally a small fraction of most companies’ total inputs. But this could aggregate to a large increase in costs, once</w:t>
      </w:r>
      <w:r>
        <w:rPr>
          <w:spacing w:val="-6"/>
          <w:sz w:val="18"/>
        </w:rPr>
        <w:t> </w:t>
      </w:r>
      <w:r>
        <w:rPr>
          <w:sz w:val="18"/>
        </w:rPr>
        <w:t>intra-firm</w:t>
      </w:r>
      <w:r>
        <w:rPr>
          <w:spacing w:val="-5"/>
          <w:sz w:val="18"/>
        </w:rPr>
        <w:t> </w:t>
      </w:r>
      <w:r>
        <w:rPr>
          <w:sz w:val="18"/>
        </w:rPr>
        <w:t>transactions</w:t>
      </w:r>
      <w:r>
        <w:rPr>
          <w:spacing w:val="-5"/>
          <w:sz w:val="18"/>
        </w:rPr>
        <w:t> </w:t>
      </w:r>
      <w:r>
        <w:rPr>
          <w:sz w:val="18"/>
        </w:rPr>
        <w:t>were</w:t>
      </w:r>
      <w:r>
        <w:rPr>
          <w:spacing w:val="-5"/>
          <w:sz w:val="18"/>
        </w:rPr>
        <w:t> </w:t>
      </w:r>
      <w:r>
        <w:rPr>
          <w:sz w:val="18"/>
        </w:rPr>
        <w:t>netted</w:t>
      </w:r>
      <w:r>
        <w:rPr>
          <w:spacing w:val="-6"/>
          <w:sz w:val="18"/>
        </w:rPr>
        <w:t> </w:t>
      </w:r>
      <w:r>
        <w:rPr>
          <w:sz w:val="18"/>
        </w:rPr>
        <w:t>out</w:t>
      </w:r>
      <w:r>
        <w:rPr>
          <w:spacing w:val="-5"/>
          <w:sz w:val="18"/>
        </w:rPr>
        <w:t> </w:t>
      </w:r>
      <w:r>
        <w:rPr>
          <w:sz w:val="18"/>
        </w:rPr>
        <w:t>and</w:t>
      </w:r>
      <w:r>
        <w:rPr>
          <w:spacing w:val="-5"/>
          <w:sz w:val="18"/>
        </w:rPr>
        <w:t> </w:t>
      </w:r>
      <w:r>
        <w:rPr>
          <w:sz w:val="18"/>
        </w:rPr>
        <w:t>one</w:t>
      </w:r>
      <w:r>
        <w:rPr>
          <w:spacing w:val="-5"/>
          <w:sz w:val="18"/>
        </w:rPr>
        <w:t> </w:t>
      </w:r>
      <w:r>
        <w:rPr>
          <w:sz w:val="18"/>
        </w:rPr>
        <w:t>looked</w:t>
      </w:r>
      <w:r>
        <w:rPr>
          <w:spacing w:val="-6"/>
          <w:sz w:val="18"/>
        </w:rPr>
        <w:t> </w:t>
      </w:r>
      <w:r>
        <w:rPr>
          <w:sz w:val="18"/>
        </w:rPr>
        <w:t>at</w:t>
      </w:r>
      <w:r>
        <w:rPr>
          <w:spacing w:val="-5"/>
          <w:sz w:val="18"/>
        </w:rPr>
        <w:t> </w:t>
      </w:r>
      <w:r>
        <w:rPr>
          <w:sz w:val="18"/>
        </w:rPr>
        <w:t>value added aggregated across the economy as a</w:t>
      </w:r>
      <w:r>
        <w:rPr>
          <w:spacing w:val="-14"/>
          <w:sz w:val="18"/>
        </w:rPr>
        <w:t> </w:t>
      </w:r>
      <w:r>
        <w:rPr>
          <w:sz w:val="18"/>
        </w:rPr>
        <w:t>whole.</w:t>
      </w:r>
    </w:p>
    <w:p>
      <w:pPr>
        <w:pStyle w:val="BodyText"/>
        <w:spacing w:before="3"/>
        <w:rPr>
          <w:sz w:val="19"/>
        </w:rPr>
      </w:pPr>
    </w:p>
    <w:p>
      <w:pPr>
        <w:pStyle w:val="Heading8"/>
      </w:pPr>
      <w:r>
        <w:rPr>
          <w:color w:val="009391"/>
        </w:rPr>
        <w:t>Prices and costs</w:t>
      </w:r>
    </w:p>
    <w:p>
      <w:pPr>
        <w:pStyle w:val="ListParagraph"/>
        <w:numPr>
          <w:ilvl w:val="0"/>
          <w:numId w:val="47"/>
        </w:numPr>
        <w:tabs>
          <w:tab w:pos="654" w:val="left" w:leader="none"/>
          <w:tab w:pos="655" w:val="left" w:leader="none"/>
        </w:tabs>
        <w:spacing w:line="232" w:lineRule="auto" w:before="110" w:after="0"/>
        <w:ind w:left="174" w:right="237" w:firstLine="0"/>
        <w:jc w:val="left"/>
        <w:rPr>
          <w:sz w:val="18"/>
        </w:rPr>
      </w:pPr>
      <w:r>
        <w:rPr>
          <w:sz w:val="18"/>
        </w:rPr>
        <w:t>The oil price had risen further since the Committee’s previous meeting, and had touched $30 per barrel. It was well above the profile that had been assumed in the February </w:t>
      </w:r>
      <w:r>
        <w:rPr>
          <w:i/>
          <w:sz w:val="18"/>
        </w:rPr>
        <w:t>Inflation </w:t>
      </w:r>
      <w:r>
        <w:rPr>
          <w:i/>
          <w:sz w:val="18"/>
        </w:rPr>
        <w:t>Report </w:t>
      </w:r>
      <w:r>
        <w:rPr>
          <w:sz w:val="18"/>
        </w:rPr>
        <w:t>projections, though it was possible that it could still come down broadly in line with the forecast path. There was general uncertainty ahead of the next OPEC meeting in</w:t>
      </w:r>
      <w:r>
        <w:rPr>
          <w:spacing w:val="-20"/>
          <w:sz w:val="18"/>
        </w:rPr>
        <w:t> </w:t>
      </w:r>
      <w:r>
        <w:rPr>
          <w:sz w:val="18"/>
        </w:rPr>
        <w:t>March.</w:t>
      </w:r>
    </w:p>
    <w:p>
      <w:pPr>
        <w:pStyle w:val="BodyText"/>
        <w:spacing w:before="6"/>
        <w:rPr>
          <w:sz w:val="16"/>
        </w:rPr>
      </w:pPr>
    </w:p>
    <w:p>
      <w:pPr>
        <w:pStyle w:val="ListParagraph"/>
        <w:numPr>
          <w:ilvl w:val="0"/>
          <w:numId w:val="47"/>
        </w:numPr>
        <w:tabs>
          <w:tab w:pos="654" w:val="left" w:leader="none"/>
          <w:tab w:pos="655" w:val="left" w:leader="none"/>
        </w:tabs>
        <w:spacing w:line="203" w:lineRule="exact" w:before="0" w:after="0"/>
        <w:ind w:left="654" w:right="0" w:hanging="481"/>
        <w:jc w:val="left"/>
        <w:rPr>
          <w:sz w:val="18"/>
        </w:rPr>
      </w:pPr>
      <w:r>
        <w:rPr>
          <w:sz w:val="18"/>
        </w:rPr>
        <w:t>Manufacturing</w:t>
      </w:r>
      <w:r>
        <w:rPr>
          <w:spacing w:val="-8"/>
          <w:sz w:val="18"/>
        </w:rPr>
        <w:t> </w:t>
      </w:r>
      <w:r>
        <w:rPr>
          <w:sz w:val="18"/>
        </w:rPr>
        <w:t>input</w:t>
      </w:r>
      <w:r>
        <w:rPr>
          <w:spacing w:val="-8"/>
          <w:sz w:val="18"/>
        </w:rPr>
        <w:t> </w:t>
      </w:r>
      <w:r>
        <w:rPr>
          <w:sz w:val="18"/>
        </w:rPr>
        <w:t>prices</w:t>
      </w:r>
      <w:r>
        <w:rPr>
          <w:spacing w:val="-8"/>
          <w:sz w:val="18"/>
        </w:rPr>
        <w:t> </w:t>
      </w:r>
      <w:r>
        <w:rPr>
          <w:sz w:val="18"/>
        </w:rPr>
        <w:t>were</w:t>
      </w:r>
      <w:r>
        <w:rPr>
          <w:spacing w:val="-8"/>
          <w:sz w:val="18"/>
        </w:rPr>
        <w:t> </w:t>
      </w:r>
      <w:r>
        <w:rPr>
          <w:sz w:val="18"/>
        </w:rPr>
        <w:t>volatile</w:t>
      </w:r>
      <w:r>
        <w:rPr>
          <w:spacing w:val="-8"/>
          <w:sz w:val="18"/>
        </w:rPr>
        <w:t> </w:t>
      </w:r>
      <w:r>
        <w:rPr>
          <w:sz w:val="18"/>
        </w:rPr>
        <w:t>from</w:t>
      </w:r>
    </w:p>
    <w:p>
      <w:pPr>
        <w:pStyle w:val="BodyText"/>
        <w:spacing w:line="232" w:lineRule="auto" w:before="2"/>
        <w:ind w:left="174" w:right="57"/>
      </w:pPr>
      <w:r>
        <w:rPr/>
        <w:t>month-to-month, but seemed to be rising by around 10% at an annual rate. Weighted costs in manufacturing (for example, including labour costs, raw materials and other inputs) now seemed to be rising by around 2</w:t>
      </w:r>
      <w:r>
        <w:rPr>
          <w:position w:val="6"/>
          <w:sz w:val="9"/>
        </w:rPr>
        <w:t>1</w:t>
      </w:r>
      <w:r>
        <w:rPr/>
        <w:t>/</w:t>
      </w:r>
      <w:r>
        <w:rPr>
          <w:sz w:val="9"/>
        </w:rPr>
        <w:t>2</w:t>
      </w:r>
      <w:r>
        <w:rPr/>
        <w:t>% on an annual basis, and at some point might push up output prices unless a further downward squeeze in profit margins occurred. The current downward pressure on margins might also be leading to an increase in the corporate sector’s financial deficit. Forward-looking price indicators of output price pressures—such as the CBI Industrial Trends survey— were still</w:t>
      </w:r>
      <w:r>
        <w:rPr>
          <w:spacing w:val="-3"/>
        </w:rPr>
        <w:t> </w:t>
      </w:r>
      <w:r>
        <w:rPr/>
        <w:t>negative.</w:t>
      </w:r>
    </w:p>
    <w:p>
      <w:pPr>
        <w:pStyle w:val="BodyText"/>
        <w:spacing w:before="8"/>
        <w:rPr>
          <w:sz w:val="16"/>
        </w:rPr>
      </w:pPr>
    </w:p>
    <w:p>
      <w:pPr>
        <w:pStyle w:val="ListParagraph"/>
        <w:numPr>
          <w:ilvl w:val="0"/>
          <w:numId w:val="47"/>
        </w:numPr>
        <w:tabs>
          <w:tab w:pos="654" w:val="left" w:leader="none"/>
          <w:tab w:pos="655" w:val="left" w:leader="none"/>
        </w:tabs>
        <w:spacing w:line="232" w:lineRule="auto" w:before="0" w:after="0"/>
        <w:ind w:left="174" w:right="47" w:firstLine="0"/>
        <w:jc w:val="left"/>
        <w:rPr>
          <w:sz w:val="18"/>
        </w:rPr>
      </w:pPr>
      <w:r>
        <w:rPr>
          <w:sz w:val="18"/>
        </w:rPr>
        <w:t>The fall in RPIX inflation to 2.1% in January was also associated with a further fall in HICP inflation to 0.8%, the lowest since the series began and the lowest among all 15 EU countries. A large part of the widening of the wedge between the two series could be explained by differing treatments of housing and of car prices.</w:t>
      </w:r>
    </w:p>
    <w:p>
      <w:pPr>
        <w:pStyle w:val="BodyText"/>
        <w:spacing w:before="11"/>
        <w:rPr>
          <w:sz w:val="16"/>
        </w:rPr>
      </w:pPr>
    </w:p>
    <w:p>
      <w:pPr>
        <w:pStyle w:val="ListParagraph"/>
        <w:numPr>
          <w:ilvl w:val="0"/>
          <w:numId w:val="47"/>
        </w:numPr>
        <w:tabs>
          <w:tab w:pos="654" w:val="left" w:leader="none"/>
          <w:tab w:pos="655" w:val="left" w:leader="none"/>
        </w:tabs>
        <w:spacing w:line="232" w:lineRule="auto" w:before="0" w:after="0"/>
        <w:ind w:left="174" w:right="147" w:firstLine="0"/>
        <w:jc w:val="left"/>
        <w:rPr>
          <w:sz w:val="18"/>
        </w:rPr>
      </w:pPr>
      <w:r>
        <w:rPr>
          <w:sz w:val="18"/>
        </w:rPr>
        <w:t>The CBI Distributive Trades survey balance of prices had recently recorded its lowest level since the survey question began. However, the latest BRC shop price data showed a slight increase in February. Retail goods price inflation continued to fall and was now zero, and there had been a further increase in the rate of decline in the retail sales deflator in January. It was possible that the strong rise in retail sales volumes in January was related to greater discounting. By contrast, the rate of increase of retail services prices had increased to 4.2% in January from 3.9% in December.</w:t>
      </w:r>
    </w:p>
    <w:p>
      <w:pPr>
        <w:pStyle w:val="BodyText"/>
        <w:spacing w:before="8"/>
        <w:rPr>
          <w:sz w:val="16"/>
        </w:rPr>
      </w:pPr>
    </w:p>
    <w:p>
      <w:pPr>
        <w:pStyle w:val="ListParagraph"/>
        <w:numPr>
          <w:ilvl w:val="0"/>
          <w:numId w:val="47"/>
        </w:numPr>
        <w:tabs>
          <w:tab w:pos="654" w:val="left" w:leader="none"/>
          <w:tab w:pos="655" w:val="left" w:leader="none"/>
        </w:tabs>
        <w:spacing w:line="232" w:lineRule="auto" w:before="0" w:after="0"/>
        <w:ind w:left="174" w:right="108" w:firstLine="0"/>
        <w:jc w:val="left"/>
        <w:rPr>
          <w:sz w:val="18"/>
        </w:rPr>
      </w:pPr>
      <w:r>
        <w:rPr>
          <w:sz w:val="18"/>
        </w:rPr>
        <w:t>There was anecdotal evidence that some companies were able to offset some of the rise in input prices by savings made through the use of e-commerce. The recent developments to promote</w:t>
      </w:r>
      <w:r>
        <w:rPr>
          <w:spacing w:val="-6"/>
          <w:sz w:val="18"/>
        </w:rPr>
        <w:t> </w:t>
      </w:r>
      <w:r>
        <w:rPr>
          <w:sz w:val="18"/>
        </w:rPr>
        <w:t>easier</w:t>
      </w:r>
      <w:r>
        <w:rPr>
          <w:spacing w:val="-6"/>
          <w:sz w:val="18"/>
        </w:rPr>
        <w:t> </w:t>
      </w:r>
      <w:r>
        <w:rPr>
          <w:sz w:val="18"/>
        </w:rPr>
        <w:t>and</w:t>
      </w:r>
      <w:r>
        <w:rPr>
          <w:spacing w:val="-5"/>
          <w:sz w:val="18"/>
        </w:rPr>
        <w:t> </w:t>
      </w:r>
      <w:r>
        <w:rPr>
          <w:sz w:val="18"/>
        </w:rPr>
        <w:t>cheaper</w:t>
      </w:r>
      <w:r>
        <w:rPr>
          <w:spacing w:val="-6"/>
          <w:sz w:val="18"/>
        </w:rPr>
        <w:t> </w:t>
      </w:r>
      <w:r>
        <w:rPr>
          <w:sz w:val="18"/>
        </w:rPr>
        <w:t>household</w:t>
      </w:r>
      <w:r>
        <w:rPr>
          <w:spacing w:val="-6"/>
          <w:sz w:val="18"/>
        </w:rPr>
        <w:t> </w:t>
      </w:r>
      <w:r>
        <w:rPr>
          <w:sz w:val="18"/>
        </w:rPr>
        <w:t>access</w:t>
      </w:r>
      <w:r>
        <w:rPr>
          <w:spacing w:val="-5"/>
          <w:sz w:val="18"/>
        </w:rPr>
        <w:t> </w:t>
      </w:r>
      <w:r>
        <w:rPr>
          <w:sz w:val="18"/>
        </w:rPr>
        <w:t>to</w:t>
      </w:r>
      <w:r>
        <w:rPr>
          <w:spacing w:val="-6"/>
          <w:sz w:val="18"/>
        </w:rPr>
        <w:t> </w:t>
      </w:r>
      <w:r>
        <w:rPr>
          <w:sz w:val="18"/>
        </w:rPr>
        <w:t>the</w:t>
      </w:r>
      <w:r>
        <w:rPr>
          <w:spacing w:val="-6"/>
          <w:sz w:val="18"/>
        </w:rPr>
        <w:t> </w:t>
      </w:r>
      <w:r>
        <w:rPr>
          <w:sz w:val="18"/>
        </w:rPr>
        <w:t>Internet</w:t>
      </w:r>
      <w:r>
        <w:rPr>
          <w:spacing w:val="-5"/>
          <w:sz w:val="18"/>
        </w:rPr>
        <w:t> </w:t>
      </w:r>
      <w:r>
        <w:rPr>
          <w:sz w:val="18"/>
        </w:rPr>
        <w:t>might, in the view of some members, lead to quicker and more significant effects from e-commerce than thought likely a month ago. But it was noted that in the US, where there was already low cost access to the Internet by households, the share of retail sales conducted over the Internet was currently only around</w:t>
      </w:r>
      <w:r>
        <w:rPr>
          <w:spacing w:val="-14"/>
          <w:sz w:val="18"/>
        </w:rPr>
        <w:t> </w:t>
      </w:r>
      <w:r>
        <w:rPr>
          <w:sz w:val="18"/>
        </w:rPr>
        <w:t>0.6%.</w:t>
      </w:r>
    </w:p>
    <w:p>
      <w:pPr>
        <w:pStyle w:val="Heading8"/>
        <w:spacing w:before="212"/>
      </w:pPr>
      <w:r>
        <w:rPr>
          <w:b w:val="0"/>
        </w:rPr>
        <w:br w:type="column"/>
      </w:r>
      <w:r>
        <w:rPr>
          <w:color w:val="009391"/>
        </w:rPr>
        <w:t>The world economy</w:t>
      </w:r>
    </w:p>
    <w:p>
      <w:pPr>
        <w:pStyle w:val="ListParagraph"/>
        <w:numPr>
          <w:ilvl w:val="0"/>
          <w:numId w:val="47"/>
        </w:numPr>
        <w:tabs>
          <w:tab w:pos="654" w:val="left" w:leader="none"/>
          <w:tab w:pos="655" w:val="left" w:leader="none"/>
        </w:tabs>
        <w:spacing w:line="232" w:lineRule="auto" w:before="109" w:after="0"/>
        <w:ind w:left="174" w:right="290" w:firstLine="0"/>
        <w:jc w:val="left"/>
        <w:rPr>
          <w:sz w:val="18"/>
        </w:rPr>
      </w:pPr>
      <w:r>
        <w:rPr>
          <w:sz w:val="18"/>
        </w:rPr>
        <w:t>Prospects for activity in the euro area seemed to be improving, and the latest indicators also pointed to slightly higher inflation. But the picture had not changed significantly over the past month. If activity were to strengthen more quickly that might underpin an appreciation of the euro from its current</w:t>
      </w:r>
      <w:r>
        <w:rPr>
          <w:spacing w:val="-26"/>
          <w:sz w:val="18"/>
        </w:rPr>
        <w:t> </w:t>
      </w:r>
      <w:r>
        <w:rPr>
          <w:sz w:val="18"/>
        </w:rPr>
        <w:t>level.</w:t>
      </w:r>
    </w:p>
    <w:p>
      <w:pPr>
        <w:pStyle w:val="BodyText"/>
        <w:spacing w:before="1"/>
        <w:rPr>
          <w:sz w:val="17"/>
        </w:rPr>
      </w:pPr>
    </w:p>
    <w:p>
      <w:pPr>
        <w:pStyle w:val="ListParagraph"/>
        <w:numPr>
          <w:ilvl w:val="0"/>
          <w:numId w:val="47"/>
        </w:numPr>
        <w:tabs>
          <w:tab w:pos="654" w:val="left" w:leader="none"/>
          <w:tab w:pos="655" w:val="left" w:leader="none"/>
        </w:tabs>
        <w:spacing w:line="232" w:lineRule="auto" w:before="0" w:after="0"/>
        <w:ind w:left="174" w:right="186" w:firstLine="0"/>
        <w:jc w:val="left"/>
        <w:rPr>
          <w:sz w:val="18"/>
        </w:rPr>
      </w:pPr>
      <w:r>
        <w:rPr>
          <w:sz w:val="18"/>
        </w:rPr>
        <w:t>The latest US data had again been surprisingly strong. Chairman Greenspan’s recent Humphrey-Hawkins testimony, together with the latest data, suggested that there was more concern about the balance of demand relative to potential supply. If this signalled either an earlier and/or a larger move in interest rates than previously expected, then it might increase the chances of a gradual slowing of activity growth. But there were no signs that the testimony had changed market expectations of where US interest rates would go, either in the near-term or further out. It was possible</w:t>
      </w:r>
      <w:r>
        <w:rPr>
          <w:spacing w:val="-5"/>
          <w:sz w:val="18"/>
        </w:rPr>
        <w:t> </w:t>
      </w:r>
      <w:r>
        <w:rPr>
          <w:sz w:val="18"/>
        </w:rPr>
        <w:t>that</w:t>
      </w:r>
      <w:r>
        <w:rPr>
          <w:spacing w:val="-5"/>
          <w:sz w:val="18"/>
        </w:rPr>
        <w:t> </w:t>
      </w:r>
      <w:r>
        <w:rPr>
          <w:sz w:val="18"/>
        </w:rPr>
        <w:t>a</w:t>
      </w:r>
      <w:r>
        <w:rPr>
          <w:spacing w:val="-5"/>
          <w:sz w:val="18"/>
        </w:rPr>
        <w:t> </w:t>
      </w:r>
      <w:r>
        <w:rPr>
          <w:sz w:val="18"/>
        </w:rPr>
        <w:t>further</w:t>
      </w:r>
      <w:r>
        <w:rPr>
          <w:spacing w:val="-5"/>
          <w:sz w:val="18"/>
        </w:rPr>
        <w:t> </w:t>
      </w:r>
      <w:r>
        <w:rPr>
          <w:sz w:val="18"/>
        </w:rPr>
        <w:t>month</w:t>
      </w:r>
      <w:r>
        <w:rPr>
          <w:spacing w:val="-5"/>
          <w:sz w:val="18"/>
        </w:rPr>
        <w:t> </w:t>
      </w:r>
      <w:r>
        <w:rPr>
          <w:sz w:val="18"/>
        </w:rPr>
        <w:t>of</w:t>
      </w:r>
      <w:r>
        <w:rPr>
          <w:spacing w:val="-4"/>
          <w:sz w:val="18"/>
        </w:rPr>
        <w:t> </w:t>
      </w:r>
      <w:r>
        <w:rPr>
          <w:sz w:val="18"/>
        </w:rPr>
        <w:t>strong</w:t>
      </w:r>
      <w:r>
        <w:rPr>
          <w:spacing w:val="-5"/>
          <w:sz w:val="18"/>
        </w:rPr>
        <w:t> </w:t>
      </w:r>
      <w:r>
        <w:rPr>
          <w:sz w:val="18"/>
        </w:rPr>
        <w:t>data</w:t>
      </w:r>
      <w:r>
        <w:rPr>
          <w:spacing w:val="-5"/>
          <w:sz w:val="18"/>
        </w:rPr>
        <w:t> </w:t>
      </w:r>
      <w:r>
        <w:rPr>
          <w:sz w:val="18"/>
        </w:rPr>
        <w:t>had</w:t>
      </w:r>
      <w:r>
        <w:rPr>
          <w:spacing w:val="-5"/>
          <w:sz w:val="18"/>
        </w:rPr>
        <w:t> </w:t>
      </w:r>
      <w:r>
        <w:rPr>
          <w:sz w:val="18"/>
        </w:rPr>
        <w:t>heightened</w:t>
      </w:r>
      <w:r>
        <w:rPr>
          <w:spacing w:val="-5"/>
          <w:sz w:val="18"/>
        </w:rPr>
        <w:t> </w:t>
      </w:r>
      <w:r>
        <w:rPr>
          <w:sz w:val="18"/>
        </w:rPr>
        <w:t>the</w:t>
      </w:r>
      <w:r>
        <w:rPr>
          <w:spacing w:val="-4"/>
          <w:sz w:val="18"/>
        </w:rPr>
        <w:t> </w:t>
      </w:r>
      <w:r>
        <w:rPr>
          <w:sz w:val="18"/>
        </w:rPr>
        <w:t>risks of</w:t>
      </w:r>
      <w:r>
        <w:rPr>
          <w:spacing w:val="-5"/>
          <w:sz w:val="18"/>
        </w:rPr>
        <w:t> </w:t>
      </w:r>
      <w:r>
        <w:rPr>
          <w:sz w:val="18"/>
        </w:rPr>
        <w:t>a</w:t>
      </w:r>
      <w:r>
        <w:rPr>
          <w:spacing w:val="-4"/>
          <w:sz w:val="18"/>
        </w:rPr>
        <w:t> </w:t>
      </w:r>
      <w:r>
        <w:rPr>
          <w:sz w:val="18"/>
        </w:rPr>
        <w:t>bigger</w:t>
      </w:r>
      <w:r>
        <w:rPr>
          <w:spacing w:val="-4"/>
          <w:sz w:val="18"/>
        </w:rPr>
        <w:t> </w:t>
      </w:r>
      <w:r>
        <w:rPr>
          <w:sz w:val="18"/>
        </w:rPr>
        <w:t>change</w:t>
      </w:r>
      <w:r>
        <w:rPr>
          <w:spacing w:val="-4"/>
          <w:sz w:val="18"/>
        </w:rPr>
        <w:t> </w:t>
      </w:r>
      <w:r>
        <w:rPr>
          <w:sz w:val="18"/>
        </w:rPr>
        <w:t>in</w:t>
      </w:r>
      <w:r>
        <w:rPr>
          <w:spacing w:val="-4"/>
          <w:sz w:val="18"/>
        </w:rPr>
        <w:t> </w:t>
      </w:r>
      <w:r>
        <w:rPr>
          <w:sz w:val="18"/>
        </w:rPr>
        <w:t>financial</w:t>
      </w:r>
      <w:r>
        <w:rPr>
          <w:spacing w:val="-4"/>
          <w:sz w:val="18"/>
        </w:rPr>
        <w:t> </w:t>
      </w:r>
      <w:r>
        <w:rPr>
          <w:sz w:val="18"/>
        </w:rPr>
        <w:t>market</w:t>
      </w:r>
      <w:r>
        <w:rPr>
          <w:spacing w:val="-4"/>
          <w:sz w:val="18"/>
        </w:rPr>
        <w:t> </w:t>
      </w:r>
      <w:r>
        <w:rPr>
          <w:sz w:val="18"/>
        </w:rPr>
        <w:t>expectations</w:t>
      </w:r>
      <w:r>
        <w:rPr>
          <w:spacing w:val="-4"/>
          <w:sz w:val="18"/>
        </w:rPr>
        <w:t> </w:t>
      </w:r>
      <w:r>
        <w:rPr>
          <w:sz w:val="18"/>
        </w:rPr>
        <w:t>at</w:t>
      </w:r>
      <w:r>
        <w:rPr>
          <w:spacing w:val="-5"/>
          <w:sz w:val="18"/>
        </w:rPr>
        <w:t> </w:t>
      </w:r>
      <w:r>
        <w:rPr>
          <w:sz w:val="18"/>
        </w:rPr>
        <w:t>some</w:t>
      </w:r>
      <w:r>
        <w:rPr>
          <w:spacing w:val="-4"/>
          <w:sz w:val="18"/>
        </w:rPr>
        <w:t> </w:t>
      </w:r>
      <w:r>
        <w:rPr>
          <w:sz w:val="18"/>
        </w:rPr>
        <w:t>point.</w:t>
      </w:r>
    </w:p>
    <w:p>
      <w:pPr>
        <w:pStyle w:val="BodyText"/>
        <w:spacing w:before="10"/>
        <w:rPr>
          <w:sz w:val="19"/>
        </w:rPr>
      </w:pPr>
    </w:p>
    <w:p>
      <w:pPr>
        <w:pStyle w:val="Heading8"/>
      </w:pPr>
      <w:r>
        <w:rPr>
          <w:color w:val="009391"/>
        </w:rPr>
        <w:t>Other forecasts of the UK economy</w:t>
      </w:r>
    </w:p>
    <w:p>
      <w:pPr>
        <w:pStyle w:val="ListParagraph"/>
        <w:numPr>
          <w:ilvl w:val="0"/>
          <w:numId w:val="47"/>
        </w:numPr>
        <w:tabs>
          <w:tab w:pos="654" w:val="left" w:leader="none"/>
          <w:tab w:pos="655" w:val="left" w:leader="none"/>
        </w:tabs>
        <w:spacing w:line="232" w:lineRule="auto" w:before="110" w:after="0"/>
        <w:ind w:left="174" w:right="186" w:firstLine="0"/>
        <w:jc w:val="left"/>
        <w:rPr>
          <w:sz w:val="18"/>
        </w:rPr>
      </w:pPr>
      <w:r>
        <w:rPr>
          <w:sz w:val="18"/>
        </w:rPr>
        <w:t>The Committee briefly considered the differences between the February </w:t>
      </w:r>
      <w:r>
        <w:rPr>
          <w:i/>
          <w:sz w:val="18"/>
        </w:rPr>
        <w:t>Inflation Report </w:t>
      </w:r>
      <w:r>
        <w:rPr>
          <w:sz w:val="18"/>
        </w:rPr>
        <w:t>projections using market interest rates, and a range of recently published outside forecasts. The main differences seemed to be on inventories and on the price/earnings nexus. On inventories, the MPC’s projection assumed a continuing decline in the stock-output ratio. This partly reflected a view that there might be further efficiency gains from the exploitation of information technology. Most other forecasters did not appear to assume a continuation of a downward trend in the stock-output ratio. Differences of view on the cyclical influences on inventories, and the unwinding of any millennium-related adjustments, might account for some of the difference in 2000. There was no simple explanation for the differences that emerged on prices and earnings, which reflected a variety of different judgments. Other forecasts, however, seemed to embody a more benign short term trade-off between growth and inflation. The Committee would return to these</w:t>
      </w:r>
      <w:r>
        <w:rPr>
          <w:spacing w:val="-4"/>
          <w:sz w:val="18"/>
        </w:rPr>
        <w:t> </w:t>
      </w:r>
      <w:r>
        <w:rPr>
          <w:sz w:val="18"/>
        </w:rPr>
        <w:t>issues</w:t>
      </w:r>
      <w:r>
        <w:rPr>
          <w:spacing w:val="-4"/>
          <w:sz w:val="18"/>
        </w:rPr>
        <w:t> </w:t>
      </w:r>
      <w:r>
        <w:rPr>
          <w:sz w:val="18"/>
        </w:rPr>
        <w:t>in</w:t>
      </w:r>
      <w:r>
        <w:rPr>
          <w:spacing w:val="-4"/>
          <w:sz w:val="18"/>
        </w:rPr>
        <w:t> </w:t>
      </w:r>
      <w:r>
        <w:rPr>
          <w:sz w:val="18"/>
        </w:rPr>
        <w:t>the</w:t>
      </w:r>
      <w:r>
        <w:rPr>
          <w:spacing w:val="-3"/>
          <w:sz w:val="18"/>
        </w:rPr>
        <w:t> </w:t>
      </w:r>
      <w:r>
        <w:rPr>
          <w:sz w:val="18"/>
        </w:rPr>
        <w:t>normal</w:t>
      </w:r>
      <w:r>
        <w:rPr>
          <w:spacing w:val="-4"/>
          <w:sz w:val="18"/>
        </w:rPr>
        <w:t> </w:t>
      </w:r>
      <w:r>
        <w:rPr>
          <w:sz w:val="18"/>
        </w:rPr>
        <w:t>course</w:t>
      </w:r>
      <w:r>
        <w:rPr>
          <w:spacing w:val="-4"/>
          <w:sz w:val="18"/>
        </w:rPr>
        <w:t> </w:t>
      </w:r>
      <w:r>
        <w:rPr>
          <w:sz w:val="18"/>
        </w:rPr>
        <w:t>of</w:t>
      </w:r>
      <w:r>
        <w:rPr>
          <w:spacing w:val="-3"/>
          <w:sz w:val="18"/>
        </w:rPr>
        <w:t> </w:t>
      </w:r>
      <w:r>
        <w:rPr>
          <w:sz w:val="18"/>
        </w:rPr>
        <w:t>the</w:t>
      </w:r>
      <w:r>
        <w:rPr>
          <w:spacing w:val="-4"/>
          <w:sz w:val="18"/>
        </w:rPr>
        <w:t> </w:t>
      </w:r>
      <w:r>
        <w:rPr>
          <w:sz w:val="18"/>
        </w:rPr>
        <w:t>quarterly</w:t>
      </w:r>
      <w:r>
        <w:rPr>
          <w:spacing w:val="-4"/>
          <w:sz w:val="18"/>
        </w:rPr>
        <w:t> </w:t>
      </w:r>
      <w:r>
        <w:rPr>
          <w:sz w:val="18"/>
        </w:rPr>
        <w:t>forecast</w:t>
      </w:r>
      <w:r>
        <w:rPr>
          <w:spacing w:val="-4"/>
          <w:sz w:val="18"/>
        </w:rPr>
        <w:t> </w:t>
      </w:r>
      <w:r>
        <w:rPr>
          <w:sz w:val="18"/>
        </w:rPr>
        <w:t>round.</w:t>
      </w:r>
    </w:p>
    <w:p>
      <w:pPr>
        <w:pStyle w:val="BodyText"/>
        <w:spacing w:before="6"/>
        <w:rPr>
          <w:sz w:val="19"/>
        </w:rPr>
      </w:pPr>
    </w:p>
    <w:p>
      <w:pPr>
        <w:pStyle w:val="Heading8"/>
      </w:pPr>
      <w:r>
        <w:rPr>
          <w:color w:val="009391"/>
        </w:rPr>
        <w:t>Other considerations</w:t>
      </w:r>
    </w:p>
    <w:p>
      <w:pPr>
        <w:pStyle w:val="ListParagraph"/>
        <w:numPr>
          <w:ilvl w:val="0"/>
          <w:numId w:val="47"/>
        </w:numPr>
        <w:tabs>
          <w:tab w:pos="654" w:val="left" w:leader="none"/>
          <w:tab w:pos="655" w:val="left" w:leader="none"/>
        </w:tabs>
        <w:spacing w:line="232" w:lineRule="auto" w:before="109" w:after="0"/>
        <w:ind w:left="174" w:right="245" w:firstLine="0"/>
        <w:jc w:val="left"/>
        <w:rPr>
          <w:sz w:val="18"/>
        </w:rPr>
      </w:pPr>
      <w:r>
        <w:rPr>
          <w:sz w:val="18"/>
        </w:rPr>
        <w:t>The</w:t>
      </w:r>
      <w:r>
        <w:rPr>
          <w:spacing w:val="-5"/>
          <w:sz w:val="18"/>
        </w:rPr>
        <w:t> </w:t>
      </w:r>
      <w:r>
        <w:rPr>
          <w:sz w:val="18"/>
        </w:rPr>
        <w:t>Committee</w:t>
      </w:r>
      <w:r>
        <w:rPr>
          <w:spacing w:val="-5"/>
          <w:sz w:val="18"/>
        </w:rPr>
        <w:t> </w:t>
      </w:r>
      <w:r>
        <w:rPr>
          <w:sz w:val="18"/>
        </w:rPr>
        <w:t>concluded</w:t>
      </w:r>
      <w:r>
        <w:rPr>
          <w:spacing w:val="-5"/>
          <w:sz w:val="18"/>
        </w:rPr>
        <w:t> </w:t>
      </w:r>
      <w:r>
        <w:rPr>
          <w:sz w:val="18"/>
        </w:rPr>
        <w:t>that</w:t>
      </w:r>
      <w:r>
        <w:rPr>
          <w:spacing w:val="-5"/>
          <w:sz w:val="18"/>
        </w:rPr>
        <w:t> </w:t>
      </w:r>
      <w:r>
        <w:rPr>
          <w:sz w:val="18"/>
        </w:rPr>
        <w:t>the</w:t>
      </w:r>
      <w:r>
        <w:rPr>
          <w:spacing w:val="-5"/>
          <w:sz w:val="18"/>
        </w:rPr>
        <w:t> </w:t>
      </w:r>
      <w:r>
        <w:rPr>
          <w:sz w:val="18"/>
        </w:rPr>
        <w:t>timing</w:t>
      </w:r>
      <w:r>
        <w:rPr>
          <w:spacing w:val="-5"/>
          <w:sz w:val="18"/>
        </w:rPr>
        <w:t> </w:t>
      </w:r>
      <w:r>
        <w:rPr>
          <w:sz w:val="18"/>
        </w:rPr>
        <w:t>of</w:t>
      </w:r>
      <w:r>
        <w:rPr>
          <w:spacing w:val="-4"/>
          <w:sz w:val="18"/>
        </w:rPr>
        <w:t> </w:t>
      </w:r>
      <w:r>
        <w:rPr>
          <w:sz w:val="18"/>
        </w:rPr>
        <w:t>the</w:t>
      </w:r>
      <w:r>
        <w:rPr>
          <w:spacing w:val="-5"/>
          <w:sz w:val="18"/>
        </w:rPr>
        <w:t> </w:t>
      </w:r>
      <w:r>
        <w:rPr>
          <w:sz w:val="18"/>
        </w:rPr>
        <w:t>Budget</w:t>
      </w:r>
      <w:r>
        <w:rPr>
          <w:spacing w:val="-5"/>
          <w:sz w:val="18"/>
        </w:rPr>
        <w:t> </w:t>
      </w:r>
      <w:r>
        <w:rPr>
          <w:sz w:val="18"/>
        </w:rPr>
        <w:t>was not a constraint on their decision either this month or</w:t>
      </w:r>
      <w:r>
        <w:rPr>
          <w:spacing w:val="-27"/>
          <w:sz w:val="18"/>
        </w:rPr>
        <w:t> </w:t>
      </w:r>
      <w:r>
        <w:rPr>
          <w:sz w:val="18"/>
        </w:rPr>
        <w:t>next.</w:t>
      </w:r>
    </w:p>
    <w:p>
      <w:pPr>
        <w:pStyle w:val="BodyText"/>
        <w:spacing w:before="3"/>
        <w:rPr>
          <w:sz w:val="17"/>
        </w:rPr>
      </w:pPr>
    </w:p>
    <w:p>
      <w:pPr>
        <w:pStyle w:val="ListParagraph"/>
        <w:numPr>
          <w:ilvl w:val="0"/>
          <w:numId w:val="47"/>
        </w:numPr>
        <w:tabs>
          <w:tab w:pos="654" w:val="left" w:leader="none"/>
          <w:tab w:pos="655" w:val="left" w:leader="none"/>
        </w:tabs>
        <w:spacing w:line="232" w:lineRule="auto" w:before="0" w:after="0"/>
        <w:ind w:left="174" w:right="201" w:firstLine="0"/>
        <w:jc w:val="left"/>
        <w:rPr>
          <w:sz w:val="18"/>
        </w:rPr>
      </w:pPr>
      <w:r>
        <w:rPr>
          <w:sz w:val="18"/>
        </w:rPr>
        <w:t>There</w:t>
      </w:r>
      <w:r>
        <w:rPr>
          <w:spacing w:val="-6"/>
          <w:sz w:val="18"/>
        </w:rPr>
        <w:t> </w:t>
      </w:r>
      <w:r>
        <w:rPr>
          <w:sz w:val="18"/>
        </w:rPr>
        <w:t>had</w:t>
      </w:r>
      <w:r>
        <w:rPr>
          <w:spacing w:val="-6"/>
          <w:sz w:val="18"/>
        </w:rPr>
        <w:t> </w:t>
      </w:r>
      <w:r>
        <w:rPr>
          <w:sz w:val="18"/>
        </w:rPr>
        <w:t>been</w:t>
      </w:r>
      <w:r>
        <w:rPr>
          <w:spacing w:val="-5"/>
          <w:sz w:val="18"/>
        </w:rPr>
        <w:t> </w:t>
      </w:r>
      <w:r>
        <w:rPr>
          <w:sz w:val="18"/>
        </w:rPr>
        <w:t>a</w:t>
      </w:r>
      <w:r>
        <w:rPr>
          <w:spacing w:val="-6"/>
          <w:sz w:val="18"/>
        </w:rPr>
        <w:t> </w:t>
      </w:r>
      <w:r>
        <w:rPr>
          <w:sz w:val="18"/>
        </w:rPr>
        <w:t>widespread</w:t>
      </w:r>
      <w:r>
        <w:rPr>
          <w:spacing w:val="-5"/>
          <w:sz w:val="18"/>
        </w:rPr>
        <w:t> </w:t>
      </w:r>
      <w:r>
        <w:rPr>
          <w:sz w:val="18"/>
        </w:rPr>
        <w:t>expectation</w:t>
      </w:r>
      <w:r>
        <w:rPr>
          <w:spacing w:val="-6"/>
          <w:sz w:val="18"/>
        </w:rPr>
        <w:t> </w:t>
      </w:r>
      <w:r>
        <w:rPr>
          <w:sz w:val="18"/>
        </w:rPr>
        <w:t>that</w:t>
      </w:r>
      <w:r>
        <w:rPr>
          <w:spacing w:val="-6"/>
          <w:sz w:val="18"/>
        </w:rPr>
        <w:t> </w:t>
      </w:r>
      <w:r>
        <w:rPr>
          <w:sz w:val="18"/>
        </w:rPr>
        <w:t>the</w:t>
      </w:r>
      <w:r>
        <w:rPr>
          <w:spacing w:val="-5"/>
          <w:sz w:val="18"/>
        </w:rPr>
        <w:t> </w:t>
      </w:r>
      <w:r>
        <w:rPr>
          <w:sz w:val="18"/>
        </w:rPr>
        <w:t>Committee would not change interest rates this month, although a further rise was still expected by the summer. The Committee agreed that a change in interest rates this month would come as a surprise to the market and would need to be explained carefully. That of itself should not be a constraint on individual members’ decisions, but the Committee would need to take into account the prospective effects of any surprise to the</w:t>
      </w:r>
      <w:r>
        <w:rPr>
          <w:spacing w:val="-9"/>
          <w:sz w:val="18"/>
        </w:rPr>
        <w:t> </w:t>
      </w:r>
      <w:r>
        <w:rPr>
          <w:sz w:val="18"/>
        </w:rPr>
        <w:t>markets.</w:t>
      </w:r>
    </w:p>
    <w:p>
      <w:pPr>
        <w:pStyle w:val="BodyText"/>
        <w:spacing w:before="1"/>
        <w:rPr>
          <w:sz w:val="20"/>
        </w:rPr>
      </w:pPr>
    </w:p>
    <w:p>
      <w:pPr>
        <w:pStyle w:val="Heading8"/>
        <w:spacing w:before="1"/>
      </w:pPr>
      <w:r>
        <w:rPr>
          <w:color w:val="009391"/>
        </w:rPr>
        <w:t>The immediate policy decision</w:t>
      </w:r>
    </w:p>
    <w:p>
      <w:pPr>
        <w:pStyle w:val="ListParagraph"/>
        <w:numPr>
          <w:ilvl w:val="0"/>
          <w:numId w:val="47"/>
        </w:numPr>
        <w:tabs>
          <w:tab w:pos="654" w:val="left" w:leader="none"/>
          <w:tab w:pos="655" w:val="left" w:leader="none"/>
        </w:tabs>
        <w:spacing w:line="232" w:lineRule="auto" w:before="109" w:after="0"/>
        <w:ind w:left="174" w:right="175" w:firstLine="0"/>
        <w:jc w:val="left"/>
        <w:rPr>
          <w:sz w:val="18"/>
        </w:rPr>
      </w:pPr>
      <w:r>
        <w:rPr>
          <w:sz w:val="18"/>
        </w:rPr>
        <w:t>A variety of factors were identified which pointed to higher prospective inflation than a month ago, and to which members attached varying weights. First, the underlying pace of demand growth over recent quarters might be even stronger than initially thought, partly because it was against a backdrop of a tighter fiscal position than previously expected for 1999/00.  Retail sales volumes in January had also been much stronger than expected and, taken together with some other demand indicators, supported the view that fast demand growth had continued into the first quarter of 2000. In addition, the Committee’s projection for domestic demand was below the average of outside forecasts for 2000, albeit largely on account of a highly uncertain contribution from inventories. Second, the latest data implied a higher starting point for earnings growth than thought at the time of the </w:t>
      </w:r>
      <w:r>
        <w:rPr>
          <w:i/>
          <w:sz w:val="18"/>
        </w:rPr>
        <w:t>Inflation Report</w:t>
      </w:r>
      <w:r>
        <w:rPr>
          <w:sz w:val="18"/>
        </w:rPr>
        <w:t>. Third, the oil price had risen further and would, unless it reversed, put further upward pressure on world and domestic prices. In addition,</w:t>
      </w:r>
      <w:r>
        <w:rPr>
          <w:spacing w:val="6"/>
          <w:sz w:val="18"/>
        </w:rPr>
        <w:t> </w:t>
      </w:r>
      <w:r>
        <w:rPr>
          <w:sz w:val="18"/>
        </w:rPr>
        <w:t>there</w:t>
      </w:r>
    </w:p>
    <w:p>
      <w:pPr>
        <w:spacing w:after="0" w:line="232" w:lineRule="auto"/>
        <w:jc w:val="left"/>
        <w:rPr>
          <w:sz w:val="18"/>
        </w:rPr>
        <w:sectPr>
          <w:type w:val="continuous"/>
          <w:pgSz w:w="11900" w:h="16840"/>
          <w:pgMar w:top="1220" w:bottom="280" w:left="640" w:right="620"/>
          <w:cols w:num="2" w:equalWidth="0">
            <w:col w:w="5112" w:space="273"/>
            <w:col w:w="5255"/>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4"/>
        <w:rPr>
          <w:sz w:val="21"/>
        </w:rPr>
      </w:pPr>
    </w:p>
    <w:p>
      <w:pPr>
        <w:pStyle w:val="BodyText"/>
        <w:spacing w:line="232" w:lineRule="auto" w:before="1"/>
        <w:ind w:left="140" w:right="82"/>
      </w:pPr>
      <w:r>
        <w:rPr/>
        <w:t>were significant imbalances in the economy, and these might have implications for aggregate demand and inflation. On net trade, the trend was probably somewhere between the strong Q2/Q3 figures and the weaker Q4 data. Nonetheless, the balance between domestic demand and net trade looked at least as worrying as a month ago. The further deterioration in net trade should at some stage come to an end. But given the upward revisions over the past month to data for consumption and investment in the middle of last year, more might now need to be done to slow the pace of domestic demand growth. A change in asset prices might bring about</w:t>
      </w:r>
      <w:r>
        <w:rPr>
          <w:spacing w:val="-30"/>
        </w:rPr>
        <w:t> </w:t>
      </w:r>
      <w:r>
        <w:rPr/>
        <w:t>a</w:t>
      </w:r>
    </w:p>
    <w:p>
      <w:pPr>
        <w:pStyle w:val="BodyText"/>
        <w:spacing w:line="232" w:lineRule="auto"/>
        <w:ind w:left="140" w:right="59"/>
      </w:pPr>
      <w:r>
        <w:rPr/>
        <w:t>re-balancing of the economy. For example, at some point the exchange rate might depreciate, or there could be a fall in the stock market or slower house price inflation. Unless these adjustments occurred, it might be difficult to re-balance the economy.  But it was uncertain whether these adjustments would occur smoothly. In the</w:t>
      </w:r>
      <w:r>
        <w:rPr>
          <w:spacing w:val="-5"/>
        </w:rPr>
        <w:t> </w:t>
      </w:r>
      <w:r>
        <w:rPr/>
        <w:t>view</w:t>
      </w:r>
      <w:r>
        <w:rPr>
          <w:spacing w:val="-4"/>
        </w:rPr>
        <w:t> </w:t>
      </w:r>
      <w:r>
        <w:rPr/>
        <w:t>of</w:t>
      </w:r>
      <w:r>
        <w:rPr>
          <w:spacing w:val="-4"/>
        </w:rPr>
        <w:t> </w:t>
      </w:r>
      <w:r>
        <w:rPr/>
        <w:t>some</w:t>
      </w:r>
      <w:r>
        <w:rPr>
          <w:spacing w:val="-5"/>
        </w:rPr>
        <w:t> </w:t>
      </w:r>
      <w:r>
        <w:rPr/>
        <w:t>members,</w:t>
      </w:r>
      <w:r>
        <w:rPr>
          <w:spacing w:val="-4"/>
        </w:rPr>
        <w:t> </w:t>
      </w:r>
      <w:r>
        <w:rPr/>
        <w:t>that</w:t>
      </w:r>
      <w:r>
        <w:rPr>
          <w:spacing w:val="-4"/>
        </w:rPr>
        <w:t> </w:t>
      </w:r>
      <w:r>
        <w:rPr/>
        <w:t>pointed</w:t>
      </w:r>
      <w:r>
        <w:rPr>
          <w:spacing w:val="-5"/>
        </w:rPr>
        <w:t> </w:t>
      </w:r>
      <w:r>
        <w:rPr/>
        <w:t>to</w:t>
      </w:r>
      <w:r>
        <w:rPr>
          <w:spacing w:val="-4"/>
        </w:rPr>
        <w:t> </w:t>
      </w:r>
      <w:r>
        <w:rPr/>
        <w:t>a</w:t>
      </w:r>
      <w:r>
        <w:rPr>
          <w:spacing w:val="-4"/>
        </w:rPr>
        <w:t> </w:t>
      </w:r>
      <w:r>
        <w:rPr/>
        <w:t>greater</w:t>
      </w:r>
      <w:r>
        <w:rPr>
          <w:spacing w:val="-5"/>
        </w:rPr>
        <w:t> </w:t>
      </w:r>
      <w:r>
        <w:rPr/>
        <w:t>need</w:t>
      </w:r>
      <w:r>
        <w:rPr>
          <w:spacing w:val="-4"/>
        </w:rPr>
        <w:t> </w:t>
      </w:r>
      <w:r>
        <w:rPr/>
        <w:t>to</w:t>
      </w:r>
      <w:r>
        <w:rPr>
          <w:spacing w:val="-4"/>
        </w:rPr>
        <w:t> </w:t>
      </w:r>
      <w:r>
        <w:rPr/>
        <w:t>restrain domestic demand growth</w:t>
      </w:r>
      <w:r>
        <w:rPr>
          <w:spacing w:val="-4"/>
        </w:rPr>
        <w:t> </w:t>
      </w:r>
      <w:r>
        <w:rPr/>
        <w:t>now.</w:t>
      </w:r>
    </w:p>
    <w:p>
      <w:pPr>
        <w:pStyle w:val="BodyText"/>
        <w:spacing w:before="2"/>
        <w:rPr>
          <w:sz w:val="16"/>
        </w:rPr>
      </w:pPr>
    </w:p>
    <w:p>
      <w:pPr>
        <w:pStyle w:val="ListParagraph"/>
        <w:numPr>
          <w:ilvl w:val="0"/>
          <w:numId w:val="47"/>
        </w:numPr>
        <w:tabs>
          <w:tab w:pos="619" w:val="left" w:leader="none"/>
          <w:tab w:pos="620" w:val="left" w:leader="none"/>
        </w:tabs>
        <w:spacing w:line="232" w:lineRule="auto" w:before="0" w:after="0"/>
        <w:ind w:left="140" w:right="38" w:firstLine="0"/>
        <w:jc w:val="left"/>
        <w:rPr>
          <w:sz w:val="18"/>
        </w:rPr>
      </w:pPr>
      <w:r>
        <w:rPr>
          <w:sz w:val="18"/>
        </w:rPr>
        <w:t>For those members who attached significant weight to these factors, and especially for those whose February central projections for inflation were above target beyond the short-term, there was a case for a further rise in interest rates of 25 basis points. However, there were also reasons for waiting.  First, it was possible that after a month some of the fog surrounding some recent data might have cleared. For example, there were tentative signs in some of the housing activity indicators that the market might be turning, although some of the recent weakening might be due to millennium effects. But, given the possibility of stronger bonus-affected earnings</w:t>
      </w:r>
      <w:r>
        <w:rPr>
          <w:spacing w:val="-5"/>
          <w:sz w:val="18"/>
        </w:rPr>
        <w:t> </w:t>
      </w:r>
      <w:r>
        <w:rPr>
          <w:sz w:val="18"/>
        </w:rPr>
        <w:t>data</w:t>
      </w:r>
      <w:r>
        <w:rPr>
          <w:spacing w:val="-4"/>
          <w:sz w:val="18"/>
        </w:rPr>
        <w:t> </w:t>
      </w:r>
      <w:r>
        <w:rPr>
          <w:sz w:val="18"/>
        </w:rPr>
        <w:t>over</w:t>
      </w:r>
      <w:r>
        <w:rPr>
          <w:spacing w:val="-5"/>
          <w:sz w:val="18"/>
        </w:rPr>
        <w:t> </w:t>
      </w:r>
      <w:r>
        <w:rPr>
          <w:sz w:val="18"/>
        </w:rPr>
        <w:t>the</w:t>
      </w:r>
      <w:r>
        <w:rPr>
          <w:spacing w:val="-4"/>
          <w:sz w:val="18"/>
        </w:rPr>
        <w:t> </w:t>
      </w:r>
      <w:r>
        <w:rPr>
          <w:sz w:val="18"/>
        </w:rPr>
        <w:t>next</w:t>
      </w:r>
      <w:r>
        <w:rPr>
          <w:spacing w:val="-4"/>
          <w:sz w:val="18"/>
        </w:rPr>
        <w:t> </w:t>
      </w:r>
      <w:r>
        <w:rPr>
          <w:sz w:val="18"/>
        </w:rPr>
        <w:t>few</w:t>
      </w:r>
      <w:r>
        <w:rPr>
          <w:spacing w:val="-5"/>
          <w:sz w:val="18"/>
        </w:rPr>
        <w:t> </w:t>
      </w:r>
      <w:r>
        <w:rPr>
          <w:sz w:val="18"/>
        </w:rPr>
        <w:t>months,</w:t>
      </w:r>
      <w:r>
        <w:rPr>
          <w:spacing w:val="-4"/>
          <w:sz w:val="18"/>
        </w:rPr>
        <w:t> </w:t>
      </w:r>
      <w:r>
        <w:rPr>
          <w:sz w:val="18"/>
        </w:rPr>
        <w:t>it</w:t>
      </w:r>
      <w:r>
        <w:rPr>
          <w:spacing w:val="-4"/>
          <w:sz w:val="18"/>
        </w:rPr>
        <w:t> </w:t>
      </w:r>
      <w:r>
        <w:rPr>
          <w:sz w:val="18"/>
        </w:rPr>
        <w:t>was</w:t>
      </w:r>
      <w:r>
        <w:rPr>
          <w:spacing w:val="-5"/>
          <w:sz w:val="18"/>
        </w:rPr>
        <w:t> </w:t>
      </w:r>
      <w:r>
        <w:rPr>
          <w:sz w:val="18"/>
        </w:rPr>
        <w:t>not</w:t>
      </w:r>
      <w:r>
        <w:rPr>
          <w:spacing w:val="-4"/>
          <w:sz w:val="18"/>
        </w:rPr>
        <w:t> </w:t>
      </w:r>
      <w:r>
        <w:rPr>
          <w:sz w:val="18"/>
        </w:rPr>
        <w:t>clear</w:t>
      </w:r>
      <w:r>
        <w:rPr>
          <w:spacing w:val="-5"/>
          <w:sz w:val="18"/>
        </w:rPr>
        <w:t> </w:t>
      </w:r>
      <w:r>
        <w:rPr>
          <w:sz w:val="18"/>
        </w:rPr>
        <w:t>that</w:t>
      </w:r>
      <w:r>
        <w:rPr>
          <w:spacing w:val="-4"/>
          <w:sz w:val="18"/>
        </w:rPr>
        <w:t> </w:t>
      </w:r>
      <w:r>
        <w:rPr>
          <w:sz w:val="18"/>
        </w:rPr>
        <w:t>waiting would help to clarify the picture on nominal earnings growth. Second, it was not possible to do a full analysis of the Budget yet, so it might be prudent to wait before drawing a firm conclusion on the implications for inflation. Third, a rise in interest rates this month would come as a surprise to the markets. The market expectation was that interest rates would not move this month, but would still rise by the summer. It was possible that an increase in rates now might be seen as implying a lower path for interest rates in the future. But a rise in interest rates risked pushing up the market’s interest rate expectations and hence sterling—which would exacerbate the imbalances in the economy and push inflation further below target in the short run. Overall, the considerations for these members were very finely balanced between raising interest rates by 25 basis points this month and waiting to see more data and analysis. For these members, it was best to keep interest rates unchanged this month.</w:t>
      </w:r>
    </w:p>
    <w:p>
      <w:pPr>
        <w:pStyle w:val="ListParagraph"/>
        <w:numPr>
          <w:ilvl w:val="0"/>
          <w:numId w:val="47"/>
        </w:numPr>
        <w:tabs>
          <w:tab w:pos="619" w:val="left" w:leader="none"/>
          <w:tab w:pos="620" w:val="left" w:leader="none"/>
        </w:tabs>
        <w:spacing w:line="232" w:lineRule="auto" w:before="180" w:after="0"/>
        <w:ind w:left="140" w:right="82" w:firstLine="0"/>
        <w:jc w:val="left"/>
        <w:rPr>
          <w:sz w:val="18"/>
        </w:rPr>
      </w:pPr>
      <w:r>
        <w:rPr>
          <w:sz w:val="18"/>
        </w:rPr>
        <w:t>For other members, the recent economic data did not suggest the need to change interest rates this month. Despite</w:t>
      </w:r>
      <w:r>
        <w:rPr>
          <w:spacing w:val="-33"/>
          <w:sz w:val="18"/>
        </w:rPr>
        <w:t> </w:t>
      </w:r>
      <w:r>
        <w:rPr>
          <w:sz w:val="18"/>
        </w:rPr>
        <w:t>attaching</w:t>
      </w:r>
    </w:p>
    <w:p>
      <w:pPr>
        <w:pStyle w:val="BodyText"/>
        <w:spacing w:before="4"/>
        <w:rPr>
          <w:sz w:val="21"/>
        </w:rPr>
      </w:pPr>
      <w:r>
        <w:rPr/>
        <w:br w:type="column"/>
      </w:r>
      <w:r>
        <w:rPr>
          <w:sz w:val="21"/>
        </w:rPr>
      </w:r>
    </w:p>
    <w:p>
      <w:pPr>
        <w:pStyle w:val="BodyText"/>
        <w:spacing w:line="232" w:lineRule="auto" w:before="1"/>
        <w:ind w:left="140" w:right="251"/>
      </w:pPr>
      <w:r>
        <w:rPr/>
        <w:t>some weight to the stronger economic data discussed above, there were data that pointed the other way. Again, different members placed different weights on these various factors. First, although the mix of stronger domestic demand and weaker net trade looked less benign than a month ago, there were no clear implications for aggregate demand and inflation as these factors were offsetting. Second, the batch of monthly indicators was mixed, and overall it was possible to view them as being mildly weaker rather than mildly stronger for demand and output. For example, some members attached greater weight to the recent weaker industrial production data and the manufacturing CIPS survey, which on this view were consistent with slowing output growth in line with the February central projection. Third, the Budget suggested a tighter fiscal stance than previously anticipated by households and companies. Fourth, there were downside risks to inflation, most notably of a sharp reversal in the recent rise in oil prices or a fall in the US stock market. Fifth, it made sense to wait and try to collect more information on the type and nature of bonuses that were helping to push up average earnings growth. Also, further analysis of the possible differential effects of settlements and drift on</w:t>
      </w:r>
    </w:p>
    <w:p>
      <w:pPr>
        <w:pStyle w:val="BodyText"/>
        <w:spacing w:line="183" w:lineRule="exact"/>
        <w:ind w:left="140"/>
      </w:pPr>
      <w:r>
        <w:rPr/>
        <w:t>prices and consumption was needed. Sixth, a rate rise now, by</w:t>
      </w:r>
    </w:p>
    <w:p>
      <w:pPr>
        <w:pStyle w:val="BodyText"/>
        <w:spacing w:line="232" w:lineRule="auto" w:before="1"/>
        <w:ind w:left="140" w:right="251"/>
      </w:pPr>
      <w:r>
        <w:rPr/>
        <w:t>driving the pound even higher, would aggravate the external imbalance and might increase the probability of a sudden fall in sterling that might thereby jeopardise the inflation target. Seventh, given that interest rates had increased by 100 basis points in four steps over the past six months, it was sensible to wait and see how the economy reacted, particularly, given the short-term profile for inflation.</w:t>
      </w:r>
    </w:p>
    <w:p>
      <w:pPr>
        <w:pStyle w:val="BodyText"/>
        <w:spacing w:before="10"/>
        <w:rPr>
          <w:sz w:val="16"/>
        </w:rPr>
      </w:pPr>
    </w:p>
    <w:p>
      <w:pPr>
        <w:pStyle w:val="ListParagraph"/>
        <w:numPr>
          <w:ilvl w:val="0"/>
          <w:numId w:val="47"/>
        </w:numPr>
        <w:tabs>
          <w:tab w:pos="619" w:val="left" w:leader="none"/>
          <w:tab w:pos="620" w:val="left" w:leader="none"/>
        </w:tabs>
        <w:spacing w:line="232" w:lineRule="auto" w:before="1" w:after="0"/>
        <w:ind w:left="140" w:right="385" w:firstLine="0"/>
        <w:jc w:val="left"/>
        <w:rPr>
          <w:sz w:val="18"/>
        </w:rPr>
      </w:pPr>
      <w:r>
        <w:rPr>
          <w:sz w:val="18"/>
        </w:rPr>
        <w:t>The Governor invited the members of the Committee to vote</w:t>
      </w:r>
      <w:r>
        <w:rPr>
          <w:spacing w:val="-5"/>
          <w:sz w:val="18"/>
        </w:rPr>
        <w:t> </w:t>
      </w:r>
      <w:r>
        <w:rPr>
          <w:sz w:val="18"/>
        </w:rPr>
        <w:t>on</w:t>
      </w:r>
      <w:r>
        <w:rPr>
          <w:spacing w:val="-5"/>
          <w:sz w:val="18"/>
        </w:rPr>
        <w:t> </w:t>
      </w:r>
      <w:r>
        <w:rPr>
          <w:sz w:val="18"/>
        </w:rPr>
        <w:t>the</w:t>
      </w:r>
      <w:r>
        <w:rPr>
          <w:spacing w:val="-4"/>
          <w:sz w:val="18"/>
        </w:rPr>
        <w:t> </w:t>
      </w:r>
      <w:r>
        <w:rPr>
          <w:sz w:val="18"/>
        </w:rPr>
        <w:t>proposition</w:t>
      </w:r>
      <w:r>
        <w:rPr>
          <w:spacing w:val="-5"/>
          <w:sz w:val="18"/>
        </w:rPr>
        <w:t> </w:t>
      </w:r>
      <w:r>
        <w:rPr>
          <w:sz w:val="18"/>
        </w:rPr>
        <w:t>that</w:t>
      </w:r>
      <w:r>
        <w:rPr>
          <w:spacing w:val="-4"/>
          <w:sz w:val="18"/>
        </w:rPr>
        <w:t> </w:t>
      </w:r>
      <w:r>
        <w:rPr>
          <w:sz w:val="18"/>
        </w:rPr>
        <w:t>the</w:t>
      </w:r>
      <w:r>
        <w:rPr>
          <w:spacing w:val="-5"/>
          <w:sz w:val="18"/>
        </w:rPr>
        <w:t> </w:t>
      </w:r>
      <w:r>
        <w:rPr>
          <w:sz w:val="18"/>
        </w:rPr>
        <w:t>Bank’s</w:t>
      </w:r>
      <w:r>
        <w:rPr>
          <w:spacing w:val="-5"/>
          <w:sz w:val="18"/>
        </w:rPr>
        <w:t> </w:t>
      </w:r>
      <w:r>
        <w:rPr>
          <w:sz w:val="18"/>
        </w:rPr>
        <w:t>repo</w:t>
      </w:r>
      <w:r>
        <w:rPr>
          <w:spacing w:val="-4"/>
          <w:sz w:val="18"/>
        </w:rPr>
        <w:t> </w:t>
      </w:r>
      <w:r>
        <w:rPr>
          <w:sz w:val="18"/>
        </w:rPr>
        <w:t>rate</w:t>
      </w:r>
      <w:r>
        <w:rPr>
          <w:spacing w:val="-5"/>
          <w:sz w:val="18"/>
        </w:rPr>
        <w:t> </w:t>
      </w:r>
      <w:r>
        <w:rPr>
          <w:sz w:val="18"/>
        </w:rPr>
        <w:t>be</w:t>
      </w:r>
      <w:r>
        <w:rPr>
          <w:spacing w:val="-4"/>
          <w:sz w:val="18"/>
        </w:rPr>
        <w:t> </w:t>
      </w:r>
      <w:r>
        <w:rPr>
          <w:sz w:val="18"/>
        </w:rPr>
        <w:t>maintained</w:t>
      </w:r>
      <w:r>
        <w:rPr>
          <w:spacing w:val="-5"/>
          <w:sz w:val="18"/>
        </w:rPr>
        <w:t> </w:t>
      </w:r>
      <w:r>
        <w:rPr>
          <w:sz w:val="18"/>
        </w:rPr>
        <w:t>at 6.0%. The Committee voted unanimously in favour of the proposition.</w:t>
      </w:r>
    </w:p>
    <w:p>
      <w:pPr>
        <w:pStyle w:val="ListParagraph"/>
        <w:numPr>
          <w:ilvl w:val="0"/>
          <w:numId w:val="47"/>
        </w:numPr>
        <w:tabs>
          <w:tab w:pos="619" w:val="left" w:leader="none"/>
          <w:tab w:pos="620" w:val="left" w:leader="none"/>
        </w:tabs>
        <w:spacing w:line="400" w:lineRule="exact" w:before="40" w:after="0"/>
        <w:ind w:left="140" w:right="575" w:firstLine="0"/>
        <w:jc w:val="left"/>
        <w:rPr>
          <w:sz w:val="18"/>
        </w:rPr>
      </w:pPr>
      <w:r>
        <w:rPr>
          <w:sz w:val="18"/>
        </w:rPr>
        <w:t>The following members of the Committee were present: Eddie George,</w:t>
      </w:r>
      <w:r>
        <w:rPr>
          <w:spacing w:val="-3"/>
          <w:sz w:val="18"/>
        </w:rPr>
        <w:t> </w:t>
      </w:r>
      <w:r>
        <w:rPr>
          <w:sz w:val="18"/>
        </w:rPr>
        <w:t>Governor</w:t>
      </w:r>
    </w:p>
    <w:p>
      <w:pPr>
        <w:pStyle w:val="BodyText"/>
        <w:spacing w:line="155" w:lineRule="exact"/>
        <w:ind w:left="140"/>
      </w:pPr>
      <w:r>
        <w:rPr/>
        <w:t>Mervyn King, Deputy Governor responsible for monetary policy</w:t>
      </w:r>
    </w:p>
    <w:p>
      <w:pPr>
        <w:pStyle w:val="BodyText"/>
        <w:spacing w:line="232" w:lineRule="auto" w:before="1"/>
        <w:ind w:left="140" w:right="161"/>
      </w:pPr>
      <w:r>
        <w:rPr/>
        <w:t>David Clementi, Deputy Governor responsible for financial stability Willem Buiter</w:t>
      </w:r>
    </w:p>
    <w:p>
      <w:pPr>
        <w:pStyle w:val="BodyText"/>
        <w:spacing w:line="232" w:lineRule="auto"/>
        <w:ind w:left="140" w:right="3805"/>
      </w:pPr>
      <w:r>
        <w:rPr/>
        <w:t>Charles Goodhart DeAnne Julius Ian Plenderleith John Vickers Sushil Wadhwani</w:t>
      </w:r>
    </w:p>
    <w:p>
      <w:pPr>
        <w:pStyle w:val="BodyText"/>
        <w:spacing w:before="11"/>
        <w:rPr>
          <w:sz w:val="16"/>
        </w:rPr>
      </w:pPr>
    </w:p>
    <w:p>
      <w:pPr>
        <w:pStyle w:val="ListParagraph"/>
        <w:numPr>
          <w:ilvl w:val="0"/>
          <w:numId w:val="47"/>
        </w:numPr>
        <w:tabs>
          <w:tab w:pos="619" w:val="left" w:leader="none"/>
          <w:tab w:pos="620" w:val="left" w:leader="none"/>
        </w:tabs>
        <w:spacing w:line="232" w:lineRule="auto" w:before="0" w:after="0"/>
        <w:ind w:left="140" w:right="1144" w:firstLine="0"/>
        <w:jc w:val="left"/>
        <w:rPr>
          <w:sz w:val="18"/>
        </w:rPr>
      </w:pPr>
      <w:r>
        <w:rPr>
          <w:sz w:val="18"/>
        </w:rPr>
        <w:t>Gus O’Donnell was also present as the Treasury representative.</w:t>
      </w:r>
    </w:p>
    <w:p>
      <w:pPr>
        <w:spacing w:after="0" w:line="232" w:lineRule="auto"/>
        <w:jc w:val="left"/>
        <w:rPr>
          <w:sz w:val="18"/>
        </w:rPr>
        <w:sectPr>
          <w:type w:val="continuous"/>
          <w:pgSz w:w="11900" w:h="16840"/>
          <w:pgMar w:top="1220" w:bottom="280" w:left="640" w:right="620"/>
          <w:cols w:num="2" w:equalWidth="0">
            <w:col w:w="5093" w:space="307"/>
            <w:col w:w="5240"/>
          </w:cols>
        </w:sectPr>
      </w:pPr>
    </w:p>
    <w:p>
      <w:pPr>
        <w:pStyle w:val="BodyText"/>
        <w:rPr>
          <w:sz w:val="20"/>
        </w:rPr>
      </w:pPr>
    </w:p>
    <w:p>
      <w:pPr>
        <w:pStyle w:val="BodyText"/>
        <w:rPr>
          <w:sz w:val="20"/>
        </w:rPr>
      </w:pPr>
    </w:p>
    <w:p>
      <w:pPr>
        <w:pStyle w:val="BodyText"/>
        <w:spacing w:before="1"/>
        <w:rPr>
          <w:sz w:val="16"/>
        </w:rPr>
      </w:pPr>
    </w:p>
    <w:p>
      <w:pPr>
        <w:pStyle w:val="Heading2"/>
        <w:ind w:left="179"/>
      </w:pPr>
      <w:r>
        <w:rPr>
          <w:color w:val="009391"/>
        </w:rPr>
        <w:t>Annex: Summary of data presented by Bank staff</w:t>
      </w:r>
    </w:p>
    <w:p>
      <w:pPr>
        <w:pStyle w:val="BodyText"/>
        <w:spacing w:before="9"/>
        <w:rPr>
          <w:b/>
          <w:sz w:val="27"/>
        </w:rPr>
      </w:pPr>
    </w:p>
    <w:p>
      <w:pPr>
        <w:spacing w:after="0"/>
        <w:rPr>
          <w:sz w:val="27"/>
        </w:rPr>
        <w:sectPr>
          <w:pgSz w:w="11900" w:h="16840"/>
          <w:pgMar w:header="566" w:footer="597" w:top="760" w:bottom="780" w:left="640" w:right="620"/>
        </w:sectPr>
      </w:pPr>
    </w:p>
    <w:p>
      <w:pPr>
        <w:pStyle w:val="ListParagraph"/>
        <w:numPr>
          <w:ilvl w:val="0"/>
          <w:numId w:val="48"/>
        </w:numPr>
        <w:tabs>
          <w:tab w:pos="654" w:val="left" w:leader="none"/>
          <w:tab w:pos="655" w:val="left" w:leader="none"/>
        </w:tabs>
        <w:spacing w:line="232" w:lineRule="auto" w:before="98" w:after="0"/>
        <w:ind w:left="174" w:right="133" w:firstLine="0"/>
        <w:jc w:val="left"/>
        <w:rPr>
          <w:sz w:val="18"/>
        </w:rPr>
      </w:pPr>
      <w:r>
        <w:rPr>
          <w:sz w:val="18"/>
        </w:rPr>
        <w:t>This Annex summarises the analysis presented by the Bank staff to the Monetary Policy Committee on 3 March, in advance of its meeting on 8–9 March 2000. At the start of the Committee meeting itself, members were made aware of information that had subsequently become available, and that information is included in this</w:t>
      </w:r>
      <w:r>
        <w:rPr>
          <w:spacing w:val="-2"/>
          <w:sz w:val="18"/>
        </w:rPr>
        <w:t> </w:t>
      </w:r>
      <w:r>
        <w:rPr>
          <w:sz w:val="18"/>
        </w:rPr>
        <w:t>Annex.</w:t>
      </w:r>
    </w:p>
    <w:p>
      <w:pPr>
        <w:pStyle w:val="BodyText"/>
        <w:spacing w:before="3"/>
        <w:rPr>
          <w:sz w:val="20"/>
        </w:rPr>
      </w:pPr>
    </w:p>
    <w:p>
      <w:pPr>
        <w:pStyle w:val="Heading8"/>
        <w:numPr>
          <w:ilvl w:val="0"/>
          <w:numId w:val="49"/>
        </w:numPr>
        <w:tabs>
          <w:tab w:pos="654" w:val="left" w:leader="none"/>
          <w:tab w:pos="655" w:val="left" w:leader="none"/>
        </w:tabs>
        <w:spacing w:line="240" w:lineRule="auto" w:before="0" w:after="0"/>
        <w:ind w:left="654" w:right="0" w:hanging="481"/>
        <w:jc w:val="left"/>
      </w:pPr>
      <w:r>
        <w:rPr>
          <w:color w:val="009391"/>
        </w:rPr>
        <w:t>The international</w:t>
      </w:r>
      <w:r>
        <w:rPr>
          <w:color w:val="009391"/>
          <w:spacing w:val="-5"/>
        </w:rPr>
        <w:t> </w:t>
      </w:r>
      <w:r>
        <w:rPr>
          <w:color w:val="009391"/>
        </w:rPr>
        <w:t>environment</w:t>
      </w:r>
    </w:p>
    <w:p>
      <w:pPr>
        <w:pStyle w:val="ListParagraph"/>
        <w:numPr>
          <w:ilvl w:val="0"/>
          <w:numId w:val="48"/>
        </w:numPr>
        <w:tabs>
          <w:tab w:pos="654" w:val="left" w:leader="none"/>
          <w:tab w:pos="655" w:val="left" w:leader="none"/>
        </w:tabs>
        <w:spacing w:line="232" w:lineRule="auto" w:before="109" w:after="0"/>
        <w:ind w:left="174" w:right="38" w:firstLine="0"/>
        <w:jc w:val="left"/>
        <w:rPr>
          <w:sz w:val="18"/>
        </w:rPr>
      </w:pPr>
      <w:r>
        <w:rPr>
          <w:sz w:val="18"/>
        </w:rPr>
        <w:t>The global economy (except Japan) had remained strong. The Purchasing Managers Indices for the United States, France and particularly Germany had all risen in February. Bank estimates had suggested that quarterly growth in UK export markets for goods and services had been 3.6% in Q3, and 2.4% in Q4. Oil prices had remained strong in February, with evidence of greater backwardation (spot price above futures price). There had been increased volatility in oil prices, reflecting falling oil stocks and speculation about OPEC’s strategy. Metal prices had risen in January. Markets were expecting further tightening in monetary policy in the United States and the euro area. Market expectations derived</w:t>
      </w:r>
      <w:r>
        <w:rPr>
          <w:spacing w:val="-5"/>
          <w:sz w:val="18"/>
        </w:rPr>
        <w:t> </w:t>
      </w:r>
      <w:r>
        <w:rPr>
          <w:sz w:val="18"/>
        </w:rPr>
        <w:t>from</w:t>
      </w:r>
      <w:r>
        <w:rPr>
          <w:spacing w:val="-4"/>
          <w:sz w:val="18"/>
        </w:rPr>
        <w:t> </w:t>
      </w:r>
      <w:r>
        <w:rPr>
          <w:sz w:val="18"/>
        </w:rPr>
        <w:t>Fed</w:t>
      </w:r>
      <w:r>
        <w:rPr>
          <w:spacing w:val="-4"/>
          <w:sz w:val="18"/>
        </w:rPr>
        <w:t> </w:t>
      </w:r>
      <w:r>
        <w:rPr>
          <w:sz w:val="18"/>
        </w:rPr>
        <w:t>Funds</w:t>
      </w:r>
      <w:r>
        <w:rPr>
          <w:spacing w:val="-5"/>
          <w:sz w:val="18"/>
        </w:rPr>
        <w:t> </w:t>
      </w:r>
      <w:r>
        <w:rPr>
          <w:sz w:val="18"/>
        </w:rPr>
        <w:t>futures</w:t>
      </w:r>
      <w:r>
        <w:rPr>
          <w:spacing w:val="-4"/>
          <w:sz w:val="18"/>
        </w:rPr>
        <w:t> </w:t>
      </w:r>
      <w:r>
        <w:rPr>
          <w:sz w:val="18"/>
        </w:rPr>
        <w:t>had</w:t>
      </w:r>
      <w:r>
        <w:rPr>
          <w:spacing w:val="-4"/>
          <w:sz w:val="18"/>
        </w:rPr>
        <w:t> </w:t>
      </w:r>
      <w:r>
        <w:rPr>
          <w:sz w:val="18"/>
        </w:rPr>
        <w:t>implied</w:t>
      </w:r>
      <w:r>
        <w:rPr>
          <w:spacing w:val="-5"/>
          <w:sz w:val="18"/>
        </w:rPr>
        <w:t> </w:t>
      </w:r>
      <w:r>
        <w:rPr>
          <w:sz w:val="18"/>
        </w:rPr>
        <w:t>a</w:t>
      </w:r>
      <w:r>
        <w:rPr>
          <w:spacing w:val="-4"/>
          <w:sz w:val="18"/>
        </w:rPr>
        <w:t> </w:t>
      </w:r>
      <w:r>
        <w:rPr>
          <w:sz w:val="18"/>
        </w:rPr>
        <w:t>27</w:t>
      </w:r>
      <w:r>
        <w:rPr>
          <w:spacing w:val="-4"/>
          <w:sz w:val="18"/>
        </w:rPr>
        <w:t> </w:t>
      </w:r>
      <w:r>
        <w:rPr>
          <w:sz w:val="18"/>
        </w:rPr>
        <w:t>basis</w:t>
      </w:r>
      <w:r>
        <w:rPr>
          <w:spacing w:val="-5"/>
          <w:sz w:val="18"/>
        </w:rPr>
        <w:t> </w:t>
      </w:r>
      <w:r>
        <w:rPr>
          <w:sz w:val="18"/>
        </w:rPr>
        <w:t>points</w:t>
      </w:r>
      <w:r>
        <w:rPr>
          <w:spacing w:val="-4"/>
          <w:sz w:val="18"/>
        </w:rPr>
        <w:t> </w:t>
      </w:r>
      <w:r>
        <w:rPr>
          <w:sz w:val="18"/>
        </w:rPr>
        <w:t>rise</w:t>
      </w:r>
      <w:r>
        <w:rPr>
          <w:spacing w:val="-4"/>
          <w:sz w:val="18"/>
        </w:rPr>
        <w:t> </w:t>
      </w:r>
      <w:r>
        <w:rPr>
          <w:sz w:val="18"/>
        </w:rPr>
        <w:t>in March and a further 15 basis points in May. Three month euribor futures had implied a rate of 4.1% from</w:t>
      </w:r>
      <w:r>
        <w:rPr>
          <w:spacing w:val="-14"/>
          <w:sz w:val="18"/>
        </w:rPr>
        <w:t> </w:t>
      </w:r>
      <w:r>
        <w:rPr>
          <w:sz w:val="18"/>
        </w:rPr>
        <w:t>June.</w:t>
      </w:r>
    </w:p>
    <w:p>
      <w:pPr>
        <w:pStyle w:val="BodyText"/>
        <w:spacing w:before="5"/>
        <w:rPr>
          <w:sz w:val="16"/>
        </w:rPr>
      </w:pPr>
    </w:p>
    <w:p>
      <w:pPr>
        <w:pStyle w:val="ListParagraph"/>
        <w:numPr>
          <w:ilvl w:val="0"/>
          <w:numId w:val="48"/>
        </w:numPr>
        <w:tabs>
          <w:tab w:pos="654" w:val="left" w:leader="none"/>
          <w:tab w:pos="655" w:val="left" w:leader="none"/>
        </w:tabs>
        <w:spacing w:line="232" w:lineRule="auto" w:before="0" w:after="0"/>
        <w:ind w:left="174" w:right="83" w:firstLine="0"/>
        <w:jc w:val="left"/>
        <w:rPr>
          <w:sz w:val="18"/>
        </w:rPr>
      </w:pPr>
      <w:r>
        <w:rPr>
          <w:sz w:val="18"/>
        </w:rPr>
        <w:t>Quarterly US GDP growth for 1999 Q4 had been revised up to 1.7%, from 1.4%. Quarterly labour productivity growth in Q4 had been revised up to 1.5%, the highest rate since 1992 Q4. Industrial production and capacity utilisation had both strengthened in January. The value of retail sales had increased by 0.3% in January, following an upwardly revised increase of 1.7% in December. The drop in retail sales growth in January might have reflected a millennium effect. The monthly growth rates of broad and narrow money had fallen back in January, which appeared to confirm Y2K effects. Consumer confidence had fallen in February from its highest ever level in January, probably reflecting rising oil prices and monetary tightening. There had been little evidence of a secondary effect from rising oil prices on price inflation for other goods. The annual increase in the Personal Consumption Expenditure deflator had remained flat in January at</w:t>
      </w:r>
      <w:r>
        <w:rPr>
          <w:spacing w:val="-20"/>
          <w:sz w:val="18"/>
        </w:rPr>
        <w:t> </w:t>
      </w:r>
      <w:r>
        <w:rPr>
          <w:sz w:val="18"/>
        </w:rPr>
        <w:t>2%.</w:t>
      </w:r>
    </w:p>
    <w:p>
      <w:pPr>
        <w:pStyle w:val="BodyText"/>
        <w:spacing w:before="4"/>
        <w:rPr>
          <w:sz w:val="16"/>
        </w:rPr>
      </w:pPr>
    </w:p>
    <w:p>
      <w:pPr>
        <w:pStyle w:val="ListParagraph"/>
        <w:numPr>
          <w:ilvl w:val="0"/>
          <w:numId w:val="48"/>
        </w:numPr>
        <w:tabs>
          <w:tab w:pos="654" w:val="left" w:leader="none"/>
          <w:tab w:pos="655" w:val="left" w:leader="none"/>
        </w:tabs>
        <w:spacing w:line="232" w:lineRule="auto" w:before="1" w:after="0"/>
        <w:ind w:left="174" w:right="127" w:firstLine="0"/>
        <w:jc w:val="left"/>
        <w:rPr>
          <w:sz w:val="18"/>
        </w:rPr>
      </w:pPr>
      <w:r>
        <w:rPr>
          <w:sz w:val="18"/>
        </w:rPr>
        <w:t>Preliminary estimates had suggested that GDP had grown in 1999 Q4 by 0.9% and 0.7% in France and Germany respectively. Euro-area industrial production had risen in December. Industrial production in Germany had increased by 0.5% on the month in January. Total manufacturing orders in Germany had fallen</w:t>
      </w:r>
      <w:r>
        <w:rPr>
          <w:spacing w:val="-33"/>
          <w:sz w:val="18"/>
        </w:rPr>
        <w:t> </w:t>
      </w:r>
      <w:r>
        <w:rPr>
          <w:sz w:val="18"/>
        </w:rPr>
        <w:t>by</w:t>
      </w:r>
    </w:p>
    <w:p>
      <w:pPr>
        <w:pStyle w:val="BodyText"/>
        <w:spacing w:line="232" w:lineRule="auto"/>
        <w:ind w:left="174" w:right="49"/>
      </w:pPr>
      <w:r>
        <w:rPr/>
        <w:t>-0.4% in January. There had been a small fall in euro-area employment in 1999 Q3. That was partly explained by the negative effect on German employment of the unwinding of government job programmes. By contrast, French employment had picked up strongly in Q4. The annual growth rate of euro-area M3 in January had been affected by the impact of the introduction of the euro a year previously. There had been a further increase in both total and intermediate annual PPI inflation in the euro area in December.</w:t>
      </w:r>
    </w:p>
    <w:p>
      <w:pPr>
        <w:pStyle w:val="BodyText"/>
        <w:spacing w:line="232" w:lineRule="auto"/>
        <w:ind w:left="174" w:right="88"/>
      </w:pPr>
      <w:r>
        <w:rPr/>
        <w:t>Euro-area HICP inflation had risen to 2% in January. HICP energy price inflation had risen throughout the euro-area. The sharpest rises had been in Germany, probably due to tax effects.</w:t>
      </w:r>
    </w:p>
    <w:p>
      <w:pPr>
        <w:pStyle w:val="BodyText"/>
        <w:spacing w:before="3"/>
        <w:rPr>
          <w:sz w:val="16"/>
        </w:rPr>
      </w:pPr>
    </w:p>
    <w:p>
      <w:pPr>
        <w:pStyle w:val="ListParagraph"/>
        <w:numPr>
          <w:ilvl w:val="0"/>
          <w:numId w:val="48"/>
        </w:numPr>
        <w:tabs>
          <w:tab w:pos="654" w:val="left" w:leader="none"/>
          <w:tab w:pos="655" w:val="left" w:leader="none"/>
        </w:tabs>
        <w:spacing w:line="232" w:lineRule="auto" w:before="0" w:after="0"/>
        <w:ind w:left="174" w:right="143" w:firstLine="0"/>
        <w:jc w:val="left"/>
        <w:rPr>
          <w:sz w:val="18"/>
        </w:rPr>
      </w:pPr>
      <w:r>
        <w:rPr>
          <w:sz w:val="18"/>
        </w:rPr>
        <w:t>Official sources had suggested that the first GDP release for 1999 Q4 in Japan might be negative. That was supported by Japanese household expenditure data (published by the Economic Planning Agency), which had fallen by 2.2% in 1999 Q4. By contrast, output data for both industry and services had been flat and consumer confidence had strengthened over the same period. New construction orders had strengthened in January 2000, almost entirely due to growth in private sector orders. The narrowing of the Japanese trade surplus in January had been largely due to the movement in oil prices. Y2K effects on base money in Japan</w:t>
      </w:r>
      <w:r>
        <w:rPr>
          <w:spacing w:val="1"/>
          <w:sz w:val="18"/>
        </w:rPr>
        <w:t> </w:t>
      </w:r>
      <w:r>
        <w:rPr>
          <w:sz w:val="18"/>
        </w:rPr>
        <w:t>had</w:t>
      </w:r>
    </w:p>
    <w:p>
      <w:pPr>
        <w:pStyle w:val="BodyText"/>
        <w:spacing w:line="232" w:lineRule="auto" w:before="98"/>
        <w:ind w:left="174" w:right="244"/>
      </w:pPr>
      <w:r>
        <w:rPr/>
        <w:br w:type="column"/>
      </w:r>
      <w:r>
        <w:rPr/>
        <w:t>largely disappeared in February. Both core and headline CPI inflation had remained negative in January (with headline inflation of -0.9%), as had final PPI inflation. Raw materials inflation had increased sharply in January, and there had been a small rise in intermediate PPI inflation.</w:t>
      </w:r>
    </w:p>
    <w:p>
      <w:pPr>
        <w:pStyle w:val="BodyText"/>
        <w:rPr>
          <w:sz w:val="17"/>
        </w:rPr>
      </w:pPr>
    </w:p>
    <w:p>
      <w:pPr>
        <w:pStyle w:val="ListParagraph"/>
        <w:numPr>
          <w:ilvl w:val="0"/>
          <w:numId w:val="48"/>
        </w:numPr>
        <w:tabs>
          <w:tab w:pos="654" w:val="left" w:leader="none"/>
          <w:tab w:pos="655" w:val="left" w:leader="none"/>
        </w:tabs>
        <w:spacing w:line="232" w:lineRule="auto" w:before="0" w:after="0"/>
        <w:ind w:left="174" w:right="208" w:firstLine="0"/>
        <w:jc w:val="left"/>
        <w:rPr>
          <w:sz w:val="18"/>
        </w:rPr>
      </w:pPr>
      <w:r>
        <w:rPr>
          <w:sz w:val="18"/>
        </w:rPr>
        <w:t>Industrial production growth in Latin America had strengthened in December. Growth had fallen back slightly in Asia and the transitional economies, though it had remained strong in emerging markets as a whole. Capacity utilisation in South Korea had risen above pre-crisis levels. CPI inflation in December had fallen in Latin America and had remained flat in</w:t>
      </w:r>
      <w:r>
        <w:rPr>
          <w:spacing w:val="-20"/>
          <w:sz w:val="18"/>
        </w:rPr>
        <w:t> </w:t>
      </w:r>
      <w:r>
        <w:rPr>
          <w:sz w:val="18"/>
        </w:rPr>
        <w:t>Asia.</w:t>
      </w:r>
    </w:p>
    <w:p>
      <w:pPr>
        <w:pStyle w:val="BodyText"/>
        <w:spacing w:before="3"/>
        <w:rPr>
          <w:sz w:val="20"/>
        </w:rPr>
      </w:pPr>
    </w:p>
    <w:p>
      <w:pPr>
        <w:pStyle w:val="Heading8"/>
        <w:numPr>
          <w:ilvl w:val="0"/>
          <w:numId w:val="49"/>
        </w:numPr>
        <w:tabs>
          <w:tab w:pos="654" w:val="left" w:leader="none"/>
          <w:tab w:pos="655" w:val="left" w:leader="none"/>
        </w:tabs>
        <w:spacing w:line="240" w:lineRule="auto" w:before="0" w:after="0"/>
        <w:ind w:left="654" w:right="0" w:hanging="481"/>
        <w:jc w:val="left"/>
      </w:pPr>
      <w:r>
        <w:rPr>
          <w:color w:val="009391"/>
        </w:rPr>
        <w:t>Monetary and financial</w:t>
      </w:r>
      <w:r>
        <w:rPr>
          <w:color w:val="009391"/>
          <w:spacing w:val="-7"/>
        </w:rPr>
        <w:t> </w:t>
      </w:r>
      <w:r>
        <w:rPr>
          <w:color w:val="009391"/>
        </w:rPr>
        <w:t>conditions</w:t>
      </w:r>
    </w:p>
    <w:p>
      <w:pPr>
        <w:pStyle w:val="ListParagraph"/>
        <w:numPr>
          <w:ilvl w:val="0"/>
          <w:numId w:val="48"/>
        </w:numPr>
        <w:tabs>
          <w:tab w:pos="654" w:val="left" w:leader="none"/>
          <w:tab w:pos="655" w:val="left" w:leader="none"/>
        </w:tabs>
        <w:spacing w:line="232" w:lineRule="auto" w:before="110" w:after="0"/>
        <w:ind w:left="174" w:right="198" w:firstLine="0"/>
        <w:jc w:val="left"/>
        <w:rPr>
          <w:sz w:val="18"/>
        </w:rPr>
      </w:pPr>
      <w:r>
        <w:rPr>
          <w:sz w:val="18"/>
        </w:rPr>
        <w:t>The stock of notes and coin had stabilised in February, following the sharp distortions around the year-end, so longer-term growth rates based on February data could be expected to give a better idea of the underlying picture than those based on either January 2000 or December 1999. The twelve-month growth rate in February</w:t>
      </w:r>
      <w:r>
        <w:rPr>
          <w:spacing w:val="-5"/>
          <w:sz w:val="18"/>
        </w:rPr>
        <w:t> </w:t>
      </w:r>
      <w:r>
        <w:rPr>
          <w:sz w:val="18"/>
        </w:rPr>
        <w:t>had</w:t>
      </w:r>
      <w:r>
        <w:rPr>
          <w:spacing w:val="-4"/>
          <w:sz w:val="18"/>
        </w:rPr>
        <w:t> </w:t>
      </w:r>
      <w:r>
        <w:rPr>
          <w:sz w:val="18"/>
        </w:rPr>
        <w:t>remained</w:t>
      </w:r>
      <w:r>
        <w:rPr>
          <w:spacing w:val="-5"/>
          <w:sz w:val="18"/>
        </w:rPr>
        <w:t> </w:t>
      </w:r>
      <w:r>
        <w:rPr>
          <w:sz w:val="18"/>
        </w:rPr>
        <w:t>strong</w:t>
      </w:r>
      <w:r>
        <w:rPr>
          <w:spacing w:val="-4"/>
          <w:sz w:val="18"/>
        </w:rPr>
        <w:t> </w:t>
      </w:r>
      <w:r>
        <w:rPr>
          <w:sz w:val="18"/>
        </w:rPr>
        <w:t>at</w:t>
      </w:r>
      <w:r>
        <w:rPr>
          <w:spacing w:val="-5"/>
          <w:sz w:val="18"/>
        </w:rPr>
        <w:t> </w:t>
      </w:r>
      <w:r>
        <w:rPr>
          <w:sz w:val="18"/>
        </w:rPr>
        <w:t>8.4%,</w:t>
      </w:r>
      <w:r>
        <w:rPr>
          <w:spacing w:val="-4"/>
          <w:sz w:val="18"/>
        </w:rPr>
        <w:t> </w:t>
      </w:r>
      <w:r>
        <w:rPr>
          <w:sz w:val="18"/>
        </w:rPr>
        <w:t>in</w:t>
      </w:r>
      <w:r>
        <w:rPr>
          <w:spacing w:val="-5"/>
          <w:sz w:val="18"/>
        </w:rPr>
        <w:t> </w:t>
      </w:r>
      <w:r>
        <w:rPr>
          <w:sz w:val="18"/>
        </w:rPr>
        <w:t>the</w:t>
      </w:r>
      <w:r>
        <w:rPr>
          <w:spacing w:val="-4"/>
          <w:sz w:val="18"/>
        </w:rPr>
        <w:t> </w:t>
      </w:r>
      <w:r>
        <w:rPr>
          <w:sz w:val="18"/>
        </w:rPr>
        <w:t>middle</w:t>
      </w:r>
      <w:r>
        <w:rPr>
          <w:spacing w:val="-4"/>
          <w:sz w:val="18"/>
        </w:rPr>
        <w:t> </w:t>
      </w:r>
      <w:r>
        <w:rPr>
          <w:sz w:val="18"/>
        </w:rPr>
        <w:t>of</w:t>
      </w:r>
      <w:r>
        <w:rPr>
          <w:spacing w:val="-5"/>
          <w:sz w:val="18"/>
        </w:rPr>
        <w:t> </w:t>
      </w:r>
      <w:r>
        <w:rPr>
          <w:sz w:val="18"/>
        </w:rPr>
        <w:t>the</w:t>
      </w:r>
      <w:r>
        <w:rPr>
          <w:spacing w:val="-4"/>
          <w:sz w:val="18"/>
        </w:rPr>
        <w:t> </w:t>
      </w:r>
      <w:r>
        <w:rPr>
          <w:sz w:val="18"/>
        </w:rPr>
        <w:t>8%–9% range</w:t>
      </w:r>
      <w:r>
        <w:rPr>
          <w:spacing w:val="-5"/>
          <w:sz w:val="18"/>
        </w:rPr>
        <w:t> </w:t>
      </w:r>
      <w:r>
        <w:rPr>
          <w:sz w:val="18"/>
        </w:rPr>
        <w:t>cited</w:t>
      </w:r>
      <w:r>
        <w:rPr>
          <w:spacing w:val="-4"/>
          <w:sz w:val="18"/>
        </w:rPr>
        <w:t> </w:t>
      </w:r>
      <w:r>
        <w:rPr>
          <w:sz w:val="18"/>
        </w:rPr>
        <w:t>for</w:t>
      </w:r>
      <w:r>
        <w:rPr>
          <w:spacing w:val="-5"/>
          <w:sz w:val="18"/>
        </w:rPr>
        <w:t> </w:t>
      </w:r>
      <w:r>
        <w:rPr>
          <w:sz w:val="18"/>
        </w:rPr>
        <w:t>the</w:t>
      </w:r>
      <w:r>
        <w:rPr>
          <w:spacing w:val="-4"/>
          <w:sz w:val="18"/>
        </w:rPr>
        <w:t> </w:t>
      </w:r>
      <w:r>
        <w:rPr>
          <w:sz w:val="18"/>
        </w:rPr>
        <w:t>underlying</w:t>
      </w:r>
      <w:r>
        <w:rPr>
          <w:spacing w:val="-4"/>
          <w:sz w:val="18"/>
        </w:rPr>
        <w:t> </w:t>
      </w:r>
      <w:r>
        <w:rPr>
          <w:sz w:val="18"/>
        </w:rPr>
        <w:t>rate</w:t>
      </w:r>
      <w:r>
        <w:rPr>
          <w:spacing w:val="-5"/>
          <w:sz w:val="18"/>
        </w:rPr>
        <w:t> </w:t>
      </w:r>
      <w:r>
        <w:rPr>
          <w:sz w:val="18"/>
        </w:rPr>
        <w:t>in</w:t>
      </w:r>
      <w:r>
        <w:rPr>
          <w:spacing w:val="-4"/>
          <w:sz w:val="18"/>
        </w:rPr>
        <w:t> </w:t>
      </w:r>
      <w:r>
        <w:rPr>
          <w:sz w:val="18"/>
        </w:rPr>
        <w:t>February’s</w:t>
      </w:r>
      <w:r>
        <w:rPr>
          <w:spacing w:val="-3"/>
          <w:sz w:val="18"/>
        </w:rPr>
        <w:t> </w:t>
      </w:r>
      <w:r>
        <w:rPr>
          <w:i/>
          <w:sz w:val="18"/>
        </w:rPr>
        <w:t>Inflation</w:t>
      </w:r>
      <w:r>
        <w:rPr>
          <w:i/>
          <w:spacing w:val="-5"/>
          <w:sz w:val="18"/>
        </w:rPr>
        <w:t> </w:t>
      </w:r>
      <w:r>
        <w:rPr>
          <w:i/>
          <w:sz w:val="18"/>
        </w:rPr>
        <w:t>Report</w:t>
      </w:r>
      <w:r>
        <w:rPr>
          <w:sz w:val="18"/>
        </w:rPr>
        <w:t>.</w:t>
      </w:r>
    </w:p>
    <w:p>
      <w:pPr>
        <w:pStyle w:val="BodyText"/>
        <w:spacing w:before="10"/>
        <w:rPr>
          <w:sz w:val="16"/>
        </w:rPr>
      </w:pPr>
    </w:p>
    <w:p>
      <w:pPr>
        <w:pStyle w:val="ListParagraph"/>
        <w:numPr>
          <w:ilvl w:val="0"/>
          <w:numId w:val="48"/>
        </w:numPr>
        <w:tabs>
          <w:tab w:pos="654" w:val="left" w:leader="none"/>
          <w:tab w:pos="655" w:val="left" w:leader="none"/>
        </w:tabs>
        <w:spacing w:line="232" w:lineRule="auto" w:before="0" w:after="0"/>
        <w:ind w:left="174" w:right="163" w:firstLine="0"/>
        <w:jc w:val="left"/>
        <w:rPr>
          <w:sz w:val="18"/>
        </w:rPr>
      </w:pPr>
      <w:r>
        <w:rPr>
          <w:sz w:val="18"/>
        </w:rPr>
        <w:t>The stock of M4 had fallen by £2.9 billion (-0.4%) in January taking the twelve-month growth rate to 2.6%, the lowest on record. The fall on the month had been accounted for by a rundown in both households’ and private non-financial corporations’ (PNFCs’) deposits. Other financial corporations’ (OFCs’) M4 deposits had continued to stabilise after the sharp falls earlier in 1999. OFCs’ M4 rose by £1.5 billion (0.8%) in January, taking the twelve-month growth rate from -6.2% to</w:t>
      </w:r>
      <w:r>
        <w:rPr>
          <w:spacing w:val="-11"/>
          <w:sz w:val="18"/>
        </w:rPr>
        <w:t> </w:t>
      </w:r>
      <w:r>
        <w:rPr>
          <w:sz w:val="18"/>
        </w:rPr>
        <w:t>-4.0%.</w:t>
      </w:r>
    </w:p>
    <w:p>
      <w:pPr>
        <w:pStyle w:val="BodyText"/>
        <w:spacing w:before="10"/>
        <w:rPr>
          <w:sz w:val="16"/>
        </w:rPr>
      </w:pPr>
    </w:p>
    <w:p>
      <w:pPr>
        <w:pStyle w:val="ListParagraph"/>
        <w:numPr>
          <w:ilvl w:val="0"/>
          <w:numId w:val="48"/>
        </w:numPr>
        <w:tabs>
          <w:tab w:pos="654" w:val="left" w:leader="none"/>
          <w:tab w:pos="655" w:val="left" w:leader="none"/>
        </w:tabs>
        <w:spacing w:line="232" w:lineRule="auto" w:before="0" w:after="0"/>
        <w:ind w:left="174" w:right="878" w:firstLine="0"/>
        <w:jc w:val="left"/>
        <w:rPr>
          <w:sz w:val="18"/>
        </w:rPr>
      </w:pPr>
      <w:r>
        <w:rPr>
          <w:sz w:val="18"/>
        </w:rPr>
        <w:t>Aggregate M4 lending (excluding the effects of securitisations)</w:t>
      </w:r>
      <w:r>
        <w:rPr>
          <w:spacing w:val="-6"/>
          <w:sz w:val="18"/>
        </w:rPr>
        <w:t> </w:t>
      </w:r>
      <w:r>
        <w:rPr>
          <w:sz w:val="18"/>
        </w:rPr>
        <w:t>had</w:t>
      </w:r>
      <w:r>
        <w:rPr>
          <w:spacing w:val="-6"/>
          <w:sz w:val="18"/>
        </w:rPr>
        <w:t> </w:t>
      </w:r>
      <w:r>
        <w:rPr>
          <w:sz w:val="18"/>
        </w:rPr>
        <w:t>also</w:t>
      </w:r>
      <w:r>
        <w:rPr>
          <w:spacing w:val="-6"/>
          <w:sz w:val="18"/>
        </w:rPr>
        <w:t> </w:t>
      </w:r>
      <w:r>
        <w:rPr>
          <w:sz w:val="18"/>
        </w:rPr>
        <w:t>been</w:t>
      </w:r>
      <w:r>
        <w:rPr>
          <w:spacing w:val="-5"/>
          <w:sz w:val="18"/>
        </w:rPr>
        <w:t> </w:t>
      </w:r>
      <w:r>
        <w:rPr>
          <w:sz w:val="18"/>
        </w:rPr>
        <w:t>weaker</w:t>
      </w:r>
      <w:r>
        <w:rPr>
          <w:spacing w:val="-6"/>
          <w:sz w:val="18"/>
        </w:rPr>
        <w:t> </w:t>
      </w:r>
      <w:r>
        <w:rPr>
          <w:sz w:val="18"/>
        </w:rPr>
        <w:t>in</w:t>
      </w:r>
      <w:r>
        <w:rPr>
          <w:spacing w:val="-6"/>
          <w:sz w:val="18"/>
        </w:rPr>
        <w:t> </w:t>
      </w:r>
      <w:r>
        <w:rPr>
          <w:sz w:val="18"/>
        </w:rPr>
        <w:t>January,</w:t>
      </w:r>
      <w:r>
        <w:rPr>
          <w:spacing w:val="-5"/>
          <w:sz w:val="18"/>
        </w:rPr>
        <w:t> </w:t>
      </w:r>
      <w:r>
        <w:rPr>
          <w:sz w:val="18"/>
        </w:rPr>
        <w:t>rising</w:t>
      </w:r>
      <w:r>
        <w:rPr>
          <w:spacing w:val="-6"/>
          <w:sz w:val="18"/>
        </w:rPr>
        <w:t> </w:t>
      </w:r>
      <w:r>
        <w:rPr>
          <w:sz w:val="18"/>
        </w:rPr>
        <w:t>by</w:t>
      </w:r>
    </w:p>
    <w:p>
      <w:pPr>
        <w:pStyle w:val="BodyText"/>
        <w:spacing w:line="232" w:lineRule="auto"/>
        <w:ind w:left="174" w:right="273"/>
      </w:pPr>
      <w:r>
        <w:rPr/>
        <w:t>£3.3 billion (0.3%) compared with £8.8 billion in December. The twelve-month rate had fallen by 0.4 percentage points, but remained robust at 8.4%. Much of the weaker outturn in January had been accounted for by a fall in lending to OFCs of £1.1 billion (-0.5%). There had been a £5.8 billion fall in non seasonally adjusted reverse repo activity, consistent with the possibility that the fall in lending to OFCs had reflected an unwinding of banks’ millennium-related collateral holdings.</w:t>
      </w:r>
    </w:p>
    <w:p>
      <w:pPr>
        <w:pStyle w:val="BodyText"/>
        <w:spacing w:before="8"/>
        <w:rPr>
          <w:sz w:val="16"/>
        </w:rPr>
      </w:pPr>
    </w:p>
    <w:p>
      <w:pPr>
        <w:pStyle w:val="ListParagraph"/>
        <w:numPr>
          <w:ilvl w:val="0"/>
          <w:numId w:val="48"/>
        </w:numPr>
        <w:tabs>
          <w:tab w:pos="654" w:val="left" w:leader="none"/>
          <w:tab w:pos="655" w:val="left" w:leader="none"/>
        </w:tabs>
        <w:spacing w:line="232" w:lineRule="auto" w:before="0" w:after="0"/>
        <w:ind w:left="174" w:right="168" w:firstLine="0"/>
        <w:jc w:val="left"/>
        <w:rPr>
          <w:sz w:val="18"/>
        </w:rPr>
      </w:pPr>
      <w:r>
        <w:rPr>
          <w:sz w:val="18"/>
        </w:rPr>
        <w:t>Households’ M4 deposits had fallen by £1.5 billion (-0.3%) in January, reducing the twelve-month growth rate to 5.3% from 6.4% in December. Part of the fall in January might have reflected payments delayed from December because of the large number of bank holidays, or millennium-related concerns. Household deposits had probably also been depressed by large payments under</w:t>
      </w:r>
      <w:r>
        <w:rPr>
          <w:spacing w:val="-29"/>
          <w:sz w:val="18"/>
        </w:rPr>
        <w:t> </w:t>
      </w:r>
      <w:r>
        <w:rPr>
          <w:sz w:val="18"/>
        </w:rPr>
        <w:t>the</w:t>
      </w:r>
    </w:p>
    <w:p>
      <w:pPr>
        <w:pStyle w:val="BodyText"/>
        <w:spacing w:line="197" w:lineRule="exact"/>
        <w:ind w:left="174"/>
      </w:pPr>
      <w:r>
        <w:rPr/>
        <w:t>self-assessment tax arrangements.</w:t>
      </w:r>
    </w:p>
    <w:p>
      <w:pPr>
        <w:pStyle w:val="BodyText"/>
        <w:spacing w:before="3"/>
        <w:rPr>
          <w:sz w:val="17"/>
        </w:rPr>
      </w:pPr>
    </w:p>
    <w:p>
      <w:pPr>
        <w:pStyle w:val="ListParagraph"/>
        <w:numPr>
          <w:ilvl w:val="0"/>
          <w:numId w:val="48"/>
        </w:numPr>
        <w:tabs>
          <w:tab w:pos="654" w:val="left" w:leader="none"/>
          <w:tab w:pos="655" w:val="left" w:leader="none"/>
        </w:tabs>
        <w:spacing w:line="232" w:lineRule="auto" w:before="0" w:after="0"/>
        <w:ind w:left="174" w:right="287" w:firstLine="0"/>
        <w:jc w:val="left"/>
        <w:rPr>
          <w:sz w:val="18"/>
        </w:rPr>
      </w:pPr>
      <w:r>
        <w:rPr>
          <w:sz w:val="18"/>
        </w:rPr>
        <w:t>Households’ M4 borrowing (excluding the effects of securitisations) had remained robust, increasing by £4.5 billion (0.8%) in January, with the twelve-month rate at 9.6%. Net total secured</w:t>
      </w:r>
      <w:r>
        <w:rPr>
          <w:spacing w:val="-6"/>
          <w:sz w:val="18"/>
        </w:rPr>
        <w:t> </w:t>
      </w:r>
      <w:r>
        <w:rPr>
          <w:sz w:val="18"/>
        </w:rPr>
        <w:t>lending</w:t>
      </w:r>
      <w:r>
        <w:rPr>
          <w:spacing w:val="-6"/>
          <w:sz w:val="18"/>
        </w:rPr>
        <w:t> </w:t>
      </w:r>
      <w:r>
        <w:rPr>
          <w:sz w:val="18"/>
        </w:rPr>
        <w:t>to</w:t>
      </w:r>
      <w:r>
        <w:rPr>
          <w:spacing w:val="-5"/>
          <w:sz w:val="18"/>
        </w:rPr>
        <w:t> </w:t>
      </w:r>
      <w:r>
        <w:rPr>
          <w:sz w:val="18"/>
        </w:rPr>
        <w:t>individuals</w:t>
      </w:r>
      <w:r>
        <w:rPr>
          <w:spacing w:val="-6"/>
          <w:sz w:val="18"/>
        </w:rPr>
        <w:t> </w:t>
      </w:r>
      <w:r>
        <w:rPr>
          <w:sz w:val="18"/>
        </w:rPr>
        <w:t>had</w:t>
      </w:r>
      <w:r>
        <w:rPr>
          <w:spacing w:val="-6"/>
          <w:sz w:val="18"/>
        </w:rPr>
        <w:t> </w:t>
      </w:r>
      <w:r>
        <w:rPr>
          <w:sz w:val="18"/>
        </w:rPr>
        <w:t>increased</w:t>
      </w:r>
      <w:r>
        <w:rPr>
          <w:spacing w:val="-5"/>
          <w:sz w:val="18"/>
        </w:rPr>
        <w:t> </w:t>
      </w:r>
      <w:r>
        <w:rPr>
          <w:sz w:val="18"/>
        </w:rPr>
        <w:t>by</w:t>
      </w:r>
      <w:r>
        <w:rPr>
          <w:spacing w:val="-6"/>
          <w:sz w:val="18"/>
        </w:rPr>
        <w:t> </w:t>
      </w:r>
      <w:r>
        <w:rPr>
          <w:sz w:val="18"/>
        </w:rPr>
        <w:t>£3.4</w:t>
      </w:r>
      <w:r>
        <w:rPr>
          <w:spacing w:val="-6"/>
          <w:sz w:val="18"/>
        </w:rPr>
        <w:t> </w:t>
      </w:r>
      <w:r>
        <w:rPr>
          <w:sz w:val="18"/>
        </w:rPr>
        <w:t>billion,</w:t>
      </w:r>
      <w:r>
        <w:rPr>
          <w:spacing w:val="-5"/>
          <w:sz w:val="18"/>
        </w:rPr>
        <w:t> </w:t>
      </w:r>
      <w:r>
        <w:rPr>
          <w:sz w:val="18"/>
        </w:rPr>
        <w:t>down by £0.2 billion from</w:t>
      </w:r>
      <w:r>
        <w:rPr>
          <w:spacing w:val="-6"/>
          <w:sz w:val="18"/>
        </w:rPr>
        <w:t> </w:t>
      </w:r>
      <w:r>
        <w:rPr>
          <w:sz w:val="18"/>
        </w:rPr>
        <w:t>December.</w:t>
      </w:r>
    </w:p>
    <w:p>
      <w:pPr>
        <w:pStyle w:val="BodyText"/>
        <w:rPr>
          <w:sz w:val="17"/>
        </w:rPr>
      </w:pPr>
    </w:p>
    <w:p>
      <w:pPr>
        <w:pStyle w:val="ListParagraph"/>
        <w:numPr>
          <w:ilvl w:val="0"/>
          <w:numId w:val="48"/>
        </w:numPr>
        <w:tabs>
          <w:tab w:pos="654" w:val="left" w:leader="none"/>
          <w:tab w:pos="655" w:val="left" w:leader="none"/>
        </w:tabs>
        <w:spacing w:line="232" w:lineRule="auto" w:before="1" w:after="0"/>
        <w:ind w:left="174" w:right="328" w:firstLine="0"/>
        <w:jc w:val="left"/>
        <w:rPr>
          <w:sz w:val="18"/>
        </w:rPr>
      </w:pPr>
      <w:r>
        <w:rPr>
          <w:sz w:val="18"/>
        </w:rPr>
        <w:t>The number and value of mortgage approvals had fallen in January, for the second month running. Both series were now lower</w:t>
      </w:r>
      <w:r>
        <w:rPr>
          <w:spacing w:val="-5"/>
          <w:sz w:val="18"/>
        </w:rPr>
        <w:t> </w:t>
      </w:r>
      <w:r>
        <w:rPr>
          <w:sz w:val="18"/>
        </w:rPr>
        <w:t>than</w:t>
      </w:r>
      <w:r>
        <w:rPr>
          <w:spacing w:val="-5"/>
          <w:sz w:val="18"/>
        </w:rPr>
        <w:t> </w:t>
      </w:r>
      <w:r>
        <w:rPr>
          <w:sz w:val="18"/>
        </w:rPr>
        <w:t>they</w:t>
      </w:r>
      <w:r>
        <w:rPr>
          <w:spacing w:val="-5"/>
          <w:sz w:val="18"/>
        </w:rPr>
        <w:t> </w:t>
      </w:r>
      <w:r>
        <w:rPr>
          <w:sz w:val="18"/>
        </w:rPr>
        <w:t>had</w:t>
      </w:r>
      <w:r>
        <w:rPr>
          <w:spacing w:val="-5"/>
          <w:sz w:val="18"/>
        </w:rPr>
        <w:t> </w:t>
      </w:r>
      <w:r>
        <w:rPr>
          <w:sz w:val="18"/>
        </w:rPr>
        <w:t>been</w:t>
      </w:r>
      <w:r>
        <w:rPr>
          <w:spacing w:val="-5"/>
          <w:sz w:val="18"/>
        </w:rPr>
        <w:t> </w:t>
      </w:r>
      <w:r>
        <w:rPr>
          <w:sz w:val="18"/>
        </w:rPr>
        <w:t>since</w:t>
      </w:r>
      <w:r>
        <w:rPr>
          <w:spacing w:val="-5"/>
          <w:sz w:val="18"/>
        </w:rPr>
        <w:t> </w:t>
      </w:r>
      <w:r>
        <w:rPr>
          <w:sz w:val="18"/>
        </w:rPr>
        <w:t>early</w:t>
      </w:r>
      <w:r>
        <w:rPr>
          <w:spacing w:val="-5"/>
          <w:sz w:val="18"/>
        </w:rPr>
        <w:t> </w:t>
      </w:r>
      <w:r>
        <w:rPr>
          <w:sz w:val="18"/>
        </w:rPr>
        <w:t>1999,</w:t>
      </w:r>
      <w:r>
        <w:rPr>
          <w:spacing w:val="-5"/>
          <w:sz w:val="18"/>
        </w:rPr>
        <w:t> </w:t>
      </w:r>
      <w:r>
        <w:rPr>
          <w:sz w:val="18"/>
        </w:rPr>
        <w:t>although</w:t>
      </w:r>
      <w:r>
        <w:rPr>
          <w:spacing w:val="-5"/>
          <w:sz w:val="18"/>
        </w:rPr>
        <w:t> </w:t>
      </w:r>
      <w:r>
        <w:rPr>
          <w:sz w:val="18"/>
        </w:rPr>
        <w:t>some</w:t>
      </w:r>
      <w:r>
        <w:rPr>
          <w:spacing w:val="-5"/>
          <w:sz w:val="18"/>
        </w:rPr>
        <w:t> </w:t>
      </w:r>
      <w:r>
        <w:rPr>
          <w:sz w:val="18"/>
        </w:rPr>
        <w:t>lenders had suggested that the fall in January might have been an exaggerated seasonal effect. That was consistent with the pick up in business they had seen in</w:t>
      </w:r>
      <w:r>
        <w:rPr>
          <w:spacing w:val="-9"/>
          <w:sz w:val="18"/>
        </w:rPr>
        <w:t> </w:t>
      </w:r>
      <w:r>
        <w:rPr>
          <w:sz w:val="18"/>
        </w:rPr>
        <w:t>February.</w:t>
      </w:r>
    </w:p>
    <w:p>
      <w:pPr>
        <w:pStyle w:val="BodyText"/>
        <w:spacing w:before="11"/>
        <w:rPr>
          <w:sz w:val="16"/>
        </w:rPr>
      </w:pPr>
    </w:p>
    <w:p>
      <w:pPr>
        <w:pStyle w:val="ListParagraph"/>
        <w:numPr>
          <w:ilvl w:val="0"/>
          <w:numId w:val="48"/>
        </w:numPr>
        <w:tabs>
          <w:tab w:pos="654" w:val="left" w:leader="none"/>
          <w:tab w:pos="655" w:val="left" w:leader="none"/>
        </w:tabs>
        <w:spacing w:line="232" w:lineRule="auto" w:before="0" w:after="0"/>
        <w:ind w:left="174" w:right="498" w:firstLine="0"/>
        <w:jc w:val="left"/>
        <w:rPr>
          <w:sz w:val="18"/>
        </w:rPr>
      </w:pPr>
      <w:r>
        <w:rPr>
          <w:sz w:val="18"/>
        </w:rPr>
        <w:t>Provisional estimates by Bank staff had suggested that mortgage</w:t>
      </w:r>
      <w:r>
        <w:rPr>
          <w:spacing w:val="-6"/>
          <w:sz w:val="18"/>
        </w:rPr>
        <w:t> </w:t>
      </w:r>
      <w:r>
        <w:rPr>
          <w:sz w:val="18"/>
        </w:rPr>
        <w:t>equity</w:t>
      </w:r>
      <w:r>
        <w:rPr>
          <w:spacing w:val="-5"/>
          <w:sz w:val="18"/>
        </w:rPr>
        <w:t> </w:t>
      </w:r>
      <w:r>
        <w:rPr>
          <w:sz w:val="18"/>
        </w:rPr>
        <w:t>withdrawal</w:t>
      </w:r>
      <w:r>
        <w:rPr>
          <w:spacing w:val="-5"/>
          <w:sz w:val="18"/>
        </w:rPr>
        <w:t> </w:t>
      </w:r>
      <w:r>
        <w:rPr>
          <w:sz w:val="18"/>
        </w:rPr>
        <w:t>had</w:t>
      </w:r>
      <w:r>
        <w:rPr>
          <w:spacing w:val="-5"/>
          <w:sz w:val="18"/>
        </w:rPr>
        <w:t> </w:t>
      </w:r>
      <w:r>
        <w:rPr>
          <w:sz w:val="18"/>
        </w:rPr>
        <w:t>remained</w:t>
      </w:r>
      <w:r>
        <w:rPr>
          <w:spacing w:val="-5"/>
          <w:sz w:val="18"/>
        </w:rPr>
        <w:t> </w:t>
      </w:r>
      <w:r>
        <w:rPr>
          <w:sz w:val="18"/>
        </w:rPr>
        <w:t>strong</w:t>
      </w:r>
      <w:r>
        <w:rPr>
          <w:spacing w:val="-5"/>
          <w:sz w:val="18"/>
        </w:rPr>
        <w:t> </w:t>
      </w:r>
      <w:r>
        <w:rPr>
          <w:sz w:val="18"/>
        </w:rPr>
        <w:t>in</w:t>
      </w:r>
      <w:r>
        <w:rPr>
          <w:spacing w:val="-5"/>
          <w:sz w:val="18"/>
        </w:rPr>
        <w:t> </w:t>
      </w:r>
      <w:r>
        <w:rPr>
          <w:sz w:val="18"/>
        </w:rPr>
        <w:t>1999</w:t>
      </w:r>
      <w:r>
        <w:rPr>
          <w:spacing w:val="-5"/>
          <w:sz w:val="18"/>
        </w:rPr>
        <w:t> </w:t>
      </w:r>
      <w:r>
        <w:rPr>
          <w:sz w:val="18"/>
        </w:rPr>
        <w:t>Q4</w:t>
      </w:r>
      <w:r>
        <w:rPr>
          <w:spacing w:val="-6"/>
          <w:sz w:val="18"/>
        </w:rPr>
        <w:t> </w:t>
      </w:r>
      <w:r>
        <w:rPr>
          <w:sz w:val="18"/>
        </w:rPr>
        <w:t>at around £3 billion, though somewhat lower than in Q3. On</w:t>
      </w:r>
      <w:r>
        <w:rPr>
          <w:spacing w:val="1"/>
          <w:sz w:val="18"/>
        </w:rPr>
        <w:t> </w:t>
      </w:r>
      <w:r>
        <w:rPr>
          <w:sz w:val="18"/>
        </w:rPr>
        <w:t>this</w:t>
      </w:r>
    </w:p>
    <w:p>
      <w:pPr>
        <w:spacing w:after="0" w:line="232" w:lineRule="auto"/>
        <w:jc w:val="left"/>
        <w:rPr>
          <w:sz w:val="18"/>
        </w:rPr>
        <w:sectPr>
          <w:type w:val="continuous"/>
          <w:pgSz w:w="11900" w:h="16840"/>
          <w:pgMar w:top="1220" w:bottom="280" w:left="640" w:right="620"/>
          <w:cols w:num="2" w:equalWidth="0">
            <w:col w:w="5123" w:space="270"/>
            <w:col w:w="5247"/>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4"/>
        <w:rPr>
          <w:sz w:val="21"/>
        </w:rPr>
      </w:pPr>
    </w:p>
    <w:p>
      <w:pPr>
        <w:pStyle w:val="BodyText"/>
        <w:spacing w:line="232" w:lineRule="auto" w:before="1"/>
        <w:ind w:left="165" w:right="90"/>
      </w:pPr>
      <w:r>
        <w:rPr/>
        <w:t>basis, total real lending for consumption (real mortgage equity withdrawal plus real unsecured lending) was estimated to have been higher in the second half of 1999 than at any time since 1990.</w:t>
      </w:r>
    </w:p>
    <w:p>
      <w:pPr>
        <w:pStyle w:val="BodyText"/>
        <w:spacing w:before="2"/>
        <w:rPr>
          <w:sz w:val="17"/>
        </w:rPr>
      </w:pPr>
    </w:p>
    <w:p>
      <w:pPr>
        <w:pStyle w:val="ListParagraph"/>
        <w:numPr>
          <w:ilvl w:val="0"/>
          <w:numId w:val="48"/>
        </w:numPr>
        <w:tabs>
          <w:tab w:pos="645" w:val="left" w:leader="none"/>
          <w:tab w:pos="646" w:val="left" w:leader="none"/>
        </w:tabs>
        <w:spacing w:line="232" w:lineRule="auto" w:before="0" w:after="0"/>
        <w:ind w:left="165" w:right="38" w:firstLine="0"/>
        <w:jc w:val="left"/>
        <w:rPr>
          <w:sz w:val="18"/>
        </w:rPr>
      </w:pPr>
      <w:r>
        <w:rPr>
          <w:sz w:val="18"/>
        </w:rPr>
        <w:t>Bank borrowing by PNFCs minus PNFCs’ M4 deposits had risen again in January, through lower deposits rather than higher lending. PNFCs’ M4 deposits had decreased by £2.8 billion in January; PNFCs’ M4 lending (excluding the effects of securitisations) had fallen by £0.1 billion. Non-bank borrowing by PNFCs</w:t>
      </w:r>
      <w:r>
        <w:rPr>
          <w:spacing w:val="-5"/>
          <w:sz w:val="18"/>
        </w:rPr>
        <w:t> </w:t>
      </w:r>
      <w:r>
        <w:rPr>
          <w:sz w:val="18"/>
        </w:rPr>
        <w:t>had</w:t>
      </w:r>
      <w:r>
        <w:rPr>
          <w:spacing w:val="-4"/>
          <w:sz w:val="18"/>
        </w:rPr>
        <w:t> </w:t>
      </w:r>
      <w:r>
        <w:rPr>
          <w:sz w:val="18"/>
        </w:rPr>
        <w:t>also</w:t>
      </w:r>
      <w:r>
        <w:rPr>
          <w:spacing w:val="-4"/>
          <w:sz w:val="18"/>
        </w:rPr>
        <w:t> </w:t>
      </w:r>
      <w:r>
        <w:rPr>
          <w:sz w:val="18"/>
        </w:rPr>
        <w:t>been</w:t>
      </w:r>
      <w:r>
        <w:rPr>
          <w:spacing w:val="-5"/>
          <w:sz w:val="18"/>
        </w:rPr>
        <w:t> </w:t>
      </w:r>
      <w:r>
        <w:rPr>
          <w:sz w:val="18"/>
        </w:rPr>
        <w:t>relatively</w:t>
      </w:r>
      <w:r>
        <w:rPr>
          <w:spacing w:val="-4"/>
          <w:sz w:val="18"/>
        </w:rPr>
        <w:t> </w:t>
      </w:r>
      <w:r>
        <w:rPr>
          <w:sz w:val="18"/>
        </w:rPr>
        <w:t>strong</w:t>
      </w:r>
      <w:r>
        <w:rPr>
          <w:spacing w:val="-4"/>
          <w:sz w:val="18"/>
        </w:rPr>
        <w:t> </w:t>
      </w:r>
      <w:r>
        <w:rPr>
          <w:sz w:val="18"/>
        </w:rPr>
        <w:t>in</w:t>
      </w:r>
      <w:r>
        <w:rPr>
          <w:spacing w:val="-5"/>
          <w:sz w:val="18"/>
        </w:rPr>
        <w:t> </w:t>
      </w:r>
      <w:r>
        <w:rPr>
          <w:sz w:val="18"/>
        </w:rPr>
        <w:t>the</w:t>
      </w:r>
      <w:r>
        <w:rPr>
          <w:spacing w:val="-4"/>
          <w:sz w:val="18"/>
        </w:rPr>
        <w:t> </w:t>
      </w:r>
      <w:r>
        <w:rPr>
          <w:sz w:val="18"/>
        </w:rPr>
        <w:t>first</w:t>
      </w:r>
      <w:r>
        <w:rPr>
          <w:spacing w:val="-4"/>
          <w:sz w:val="18"/>
        </w:rPr>
        <w:t> </w:t>
      </w:r>
      <w:r>
        <w:rPr>
          <w:sz w:val="18"/>
        </w:rPr>
        <w:t>two</w:t>
      </w:r>
      <w:r>
        <w:rPr>
          <w:spacing w:val="-5"/>
          <w:sz w:val="18"/>
        </w:rPr>
        <w:t> </w:t>
      </w:r>
      <w:r>
        <w:rPr>
          <w:sz w:val="18"/>
        </w:rPr>
        <w:t>months</w:t>
      </w:r>
      <w:r>
        <w:rPr>
          <w:spacing w:val="-4"/>
          <w:sz w:val="18"/>
        </w:rPr>
        <w:t> </w:t>
      </w:r>
      <w:r>
        <w:rPr>
          <w:sz w:val="18"/>
        </w:rPr>
        <w:t>of</w:t>
      </w:r>
      <w:r>
        <w:rPr>
          <w:spacing w:val="-4"/>
          <w:sz w:val="18"/>
        </w:rPr>
        <w:t> </w:t>
      </w:r>
      <w:r>
        <w:rPr>
          <w:sz w:val="18"/>
        </w:rPr>
        <w:t>the year. Strong net borrowing in recent months had been consistent with higher corporate expenditure relative to internal</w:t>
      </w:r>
      <w:r>
        <w:rPr>
          <w:spacing w:val="-22"/>
          <w:sz w:val="18"/>
        </w:rPr>
        <w:t> </w:t>
      </w:r>
      <w:r>
        <w:rPr>
          <w:sz w:val="18"/>
        </w:rPr>
        <w:t>funds.</w:t>
      </w:r>
    </w:p>
    <w:p>
      <w:pPr>
        <w:pStyle w:val="BodyText"/>
        <w:spacing w:before="9"/>
        <w:rPr>
          <w:sz w:val="16"/>
        </w:rPr>
      </w:pPr>
    </w:p>
    <w:p>
      <w:pPr>
        <w:pStyle w:val="ListParagraph"/>
        <w:numPr>
          <w:ilvl w:val="0"/>
          <w:numId w:val="48"/>
        </w:numPr>
        <w:tabs>
          <w:tab w:pos="645" w:val="left" w:leader="none"/>
          <w:tab w:pos="646" w:val="left" w:leader="none"/>
        </w:tabs>
        <w:spacing w:line="232" w:lineRule="auto" w:before="1" w:after="0"/>
        <w:ind w:left="165" w:right="174" w:firstLine="0"/>
        <w:jc w:val="left"/>
        <w:rPr>
          <w:sz w:val="18"/>
        </w:rPr>
      </w:pPr>
      <w:r>
        <w:rPr>
          <w:sz w:val="18"/>
        </w:rPr>
        <w:t>Since the previous MPC meeting, interest rate expectations about</w:t>
      </w:r>
      <w:r>
        <w:rPr>
          <w:spacing w:val="-5"/>
          <w:sz w:val="18"/>
        </w:rPr>
        <w:t> </w:t>
      </w:r>
      <w:r>
        <w:rPr>
          <w:sz w:val="18"/>
        </w:rPr>
        <w:t>the</w:t>
      </w:r>
      <w:r>
        <w:rPr>
          <w:spacing w:val="-5"/>
          <w:sz w:val="18"/>
        </w:rPr>
        <w:t> </w:t>
      </w:r>
      <w:r>
        <w:rPr>
          <w:sz w:val="18"/>
        </w:rPr>
        <w:t>immediate</w:t>
      </w:r>
      <w:r>
        <w:rPr>
          <w:spacing w:val="-4"/>
          <w:sz w:val="18"/>
        </w:rPr>
        <w:t> </w:t>
      </w:r>
      <w:r>
        <w:rPr>
          <w:sz w:val="18"/>
        </w:rPr>
        <w:t>future</w:t>
      </w:r>
      <w:r>
        <w:rPr>
          <w:spacing w:val="-5"/>
          <w:sz w:val="18"/>
        </w:rPr>
        <w:t> </w:t>
      </w:r>
      <w:r>
        <w:rPr>
          <w:sz w:val="18"/>
        </w:rPr>
        <w:t>as</w:t>
      </w:r>
      <w:r>
        <w:rPr>
          <w:spacing w:val="-4"/>
          <w:sz w:val="18"/>
        </w:rPr>
        <w:t> </w:t>
      </w:r>
      <w:r>
        <w:rPr>
          <w:sz w:val="18"/>
        </w:rPr>
        <w:t>measured</w:t>
      </w:r>
      <w:r>
        <w:rPr>
          <w:spacing w:val="-5"/>
          <w:sz w:val="18"/>
        </w:rPr>
        <w:t> </w:t>
      </w:r>
      <w:r>
        <w:rPr>
          <w:sz w:val="18"/>
        </w:rPr>
        <w:t>by</w:t>
      </w:r>
      <w:r>
        <w:rPr>
          <w:spacing w:val="-4"/>
          <w:sz w:val="18"/>
        </w:rPr>
        <w:t> </w:t>
      </w:r>
      <w:r>
        <w:rPr>
          <w:sz w:val="18"/>
        </w:rPr>
        <w:t>the</w:t>
      </w:r>
      <w:r>
        <w:rPr>
          <w:spacing w:val="-5"/>
          <w:sz w:val="18"/>
        </w:rPr>
        <w:t> </w:t>
      </w:r>
      <w:r>
        <w:rPr>
          <w:sz w:val="18"/>
        </w:rPr>
        <w:t>gilt</w:t>
      </w:r>
      <w:r>
        <w:rPr>
          <w:spacing w:val="-4"/>
          <w:sz w:val="18"/>
        </w:rPr>
        <w:t> </w:t>
      </w:r>
      <w:r>
        <w:rPr>
          <w:sz w:val="18"/>
        </w:rPr>
        <w:t>repo</w:t>
      </w:r>
      <w:r>
        <w:rPr>
          <w:spacing w:val="-5"/>
          <w:sz w:val="18"/>
        </w:rPr>
        <w:t> </w:t>
      </w:r>
      <w:r>
        <w:rPr>
          <w:sz w:val="18"/>
        </w:rPr>
        <w:t>curve</w:t>
      </w:r>
      <w:r>
        <w:rPr>
          <w:spacing w:val="-4"/>
          <w:sz w:val="18"/>
        </w:rPr>
        <w:t> </w:t>
      </w:r>
      <w:r>
        <w:rPr>
          <w:sz w:val="18"/>
        </w:rPr>
        <w:t>had remained unchanged, but expectations at longer maturities had fallen by around 40 basis points. Over the month, long-term UK yields had moved particularly closely with US bonds. UK corporate bond yields had fallen in line with gilt yields providing continued incentives for companies to issue debt. The February rate rise had been fully passed through to the average standard variable mortgage rate, but there had been a continued trend for lenders to provide greater discounts for new</w:t>
      </w:r>
      <w:r>
        <w:rPr>
          <w:spacing w:val="-19"/>
          <w:sz w:val="18"/>
        </w:rPr>
        <w:t> </w:t>
      </w:r>
      <w:r>
        <w:rPr>
          <w:sz w:val="18"/>
        </w:rPr>
        <w:t>mortgages.</w:t>
      </w:r>
    </w:p>
    <w:p>
      <w:pPr>
        <w:pStyle w:val="BodyText"/>
        <w:spacing w:before="8"/>
        <w:rPr>
          <w:sz w:val="16"/>
        </w:rPr>
      </w:pPr>
    </w:p>
    <w:p>
      <w:pPr>
        <w:pStyle w:val="ListParagraph"/>
        <w:numPr>
          <w:ilvl w:val="0"/>
          <w:numId w:val="48"/>
        </w:numPr>
        <w:tabs>
          <w:tab w:pos="645" w:val="left" w:leader="none"/>
          <w:tab w:pos="646" w:val="left" w:leader="none"/>
        </w:tabs>
        <w:spacing w:line="232" w:lineRule="auto" w:before="0" w:after="0"/>
        <w:ind w:left="165" w:right="63" w:firstLine="0"/>
        <w:jc w:val="left"/>
        <w:rPr>
          <w:sz w:val="18"/>
        </w:rPr>
      </w:pPr>
      <w:r>
        <w:rPr>
          <w:sz w:val="18"/>
        </w:rPr>
        <w:t>A fall in real forward interest rates derived from the yield curve had accounted for the fall in nominal forward rates at the long end. At shorter maturities the fall in nominal forward rates had been attributed to a fall in inflation expectations. Survey-based measures of inflation expectations for the next couple of years had remained below</w:t>
      </w:r>
      <w:r>
        <w:rPr>
          <w:spacing w:val="-3"/>
          <w:sz w:val="18"/>
        </w:rPr>
        <w:t> </w:t>
      </w:r>
      <w:r>
        <w:rPr>
          <w:sz w:val="18"/>
        </w:rPr>
        <w:t>2.5%.</w:t>
      </w:r>
    </w:p>
    <w:p>
      <w:pPr>
        <w:pStyle w:val="BodyText"/>
        <w:rPr>
          <w:sz w:val="17"/>
        </w:rPr>
      </w:pPr>
    </w:p>
    <w:p>
      <w:pPr>
        <w:pStyle w:val="ListParagraph"/>
        <w:numPr>
          <w:ilvl w:val="0"/>
          <w:numId w:val="48"/>
        </w:numPr>
        <w:tabs>
          <w:tab w:pos="645" w:val="left" w:leader="none"/>
          <w:tab w:pos="646" w:val="left" w:leader="none"/>
        </w:tabs>
        <w:spacing w:line="232" w:lineRule="auto" w:before="0" w:after="0"/>
        <w:ind w:left="165" w:right="102" w:firstLine="0"/>
        <w:jc w:val="left"/>
        <w:rPr>
          <w:sz w:val="18"/>
        </w:rPr>
      </w:pPr>
      <w:r>
        <w:rPr>
          <w:sz w:val="18"/>
        </w:rPr>
        <w:t>The FTSE All-Share index had risen by 3.2% since the previous MPC meeting, while the FTSE Small Cap index had risen by 10.6%. Since October 1999, the FTSE IT sector had more than doubled in value.</w:t>
      </w:r>
    </w:p>
    <w:p>
      <w:pPr>
        <w:pStyle w:val="BodyText"/>
        <w:spacing w:before="1"/>
        <w:rPr>
          <w:sz w:val="17"/>
        </w:rPr>
      </w:pPr>
    </w:p>
    <w:p>
      <w:pPr>
        <w:pStyle w:val="ListParagraph"/>
        <w:numPr>
          <w:ilvl w:val="0"/>
          <w:numId w:val="48"/>
        </w:numPr>
        <w:tabs>
          <w:tab w:pos="645" w:val="left" w:leader="none"/>
          <w:tab w:pos="646" w:val="left" w:leader="none"/>
        </w:tabs>
        <w:spacing w:line="232" w:lineRule="auto" w:before="0" w:after="0"/>
        <w:ind w:left="165" w:right="43" w:firstLine="0"/>
        <w:jc w:val="left"/>
        <w:rPr>
          <w:sz w:val="18"/>
        </w:rPr>
      </w:pPr>
      <w:r>
        <w:rPr>
          <w:sz w:val="18"/>
        </w:rPr>
        <w:t>Since the previous MPC meeting, sterling had appreciated by 1.6% against the euro, but depreciated by 1.7% against the dollar and by 3.8% against the yen. The sterling effective exchange rate index (ERI) had appreciated by 0.6% over the same period. Monetary news had been unable to explain bilateral exchange rate movements. The sterling ERI was 0.1% below the February </w:t>
      </w:r>
      <w:r>
        <w:rPr>
          <w:i/>
          <w:sz w:val="18"/>
        </w:rPr>
        <w:t>Inflation Report’s </w:t>
      </w:r>
      <w:r>
        <w:rPr>
          <w:sz w:val="18"/>
        </w:rPr>
        <w:t>modal</w:t>
      </w:r>
      <w:r>
        <w:rPr>
          <w:spacing w:val="-4"/>
          <w:sz w:val="18"/>
        </w:rPr>
        <w:t> </w:t>
      </w:r>
      <w:r>
        <w:rPr>
          <w:sz w:val="18"/>
        </w:rPr>
        <w:t>projection.</w:t>
      </w:r>
    </w:p>
    <w:p>
      <w:pPr>
        <w:pStyle w:val="BodyText"/>
        <w:spacing w:before="2"/>
        <w:rPr>
          <w:sz w:val="20"/>
        </w:rPr>
      </w:pPr>
    </w:p>
    <w:p>
      <w:pPr>
        <w:pStyle w:val="Heading8"/>
        <w:numPr>
          <w:ilvl w:val="0"/>
          <w:numId w:val="49"/>
        </w:numPr>
        <w:tabs>
          <w:tab w:pos="645" w:val="left" w:leader="none"/>
          <w:tab w:pos="646" w:val="left" w:leader="none"/>
        </w:tabs>
        <w:spacing w:line="240" w:lineRule="auto" w:before="0" w:after="0"/>
        <w:ind w:left="645" w:right="0" w:hanging="481"/>
        <w:jc w:val="left"/>
      </w:pPr>
      <w:r>
        <w:rPr>
          <w:color w:val="009391"/>
        </w:rPr>
        <w:t>Demand and</w:t>
      </w:r>
      <w:r>
        <w:rPr>
          <w:color w:val="009391"/>
          <w:spacing w:val="-3"/>
        </w:rPr>
        <w:t> </w:t>
      </w:r>
      <w:r>
        <w:rPr>
          <w:color w:val="009391"/>
        </w:rPr>
        <w:t>output</w:t>
      </w:r>
    </w:p>
    <w:p>
      <w:pPr>
        <w:pStyle w:val="ListParagraph"/>
        <w:numPr>
          <w:ilvl w:val="0"/>
          <w:numId w:val="48"/>
        </w:numPr>
        <w:tabs>
          <w:tab w:pos="645" w:val="left" w:leader="none"/>
          <w:tab w:pos="646" w:val="left" w:leader="none"/>
        </w:tabs>
        <w:spacing w:line="232" w:lineRule="auto" w:before="110" w:after="0"/>
        <w:ind w:left="165" w:right="108" w:firstLine="0"/>
        <w:jc w:val="left"/>
        <w:rPr>
          <w:sz w:val="18"/>
        </w:rPr>
      </w:pPr>
      <w:r>
        <w:rPr>
          <w:sz w:val="18"/>
        </w:rPr>
        <w:t>Quarterly GDP growth at constant market prices had been unrevised at 0.8% in 1999 Q4, though the annual growth rate had been revised up to 2.9% from 2.7%. Quarterly growth in 1999 Q3 had been revised up to 1.0% from 0.8%. Total industrial production had risen by 0.1% in 1999 Q4. Manufacturing output had grown by 0.5% in 1999 Q4, while service sector output had grown by 0.9%, unrevised from the preliminary estimate. Construction</w:t>
      </w:r>
      <w:r>
        <w:rPr>
          <w:spacing w:val="-6"/>
          <w:sz w:val="18"/>
        </w:rPr>
        <w:t> </w:t>
      </w:r>
      <w:r>
        <w:rPr>
          <w:sz w:val="18"/>
        </w:rPr>
        <w:t>output</w:t>
      </w:r>
      <w:r>
        <w:rPr>
          <w:spacing w:val="-5"/>
          <w:sz w:val="18"/>
        </w:rPr>
        <w:t> </w:t>
      </w:r>
      <w:r>
        <w:rPr>
          <w:sz w:val="18"/>
        </w:rPr>
        <w:t>had</w:t>
      </w:r>
      <w:r>
        <w:rPr>
          <w:spacing w:val="-6"/>
          <w:sz w:val="18"/>
        </w:rPr>
        <w:t> </w:t>
      </w:r>
      <w:r>
        <w:rPr>
          <w:sz w:val="18"/>
        </w:rPr>
        <w:t>grown</w:t>
      </w:r>
      <w:r>
        <w:rPr>
          <w:spacing w:val="-5"/>
          <w:sz w:val="18"/>
        </w:rPr>
        <w:t> </w:t>
      </w:r>
      <w:r>
        <w:rPr>
          <w:sz w:val="18"/>
        </w:rPr>
        <w:t>by</w:t>
      </w:r>
      <w:r>
        <w:rPr>
          <w:spacing w:val="-5"/>
          <w:sz w:val="18"/>
        </w:rPr>
        <w:t> </w:t>
      </w:r>
      <w:r>
        <w:rPr>
          <w:sz w:val="18"/>
        </w:rPr>
        <w:t>0.7%</w:t>
      </w:r>
      <w:r>
        <w:rPr>
          <w:spacing w:val="-6"/>
          <w:sz w:val="18"/>
        </w:rPr>
        <w:t> </w:t>
      </w:r>
      <w:r>
        <w:rPr>
          <w:sz w:val="18"/>
        </w:rPr>
        <w:t>and</w:t>
      </w:r>
      <w:r>
        <w:rPr>
          <w:spacing w:val="-5"/>
          <w:sz w:val="18"/>
        </w:rPr>
        <w:t> </w:t>
      </w:r>
      <w:r>
        <w:rPr>
          <w:sz w:val="18"/>
        </w:rPr>
        <w:t>agriculture</w:t>
      </w:r>
      <w:r>
        <w:rPr>
          <w:spacing w:val="-6"/>
          <w:sz w:val="18"/>
        </w:rPr>
        <w:t> </w:t>
      </w:r>
      <w:r>
        <w:rPr>
          <w:sz w:val="18"/>
        </w:rPr>
        <w:t>had</w:t>
      </w:r>
      <w:r>
        <w:rPr>
          <w:spacing w:val="-5"/>
          <w:sz w:val="18"/>
        </w:rPr>
        <w:t> </w:t>
      </w:r>
      <w:r>
        <w:rPr>
          <w:sz w:val="18"/>
        </w:rPr>
        <w:t>grown by an unusually strong</w:t>
      </w:r>
      <w:r>
        <w:rPr>
          <w:spacing w:val="-6"/>
          <w:sz w:val="18"/>
        </w:rPr>
        <w:t> </w:t>
      </w:r>
      <w:r>
        <w:rPr>
          <w:sz w:val="18"/>
        </w:rPr>
        <w:t>1.2%.</w:t>
      </w:r>
    </w:p>
    <w:p>
      <w:pPr>
        <w:pStyle w:val="BodyText"/>
        <w:spacing w:before="9"/>
        <w:rPr>
          <w:sz w:val="16"/>
        </w:rPr>
      </w:pPr>
    </w:p>
    <w:p>
      <w:pPr>
        <w:pStyle w:val="ListParagraph"/>
        <w:numPr>
          <w:ilvl w:val="0"/>
          <w:numId w:val="48"/>
        </w:numPr>
        <w:tabs>
          <w:tab w:pos="645" w:val="left" w:leader="none"/>
          <w:tab w:pos="646" w:val="left" w:leader="none"/>
        </w:tabs>
        <w:spacing w:line="232" w:lineRule="auto" w:before="0" w:after="0"/>
        <w:ind w:left="165" w:right="98" w:firstLine="0"/>
        <w:jc w:val="left"/>
        <w:rPr>
          <w:sz w:val="18"/>
        </w:rPr>
      </w:pPr>
      <w:r>
        <w:rPr>
          <w:sz w:val="18"/>
        </w:rPr>
        <w:t>The National Institute of Economic and Social Research had estimated that the three-month on three-month GDP growth rate had been 0.8% in</w:t>
      </w:r>
      <w:r>
        <w:rPr>
          <w:spacing w:val="-6"/>
          <w:sz w:val="18"/>
        </w:rPr>
        <w:t> </w:t>
      </w:r>
      <w:r>
        <w:rPr>
          <w:sz w:val="18"/>
        </w:rPr>
        <w:t>February.</w:t>
      </w:r>
    </w:p>
    <w:p>
      <w:pPr>
        <w:pStyle w:val="BodyText"/>
        <w:spacing w:before="2"/>
        <w:rPr>
          <w:sz w:val="17"/>
        </w:rPr>
      </w:pPr>
    </w:p>
    <w:p>
      <w:pPr>
        <w:pStyle w:val="ListParagraph"/>
        <w:numPr>
          <w:ilvl w:val="0"/>
          <w:numId w:val="48"/>
        </w:numPr>
        <w:tabs>
          <w:tab w:pos="645" w:val="left" w:leader="none"/>
          <w:tab w:pos="646" w:val="left" w:leader="none"/>
        </w:tabs>
        <w:spacing w:line="232" w:lineRule="auto" w:before="0" w:after="0"/>
        <w:ind w:left="165" w:right="233" w:firstLine="0"/>
        <w:jc w:val="left"/>
        <w:rPr>
          <w:sz w:val="18"/>
        </w:rPr>
      </w:pPr>
      <w:r>
        <w:rPr>
          <w:sz w:val="18"/>
        </w:rPr>
        <w:t>The expenditure breakdown of GDP showed that domestic demand had grown by 1.9% in Q4. Final domestic demand had grown by only 0.9%, however, as the change in inventories had contributed 1.0 percentage points to quarterly</w:t>
      </w:r>
      <w:r>
        <w:rPr>
          <w:spacing w:val="-16"/>
          <w:sz w:val="18"/>
        </w:rPr>
        <w:t> </w:t>
      </w:r>
      <w:r>
        <w:rPr>
          <w:sz w:val="18"/>
        </w:rPr>
        <w:t>growth.</w:t>
      </w:r>
    </w:p>
    <w:p>
      <w:pPr>
        <w:pStyle w:val="BodyText"/>
        <w:spacing w:before="1"/>
        <w:rPr>
          <w:sz w:val="17"/>
        </w:rPr>
      </w:pPr>
    </w:p>
    <w:p>
      <w:pPr>
        <w:pStyle w:val="ListParagraph"/>
        <w:numPr>
          <w:ilvl w:val="0"/>
          <w:numId w:val="48"/>
        </w:numPr>
        <w:tabs>
          <w:tab w:pos="645" w:val="left" w:leader="none"/>
          <w:tab w:pos="646" w:val="left" w:leader="none"/>
        </w:tabs>
        <w:spacing w:line="232" w:lineRule="auto" w:before="1" w:after="0"/>
        <w:ind w:left="165" w:right="53" w:firstLine="0"/>
        <w:jc w:val="left"/>
        <w:rPr>
          <w:sz w:val="18"/>
        </w:rPr>
      </w:pPr>
      <w:r>
        <w:rPr>
          <w:sz w:val="18"/>
        </w:rPr>
        <w:t>Private consumption (including that of non-profit institutions serving households) had grown by 0.8% in 1999 Q4. Private consumption had grown by 4.4% in the year to 1999 Q4, the highest growth rate since 1989 Q2. There had been significant upward revisions to consumption growth in the first half of 1999. This had reflected new data on alcohol spending: the level of consumption</w:t>
      </w:r>
      <w:r>
        <w:rPr>
          <w:spacing w:val="-5"/>
          <w:sz w:val="18"/>
        </w:rPr>
        <w:t> </w:t>
      </w:r>
      <w:r>
        <w:rPr>
          <w:sz w:val="18"/>
        </w:rPr>
        <w:t>in</w:t>
      </w:r>
      <w:r>
        <w:rPr>
          <w:spacing w:val="-5"/>
          <w:sz w:val="18"/>
        </w:rPr>
        <w:t> </w:t>
      </w:r>
      <w:r>
        <w:rPr>
          <w:sz w:val="18"/>
        </w:rPr>
        <w:t>1999</w:t>
      </w:r>
      <w:r>
        <w:rPr>
          <w:spacing w:val="-5"/>
          <w:sz w:val="18"/>
        </w:rPr>
        <w:t> </w:t>
      </w:r>
      <w:r>
        <w:rPr>
          <w:sz w:val="18"/>
        </w:rPr>
        <w:t>Q3</w:t>
      </w:r>
      <w:r>
        <w:rPr>
          <w:spacing w:val="-5"/>
          <w:sz w:val="18"/>
        </w:rPr>
        <w:t> </w:t>
      </w:r>
      <w:r>
        <w:rPr>
          <w:sz w:val="18"/>
        </w:rPr>
        <w:t>was</w:t>
      </w:r>
      <w:r>
        <w:rPr>
          <w:spacing w:val="-5"/>
          <w:sz w:val="18"/>
        </w:rPr>
        <w:t> </w:t>
      </w:r>
      <w:r>
        <w:rPr>
          <w:sz w:val="18"/>
        </w:rPr>
        <w:t>0.5%</w:t>
      </w:r>
      <w:r>
        <w:rPr>
          <w:spacing w:val="-4"/>
          <w:sz w:val="18"/>
        </w:rPr>
        <w:t> </w:t>
      </w:r>
      <w:r>
        <w:rPr>
          <w:sz w:val="18"/>
        </w:rPr>
        <w:t>higher</w:t>
      </w:r>
      <w:r>
        <w:rPr>
          <w:spacing w:val="-5"/>
          <w:sz w:val="18"/>
        </w:rPr>
        <w:t> </w:t>
      </w:r>
      <w:r>
        <w:rPr>
          <w:sz w:val="18"/>
        </w:rPr>
        <w:t>than</w:t>
      </w:r>
      <w:r>
        <w:rPr>
          <w:spacing w:val="-5"/>
          <w:sz w:val="18"/>
        </w:rPr>
        <w:t> </w:t>
      </w:r>
      <w:r>
        <w:rPr>
          <w:sz w:val="18"/>
        </w:rPr>
        <w:t>had</w:t>
      </w:r>
      <w:r>
        <w:rPr>
          <w:spacing w:val="-5"/>
          <w:sz w:val="18"/>
        </w:rPr>
        <w:t> </w:t>
      </w:r>
      <w:r>
        <w:rPr>
          <w:sz w:val="18"/>
        </w:rPr>
        <w:t>previously</w:t>
      </w:r>
      <w:r>
        <w:rPr>
          <w:spacing w:val="-5"/>
          <w:sz w:val="18"/>
        </w:rPr>
        <w:t> </w:t>
      </w:r>
      <w:r>
        <w:rPr>
          <w:sz w:val="18"/>
        </w:rPr>
        <w:t>been</w:t>
      </w:r>
    </w:p>
    <w:p>
      <w:pPr>
        <w:pStyle w:val="BodyText"/>
        <w:spacing w:before="4"/>
        <w:rPr>
          <w:sz w:val="21"/>
        </w:rPr>
      </w:pPr>
      <w:r>
        <w:rPr/>
        <w:br w:type="column"/>
      </w:r>
      <w:r>
        <w:rPr>
          <w:sz w:val="21"/>
        </w:rPr>
      </w:r>
    </w:p>
    <w:p>
      <w:pPr>
        <w:pStyle w:val="BodyText"/>
        <w:spacing w:line="232" w:lineRule="auto" w:before="1"/>
        <w:ind w:left="165" w:right="265"/>
      </w:pPr>
      <w:r>
        <w:rPr/>
        <w:t>thought. A complete breakdown of consumption for Q4 was not yet available. Government consumption had risen by 0.7% in Q4, unchanged from Q3. Total investment (including acquisitions less disposals of valuables) had grown by 1.7% in 1999 Q4. There had been significant revisions to investment growth in 1999: the revised level of total investment in 1999 Q3 was 1.1% higher than had previously been thought. Business investment had risen by 1.2% in Q4, and was 3.8% higher than a year earlier. Within this, manufacturing investment had fallen by 2.9% in Q4, while service sector investment had risen by 3.0%. Total company profits had fallen</w:t>
      </w:r>
      <w:r>
        <w:rPr>
          <w:spacing w:val="-4"/>
        </w:rPr>
        <w:t> </w:t>
      </w:r>
      <w:r>
        <w:rPr/>
        <w:t>by</w:t>
      </w:r>
      <w:r>
        <w:rPr>
          <w:spacing w:val="-4"/>
        </w:rPr>
        <w:t> </w:t>
      </w:r>
      <w:r>
        <w:rPr/>
        <w:t>0.3%</w:t>
      </w:r>
      <w:r>
        <w:rPr>
          <w:spacing w:val="-4"/>
        </w:rPr>
        <w:t> </w:t>
      </w:r>
      <w:r>
        <w:rPr/>
        <w:t>in</w:t>
      </w:r>
      <w:r>
        <w:rPr>
          <w:spacing w:val="-4"/>
        </w:rPr>
        <w:t> </w:t>
      </w:r>
      <w:r>
        <w:rPr/>
        <w:t>Q4,</w:t>
      </w:r>
      <w:r>
        <w:rPr>
          <w:spacing w:val="-4"/>
        </w:rPr>
        <w:t> </w:t>
      </w:r>
      <w:r>
        <w:rPr/>
        <w:t>but</w:t>
      </w:r>
      <w:r>
        <w:rPr>
          <w:spacing w:val="-4"/>
        </w:rPr>
        <w:t> </w:t>
      </w:r>
      <w:r>
        <w:rPr/>
        <w:t>were</w:t>
      </w:r>
      <w:r>
        <w:rPr>
          <w:spacing w:val="-4"/>
        </w:rPr>
        <w:t> </w:t>
      </w:r>
      <w:r>
        <w:rPr/>
        <w:t>8.0%</w:t>
      </w:r>
      <w:r>
        <w:rPr>
          <w:spacing w:val="-3"/>
        </w:rPr>
        <w:t> </w:t>
      </w:r>
      <w:r>
        <w:rPr/>
        <w:t>higher</w:t>
      </w:r>
      <w:r>
        <w:rPr>
          <w:spacing w:val="-4"/>
        </w:rPr>
        <w:t> </w:t>
      </w:r>
      <w:r>
        <w:rPr/>
        <w:t>than</w:t>
      </w:r>
      <w:r>
        <w:rPr>
          <w:spacing w:val="-4"/>
        </w:rPr>
        <w:t> </w:t>
      </w:r>
      <w:r>
        <w:rPr/>
        <w:t>a</w:t>
      </w:r>
      <w:r>
        <w:rPr>
          <w:spacing w:val="-4"/>
        </w:rPr>
        <w:t> </w:t>
      </w:r>
      <w:r>
        <w:rPr/>
        <w:t>year</w:t>
      </w:r>
      <w:r>
        <w:rPr>
          <w:spacing w:val="-4"/>
        </w:rPr>
        <w:t> </w:t>
      </w:r>
      <w:r>
        <w:rPr/>
        <w:t>earlier,</w:t>
      </w:r>
      <w:r>
        <w:rPr>
          <w:spacing w:val="-4"/>
        </w:rPr>
        <w:t> </w:t>
      </w:r>
      <w:r>
        <w:rPr/>
        <w:t>and corporation tax data had also suggested that company profits had improved.</w:t>
      </w:r>
    </w:p>
    <w:p>
      <w:pPr>
        <w:pStyle w:val="BodyText"/>
        <w:spacing w:before="5"/>
        <w:rPr>
          <w:sz w:val="16"/>
        </w:rPr>
      </w:pPr>
    </w:p>
    <w:p>
      <w:pPr>
        <w:pStyle w:val="ListParagraph"/>
        <w:numPr>
          <w:ilvl w:val="0"/>
          <w:numId w:val="48"/>
        </w:numPr>
        <w:tabs>
          <w:tab w:pos="645" w:val="left" w:leader="none"/>
          <w:tab w:pos="646" w:val="left" w:leader="none"/>
        </w:tabs>
        <w:spacing w:line="232" w:lineRule="auto" w:before="1" w:after="0"/>
        <w:ind w:left="165" w:right="234" w:firstLine="0"/>
        <w:jc w:val="left"/>
        <w:rPr>
          <w:sz w:val="18"/>
        </w:rPr>
      </w:pPr>
      <w:r>
        <w:rPr>
          <w:sz w:val="18"/>
        </w:rPr>
        <w:t>Inventories had made a positive contribution to GDP growth in 1999 Q4. Including the alignment adjustment, inventories had risen by £0.6 billion in Q4, compared with a fall of £1.3 billion in Q3. The CBI Monthly Trends survey in February had reported that manufacturers still perceived their stocks to be more than adequate, though the balance was below the long-run average. Other surveys had pointed to a drawing down of stocks since the new</w:t>
      </w:r>
      <w:r>
        <w:rPr>
          <w:spacing w:val="-29"/>
          <w:sz w:val="18"/>
        </w:rPr>
        <w:t> </w:t>
      </w:r>
      <w:r>
        <w:rPr>
          <w:sz w:val="18"/>
        </w:rPr>
        <w:t>year.</w:t>
      </w:r>
    </w:p>
    <w:p>
      <w:pPr>
        <w:pStyle w:val="BodyText"/>
        <w:spacing w:before="10"/>
        <w:rPr>
          <w:sz w:val="16"/>
        </w:rPr>
      </w:pPr>
    </w:p>
    <w:p>
      <w:pPr>
        <w:pStyle w:val="ListParagraph"/>
        <w:numPr>
          <w:ilvl w:val="0"/>
          <w:numId w:val="48"/>
        </w:numPr>
        <w:tabs>
          <w:tab w:pos="645" w:val="left" w:leader="none"/>
          <w:tab w:pos="646" w:val="left" w:leader="none"/>
        </w:tabs>
        <w:spacing w:line="232" w:lineRule="auto" w:before="0" w:after="0"/>
        <w:ind w:left="165" w:right="270" w:firstLine="0"/>
        <w:jc w:val="left"/>
        <w:rPr>
          <w:sz w:val="18"/>
        </w:rPr>
      </w:pPr>
      <w:r>
        <w:rPr>
          <w:sz w:val="18"/>
        </w:rPr>
        <w:t>Net trade had contributed -1.2 percentage points to GDP growth in 1999 Q4, the first negative quarterly contribution since 1999 Q1. Total exports of goods and services had fallen by 1.6%, while imports had grown by 1.8%. Exports of goods to non-EU countries</w:t>
      </w:r>
      <w:r>
        <w:rPr>
          <w:spacing w:val="-5"/>
          <w:sz w:val="18"/>
        </w:rPr>
        <w:t> </w:t>
      </w:r>
      <w:r>
        <w:rPr>
          <w:sz w:val="18"/>
        </w:rPr>
        <w:t>had</w:t>
      </w:r>
      <w:r>
        <w:rPr>
          <w:spacing w:val="-5"/>
          <w:sz w:val="18"/>
        </w:rPr>
        <w:t> </w:t>
      </w:r>
      <w:r>
        <w:rPr>
          <w:sz w:val="18"/>
        </w:rPr>
        <w:t>fallen</w:t>
      </w:r>
      <w:r>
        <w:rPr>
          <w:spacing w:val="-5"/>
          <w:sz w:val="18"/>
        </w:rPr>
        <w:t> </w:t>
      </w:r>
      <w:r>
        <w:rPr>
          <w:sz w:val="18"/>
        </w:rPr>
        <w:t>by</w:t>
      </w:r>
      <w:r>
        <w:rPr>
          <w:spacing w:val="-4"/>
          <w:sz w:val="18"/>
        </w:rPr>
        <w:t> </w:t>
      </w:r>
      <w:r>
        <w:rPr>
          <w:sz w:val="18"/>
        </w:rPr>
        <w:t>5.4%</w:t>
      </w:r>
      <w:r>
        <w:rPr>
          <w:spacing w:val="-5"/>
          <w:sz w:val="18"/>
        </w:rPr>
        <w:t> </w:t>
      </w:r>
      <w:r>
        <w:rPr>
          <w:sz w:val="18"/>
        </w:rPr>
        <w:t>in</w:t>
      </w:r>
      <w:r>
        <w:rPr>
          <w:spacing w:val="-5"/>
          <w:sz w:val="18"/>
        </w:rPr>
        <w:t> </w:t>
      </w:r>
      <w:r>
        <w:rPr>
          <w:sz w:val="18"/>
        </w:rPr>
        <w:t>Q4,</w:t>
      </w:r>
      <w:r>
        <w:rPr>
          <w:spacing w:val="-5"/>
          <w:sz w:val="18"/>
        </w:rPr>
        <w:t> </w:t>
      </w:r>
      <w:r>
        <w:rPr>
          <w:sz w:val="18"/>
        </w:rPr>
        <w:t>partly</w:t>
      </w:r>
      <w:r>
        <w:rPr>
          <w:spacing w:val="-4"/>
          <w:sz w:val="18"/>
        </w:rPr>
        <w:t> </w:t>
      </w:r>
      <w:r>
        <w:rPr>
          <w:sz w:val="18"/>
        </w:rPr>
        <w:t>reversing</w:t>
      </w:r>
      <w:r>
        <w:rPr>
          <w:spacing w:val="-5"/>
          <w:sz w:val="18"/>
        </w:rPr>
        <w:t> </w:t>
      </w:r>
      <w:r>
        <w:rPr>
          <w:sz w:val="18"/>
        </w:rPr>
        <w:t>the</w:t>
      </w:r>
      <w:r>
        <w:rPr>
          <w:spacing w:val="-5"/>
          <w:sz w:val="18"/>
        </w:rPr>
        <w:t> </w:t>
      </w:r>
      <w:r>
        <w:rPr>
          <w:sz w:val="18"/>
        </w:rPr>
        <w:t>increase</w:t>
      </w:r>
      <w:r>
        <w:rPr>
          <w:spacing w:val="-5"/>
          <w:sz w:val="18"/>
        </w:rPr>
        <w:t> </w:t>
      </w:r>
      <w:r>
        <w:rPr>
          <w:sz w:val="18"/>
        </w:rPr>
        <w:t>in Q3.</w:t>
      </w:r>
    </w:p>
    <w:p>
      <w:pPr>
        <w:pStyle w:val="BodyText"/>
        <w:rPr>
          <w:sz w:val="17"/>
        </w:rPr>
      </w:pPr>
    </w:p>
    <w:p>
      <w:pPr>
        <w:pStyle w:val="ListParagraph"/>
        <w:numPr>
          <w:ilvl w:val="0"/>
          <w:numId w:val="48"/>
        </w:numPr>
        <w:tabs>
          <w:tab w:pos="645" w:val="left" w:leader="none"/>
          <w:tab w:pos="646" w:val="left" w:leader="none"/>
        </w:tabs>
        <w:spacing w:line="232" w:lineRule="auto" w:before="0" w:after="0"/>
        <w:ind w:left="165" w:right="360" w:firstLine="0"/>
        <w:jc w:val="left"/>
        <w:rPr>
          <w:sz w:val="18"/>
        </w:rPr>
      </w:pPr>
      <w:r>
        <w:rPr>
          <w:sz w:val="18"/>
        </w:rPr>
        <w:t>Turning to indicators of Q1 activity, manufacturing output had fallen by 0.4% in January. Retail sales volumes had risen by 1.5% in January, consistent with the British Retail Consortium (BRC) survey. Growth in retail sales volumes had continued to exceed that of retail sales values. The CBI Distributive Trades survey had shown a total balance of +47 retailing respondents reporting higher sales in February compared with a year ago, up from +29 in January, and further growth had been expected in March. The MORI measure of consumer confidence had fallen sharply to -10 in February and the GfK confidence index (which had a bigger sample and had historically been less volatile) had fallen a little to +3.1, though confidence about households’ own situation remained firm. Private new car registrations in the three months to February had fallen by 12.4% on a year earlier. Total new registrations had fallen by 5.2% over the same</w:t>
      </w:r>
      <w:r>
        <w:rPr>
          <w:spacing w:val="-26"/>
          <w:sz w:val="18"/>
        </w:rPr>
        <w:t> </w:t>
      </w:r>
      <w:r>
        <w:rPr>
          <w:sz w:val="18"/>
        </w:rPr>
        <w:t>period.</w:t>
      </w:r>
    </w:p>
    <w:p>
      <w:pPr>
        <w:pStyle w:val="BodyText"/>
        <w:spacing w:before="4"/>
        <w:rPr>
          <w:sz w:val="16"/>
        </w:rPr>
      </w:pPr>
    </w:p>
    <w:p>
      <w:pPr>
        <w:pStyle w:val="ListParagraph"/>
        <w:numPr>
          <w:ilvl w:val="0"/>
          <w:numId w:val="48"/>
        </w:numPr>
        <w:tabs>
          <w:tab w:pos="645" w:val="left" w:leader="none"/>
          <w:tab w:pos="646" w:val="left" w:leader="none"/>
        </w:tabs>
        <w:spacing w:line="232" w:lineRule="auto" w:before="0" w:after="0"/>
        <w:ind w:left="165" w:right="219" w:firstLine="0"/>
        <w:jc w:val="left"/>
        <w:rPr>
          <w:sz w:val="18"/>
        </w:rPr>
      </w:pPr>
      <w:r>
        <w:rPr>
          <w:sz w:val="18"/>
        </w:rPr>
        <w:t>The housing data had been mixed in February. The Halifax house price index had fallen by 0.9%, but the Nationwide measure had risen by 2.2%. Annual house price inflation had remained high at 15.0% on both measures. Particulars delivered had increased by 5.4% in January and the annual growth rate had risen to 20.4%. Private</w:t>
      </w:r>
      <w:r>
        <w:rPr>
          <w:spacing w:val="-5"/>
          <w:sz w:val="18"/>
        </w:rPr>
        <w:t> </w:t>
      </w:r>
      <w:r>
        <w:rPr>
          <w:sz w:val="18"/>
        </w:rPr>
        <w:t>housing</w:t>
      </w:r>
      <w:r>
        <w:rPr>
          <w:spacing w:val="-4"/>
          <w:sz w:val="18"/>
        </w:rPr>
        <w:t> </w:t>
      </w:r>
      <w:r>
        <w:rPr>
          <w:sz w:val="18"/>
        </w:rPr>
        <w:t>starts</w:t>
      </w:r>
      <w:r>
        <w:rPr>
          <w:spacing w:val="-4"/>
          <w:sz w:val="18"/>
        </w:rPr>
        <w:t> </w:t>
      </w:r>
      <w:r>
        <w:rPr>
          <w:sz w:val="18"/>
        </w:rPr>
        <w:t>and</w:t>
      </w:r>
      <w:r>
        <w:rPr>
          <w:spacing w:val="-4"/>
          <w:sz w:val="18"/>
        </w:rPr>
        <w:t> </w:t>
      </w:r>
      <w:r>
        <w:rPr>
          <w:sz w:val="18"/>
        </w:rPr>
        <w:t>completions</w:t>
      </w:r>
      <w:r>
        <w:rPr>
          <w:spacing w:val="-4"/>
          <w:sz w:val="18"/>
        </w:rPr>
        <w:t> </w:t>
      </w:r>
      <w:r>
        <w:rPr>
          <w:sz w:val="18"/>
        </w:rPr>
        <w:t>had</w:t>
      </w:r>
      <w:r>
        <w:rPr>
          <w:spacing w:val="-5"/>
          <w:sz w:val="18"/>
        </w:rPr>
        <w:t> </w:t>
      </w:r>
      <w:r>
        <w:rPr>
          <w:sz w:val="18"/>
        </w:rPr>
        <w:t>both</w:t>
      </w:r>
      <w:r>
        <w:rPr>
          <w:spacing w:val="-4"/>
          <w:sz w:val="18"/>
        </w:rPr>
        <w:t> </w:t>
      </w:r>
      <w:r>
        <w:rPr>
          <w:sz w:val="18"/>
        </w:rPr>
        <w:t>risen</w:t>
      </w:r>
      <w:r>
        <w:rPr>
          <w:spacing w:val="-4"/>
          <w:sz w:val="18"/>
        </w:rPr>
        <w:t> </w:t>
      </w:r>
      <w:r>
        <w:rPr>
          <w:sz w:val="18"/>
        </w:rPr>
        <w:t>in</w:t>
      </w:r>
      <w:r>
        <w:rPr>
          <w:spacing w:val="-4"/>
          <w:sz w:val="18"/>
        </w:rPr>
        <w:t> </w:t>
      </w:r>
      <w:r>
        <w:rPr>
          <w:sz w:val="18"/>
        </w:rPr>
        <w:t>January.</w:t>
      </w:r>
    </w:p>
    <w:p>
      <w:pPr>
        <w:pStyle w:val="BodyText"/>
        <w:spacing w:before="6"/>
        <w:rPr>
          <w:sz w:val="16"/>
        </w:rPr>
      </w:pPr>
    </w:p>
    <w:p>
      <w:pPr>
        <w:pStyle w:val="ListParagraph"/>
        <w:numPr>
          <w:ilvl w:val="0"/>
          <w:numId w:val="48"/>
        </w:numPr>
        <w:tabs>
          <w:tab w:pos="645" w:val="left" w:leader="none"/>
          <w:tab w:pos="646" w:val="left" w:leader="none"/>
        </w:tabs>
        <w:spacing w:line="203" w:lineRule="exact" w:before="1" w:after="0"/>
        <w:ind w:left="645" w:right="0" w:hanging="481"/>
        <w:jc w:val="left"/>
        <w:rPr>
          <w:sz w:val="18"/>
        </w:rPr>
      </w:pPr>
      <w:r>
        <w:rPr>
          <w:sz w:val="18"/>
        </w:rPr>
        <w:t>The</w:t>
      </w:r>
      <w:r>
        <w:rPr>
          <w:spacing w:val="-6"/>
          <w:sz w:val="18"/>
        </w:rPr>
        <w:t> </w:t>
      </w:r>
      <w:r>
        <w:rPr>
          <w:sz w:val="18"/>
        </w:rPr>
        <w:t>public</w:t>
      </w:r>
      <w:r>
        <w:rPr>
          <w:spacing w:val="-6"/>
          <w:sz w:val="18"/>
        </w:rPr>
        <w:t> </w:t>
      </w:r>
      <w:r>
        <w:rPr>
          <w:sz w:val="18"/>
        </w:rPr>
        <w:t>sector</w:t>
      </w:r>
      <w:r>
        <w:rPr>
          <w:spacing w:val="-6"/>
          <w:sz w:val="18"/>
        </w:rPr>
        <w:t> </w:t>
      </w:r>
      <w:r>
        <w:rPr>
          <w:sz w:val="18"/>
        </w:rPr>
        <w:t>net</w:t>
      </w:r>
      <w:r>
        <w:rPr>
          <w:spacing w:val="-5"/>
          <w:sz w:val="18"/>
        </w:rPr>
        <w:t> </w:t>
      </w:r>
      <w:r>
        <w:rPr>
          <w:sz w:val="18"/>
        </w:rPr>
        <w:t>cash</w:t>
      </w:r>
      <w:r>
        <w:rPr>
          <w:spacing w:val="-6"/>
          <w:sz w:val="18"/>
        </w:rPr>
        <w:t> </w:t>
      </w:r>
      <w:r>
        <w:rPr>
          <w:sz w:val="18"/>
        </w:rPr>
        <w:t>requirement</w:t>
      </w:r>
      <w:r>
        <w:rPr>
          <w:spacing w:val="-6"/>
          <w:sz w:val="18"/>
        </w:rPr>
        <w:t> </w:t>
      </w:r>
      <w:r>
        <w:rPr>
          <w:sz w:val="18"/>
        </w:rPr>
        <w:t>had</w:t>
      </w:r>
      <w:r>
        <w:rPr>
          <w:spacing w:val="-5"/>
          <w:sz w:val="18"/>
        </w:rPr>
        <w:t> </w:t>
      </w:r>
      <w:r>
        <w:rPr>
          <w:sz w:val="18"/>
        </w:rPr>
        <w:t>been</w:t>
      </w:r>
    </w:p>
    <w:p>
      <w:pPr>
        <w:pStyle w:val="BodyText"/>
        <w:spacing w:line="203" w:lineRule="exact"/>
        <w:ind w:left="165"/>
      </w:pPr>
      <w:r>
        <w:rPr/>
        <w:t>-£17.2 billion in January (a surplus).</w:t>
      </w:r>
    </w:p>
    <w:p>
      <w:pPr>
        <w:pStyle w:val="BodyText"/>
        <w:spacing w:before="2"/>
        <w:rPr>
          <w:sz w:val="17"/>
        </w:rPr>
      </w:pPr>
    </w:p>
    <w:p>
      <w:pPr>
        <w:pStyle w:val="ListParagraph"/>
        <w:numPr>
          <w:ilvl w:val="0"/>
          <w:numId w:val="48"/>
        </w:numPr>
        <w:tabs>
          <w:tab w:pos="645" w:val="left" w:leader="none"/>
          <w:tab w:pos="646" w:val="left" w:leader="none"/>
        </w:tabs>
        <w:spacing w:line="232" w:lineRule="auto" w:before="0" w:after="0"/>
        <w:ind w:left="165" w:right="259" w:firstLine="0"/>
        <w:jc w:val="left"/>
        <w:rPr>
          <w:sz w:val="18"/>
        </w:rPr>
      </w:pPr>
      <w:r>
        <w:rPr>
          <w:sz w:val="18"/>
        </w:rPr>
        <w:t>Turning to the latest sectoral surveys, the manufacturing output expectations balance in the CBI Monthly Trends survey had remained broadly unchanged at +10 in February. The total orders balance had increased to -11 in February, and the export orders balance had increased to</w:t>
      </w:r>
      <w:r>
        <w:rPr>
          <w:spacing w:val="-6"/>
          <w:sz w:val="18"/>
        </w:rPr>
        <w:t> </w:t>
      </w:r>
      <w:r>
        <w:rPr>
          <w:sz w:val="18"/>
        </w:rPr>
        <w:t>-25.</w:t>
      </w:r>
    </w:p>
    <w:p>
      <w:pPr>
        <w:pStyle w:val="BodyText"/>
        <w:spacing w:before="1"/>
        <w:rPr>
          <w:sz w:val="17"/>
        </w:rPr>
      </w:pPr>
    </w:p>
    <w:p>
      <w:pPr>
        <w:pStyle w:val="ListParagraph"/>
        <w:numPr>
          <w:ilvl w:val="0"/>
          <w:numId w:val="48"/>
        </w:numPr>
        <w:tabs>
          <w:tab w:pos="645" w:val="left" w:leader="none"/>
          <w:tab w:pos="646" w:val="left" w:leader="none"/>
        </w:tabs>
        <w:spacing w:line="232" w:lineRule="auto" w:before="0" w:after="0"/>
        <w:ind w:left="165" w:right="274" w:firstLine="0"/>
        <w:jc w:val="left"/>
        <w:rPr>
          <w:sz w:val="18"/>
        </w:rPr>
      </w:pPr>
      <w:r>
        <w:rPr>
          <w:sz w:val="18"/>
        </w:rPr>
        <w:t>The headline index of the Chartered Institute of Purchasing and Supply (CIPS) manufacturing survey had fallen further to 51.0 in February. The output index had fallen to 52.1. Stocks of finished goods had fallen in February for the fourth consecutive month. The survey had pointed to rather more buoyant export growth than the official data had suggested in recent months. The latest DHL survey had shown a strengthening in exporters’ confidence. The headline CIPS services survey balance had risen slightly to 57.3 in February, the twelfth successive month of expansion. The CIPS construction index had also been strong, rising to 62.0 in February. Construction new orders had fallen by</w:t>
      </w:r>
    </w:p>
    <w:p>
      <w:pPr>
        <w:spacing w:after="0" w:line="232" w:lineRule="auto"/>
        <w:jc w:val="left"/>
        <w:rPr>
          <w:sz w:val="18"/>
        </w:rPr>
        <w:sectPr>
          <w:type w:val="continuous"/>
          <w:pgSz w:w="11900" w:h="16840"/>
          <w:pgMar w:top="1220" w:bottom="280" w:left="640" w:right="620"/>
          <w:cols w:num="2" w:equalWidth="0">
            <w:col w:w="5104" w:space="276"/>
            <w:col w:w="5260"/>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7"/>
        <w:rPr>
          <w:sz w:val="19"/>
        </w:rPr>
      </w:pPr>
    </w:p>
    <w:p>
      <w:pPr>
        <w:pStyle w:val="BodyText"/>
        <w:spacing w:line="232" w:lineRule="auto" w:before="1"/>
        <w:ind w:left="160" w:right="284"/>
      </w:pPr>
      <w:r>
        <w:rPr/>
        <w:t>3.9% in the three months to January compared with the previous three months, and were 3.1% below their level a year ago.</w:t>
      </w:r>
    </w:p>
    <w:p>
      <w:pPr>
        <w:pStyle w:val="BodyText"/>
        <w:spacing w:before="6"/>
        <w:rPr>
          <w:sz w:val="20"/>
        </w:rPr>
      </w:pPr>
    </w:p>
    <w:p>
      <w:pPr>
        <w:pStyle w:val="Heading8"/>
        <w:numPr>
          <w:ilvl w:val="0"/>
          <w:numId w:val="49"/>
        </w:numPr>
        <w:tabs>
          <w:tab w:pos="639" w:val="left" w:leader="none"/>
          <w:tab w:pos="641" w:val="left" w:leader="none"/>
        </w:tabs>
        <w:spacing w:line="240" w:lineRule="auto" w:before="0" w:after="0"/>
        <w:ind w:left="640" w:right="0" w:hanging="481"/>
        <w:jc w:val="left"/>
      </w:pPr>
      <w:r>
        <w:rPr>
          <w:color w:val="009391"/>
        </w:rPr>
        <w:t>The labour</w:t>
      </w:r>
      <w:r>
        <w:rPr>
          <w:color w:val="009391"/>
          <w:spacing w:val="-3"/>
        </w:rPr>
        <w:t> </w:t>
      </w:r>
      <w:r>
        <w:rPr>
          <w:color w:val="009391"/>
        </w:rPr>
        <w:t>market</w:t>
      </w:r>
    </w:p>
    <w:p>
      <w:pPr>
        <w:pStyle w:val="ListParagraph"/>
        <w:numPr>
          <w:ilvl w:val="0"/>
          <w:numId w:val="48"/>
        </w:numPr>
        <w:tabs>
          <w:tab w:pos="639" w:val="left" w:leader="none"/>
          <w:tab w:pos="640" w:val="left" w:leader="none"/>
        </w:tabs>
        <w:spacing w:line="232" w:lineRule="auto" w:before="109" w:after="0"/>
        <w:ind w:left="160" w:right="57" w:firstLine="0"/>
        <w:jc w:val="left"/>
        <w:rPr>
          <w:sz w:val="18"/>
        </w:rPr>
      </w:pPr>
      <w:r>
        <w:rPr>
          <w:sz w:val="18"/>
        </w:rPr>
        <w:t>Labour Force Survey (LFS) employment had increased by 75,000 (0.3%) in 1999 Q4. The rate of growth had been slower than in Q3, but slightly higher than in the three months to November. The increase had been largely accounted for by a 60,000 (0.3%) rise in full-time employment; part-time employment had risen by 14,000 (0.2%). Employment in full-time equivalent terms had risen broadly in line with heads. The total number of hours worked had risen by 0.2% in Q4, though average hours worked per person had fallen by</w:t>
      </w:r>
      <w:r>
        <w:rPr>
          <w:spacing w:val="-9"/>
          <w:sz w:val="18"/>
        </w:rPr>
        <w:t> </w:t>
      </w:r>
      <w:r>
        <w:rPr>
          <w:sz w:val="18"/>
        </w:rPr>
        <w:t>0.2%.</w:t>
      </w:r>
    </w:p>
    <w:p>
      <w:pPr>
        <w:pStyle w:val="BodyText"/>
        <w:spacing w:before="9"/>
        <w:rPr>
          <w:sz w:val="16"/>
        </w:rPr>
      </w:pPr>
    </w:p>
    <w:p>
      <w:pPr>
        <w:pStyle w:val="ListParagraph"/>
        <w:numPr>
          <w:ilvl w:val="0"/>
          <w:numId w:val="48"/>
        </w:numPr>
        <w:tabs>
          <w:tab w:pos="639" w:val="left" w:leader="none"/>
          <w:tab w:pos="640" w:val="left" w:leader="none"/>
        </w:tabs>
        <w:spacing w:line="232" w:lineRule="auto" w:before="0" w:after="0"/>
        <w:ind w:left="160" w:right="167" w:firstLine="0"/>
        <w:jc w:val="left"/>
        <w:rPr>
          <w:sz w:val="18"/>
        </w:rPr>
      </w:pPr>
      <w:r>
        <w:rPr>
          <w:sz w:val="18"/>
        </w:rPr>
        <w:t>Turning to survey data, the CIPS manufacturing survey for February had suggested that there had been a further fall in manufacturing employment, but at a slower rate than in January. The same survey had suggested that construction employment had expanded at a more rapid rate than in January, while services employment growth had remained</w:t>
      </w:r>
      <w:r>
        <w:rPr>
          <w:spacing w:val="-7"/>
          <w:sz w:val="18"/>
        </w:rPr>
        <w:t> </w:t>
      </w:r>
      <w:r>
        <w:rPr>
          <w:sz w:val="18"/>
        </w:rPr>
        <w:t>stable.</w:t>
      </w:r>
    </w:p>
    <w:p>
      <w:pPr>
        <w:pStyle w:val="BodyText"/>
        <w:rPr>
          <w:sz w:val="17"/>
        </w:rPr>
      </w:pPr>
    </w:p>
    <w:p>
      <w:pPr>
        <w:pStyle w:val="ListParagraph"/>
        <w:numPr>
          <w:ilvl w:val="0"/>
          <w:numId w:val="48"/>
        </w:numPr>
        <w:tabs>
          <w:tab w:pos="639" w:val="left" w:leader="none"/>
          <w:tab w:pos="640" w:val="left" w:leader="none"/>
        </w:tabs>
        <w:spacing w:line="232" w:lineRule="auto" w:before="0" w:after="0"/>
        <w:ind w:left="160" w:right="57" w:firstLine="0"/>
        <w:jc w:val="left"/>
        <w:rPr>
          <w:sz w:val="18"/>
        </w:rPr>
      </w:pPr>
      <w:r>
        <w:rPr>
          <w:sz w:val="18"/>
        </w:rPr>
        <w:t>New vacancies notified to Jobcentres had fallen by 7,700 in January, to 228,800. The Recruitment and Employment Confederation (REC) survey for February had suggested that there had been a further decline in the availability of agency staff. The latest</w:t>
      </w:r>
      <w:r>
        <w:rPr>
          <w:spacing w:val="-6"/>
          <w:sz w:val="18"/>
        </w:rPr>
        <w:t> </w:t>
      </w:r>
      <w:r>
        <w:rPr>
          <w:sz w:val="18"/>
        </w:rPr>
        <w:t>reports</w:t>
      </w:r>
      <w:r>
        <w:rPr>
          <w:spacing w:val="-5"/>
          <w:sz w:val="18"/>
        </w:rPr>
        <w:t> </w:t>
      </w:r>
      <w:r>
        <w:rPr>
          <w:sz w:val="18"/>
        </w:rPr>
        <w:t>by</w:t>
      </w:r>
      <w:r>
        <w:rPr>
          <w:spacing w:val="-5"/>
          <w:sz w:val="18"/>
        </w:rPr>
        <w:t> </w:t>
      </w:r>
      <w:r>
        <w:rPr>
          <w:sz w:val="18"/>
        </w:rPr>
        <w:t>the</w:t>
      </w:r>
      <w:r>
        <w:rPr>
          <w:spacing w:val="-6"/>
          <w:sz w:val="18"/>
        </w:rPr>
        <w:t> </w:t>
      </w:r>
      <w:r>
        <w:rPr>
          <w:sz w:val="18"/>
        </w:rPr>
        <w:t>Bank’s</w:t>
      </w:r>
      <w:r>
        <w:rPr>
          <w:spacing w:val="-5"/>
          <w:sz w:val="18"/>
        </w:rPr>
        <w:t> </w:t>
      </w:r>
      <w:r>
        <w:rPr>
          <w:sz w:val="18"/>
        </w:rPr>
        <w:t>regional</w:t>
      </w:r>
      <w:r>
        <w:rPr>
          <w:spacing w:val="-5"/>
          <w:sz w:val="18"/>
        </w:rPr>
        <w:t> </w:t>
      </w:r>
      <w:r>
        <w:rPr>
          <w:sz w:val="18"/>
        </w:rPr>
        <w:t>Agents</w:t>
      </w:r>
      <w:r>
        <w:rPr>
          <w:spacing w:val="-6"/>
          <w:sz w:val="18"/>
        </w:rPr>
        <w:t> </w:t>
      </w:r>
      <w:r>
        <w:rPr>
          <w:sz w:val="18"/>
        </w:rPr>
        <w:t>had</w:t>
      </w:r>
      <w:r>
        <w:rPr>
          <w:spacing w:val="-5"/>
          <w:sz w:val="18"/>
        </w:rPr>
        <w:t> </w:t>
      </w:r>
      <w:r>
        <w:rPr>
          <w:sz w:val="18"/>
        </w:rPr>
        <w:t>suggested</w:t>
      </w:r>
      <w:r>
        <w:rPr>
          <w:spacing w:val="-5"/>
          <w:sz w:val="18"/>
        </w:rPr>
        <w:t> </w:t>
      </w:r>
      <w:r>
        <w:rPr>
          <w:sz w:val="18"/>
        </w:rPr>
        <w:t>that</w:t>
      </w:r>
      <w:r>
        <w:rPr>
          <w:spacing w:val="-6"/>
          <w:sz w:val="18"/>
        </w:rPr>
        <w:t> </w:t>
      </w:r>
      <w:r>
        <w:rPr>
          <w:sz w:val="18"/>
        </w:rPr>
        <w:t>skill shortages</w:t>
      </w:r>
      <w:r>
        <w:rPr>
          <w:spacing w:val="-2"/>
          <w:sz w:val="18"/>
        </w:rPr>
        <w:t> </w:t>
      </w:r>
      <w:r>
        <w:rPr>
          <w:sz w:val="18"/>
        </w:rPr>
        <w:t>persisted.</w:t>
      </w:r>
    </w:p>
    <w:p>
      <w:pPr>
        <w:pStyle w:val="BodyText"/>
        <w:rPr>
          <w:sz w:val="17"/>
        </w:rPr>
      </w:pPr>
    </w:p>
    <w:p>
      <w:pPr>
        <w:pStyle w:val="ListParagraph"/>
        <w:numPr>
          <w:ilvl w:val="0"/>
          <w:numId w:val="48"/>
        </w:numPr>
        <w:tabs>
          <w:tab w:pos="639" w:val="left" w:leader="none"/>
          <w:tab w:pos="640" w:val="left" w:leader="none"/>
        </w:tabs>
        <w:spacing w:line="232" w:lineRule="auto" w:before="0" w:after="0"/>
        <w:ind w:left="160" w:right="291" w:firstLine="0"/>
        <w:jc w:val="left"/>
        <w:rPr>
          <w:sz w:val="18"/>
        </w:rPr>
      </w:pPr>
      <w:r>
        <w:rPr>
          <w:sz w:val="18"/>
        </w:rPr>
        <w:t>LFS unemployment had fallen by 4,000 in Q4, though the rate had remained unchanged at 5.9%. Claimant count unemployment had fallen by 44,700 in Q4, and by a</w:t>
      </w:r>
      <w:r>
        <w:rPr>
          <w:spacing w:val="-30"/>
          <w:sz w:val="18"/>
        </w:rPr>
        <w:t> </w:t>
      </w:r>
      <w:r>
        <w:rPr>
          <w:sz w:val="18"/>
        </w:rPr>
        <w:t>further</w:t>
      </w:r>
    </w:p>
    <w:p>
      <w:pPr>
        <w:pStyle w:val="BodyText"/>
        <w:spacing w:line="232" w:lineRule="auto"/>
        <w:ind w:left="160" w:right="98"/>
      </w:pPr>
      <w:r>
        <w:rPr/>
        <w:t>9,800 in January. The claimant count rate had fallen in January, to 4.0%.</w:t>
      </w:r>
    </w:p>
    <w:p>
      <w:pPr>
        <w:pStyle w:val="BodyText"/>
        <w:rPr>
          <w:sz w:val="17"/>
        </w:rPr>
      </w:pPr>
    </w:p>
    <w:p>
      <w:pPr>
        <w:pStyle w:val="ListParagraph"/>
        <w:numPr>
          <w:ilvl w:val="0"/>
          <w:numId w:val="48"/>
        </w:numPr>
        <w:tabs>
          <w:tab w:pos="639" w:val="left" w:leader="none"/>
          <w:tab w:pos="640" w:val="left" w:leader="none"/>
        </w:tabs>
        <w:spacing w:line="232" w:lineRule="auto" w:before="1" w:after="0"/>
        <w:ind w:left="160" w:right="93" w:firstLine="0"/>
        <w:jc w:val="left"/>
        <w:rPr>
          <w:sz w:val="18"/>
        </w:rPr>
      </w:pPr>
      <w:r>
        <w:rPr>
          <w:sz w:val="18"/>
        </w:rPr>
        <w:t>Labour market inactivity had fallen by 36,000 in Q4. The percentage of the working-age inactive wanting a job had remained broadly</w:t>
      </w:r>
      <w:r>
        <w:rPr>
          <w:spacing w:val="-2"/>
          <w:sz w:val="18"/>
        </w:rPr>
        <w:t> </w:t>
      </w:r>
      <w:r>
        <w:rPr>
          <w:sz w:val="18"/>
        </w:rPr>
        <w:t>unchanged.</w:t>
      </w:r>
    </w:p>
    <w:p>
      <w:pPr>
        <w:pStyle w:val="BodyText"/>
        <w:spacing w:before="2"/>
        <w:rPr>
          <w:sz w:val="17"/>
        </w:rPr>
      </w:pPr>
    </w:p>
    <w:p>
      <w:pPr>
        <w:pStyle w:val="ListParagraph"/>
        <w:numPr>
          <w:ilvl w:val="0"/>
          <w:numId w:val="48"/>
        </w:numPr>
        <w:tabs>
          <w:tab w:pos="639" w:val="left" w:leader="none"/>
          <w:tab w:pos="640" w:val="left" w:leader="none"/>
        </w:tabs>
        <w:spacing w:line="232" w:lineRule="auto" w:before="0" w:after="0"/>
        <w:ind w:left="160" w:right="307" w:firstLine="0"/>
        <w:jc w:val="left"/>
        <w:rPr>
          <w:sz w:val="18"/>
        </w:rPr>
      </w:pPr>
      <w:r>
        <w:rPr>
          <w:sz w:val="18"/>
        </w:rPr>
        <w:t>Whole-economy headline earnings growth, a three-month moving</w:t>
      </w:r>
      <w:r>
        <w:rPr>
          <w:spacing w:val="-4"/>
          <w:sz w:val="18"/>
        </w:rPr>
        <w:t> </w:t>
      </w:r>
      <w:r>
        <w:rPr>
          <w:sz w:val="18"/>
        </w:rPr>
        <w:t>average</w:t>
      </w:r>
      <w:r>
        <w:rPr>
          <w:spacing w:val="-4"/>
          <w:sz w:val="18"/>
        </w:rPr>
        <w:t> </w:t>
      </w:r>
      <w:r>
        <w:rPr>
          <w:sz w:val="18"/>
        </w:rPr>
        <w:t>of</w:t>
      </w:r>
      <w:r>
        <w:rPr>
          <w:spacing w:val="-4"/>
          <w:sz w:val="18"/>
        </w:rPr>
        <w:t> </w:t>
      </w:r>
      <w:r>
        <w:rPr>
          <w:sz w:val="18"/>
        </w:rPr>
        <w:t>the</w:t>
      </w:r>
      <w:r>
        <w:rPr>
          <w:spacing w:val="-4"/>
          <w:sz w:val="18"/>
        </w:rPr>
        <w:t> </w:t>
      </w:r>
      <w:r>
        <w:rPr>
          <w:sz w:val="18"/>
        </w:rPr>
        <w:t>annual</w:t>
      </w:r>
      <w:r>
        <w:rPr>
          <w:spacing w:val="-4"/>
          <w:sz w:val="18"/>
        </w:rPr>
        <w:t> </w:t>
      </w:r>
      <w:r>
        <w:rPr>
          <w:sz w:val="18"/>
        </w:rPr>
        <w:t>monthly</w:t>
      </w:r>
      <w:r>
        <w:rPr>
          <w:spacing w:val="-4"/>
          <w:sz w:val="18"/>
        </w:rPr>
        <w:t> </w:t>
      </w:r>
      <w:r>
        <w:rPr>
          <w:sz w:val="18"/>
        </w:rPr>
        <w:t>rates,</w:t>
      </w:r>
      <w:r>
        <w:rPr>
          <w:spacing w:val="-4"/>
          <w:sz w:val="18"/>
        </w:rPr>
        <w:t> </w:t>
      </w:r>
      <w:r>
        <w:rPr>
          <w:sz w:val="18"/>
        </w:rPr>
        <w:t>had</w:t>
      </w:r>
      <w:r>
        <w:rPr>
          <w:spacing w:val="-4"/>
          <w:sz w:val="18"/>
        </w:rPr>
        <w:t> </w:t>
      </w:r>
      <w:r>
        <w:rPr>
          <w:sz w:val="18"/>
        </w:rPr>
        <w:t>increased</w:t>
      </w:r>
      <w:r>
        <w:rPr>
          <w:spacing w:val="-4"/>
          <w:sz w:val="18"/>
        </w:rPr>
        <w:t> </w:t>
      </w:r>
      <w:r>
        <w:rPr>
          <w:sz w:val="18"/>
        </w:rPr>
        <w:t>by</w:t>
      </w:r>
    </w:p>
    <w:p>
      <w:pPr>
        <w:pStyle w:val="BodyText"/>
        <w:spacing w:line="232" w:lineRule="auto"/>
        <w:ind w:left="160" w:right="49"/>
      </w:pPr>
      <w:r>
        <w:rPr/>
        <w:t>0.6 percentage points in December, to 5.5%.  This increase had been accounted for by a rise in private sector headline earnings growth; public sector headline earnings growth had remained unchanged. Headline earnings growth in both manufacturing and services had increased by 0.5 percentage points, to 5.0% and 5.7% respectively. The twelve-month growth rate of whole-economy earnings had risen by 1.1 percentage points to 6.2%. The ONS had suggested that about half of the increase in this month’s (non seasonally</w:t>
      </w:r>
      <w:r>
        <w:rPr>
          <w:spacing w:val="-7"/>
        </w:rPr>
        <w:t> </w:t>
      </w:r>
      <w:r>
        <w:rPr/>
        <w:t>adjusted)</w:t>
      </w:r>
      <w:r>
        <w:rPr>
          <w:spacing w:val="-6"/>
        </w:rPr>
        <w:t> </w:t>
      </w:r>
      <w:r>
        <w:rPr/>
        <w:t>Average</w:t>
      </w:r>
      <w:r>
        <w:rPr>
          <w:spacing w:val="-6"/>
        </w:rPr>
        <w:t> </w:t>
      </w:r>
      <w:r>
        <w:rPr/>
        <w:t>Earnings</w:t>
      </w:r>
      <w:r>
        <w:rPr>
          <w:spacing w:val="-6"/>
        </w:rPr>
        <w:t> </w:t>
      </w:r>
      <w:r>
        <w:rPr/>
        <w:t>Index</w:t>
      </w:r>
      <w:r>
        <w:rPr>
          <w:spacing w:val="-7"/>
        </w:rPr>
        <w:t> </w:t>
      </w:r>
      <w:r>
        <w:rPr/>
        <w:t>(AEI)</w:t>
      </w:r>
      <w:r>
        <w:rPr>
          <w:spacing w:val="-6"/>
        </w:rPr>
        <w:t> </w:t>
      </w:r>
      <w:r>
        <w:rPr/>
        <w:t>growth</w:t>
      </w:r>
      <w:r>
        <w:rPr>
          <w:spacing w:val="-6"/>
        </w:rPr>
        <w:t> </w:t>
      </w:r>
      <w:r>
        <w:rPr/>
        <w:t>rate</w:t>
      </w:r>
      <w:r>
        <w:rPr>
          <w:spacing w:val="-6"/>
        </w:rPr>
        <w:t> </w:t>
      </w:r>
      <w:r>
        <w:rPr/>
        <w:t>was accounted for by the financial services sector, mainly reflecting larger bonus payments than a year</w:t>
      </w:r>
      <w:r>
        <w:rPr>
          <w:spacing w:val="-9"/>
        </w:rPr>
        <w:t> </w:t>
      </w:r>
      <w:r>
        <w:rPr/>
        <w:t>ago.</w:t>
      </w:r>
    </w:p>
    <w:p>
      <w:pPr>
        <w:pStyle w:val="BodyText"/>
        <w:spacing w:before="5"/>
        <w:rPr>
          <w:sz w:val="16"/>
        </w:rPr>
      </w:pPr>
    </w:p>
    <w:p>
      <w:pPr>
        <w:pStyle w:val="ListParagraph"/>
        <w:numPr>
          <w:ilvl w:val="0"/>
          <w:numId w:val="48"/>
        </w:numPr>
        <w:tabs>
          <w:tab w:pos="639" w:val="left" w:leader="none"/>
          <w:tab w:pos="640" w:val="left" w:leader="none"/>
        </w:tabs>
        <w:spacing w:line="232" w:lineRule="auto" w:before="1" w:after="0"/>
        <w:ind w:left="160" w:right="132" w:firstLine="0"/>
        <w:jc w:val="left"/>
        <w:rPr>
          <w:sz w:val="18"/>
        </w:rPr>
      </w:pPr>
      <w:r>
        <w:rPr>
          <w:sz w:val="18"/>
        </w:rPr>
        <w:t>Other earnings data had offered a mixed picture. The February REC survey had indicated a rise in earnings growth for both permanent and temporary staff supplied by job agencies. The Reward index had fallen from 3.4% in December to 3.2% in January.</w:t>
      </w:r>
    </w:p>
    <w:p>
      <w:pPr>
        <w:pStyle w:val="BodyText"/>
        <w:rPr>
          <w:sz w:val="17"/>
        </w:rPr>
      </w:pPr>
    </w:p>
    <w:p>
      <w:pPr>
        <w:pStyle w:val="ListParagraph"/>
        <w:numPr>
          <w:ilvl w:val="0"/>
          <w:numId w:val="48"/>
        </w:numPr>
        <w:tabs>
          <w:tab w:pos="640" w:val="left" w:leader="none"/>
        </w:tabs>
        <w:spacing w:line="232" w:lineRule="auto" w:before="0" w:after="0"/>
        <w:ind w:left="160" w:right="102" w:firstLine="0"/>
        <w:jc w:val="both"/>
        <w:rPr>
          <w:sz w:val="18"/>
        </w:rPr>
      </w:pPr>
      <w:r>
        <w:rPr>
          <w:sz w:val="18"/>
        </w:rPr>
        <w:t>The Government had announced that the National Minimum Wage was to be uprated in October 2000. The adult rate was to be raised from £3.60 to £3.70. The youth rate was to be raised</w:t>
      </w:r>
      <w:r>
        <w:rPr>
          <w:spacing w:val="3"/>
          <w:sz w:val="18"/>
        </w:rPr>
        <w:t> </w:t>
      </w:r>
      <w:r>
        <w:rPr>
          <w:sz w:val="18"/>
        </w:rPr>
        <w:t>from</w:t>
      </w:r>
    </w:p>
    <w:p>
      <w:pPr>
        <w:pStyle w:val="BodyText"/>
        <w:spacing w:line="200" w:lineRule="exact"/>
        <w:ind w:left="160"/>
        <w:jc w:val="both"/>
      </w:pPr>
      <w:r>
        <w:rPr/>
        <w:t>£3.00 to £3.20 in June.</w:t>
      </w:r>
    </w:p>
    <w:p>
      <w:pPr>
        <w:pStyle w:val="BodyText"/>
        <w:spacing w:before="3"/>
        <w:rPr>
          <w:sz w:val="17"/>
        </w:rPr>
      </w:pPr>
    </w:p>
    <w:p>
      <w:pPr>
        <w:pStyle w:val="ListParagraph"/>
        <w:numPr>
          <w:ilvl w:val="0"/>
          <w:numId w:val="48"/>
        </w:numPr>
        <w:tabs>
          <w:tab w:pos="639" w:val="left" w:leader="none"/>
          <w:tab w:pos="640" w:val="left" w:leader="none"/>
        </w:tabs>
        <w:spacing w:line="232" w:lineRule="auto" w:before="0" w:after="0"/>
        <w:ind w:left="160" w:right="247" w:firstLine="0"/>
        <w:jc w:val="left"/>
        <w:rPr>
          <w:sz w:val="18"/>
        </w:rPr>
      </w:pPr>
      <w:r>
        <w:rPr>
          <w:sz w:val="18"/>
        </w:rPr>
        <w:t>The Bank’s AEI-weighted twelve-month mean measure of whole-economy settlements had been unchanged in January, at 3.4%. The three-month whole-economy mean had fallen</w:t>
      </w:r>
      <w:r>
        <w:rPr>
          <w:spacing w:val="-26"/>
          <w:sz w:val="18"/>
        </w:rPr>
        <w:t> </w:t>
      </w:r>
      <w:r>
        <w:rPr>
          <w:sz w:val="18"/>
        </w:rPr>
        <w:t>by</w:t>
      </w:r>
    </w:p>
    <w:p>
      <w:pPr>
        <w:pStyle w:val="BodyText"/>
        <w:spacing w:line="232" w:lineRule="auto"/>
        <w:ind w:left="160" w:right="98"/>
      </w:pPr>
      <w:r>
        <w:rPr/>
        <w:t>0.4 percentage points to 2.4% in January, though this was based on comparatively few new settlements.</w:t>
      </w:r>
    </w:p>
    <w:p>
      <w:pPr>
        <w:pStyle w:val="BodyText"/>
        <w:rPr>
          <w:sz w:val="17"/>
        </w:rPr>
      </w:pPr>
    </w:p>
    <w:p>
      <w:pPr>
        <w:pStyle w:val="ListParagraph"/>
        <w:numPr>
          <w:ilvl w:val="0"/>
          <w:numId w:val="48"/>
        </w:numPr>
        <w:tabs>
          <w:tab w:pos="639" w:val="left" w:leader="none"/>
          <w:tab w:pos="640" w:val="left" w:leader="none"/>
        </w:tabs>
        <w:spacing w:line="232" w:lineRule="auto" w:before="1" w:after="0"/>
        <w:ind w:left="160" w:right="282" w:firstLine="0"/>
        <w:jc w:val="left"/>
        <w:rPr>
          <w:sz w:val="18"/>
        </w:rPr>
      </w:pPr>
      <w:r>
        <w:rPr>
          <w:sz w:val="18"/>
        </w:rPr>
        <w:t>Details of the settlements for both Armed Forces staff and senior public sector workers had been announced. Overall,</w:t>
      </w:r>
      <w:r>
        <w:rPr>
          <w:spacing w:val="6"/>
          <w:sz w:val="18"/>
        </w:rPr>
        <w:t> </w:t>
      </w:r>
      <w:r>
        <w:rPr>
          <w:sz w:val="18"/>
        </w:rPr>
        <w:t>the</w:t>
      </w:r>
    </w:p>
    <w:p>
      <w:pPr>
        <w:pStyle w:val="BodyText"/>
        <w:spacing w:before="7"/>
        <w:rPr>
          <w:sz w:val="19"/>
        </w:rPr>
      </w:pPr>
      <w:r>
        <w:rPr/>
        <w:br w:type="column"/>
      </w:r>
      <w:r>
        <w:rPr>
          <w:sz w:val="19"/>
        </w:rPr>
      </w:r>
    </w:p>
    <w:p>
      <w:pPr>
        <w:pStyle w:val="BodyText"/>
        <w:spacing w:line="232" w:lineRule="auto"/>
        <w:ind w:left="160" w:right="391"/>
      </w:pPr>
      <w:r>
        <w:rPr/>
        <w:t>paybill of both groups was to increase by 3.3%. Both increases would come into effect on 1 April.</w:t>
      </w:r>
    </w:p>
    <w:p>
      <w:pPr>
        <w:pStyle w:val="BodyText"/>
        <w:spacing w:before="7"/>
        <w:rPr>
          <w:sz w:val="20"/>
        </w:rPr>
      </w:pPr>
    </w:p>
    <w:p>
      <w:pPr>
        <w:pStyle w:val="Heading8"/>
        <w:numPr>
          <w:ilvl w:val="0"/>
          <w:numId w:val="49"/>
        </w:numPr>
        <w:tabs>
          <w:tab w:pos="639" w:val="left" w:leader="none"/>
          <w:tab w:pos="641" w:val="left" w:leader="none"/>
        </w:tabs>
        <w:spacing w:line="240" w:lineRule="auto" w:before="0" w:after="0"/>
        <w:ind w:left="640" w:right="0" w:hanging="481"/>
        <w:jc w:val="left"/>
      </w:pPr>
      <w:r>
        <w:rPr>
          <w:color w:val="009391"/>
        </w:rPr>
        <w:t>Prices</w:t>
      </w:r>
    </w:p>
    <w:p>
      <w:pPr>
        <w:pStyle w:val="ListParagraph"/>
        <w:numPr>
          <w:ilvl w:val="0"/>
          <w:numId w:val="48"/>
        </w:numPr>
        <w:tabs>
          <w:tab w:pos="639" w:val="left" w:leader="none"/>
          <w:tab w:pos="640" w:val="left" w:leader="none"/>
        </w:tabs>
        <w:spacing w:line="232" w:lineRule="auto" w:before="109" w:after="0"/>
        <w:ind w:left="160" w:right="215" w:firstLine="0"/>
        <w:jc w:val="left"/>
        <w:rPr>
          <w:sz w:val="18"/>
        </w:rPr>
      </w:pPr>
      <w:r>
        <w:rPr>
          <w:sz w:val="18"/>
        </w:rPr>
        <w:t>The Bank oil-inclusive commodity price index had fallen by 0.6% in January, taking the annual inflation rate from 21.4% down to 18.4%. The monthly fall had reflected price falls in all the major components of the index, except for metals. In particular, the price of domestic food had fallen quite sharply, suggesting that domestic food prices had not yet reached their trough. Excluding oil, commodity prices had fallen by 1.0% in January to give an annual inflation rate of</w:t>
      </w:r>
      <w:r>
        <w:rPr>
          <w:spacing w:val="-4"/>
          <w:sz w:val="18"/>
        </w:rPr>
        <w:t> </w:t>
      </w:r>
      <w:r>
        <w:rPr>
          <w:sz w:val="18"/>
        </w:rPr>
        <w:t>1.2%.</w:t>
      </w:r>
    </w:p>
    <w:p>
      <w:pPr>
        <w:pStyle w:val="BodyText"/>
        <w:spacing w:before="10"/>
        <w:rPr>
          <w:sz w:val="16"/>
        </w:rPr>
      </w:pPr>
    </w:p>
    <w:p>
      <w:pPr>
        <w:pStyle w:val="ListParagraph"/>
        <w:numPr>
          <w:ilvl w:val="0"/>
          <w:numId w:val="48"/>
        </w:numPr>
        <w:tabs>
          <w:tab w:pos="639" w:val="left" w:leader="none"/>
          <w:tab w:pos="640" w:val="left" w:leader="none"/>
        </w:tabs>
        <w:spacing w:line="232" w:lineRule="auto" w:before="0" w:after="0"/>
        <w:ind w:left="160" w:right="225" w:firstLine="0"/>
        <w:jc w:val="left"/>
        <w:rPr>
          <w:sz w:val="18"/>
        </w:rPr>
      </w:pPr>
      <w:r>
        <w:rPr>
          <w:sz w:val="18"/>
        </w:rPr>
        <w:t>Manufacturing input prices had fallen by 1.0% in January, taking the annual inflation rate from 12.2% to 10.4%. This had mainly reflected falls in the prices of domestic food and of imported materials. January’s fall may have been only a temporary pause in the recent upward trend in input prices, however, as oil prices had risen sharply again in February. According to February’s CIPS manufacturing survey, the input price index had risen to its highest level since August 1995. Total output prices excluding excise duties (PPIY) had remained unchanged in January, to give an annual inflation rate of 1.8%, slightly up from 1.6% in the previous month. February’s CBI survey output price balance had also remained unchanged at -4, with respondents having continued to report expectations of falling</w:t>
      </w:r>
      <w:r>
        <w:rPr>
          <w:spacing w:val="-19"/>
          <w:sz w:val="18"/>
        </w:rPr>
        <w:t> </w:t>
      </w:r>
      <w:r>
        <w:rPr>
          <w:sz w:val="18"/>
        </w:rPr>
        <w:t>prices.</w:t>
      </w:r>
    </w:p>
    <w:p>
      <w:pPr>
        <w:pStyle w:val="BodyText"/>
        <w:spacing w:before="6"/>
        <w:rPr>
          <w:sz w:val="16"/>
        </w:rPr>
      </w:pPr>
    </w:p>
    <w:p>
      <w:pPr>
        <w:pStyle w:val="ListParagraph"/>
        <w:numPr>
          <w:ilvl w:val="0"/>
          <w:numId w:val="48"/>
        </w:numPr>
        <w:tabs>
          <w:tab w:pos="639" w:val="left" w:leader="none"/>
          <w:tab w:pos="640" w:val="left" w:leader="none"/>
        </w:tabs>
        <w:spacing w:line="232" w:lineRule="auto" w:before="0" w:after="0"/>
        <w:ind w:left="160" w:right="305" w:firstLine="0"/>
        <w:jc w:val="left"/>
        <w:rPr>
          <w:sz w:val="18"/>
        </w:rPr>
      </w:pPr>
      <w:r>
        <w:rPr>
          <w:sz w:val="18"/>
        </w:rPr>
        <w:t>Imported goods price inflation had been broadly unchanged at -0.4% in December, despite a further rise in the contribution from fuels prices to 1.9 percentage points. The contribution from manufactured goods prices had fallen further to -1.8 percentage points from -1.4 percentage points. Total goods export price inflation had risen to 2.6% in December, with a larger positive contribution from fuels</w:t>
      </w:r>
      <w:r>
        <w:rPr>
          <w:spacing w:val="-5"/>
          <w:sz w:val="18"/>
        </w:rPr>
        <w:t> </w:t>
      </w:r>
      <w:r>
        <w:rPr>
          <w:sz w:val="18"/>
        </w:rPr>
        <w:t>prices.</w:t>
      </w:r>
    </w:p>
    <w:p>
      <w:pPr>
        <w:pStyle w:val="BodyText"/>
        <w:spacing w:before="10"/>
        <w:rPr>
          <w:sz w:val="16"/>
        </w:rPr>
      </w:pPr>
    </w:p>
    <w:p>
      <w:pPr>
        <w:pStyle w:val="ListParagraph"/>
        <w:numPr>
          <w:ilvl w:val="0"/>
          <w:numId w:val="48"/>
        </w:numPr>
        <w:tabs>
          <w:tab w:pos="639" w:val="left" w:leader="none"/>
          <w:tab w:pos="640" w:val="left" w:leader="none"/>
        </w:tabs>
        <w:spacing w:line="232" w:lineRule="auto" w:before="0" w:after="0"/>
        <w:ind w:left="160" w:right="265" w:firstLine="0"/>
        <w:jc w:val="left"/>
        <w:rPr>
          <w:sz w:val="18"/>
        </w:rPr>
      </w:pPr>
      <w:r>
        <w:rPr>
          <w:sz w:val="18"/>
        </w:rPr>
        <w:t>RPIX inflation had fallen to 2.1% in January, down from 2.2% in each of the previous three months. HICP inflation had fallen to 0.8% in January, the lowest since the series began in January 1996 and also the lowest in the EU. The difference between</w:t>
      </w:r>
      <w:r>
        <w:rPr>
          <w:spacing w:val="-5"/>
          <w:sz w:val="18"/>
        </w:rPr>
        <w:t> </w:t>
      </w:r>
      <w:r>
        <w:rPr>
          <w:sz w:val="18"/>
        </w:rPr>
        <w:t>HICP</w:t>
      </w:r>
      <w:r>
        <w:rPr>
          <w:spacing w:val="-5"/>
          <w:sz w:val="18"/>
        </w:rPr>
        <w:t> </w:t>
      </w:r>
      <w:r>
        <w:rPr>
          <w:sz w:val="18"/>
        </w:rPr>
        <w:t>and</w:t>
      </w:r>
      <w:r>
        <w:rPr>
          <w:spacing w:val="-5"/>
          <w:sz w:val="18"/>
        </w:rPr>
        <w:t> </w:t>
      </w:r>
      <w:r>
        <w:rPr>
          <w:sz w:val="18"/>
        </w:rPr>
        <w:t>RPIX</w:t>
      </w:r>
      <w:r>
        <w:rPr>
          <w:spacing w:val="-4"/>
          <w:sz w:val="18"/>
        </w:rPr>
        <w:t> </w:t>
      </w:r>
      <w:r>
        <w:rPr>
          <w:sz w:val="18"/>
        </w:rPr>
        <w:t>inflation</w:t>
      </w:r>
      <w:r>
        <w:rPr>
          <w:spacing w:val="-5"/>
          <w:sz w:val="18"/>
        </w:rPr>
        <w:t> </w:t>
      </w:r>
      <w:r>
        <w:rPr>
          <w:sz w:val="18"/>
        </w:rPr>
        <w:t>had</w:t>
      </w:r>
      <w:r>
        <w:rPr>
          <w:spacing w:val="-5"/>
          <w:sz w:val="18"/>
        </w:rPr>
        <w:t> </w:t>
      </w:r>
      <w:r>
        <w:rPr>
          <w:sz w:val="18"/>
        </w:rPr>
        <w:t>widened</w:t>
      </w:r>
      <w:r>
        <w:rPr>
          <w:spacing w:val="-5"/>
          <w:sz w:val="18"/>
        </w:rPr>
        <w:t> </w:t>
      </w:r>
      <w:r>
        <w:rPr>
          <w:sz w:val="18"/>
        </w:rPr>
        <w:t>to</w:t>
      </w:r>
      <w:r>
        <w:rPr>
          <w:spacing w:val="-4"/>
          <w:sz w:val="18"/>
        </w:rPr>
        <w:t> </w:t>
      </w:r>
      <w:r>
        <w:rPr>
          <w:sz w:val="18"/>
        </w:rPr>
        <w:t>1.3%</w:t>
      </w:r>
      <w:r>
        <w:rPr>
          <w:spacing w:val="-5"/>
          <w:sz w:val="18"/>
        </w:rPr>
        <w:t> </w:t>
      </w:r>
      <w:r>
        <w:rPr>
          <w:sz w:val="18"/>
        </w:rPr>
        <w:t>in</w:t>
      </w:r>
      <w:r>
        <w:rPr>
          <w:spacing w:val="-5"/>
          <w:sz w:val="18"/>
        </w:rPr>
        <w:t> </w:t>
      </w:r>
      <w:r>
        <w:rPr>
          <w:sz w:val="18"/>
        </w:rPr>
        <w:t>January from 1.0% in the previous month. Around 40% of this change in the wedge had been accounted for by higher housing depreciation which is not included in the HICP</w:t>
      </w:r>
      <w:r>
        <w:rPr>
          <w:spacing w:val="-12"/>
          <w:sz w:val="18"/>
        </w:rPr>
        <w:t> </w:t>
      </w:r>
      <w:r>
        <w:rPr>
          <w:sz w:val="18"/>
        </w:rPr>
        <w:t>measure.</w:t>
      </w:r>
    </w:p>
    <w:p>
      <w:pPr>
        <w:pStyle w:val="BodyText"/>
        <w:spacing w:before="10"/>
        <w:rPr>
          <w:sz w:val="16"/>
        </w:rPr>
      </w:pPr>
    </w:p>
    <w:p>
      <w:pPr>
        <w:pStyle w:val="ListParagraph"/>
        <w:numPr>
          <w:ilvl w:val="0"/>
          <w:numId w:val="48"/>
        </w:numPr>
        <w:tabs>
          <w:tab w:pos="639" w:val="left" w:leader="none"/>
          <w:tab w:pos="640" w:val="left" w:leader="none"/>
        </w:tabs>
        <w:spacing w:line="232" w:lineRule="auto" w:before="0" w:after="0"/>
        <w:ind w:left="160" w:right="185" w:firstLine="0"/>
        <w:jc w:val="left"/>
        <w:rPr>
          <w:sz w:val="18"/>
        </w:rPr>
      </w:pPr>
      <w:r>
        <w:rPr>
          <w:sz w:val="18"/>
        </w:rPr>
        <w:t>The gap between RPIX services and RPIX goods price inflation had widened to its highest level since November 1991. RPIX service price inflation had risen to 4.2% in January. The largest</w:t>
      </w:r>
      <w:r>
        <w:rPr>
          <w:spacing w:val="-7"/>
          <w:sz w:val="18"/>
        </w:rPr>
        <w:t> </w:t>
      </w:r>
      <w:r>
        <w:rPr>
          <w:sz w:val="18"/>
        </w:rPr>
        <w:t>positive</w:t>
      </w:r>
      <w:r>
        <w:rPr>
          <w:spacing w:val="-7"/>
          <w:sz w:val="18"/>
        </w:rPr>
        <w:t> </w:t>
      </w:r>
      <w:r>
        <w:rPr>
          <w:sz w:val="18"/>
        </w:rPr>
        <w:t>contributions</w:t>
      </w:r>
      <w:r>
        <w:rPr>
          <w:spacing w:val="-6"/>
          <w:sz w:val="18"/>
        </w:rPr>
        <w:t> </w:t>
      </w:r>
      <w:r>
        <w:rPr>
          <w:sz w:val="18"/>
        </w:rPr>
        <w:t>had</w:t>
      </w:r>
      <w:r>
        <w:rPr>
          <w:spacing w:val="-7"/>
          <w:sz w:val="18"/>
        </w:rPr>
        <w:t> </w:t>
      </w:r>
      <w:r>
        <w:rPr>
          <w:sz w:val="18"/>
        </w:rPr>
        <w:t>come</w:t>
      </w:r>
      <w:r>
        <w:rPr>
          <w:spacing w:val="-6"/>
          <w:sz w:val="18"/>
        </w:rPr>
        <w:t> </w:t>
      </w:r>
      <w:r>
        <w:rPr>
          <w:sz w:val="18"/>
        </w:rPr>
        <w:t>from</w:t>
      </w:r>
      <w:r>
        <w:rPr>
          <w:spacing w:val="-7"/>
          <w:sz w:val="18"/>
        </w:rPr>
        <w:t> </w:t>
      </w:r>
      <w:r>
        <w:rPr>
          <w:sz w:val="18"/>
        </w:rPr>
        <w:t>leisure</w:t>
      </w:r>
      <w:r>
        <w:rPr>
          <w:spacing w:val="-6"/>
          <w:sz w:val="18"/>
        </w:rPr>
        <w:t> </w:t>
      </w:r>
      <w:r>
        <w:rPr>
          <w:sz w:val="18"/>
        </w:rPr>
        <w:t>(0.3</w:t>
      </w:r>
      <w:r>
        <w:rPr>
          <w:spacing w:val="-7"/>
          <w:sz w:val="18"/>
        </w:rPr>
        <w:t> </w:t>
      </w:r>
      <w:r>
        <w:rPr>
          <w:sz w:val="18"/>
        </w:rPr>
        <w:t>percentage points) and vehicle insurance.  RPIX goods price inflation had fallen to 0.0%, the lowest on record. The largest positive contributions to RPIX goods price inflation had come from petrol (0.7 percentage points) and tobacco. The BRC Shop Price Index had</w:t>
      </w:r>
      <w:r>
        <w:rPr>
          <w:spacing w:val="-4"/>
          <w:sz w:val="18"/>
        </w:rPr>
        <w:t> </w:t>
      </w:r>
      <w:r>
        <w:rPr>
          <w:sz w:val="18"/>
        </w:rPr>
        <w:t>risen</w:t>
      </w:r>
      <w:r>
        <w:rPr>
          <w:spacing w:val="-3"/>
          <w:sz w:val="18"/>
        </w:rPr>
        <w:t> </w:t>
      </w:r>
      <w:r>
        <w:rPr>
          <w:sz w:val="18"/>
        </w:rPr>
        <w:t>by</w:t>
      </w:r>
      <w:r>
        <w:rPr>
          <w:spacing w:val="-3"/>
          <w:sz w:val="18"/>
        </w:rPr>
        <w:t> </w:t>
      </w:r>
      <w:r>
        <w:rPr>
          <w:sz w:val="18"/>
        </w:rPr>
        <w:t>0.9%</w:t>
      </w:r>
      <w:r>
        <w:rPr>
          <w:spacing w:val="-4"/>
          <w:sz w:val="18"/>
        </w:rPr>
        <w:t> </w:t>
      </w:r>
      <w:r>
        <w:rPr>
          <w:sz w:val="18"/>
        </w:rPr>
        <w:t>in</w:t>
      </w:r>
      <w:r>
        <w:rPr>
          <w:spacing w:val="-3"/>
          <w:sz w:val="18"/>
        </w:rPr>
        <w:t> </w:t>
      </w:r>
      <w:r>
        <w:rPr>
          <w:sz w:val="18"/>
        </w:rPr>
        <w:t>February,</w:t>
      </w:r>
      <w:r>
        <w:rPr>
          <w:spacing w:val="-3"/>
          <w:sz w:val="18"/>
        </w:rPr>
        <w:t> </w:t>
      </w:r>
      <w:r>
        <w:rPr>
          <w:sz w:val="18"/>
        </w:rPr>
        <w:t>to</w:t>
      </w:r>
      <w:r>
        <w:rPr>
          <w:spacing w:val="-3"/>
          <w:sz w:val="18"/>
        </w:rPr>
        <w:t> </w:t>
      </w:r>
      <w:r>
        <w:rPr>
          <w:sz w:val="18"/>
        </w:rPr>
        <w:t>give</w:t>
      </w:r>
      <w:r>
        <w:rPr>
          <w:spacing w:val="-4"/>
          <w:sz w:val="18"/>
        </w:rPr>
        <w:t> </w:t>
      </w:r>
      <w:r>
        <w:rPr>
          <w:sz w:val="18"/>
        </w:rPr>
        <w:t>an</w:t>
      </w:r>
      <w:r>
        <w:rPr>
          <w:spacing w:val="-3"/>
          <w:sz w:val="18"/>
        </w:rPr>
        <w:t> </w:t>
      </w:r>
      <w:r>
        <w:rPr>
          <w:sz w:val="18"/>
        </w:rPr>
        <w:t>annual</w:t>
      </w:r>
      <w:r>
        <w:rPr>
          <w:spacing w:val="-3"/>
          <w:sz w:val="18"/>
        </w:rPr>
        <w:t> </w:t>
      </w:r>
      <w:r>
        <w:rPr>
          <w:sz w:val="18"/>
        </w:rPr>
        <w:t>inflation</w:t>
      </w:r>
      <w:r>
        <w:rPr>
          <w:spacing w:val="-3"/>
          <w:sz w:val="18"/>
        </w:rPr>
        <w:t> </w:t>
      </w:r>
      <w:r>
        <w:rPr>
          <w:sz w:val="18"/>
        </w:rPr>
        <w:t>rate</w:t>
      </w:r>
      <w:r>
        <w:rPr>
          <w:spacing w:val="-4"/>
          <w:sz w:val="18"/>
        </w:rPr>
        <w:t> </w:t>
      </w:r>
      <w:r>
        <w:rPr>
          <w:sz w:val="18"/>
        </w:rPr>
        <w:t>of</w:t>
      </w:r>
    </w:p>
    <w:p>
      <w:pPr>
        <w:pStyle w:val="BodyText"/>
        <w:spacing w:line="232" w:lineRule="auto"/>
        <w:ind w:left="160" w:right="231"/>
      </w:pPr>
      <w:r>
        <w:rPr/>
        <w:t>-0.3%. The CBI Distributive Trades Survey retail price expectations balance had fallen to -9 in March, the lowest since the series began in 1983.</w:t>
      </w:r>
    </w:p>
    <w:p>
      <w:pPr>
        <w:pStyle w:val="BodyText"/>
        <w:spacing w:before="10"/>
        <w:rPr>
          <w:sz w:val="19"/>
        </w:rPr>
      </w:pPr>
    </w:p>
    <w:p>
      <w:pPr>
        <w:pStyle w:val="Heading8"/>
        <w:numPr>
          <w:ilvl w:val="0"/>
          <w:numId w:val="49"/>
        </w:numPr>
        <w:tabs>
          <w:tab w:pos="639" w:val="left" w:leader="none"/>
          <w:tab w:pos="641" w:val="left" w:leader="none"/>
        </w:tabs>
        <w:spacing w:line="240" w:lineRule="auto" w:before="0" w:after="0"/>
        <w:ind w:left="640" w:right="0" w:hanging="481"/>
        <w:jc w:val="left"/>
      </w:pPr>
      <w:r>
        <w:rPr>
          <w:color w:val="009391"/>
        </w:rPr>
        <w:t>Reports by the </w:t>
      </w:r>
      <w:r>
        <w:rPr>
          <w:color w:val="009391"/>
          <w:spacing w:val="-2"/>
        </w:rPr>
        <w:t>Bank’s</w:t>
      </w:r>
      <w:r>
        <w:rPr>
          <w:color w:val="009391"/>
          <w:spacing w:val="-6"/>
        </w:rPr>
        <w:t> </w:t>
      </w:r>
      <w:r>
        <w:rPr>
          <w:color w:val="009391"/>
        </w:rPr>
        <w:t>Agents</w:t>
      </w:r>
    </w:p>
    <w:p>
      <w:pPr>
        <w:pStyle w:val="ListParagraph"/>
        <w:numPr>
          <w:ilvl w:val="0"/>
          <w:numId w:val="48"/>
        </w:numPr>
        <w:tabs>
          <w:tab w:pos="639" w:val="left" w:leader="none"/>
          <w:tab w:pos="640" w:val="left" w:leader="none"/>
        </w:tabs>
        <w:spacing w:line="232" w:lineRule="auto" w:before="110" w:after="0"/>
        <w:ind w:left="160" w:right="245" w:firstLine="0"/>
        <w:jc w:val="left"/>
        <w:rPr>
          <w:sz w:val="18"/>
        </w:rPr>
      </w:pPr>
      <w:r>
        <w:rPr>
          <w:sz w:val="18"/>
        </w:rPr>
        <w:t>The Bank’s regional Agents had reported a pause in manufacturing output growth as millennium stocks had been run down. There had been stronger growth in business services mainly related to professional services. Consistent with the latest CIPS construction survey, construction orders had continued to grow, particularly</w:t>
      </w:r>
      <w:r>
        <w:rPr>
          <w:spacing w:val="-6"/>
          <w:sz w:val="18"/>
        </w:rPr>
        <w:t> </w:t>
      </w:r>
      <w:r>
        <w:rPr>
          <w:sz w:val="18"/>
        </w:rPr>
        <w:t>from</w:t>
      </w:r>
      <w:r>
        <w:rPr>
          <w:spacing w:val="-6"/>
          <w:sz w:val="18"/>
        </w:rPr>
        <w:t> </w:t>
      </w:r>
      <w:r>
        <w:rPr>
          <w:sz w:val="18"/>
        </w:rPr>
        <w:t>the</w:t>
      </w:r>
      <w:r>
        <w:rPr>
          <w:spacing w:val="-6"/>
          <w:sz w:val="18"/>
        </w:rPr>
        <w:t> </w:t>
      </w:r>
      <w:r>
        <w:rPr>
          <w:sz w:val="18"/>
        </w:rPr>
        <w:t>leisure</w:t>
      </w:r>
      <w:r>
        <w:rPr>
          <w:spacing w:val="-6"/>
          <w:sz w:val="18"/>
        </w:rPr>
        <w:t> </w:t>
      </w:r>
      <w:r>
        <w:rPr>
          <w:sz w:val="18"/>
        </w:rPr>
        <w:t>industry</w:t>
      </w:r>
      <w:r>
        <w:rPr>
          <w:spacing w:val="-6"/>
          <w:sz w:val="18"/>
        </w:rPr>
        <w:t> </w:t>
      </w:r>
      <w:r>
        <w:rPr>
          <w:sz w:val="18"/>
        </w:rPr>
        <w:t>and</w:t>
      </w:r>
      <w:r>
        <w:rPr>
          <w:spacing w:val="-6"/>
          <w:sz w:val="18"/>
        </w:rPr>
        <w:t> </w:t>
      </w:r>
      <w:r>
        <w:rPr>
          <w:sz w:val="18"/>
        </w:rPr>
        <w:t>projects</w:t>
      </w:r>
      <w:r>
        <w:rPr>
          <w:spacing w:val="-6"/>
          <w:sz w:val="18"/>
        </w:rPr>
        <w:t> </w:t>
      </w:r>
      <w:r>
        <w:rPr>
          <w:sz w:val="18"/>
        </w:rPr>
        <w:t>under</w:t>
      </w:r>
      <w:r>
        <w:rPr>
          <w:spacing w:val="-6"/>
          <w:sz w:val="18"/>
        </w:rPr>
        <w:t> </w:t>
      </w:r>
      <w:r>
        <w:rPr>
          <w:sz w:val="18"/>
        </w:rPr>
        <w:t>the</w:t>
      </w:r>
      <w:r>
        <w:rPr>
          <w:spacing w:val="-6"/>
          <w:sz w:val="18"/>
        </w:rPr>
        <w:t> </w:t>
      </w:r>
      <w:r>
        <w:rPr>
          <w:sz w:val="18"/>
        </w:rPr>
        <w:t>Private Finance</w:t>
      </w:r>
      <w:r>
        <w:rPr>
          <w:spacing w:val="-2"/>
          <w:sz w:val="18"/>
        </w:rPr>
        <w:t> </w:t>
      </w:r>
      <w:r>
        <w:rPr>
          <w:sz w:val="18"/>
        </w:rPr>
        <w:t>Initiative.</w:t>
      </w:r>
    </w:p>
    <w:p>
      <w:pPr>
        <w:pStyle w:val="BodyText"/>
        <w:spacing w:before="10"/>
        <w:rPr>
          <w:sz w:val="16"/>
        </w:rPr>
      </w:pPr>
    </w:p>
    <w:p>
      <w:pPr>
        <w:pStyle w:val="ListParagraph"/>
        <w:numPr>
          <w:ilvl w:val="0"/>
          <w:numId w:val="48"/>
        </w:numPr>
        <w:tabs>
          <w:tab w:pos="639" w:val="left" w:leader="none"/>
          <w:tab w:pos="640" w:val="left" w:leader="none"/>
        </w:tabs>
        <w:spacing w:line="232" w:lineRule="auto" w:before="0" w:after="0"/>
        <w:ind w:left="160" w:right="315" w:firstLine="0"/>
        <w:jc w:val="left"/>
        <w:rPr>
          <w:sz w:val="18"/>
        </w:rPr>
      </w:pPr>
      <w:r>
        <w:rPr>
          <w:sz w:val="18"/>
        </w:rPr>
        <w:t>Some Agents had reported a slight easing in retail sales growth since January as many retailers had run down stocks, though the household goods sector had continued to show strong growth. The new car market had remained subdued, but there</w:t>
      </w:r>
      <w:r>
        <w:rPr>
          <w:spacing w:val="-3"/>
          <w:sz w:val="18"/>
        </w:rPr>
        <w:t> </w:t>
      </w:r>
      <w:r>
        <w:rPr>
          <w:sz w:val="18"/>
        </w:rPr>
        <w:t>had</w:t>
      </w:r>
    </w:p>
    <w:p>
      <w:pPr>
        <w:spacing w:after="0" w:line="232" w:lineRule="auto"/>
        <w:jc w:val="left"/>
        <w:rPr>
          <w:sz w:val="18"/>
        </w:rPr>
        <w:sectPr>
          <w:type w:val="continuous"/>
          <w:pgSz w:w="11900" w:h="16840"/>
          <w:pgMar w:top="1220" w:bottom="280" w:left="640" w:right="620"/>
          <w:cols w:num="2" w:equalWidth="0">
            <w:col w:w="5108" w:space="282"/>
            <w:col w:w="5250"/>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4"/>
        <w:rPr>
          <w:sz w:val="21"/>
        </w:rPr>
      </w:pPr>
    </w:p>
    <w:p>
      <w:pPr>
        <w:pStyle w:val="BodyText"/>
        <w:spacing w:line="232" w:lineRule="auto" w:before="1"/>
        <w:ind w:left="160" w:right="234"/>
      </w:pPr>
      <w:bookmarkStart w:name="March press notice" w:id="101"/>
      <w:bookmarkEnd w:id="101"/>
      <w:r>
        <w:rPr/>
      </w:r>
      <w:bookmarkStart w:name="_bookmark51" w:id="102"/>
      <w:bookmarkEnd w:id="102"/>
      <w:r>
        <w:rPr/>
      </w:r>
      <w:r>
        <w:rPr/>
        <w:t>been reports of continued recovery in the used car market. Exporters had remained confident about the strength of overseas demand growth, but margins had been further squeezed owing to the strength of sterling. There had been evidence that import penetration had increased, both at the intermediate and final production levels.</w:t>
      </w:r>
    </w:p>
    <w:p>
      <w:pPr>
        <w:pStyle w:val="BodyText"/>
        <w:spacing w:before="11"/>
        <w:rPr>
          <w:sz w:val="16"/>
        </w:rPr>
      </w:pPr>
    </w:p>
    <w:p>
      <w:pPr>
        <w:pStyle w:val="ListParagraph"/>
        <w:numPr>
          <w:ilvl w:val="0"/>
          <w:numId w:val="48"/>
        </w:numPr>
        <w:tabs>
          <w:tab w:pos="639" w:val="left" w:leader="none"/>
          <w:tab w:pos="640" w:val="left" w:leader="none"/>
        </w:tabs>
        <w:spacing w:line="232" w:lineRule="auto" w:before="0" w:after="0"/>
        <w:ind w:left="160" w:right="72" w:firstLine="0"/>
        <w:jc w:val="left"/>
        <w:rPr>
          <w:sz w:val="18"/>
        </w:rPr>
      </w:pPr>
      <w:r>
        <w:rPr>
          <w:sz w:val="18"/>
        </w:rPr>
        <w:t>In the housing market, prices were reported to be rising, but not accelerating. There had been some evidence that activity had peaked, with the exception of city centre sites. In the labour market, skill shortages had remained a concern. There had been considerable variation in December bonuses across and within both regions and</w:t>
      </w:r>
      <w:r>
        <w:rPr>
          <w:spacing w:val="-3"/>
          <w:sz w:val="18"/>
        </w:rPr>
        <w:t> </w:t>
      </w:r>
      <w:r>
        <w:rPr>
          <w:sz w:val="18"/>
        </w:rPr>
        <w:t>sectors.</w:t>
      </w:r>
    </w:p>
    <w:p>
      <w:pPr>
        <w:pStyle w:val="BodyText"/>
        <w:rPr>
          <w:sz w:val="17"/>
        </w:rPr>
      </w:pPr>
    </w:p>
    <w:p>
      <w:pPr>
        <w:pStyle w:val="ListParagraph"/>
        <w:numPr>
          <w:ilvl w:val="0"/>
          <w:numId w:val="48"/>
        </w:numPr>
        <w:tabs>
          <w:tab w:pos="639" w:val="left" w:leader="none"/>
          <w:tab w:pos="640" w:val="left" w:leader="none"/>
        </w:tabs>
        <w:spacing w:line="232" w:lineRule="auto" w:before="0" w:after="0"/>
        <w:ind w:left="160" w:right="43" w:firstLine="0"/>
        <w:jc w:val="left"/>
        <w:rPr>
          <w:sz w:val="18"/>
        </w:rPr>
      </w:pPr>
      <w:r>
        <w:rPr>
          <w:sz w:val="18"/>
        </w:rPr>
        <w:t>Manufacturers’ input prices had continued to rise. There had been continued downward pressure on manufacturers’ output prices, squeezing margins further. In the service sector, input price increases and higher wage costs had remained easier to pass through to</w:t>
      </w:r>
      <w:r>
        <w:rPr>
          <w:spacing w:val="-3"/>
          <w:sz w:val="18"/>
        </w:rPr>
        <w:t> </w:t>
      </w:r>
      <w:r>
        <w:rPr>
          <w:sz w:val="18"/>
        </w:rPr>
        <w:t>consumers.</w:t>
      </w:r>
    </w:p>
    <w:p>
      <w:pPr>
        <w:pStyle w:val="BodyText"/>
        <w:rPr>
          <w:sz w:val="17"/>
        </w:rPr>
      </w:pPr>
    </w:p>
    <w:p>
      <w:pPr>
        <w:pStyle w:val="ListParagraph"/>
        <w:numPr>
          <w:ilvl w:val="0"/>
          <w:numId w:val="48"/>
        </w:numPr>
        <w:tabs>
          <w:tab w:pos="639" w:val="left" w:leader="none"/>
          <w:tab w:pos="640" w:val="left" w:leader="none"/>
        </w:tabs>
        <w:spacing w:line="232" w:lineRule="auto" w:before="0" w:after="0"/>
        <w:ind w:left="160" w:right="78" w:firstLine="0"/>
        <w:jc w:val="left"/>
        <w:rPr>
          <w:sz w:val="18"/>
        </w:rPr>
      </w:pPr>
      <w:r>
        <w:rPr>
          <w:sz w:val="18"/>
        </w:rPr>
        <w:t>Retail price inflation had been reported to have been broadly negative, and the Agents had reported some concern from their contacts about higher overhead</w:t>
      </w:r>
      <w:r>
        <w:rPr>
          <w:spacing w:val="-7"/>
          <w:sz w:val="18"/>
        </w:rPr>
        <w:t> </w:t>
      </w:r>
      <w:r>
        <w:rPr>
          <w:sz w:val="18"/>
        </w:rPr>
        <w:t>costs.</w:t>
      </w:r>
    </w:p>
    <w:p>
      <w:pPr>
        <w:pStyle w:val="BodyText"/>
        <w:spacing w:before="2"/>
        <w:rPr>
          <w:sz w:val="17"/>
        </w:rPr>
      </w:pPr>
    </w:p>
    <w:p>
      <w:pPr>
        <w:pStyle w:val="ListParagraph"/>
        <w:numPr>
          <w:ilvl w:val="0"/>
          <w:numId w:val="48"/>
        </w:numPr>
        <w:tabs>
          <w:tab w:pos="639" w:val="left" w:leader="none"/>
          <w:tab w:pos="640" w:val="left" w:leader="none"/>
        </w:tabs>
        <w:spacing w:line="232" w:lineRule="auto" w:before="1" w:after="0"/>
        <w:ind w:left="160" w:right="187" w:firstLine="0"/>
        <w:jc w:val="left"/>
        <w:rPr>
          <w:sz w:val="18"/>
        </w:rPr>
      </w:pPr>
      <w:r>
        <w:rPr>
          <w:sz w:val="18"/>
        </w:rPr>
        <w:t>The Bank’s regional Agents had conducted a survey of UK firms regarding their investment intentions. Among the contacts sampled, more companies had raised their investment plans than had cut them over the past six months. The construction</w:t>
      </w:r>
      <w:r>
        <w:rPr>
          <w:spacing w:val="-31"/>
          <w:sz w:val="18"/>
        </w:rPr>
        <w:t> </w:t>
      </w:r>
      <w:r>
        <w:rPr>
          <w:sz w:val="18"/>
        </w:rPr>
        <w:t>and</w:t>
      </w:r>
    </w:p>
    <w:p>
      <w:pPr>
        <w:pStyle w:val="BodyText"/>
        <w:spacing w:line="232" w:lineRule="auto"/>
        <w:ind w:left="160" w:right="44"/>
      </w:pPr>
      <w:r>
        <w:rPr/>
        <w:t>non-retail services sectors had recorded the strongest revisions to their investment intentions.  Over the next two years, the majority of firms had expected investment spending on IT to be maintained or increased, compared with the previous two years. Almost half of the companies surveyed had claimed not to have made</w:t>
      </w:r>
      <w:r>
        <w:rPr>
          <w:spacing w:val="-23"/>
        </w:rPr>
        <w:t> </w:t>
      </w:r>
      <w:r>
        <w:rPr/>
        <w:t>any</w:t>
      </w:r>
    </w:p>
    <w:p>
      <w:pPr>
        <w:pStyle w:val="BodyText"/>
        <w:spacing w:before="4"/>
        <w:rPr>
          <w:sz w:val="21"/>
        </w:rPr>
      </w:pPr>
      <w:r>
        <w:rPr/>
        <w:br w:type="column"/>
      </w:r>
      <w:r>
        <w:rPr>
          <w:sz w:val="21"/>
        </w:rPr>
      </w:r>
    </w:p>
    <w:p>
      <w:pPr>
        <w:pStyle w:val="BodyText"/>
        <w:spacing w:line="232" w:lineRule="auto" w:before="1"/>
        <w:ind w:left="160" w:right="308"/>
      </w:pPr>
      <w:r>
        <w:rPr/>
        <w:t>significant borrowing in the past six months. But of those companies that had borrowed, financing new domestic investment had been by far the strongest motive.</w:t>
      </w:r>
    </w:p>
    <w:p>
      <w:pPr>
        <w:pStyle w:val="BodyText"/>
        <w:spacing w:before="5"/>
        <w:rPr>
          <w:sz w:val="20"/>
        </w:rPr>
      </w:pPr>
    </w:p>
    <w:p>
      <w:pPr>
        <w:pStyle w:val="Heading8"/>
        <w:numPr>
          <w:ilvl w:val="0"/>
          <w:numId w:val="49"/>
        </w:numPr>
        <w:tabs>
          <w:tab w:pos="641" w:val="left" w:leader="none"/>
        </w:tabs>
        <w:spacing w:line="240" w:lineRule="auto" w:before="0" w:after="0"/>
        <w:ind w:left="640" w:right="0" w:hanging="481"/>
        <w:jc w:val="left"/>
      </w:pPr>
      <w:r>
        <w:rPr>
          <w:color w:val="009391"/>
        </w:rPr>
        <w:t>Market</w:t>
      </w:r>
      <w:r>
        <w:rPr>
          <w:color w:val="009391"/>
          <w:spacing w:val="-2"/>
        </w:rPr>
        <w:t> </w:t>
      </w:r>
      <w:r>
        <w:rPr>
          <w:color w:val="009391"/>
        </w:rPr>
        <w:t>intelligence</w:t>
      </w:r>
    </w:p>
    <w:p>
      <w:pPr>
        <w:pStyle w:val="ListParagraph"/>
        <w:numPr>
          <w:ilvl w:val="0"/>
          <w:numId w:val="48"/>
        </w:numPr>
        <w:tabs>
          <w:tab w:pos="639" w:val="left" w:leader="none"/>
          <w:tab w:pos="640" w:val="left" w:leader="none"/>
        </w:tabs>
        <w:spacing w:line="232" w:lineRule="auto" w:before="109" w:after="0"/>
        <w:ind w:left="160" w:right="337" w:firstLine="0"/>
        <w:jc w:val="left"/>
        <w:rPr>
          <w:sz w:val="18"/>
        </w:rPr>
      </w:pPr>
      <w:r>
        <w:rPr>
          <w:sz w:val="18"/>
        </w:rPr>
        <w:t>Expectations of UK interest rates implied by short sterling futures had fallen since the MPC meeting, by around 30 basis points for contracts maturing in 2001 and 2002. Expectations of interest rates in the United States and, to a lesser extent, the euro area had also fallen, notwithstanding expectations of increases in official rates in March by the FOMC and ECB. By contrast, there had been little expectation in the market that official rates in the United Kingdom would rise in March. Market participants had commented on the disinflationary effects of a high exchange rate and the possibility that the earnings and retail sales data had been distorted by end-year</w:t>
      </w:r>
      <w:r>
        <w:rPr>
          <w:spacing w:val="-5"/>
          <w:sz w:val="18"/>
        </w:rPr>
        <w:t> </w:t>
      </w:r>
      <w:r>
        <w:rPr>
          <w:sz w:val="18"/>
        </w:rPr>
        <w:t>effects.</w:t>
      </w:r>
    </w:p>
    <w:p>
      <w:pPr>
        <w:pStyle w:val="BodyText"/>
        <w:spacing w:before="8"/>
        <w:rPr>
          <w:sz w:val="16"/>
        </w:rPr>
      </w:pPr>
    </w:p>
    <w:p>
      <w:pPr>
        <w:pStyle w:val="ListParagraph"/>
        <w:numPr>
          <w:ilvl w:val="0"/>
          <w:numId w:val="48"/>
        </w:numPr>
        <w:tabs>
          <w:tab w:pos="639" w:val="left" w:leader="none"/>
          <w:tab w:pos="640" w:val="left" w:leader="none"/>
        </w:tabs>
        <w:spacing w:line="232" w:lineRule="auto" w:before="0" w:after="0"/>
        <w:ind w:left="160" w:right="227" w:firstLine="0"/>
        <w:jc w:val="left"/>
        <w:rPr>
          <w:sz w:val="18"/>
        </w:rPr>
      </w:pPr>
      <w:r>
        <w:rPr>
          <w:sz w:val="18"/>
        </w:rPr>
        <w:t>Sterling’s effective exchange rate had appreciated slightly since the previous MPC meeting, with a 1.6% appreciation against the euro (which has a 65% weight in sterling’s effective exchange rate) counterbalanced by a depreciation against the dollar. In seeking to explain the continued strength of sterling, market participants had emphasised the impact of the general weakness of the euro. Against the dollar, sterling had been at the bottom of its trading range over the last three years. Risk reversals traded in the foreign exchange options market had suggested that market participants had been paying a premium to protect themselves against the risk of sterling depreciating against the dollar. This was not the case against the euro. Data on market positioning had suggested that most participants’ holdings of sterling were close to their benchmarks. Chart-based traders had continued to expect the euro to depreciate against</w:t>
      </w:r>
      <w:r>
        <w:rPr>
          <w:spacing w:val="-6"/>
          <w:sz w:val="18"/>
        </w:rPr>
        <w:t> </w:t>
      </w:r>
      <w:r>
        <w:rPr>
          <w:sz w:val="18"/>
        </w:rPr>
        <w:t>sterling.</w:t>
      </w:r>
    </w:p>
    <w:p>
      <w:pPr>
        <w:spacing w:after="0" w:line="232" w:lineRule="auto"/>
        <w:jc w:val="left"/>
        <w:rPr>
          <w:sz w:val="18"/>
        </w:rPr>
        <w:sectPr>
          <w:type w:val="continuous"/>
          <w:pgSz w:w="11900" w:h="16840"/>
          <w:pgMar w:top="1220" w:bottom="280" w:left="640" w:right="620"/>
          <w:cols w:num="2" w:equalWidth="0">
            <w:col w:w="5093" w:space="290"/>
            <w:col w:w="525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3"/>
        </w:rPr>
      </w:pPr>
    </w:p>
    <w:p>
      <w:pPr>
        <w:spacing w:line="357" w:lineRule="auto" w:before="88"/>
        <w:ind w:left="154" w:right="3681" w:firstLine="0"/>
        <w:jc w:val="left"/>
        <w:rPr>
          <w:b/>
          <w:sz w:val="28"/>
        </w:rPr>
      </w:pPr>
      <w:r>
        <w:rPr>
          <w:b/>
          <w:color w:val="009391"/>
          <w:sz w:val="28"/>
        </w:rPr>
        <w:t>Text of Bank of England press notice of 9 March 2000 Bank of England maintains interest rates at 6.0%</w:t>
      </w:r>
    </w:p>
    <w:p>
      <w:pPr>
        <w:pStyle w:val="BodyText"/>
        <w:spacing w:before="2"/>
        <w:rPr>
          <w:b/>
          <w:sz w:val="13"/>
        </w:rPr>
      </w:pPr>
    </w:p>
    <w:p>
      <w:pPr>
        <w:pStyle w:val="BodyText"/>
        <w:spacing w:line="463" w:lineRule="auto" w:before="93"/>
        <w:ind w:left="180" w:right="2781"/>
      </w:pPr>
      <w:r>
        <w:rPr/>
        <w:t>The Bank of England’s Monetary Policy Committee today voted to maintain the Bank’s repo rate at 6.0%. The minutes of the meeting will be published at 9.30 am on Wednesday 22 March.</w:t>
      </w:r>
    </w:p>
    <w:p>
      <w:pPr>
        <w:spacing w:after="0" w:line="463" w:lineRule="auto"/>
        <w:sectPr>
          <w:type w:val="continuous"/>
          <w:pgSz w:w="11900" w:h="16840"/>
          <w:pgMar w:top="1220" w:bottom="280" w:left="640" w:right="620"/>
        </w:sectPr>
      </w:pPr>
    </w:p>
    <w:p>
      <w:pPr>
        <w:pStyle w:val="BodyText"/>
        <w:rPr>
          <w:sz w:val="20"/>
        </w:rPr>
      </w:pPr>
    </w:p>
    <w:p>
      <w:pPr>
        <w:pStyle w:val="BodyText"/>
        <w:rPr>
          <w:sz w:val="20"/>
        </w:rPr>
      </w:pPr>
    </w:p>
    <w:p>
      <w:pPr>
        <w:pStyle w:val="BodyText"/>
        <w:spacing w:before="7"/>
        <w:rPr>
          <w:sz w:val="20"/>
        </w:rPr>
      </w:pPr>
    </w:p>
    <w:p>
      <w:pPr>
        <w:pStyle w:val="Heading2"/>
      </w:pPr>
      <w:bookmarkStart w:name="April minutes" w:id="103"/>
      <w:bookmarkEnd w:id="103"/>
      <w:r>
        <w:rPr>
          <w:b w:val="0"/>
        </w:rPr>
      </w:r>
      <w:bookmarkStart w:name="_bookmark52" w:id="104"/>
      <w:bookmarkEnd w:id="104"/>
      <w:r>
        <w:rPr>
          <w:b w:val="0"/>
        </w:rPr>
      </w:r>
      <w:bookmarkStart w:name="_bookmark53" w:id="105"/>
      <w:bookmarkEnd w:id="105"/>
      <w:r>
        <w:rPr>
          <w:b w:val="0"/>
        </w:rPr>
      </w:r>
      <w:r>
        <w:rPr>
          <w:color w:val="009391"/>
        </w:rPr>
        <w:t>Minutes of the Monetary Policy Committee meeting on 5–6 April 2000</w:t>
      </w:r>
    </w:p>
    <w:p>
      <w:pPr>
        <w:pStyle w:val="BodyText"/>
        <w:spacing w:before="6"/>
        <w:rPr>
          <w:b/>
          <w:sz w:val="28"/>
        </w:rPr>
      </w:pPr>
    </w:p>
    <w:p>
      <w:pPr>
        <w:spacing w:after="0"/>
        <w:rPr>
          <w:sz w:val="28"/>
        </w:rPr>
        <w:sectPr>
          <w:pgSz w:w="11900" w:h="16840"/>
          <w:pgMar w:header="566" w:footer="597" w:top="760" w:bottom="780" w:left="640" w:right="620"/>
        </w:sectPr>
      </w:pPr>
    </w:p>
    <w:p>
      <w:pPr>
        <w:pStyle w:val="ListParagraph"/>
        <w:numPr>
          <w:ilvl w:val="0"/>
          <w:numId w:val="50"/>
        </w:numPr>
        <w:tabs>
          <w:tab w:pos="639" w:val="left" w:leader="none"/>
          <w:tab w:pos="640" w:val="left" w:leader="none"/>
        </w:tabs>
        <w:spacing w:line="232" w:lineRule="auto" w:before="97" w:after="0"/>
        <w:ind w:left="160" w:right="63" w:firstLine="0"/>
        <w:jc w:val="left"/>
        <w:rPr>
          <w:sz w:val="18"/>
        </w:rPr>
      </w:pPr>
      <w:r>
        <w:rPr>
          <w:sz w:val="18"/>
        </w:rPr>
        <w:t>Before turning to its immediate policy decision, the Committee discussed the Budget; money and asset prices; demand and output; the labour market; prices and costs; the world economy; and other considerations relevant to its</w:t>
      </w:r>
      <w:r>
        <w:rPr>
          <w:spacing w:val="-23"/>
          <w:sz w:val="18"/>
        </w:rPr>
        <w:t> </w:t>
      </w:r>
      <w:r>
        <w:rPr>
          <w:sz w:val="18"/>
        </w:rPr>
        <w:t>decision.</w:t>
      </w:r>
    </w:p>
    <w:p>
      <w:pPr>
        <w:pStyle w:val="BodyText"/>
        <w:spacing w:before="5"/>
        <w:rPr>
          <w:sz w:val="20"/>
        </w:rPr>
      </w:pPr>
    </w:p>
    <w:p>
      <w:pPr>
        <w:pStyle w:val="Heading8"/>
        <w:ind w:left="160"/>
      </w:pPr>
      <w:r>
        <w:rPr>
          <w:color w:val="009391"/>
        </w:rPr>
        <w:t>The Budget</w:t>
      </w:r>
    </w:p>
    <w:p>
      <w:pPr>
        <w:pStyle w:val="ListParagraph"/>
        <w:numPr>
          <w:ilvl w:val="0"/>
          <w:numId w:val="50"/>
        </w:numPr>
        <w:tabs>
          <w:tab w:pos="639" w:val="left" w:leader="none"/>
          <w:tab w:pos="640" w:val="left" w:leader="none"/>
        </w:tabs>
        <w:spacing w:line="232" w:lineRule="auto" w:before="109" w:after="0"/>
        <w:ind w:left="160" w:right="263" w:firstLine="0"/>
        <w:jc w:val="left"/>
        <w:rPr>
          <w:sz w:val="18"/>
        </w:rPr>
      </w:pPr>
      <w:r>
        <w:rPr>
          <w:sz w:val="18"/>
        </w:rPr>
        <w:t>Prior to its previous meeting, the Committee had been briefed by Treasury officials on the broad shape of the Budget’s macroeconomic projections and the prospects for the public finances. It had agreed that more analysis would be needed once the full details of the Budget were</w:t>
      </w:r>
      <w:r>
        <w:rPr>
          <w:spacing w:val="-12"/>
          <w:sz w:val="18"/>
        </w:rPr>
        <w:t> </w:t>
      </w:r>
      <w:r>
        <w:rPr>
          <w:sz w:val="18"/>
        </w:rPr>
        <w:t>known.</w:t>
      </w:r>
    </w:p>
    <w:p>
      <w:pPr>
        <w:pStyle w:val="BodyText"/>
        <w:spacing w:before="1"/>
        <w:rPr>
          <w:sz w:val="17"/>
        </w:rPr>
      </w:pPr>
    </w:p>
    <w:p>
      <w:pPr>
        <w:pStyle w:val="ListParagraph"/>
        <w:numPr>
          <w:ilvl w:val="0"/>
          <w:numId w:val="50"/>
        </w:numPr>
        <w:tabs>
          <w:tab w:pos="639" w:val="left" w:leader="none"/>
          <w:tab w:pos="640" w:val="left" w:leader="none"/>
        </w:tabs>
        <w:spacing w:line="232" w:lineRule="auto" w:before="0" w:after="0"/>
        <w:ind w:left="160" w:right="38" w:firstLine="0"/>
        <w:jc w:val="left"/>
        <w:rPr>
          <w:sz w:val="18"/>
        </w:rPr>
      </w:pPr>
      <w:r>
        <w:rPr>
          <w:sz w:val="18"/>
        </w:rPr>
        <w:t>Since then the Budget had been finalised.  The broad shape of the projections for the public finances was unchanged from the Committee’s previous meeting. In 1999/2000 the net borrowing figure was nearly 1% of GDP lower than assumed in the November </w:t>
      </w:r>
      <w:r>
        <w:rPr>
          <w:i/>
          <w:sz w:val="18"/>
        </w:rPr>
        <w:t>Pre-Budget Report </w:t>
      </w:r>
      <w:r>
        <w:rPr>
          <w:sz w:val="18"/>
        </w:rPr>
        <w:t>(PBR), with the surplus now put at £11 billion as against £2 billion in November. The net borrowing figures in the Budget for the following two years were also lower than in the PBR, although the difference between the Budget and the PBR numbers was smaller than for 1999/2000. By the third year (2002/2003) net borrowing was higher than in the</w:t>
      </w:r>
      <w:r>
        <w:rPr>
          <w:spacing w:val="-19"/>
          <w:sz w:val="18"/>
        </w:rPr>
        <w:t> </w:t>
      </w:r>
      <w:r>
        <w:rPr>
          <w:sz w:val="18"/>
        </w:rPr>
        <w:t>PBR.</w:t>
      </w:r>
    </w:p>
    <w:p>
      <w:pPr>
        <w:pStyle w:val="BodyText"/>
        <w:spacing w:before="8"/>
        <w:rPr>
          <w:sz w:val="16"/>
        </w:rPr>
      </w:pPr>
    </w:p>
    <w:p>
      <w:pPr>
        <w:pStyle w:val="ListParagraph"/>
        <w:numPr>
          <w:ilvl w:val="0"/>
          <w:numId w:val="50"/>
        </w:numPr>
        <w:tabs>
          <w:tab w:pos="639" w:val="left" w:leader="none"/>
          <w:tab w:pos="640" w:val="left" w:leader="none"/>
        </w:tabs>
        <w:spacing w:line="232" w:lineRule="auto" w:before="0" w:after="0"/>
        <w:ind w:left="160" w:right="48" w:firstLine="0"/>
        <w:jc w:val="left"/>
        <w:rPr>
          <w:sz w:val="18"/>
        </w:rPr>
      </w:pPr>
      <w:r>
        <w:rPr>
          <w:sz w:val="18"/>
        </w:rPr>
        <w:t>The</w:t>
      </w:r>
      <w:r>
        <w:rPr>
          <w:spacing w:val="-7"/>
          <w:sz w:val="18"/>
        </w:rPr>
        <w:t> </w:t>
      </w:r>
      <w:r>
        <w:rPr>
          <w:sz w:val="18"/>
        </w:rPr>
        <w:t>figures</w:t>
      </w:r>
      <w:r>
        <w:rPr>
          <w:spacing w:val="-6"/>
          <w:sz w:val="18"/>
        </w:rPr>
        <w:t> </w:t>
      </w:r>
      <w:r>
        <w:rPr>
          <w:sz w:val="18"/>
        </w:rPr>
        <w:t>for</w:t>
      </w:r>
      <w:r>
        <w:rPr>
          <w:spacing w:val="-7"/>
          <w:sz w:val="18"/>
        </w:rPr>
        <w:t> </w:t>
      </w:r>
      <w:r>
        <w:rPr>
          <w:sz w:val="18"/>
        </w:rPr>
        <w:t>real</w:t>
      </w:r>
      <w:r>
        <w:rPr>
          <w:spacing w:val="-6"/>
          <w:sz w:val="18"/>
        </w:rPr>
        <w:t> </w:t>
      </w:r>
      <w:r>
        <w:rPr>
          <w:sz w:val="18"/>
        </w:rPr>
        <w:t>government</w:t>
      </w:r>
      <w:r>
        <w:rPr>
          <w:spacing w:val="-6"/>
          <w:sz w:val="18"/>
        </w:rPr>
        <w:t> </w:t>
      </w:r>
      <w:r>
        <w:rPr>
          <w:sz w:val="18"/>
        </w:rPr>
        <w:t>consumption</w:t>
      </w:r>
      <w:r>
        <w:rPr>
          <w:spacing w:val="-7"/>
          <w:sz w:val="18"/>
        </w:rPr>
        <w:t> </w:t>
      </w:r>
      <w:r>
        <w:rPr>
          <w:sz w:val="18"/>
        </w:rPr>
        <w:t>and</w:t>
      </w:r>
      <w:r>
        <w:rPr>
          <w:spacing w:val="-6"/>
          <w:sz w:val="18"/>
        </w:rPr>
        <w:t> </w:t>
      </w:r>
      <w:r>
        <w:rPr>
          <w:sz w:val="18"/>
        </w:rPr>
        <w:t>investment over the next two years were higher in the Budget than the assumptions made in the February </w:t>
      </w:r>
      <w:r>
        <w:rPr>
          <w:i/>
          <w:sz w:val="18"/>
        </w:rPr>
        <w:t>Inflation Report</w:t>
      </w:r>
      <w:r>
        <w:rPr>
          <w:sz w:val="18"/>
        </w:rPr>
        <w:t>, but little different from those in the November </w:t>
      </w:r>
      <w:r>
        <w:rPr>
          <w:i/>
          <w:sz w:val="18"/>
        </w:rPr>
        <w:t>Inflation Report</w:t>
      </w:r>
      <w:r>
        <w:rPr>
          <w:sz w:val="18"/>
        </w:rPr>
        <w:t>. This principally reflected the conventions employed in the Committee’s forecasts, not announcements in the Budget. Between November and February the government expenditure deflator had been revised up which, when projected forward, had implied lower public spending in real terms given the government’s nominal spending plans.  The higher nominal profile for public spending in the Budget would need to be reflected in the May </w:t>
      </w:r>
      <w:r>
        <w:rPr>
          <w:i/>
          <w:sz w:val="18"/>
        </w:rPr>
        <w:t>Inflation Report</w:t>
      </w:r>
      <w:r>
        <w:rPr>
          <w:sz w:val="18"/>
        </w:rPr>
        <w:t>, but the February </w:t>
      </w:r>
      <w:r>
        <w:rPr>
          <w:i/>
          <w:sz w:val="18"/>
        </w:rPr>
        <w:t>Inflation Report </w:t>
      </w:r>
      <w:r>
        <w:rPr>
          <w:sz w:val="18"/>
        </w:rPr>
        <w:t>had, in effect, already incorporated much of the recorded increase in tax revenue in 1999/2000, and this had influenced the private sector consumption and investment estimates for</w:t>
      </w:r>
      <w:r>
        <w:rPr>
          <w:spacing w:val="-3"/>
          <w:sz w:val="18"/>
        </w:rPr>
        <w:t> </w:t>
      </w:r>
      <w:r>
        <w:rPr>
          <w:sz w:val="18"/>
        </w:rPr>
        <w:t>1999/2000.</w:t>
      </w:r>
    </w:p>
    <w:p>
      <w:pPr>
        <w:pStyle w:val="BodyText"/>
        <w:spacing w:before="4"/>
        <w:rPr>
          <w:sz w:val="16"/>
        </w:rPr>
      </w:pPr>
    </w:p>
    <w:p>
      <w:pPr>
        <w:pStyle w:val="ListParagraph"/>
        <w:numPr>
          <w:ilvl w:val="0"/>
          <w:numId w:val="50"/>
        </w:numPr>
        <w:tabs>
          <w:tab w:pos="639" w:val="left" w:leader="none"/>
          <w:tab w:pos="641" w:val="left" w:leader="none"/>
        </w:tabs>
        <w:spacing w:line="232" w:lineRule="auto" w:before="0" w:after="0"/>
        <w:ind w:left="160" w:right="58" w:firstLine="0"/>
        <w:jc w:val="left"/>
        <w:rPr>
          <w:sz w:val="18"/>
        </w:rPr>
      </w:pPr>
      <w:r>
        <w:rPr>
          <w:sz w:val="18"/>
        </w:rPr>
        <w:t>There were, as always, uncertainties in the projections of future government revenue and spending, and in assessing the effects of the Budget more generally. The sustained real growth in public spending on goods and services meant that private spending would have to be constrained. However, spending by departments might increase more slowly than projected, as it had done recently, and</w:t>
      </w:r>
      <w:r>
        <w:rPr>
          <w:spacing w:val="-5"/>
          <w:sz w:val="18"/>
        </w:rPr>
        <w:t> </w:t>
      </w:r>
      <w:r>
        <w:rPr>
          <w:sz w:val="18"/>
        </w:rPr>
        <w:t>tax</w:t>
      </w:r>
      <w:r>
        <w:rPr>
          <w:spacing w:val="-5"/>
          <w:sz w:val="18"/>
        </w:rPr>
        <w:t> </w:t>
      </w:r>
      <w:r>
        <w:rPr>
          <w:sz w:val="18"/>
        </w:rPr>
        <w:t>revenues</w:t>
      </w:r>
      <w:r>
        <w:rPr>
          <w:spacing w:val="-4"/>
          <w:sz w:val="18"/>
        </w:rPr>
        <w:t> </w:t>
      </w:r>
      <w:r>
        <w:rPr>
          <w:sz w:val="18"/>
        </w:rPr>
        <w:t>might</w:t>
      </w:r>
      <w:r>
        <w:rPr>
          <w:spacing w:val="-5"/>
          <w:sz w:val="18"/>
        </w:rPr>
        <w:t> </w:t>
      </w:r>
      <w:r>
        <w:rPr>
          <w:sz w:val="18"/>
        </w:rPr>
        <w:t>continue</w:t>
      </w:r>
      <w:r>
        <w:rPr>
          <w:spacing w:val="-5"/>
          <w:sz w:val="18"/>
        </w:rPr>
        <w:t> </w:t>
      </w:r>
      <w:r>
        <w:rPr>
          <w:sz w:val="18"/>
        </w:rPr>
        <w:t>to</w:t>
      </w:r>
      <w:r>
        <w:rPr>
          <w:spacing w:val="-4"/>
          <w:sz w:val="18"/>
        </w:rPr>
        <w:t> </w:t>
      </w:r>
      <w:r>
        <w:rPr>
          <w:sz w:val="18"/>
        </w:rPr>
        <w:t>be</w:t>
      </w:r>
      <w:r>
        <w:rPr>
          <w:spacing w:val="-5"/>
          <w:sz w:val="18"/>
        </w:rPr>
        <w:t> </w:t>
      </w:r>
      <w:r>
        <w:rPr>
          <w:sz w:val="18"/>
        </w:rPr>
        <w:t>above</w:t>
      </w:r>
      <w:r>
        <w:rPr>
          <w:spacing w:val="-5"/>
          <w:sz w:val="18"/>
        </w:rPr>
        <w:t> </w:t>
      </w:r>
      <w:r>
        <w:rPr>
          <w:sz w:val="18"/>
        </w:rPr>
        <w:t>the</w:t>
      </w:r>
      <w:r>
        <w:rPr>
          <w:spacing w:val="-4"/>
          <w:sz w:val="18"/>
        </w:rPr>
        <w:t> </w:t>
      </w:r>
      <w:r>
        <w:rPr>
          <w:sz w:val="18"/>
        </w:rPr>
        <w:t>levels</w:t>
      </w:r>
      <w:r>
        <w:rPr>
          <w:spacing w:val="-5"/>
          <w:sz w:val="18"/>
        </w:rPr>
        <w:t> </w:t>
      </w:r>
      <w:r>
        <w:rPr>
          <w:sz w:val="18"/>
        </w:rPr>
        <w:t>projected</w:t>
      </w:r>
      <w:r>
        <w:rPr>
          <w:spacing w:val="-5"/>
          <w:sz w:val="18"/>
        </w:rPr>
        <w:t> </w:t>
      </w:r>
      <w:r>
        <w:rPr>
          <w:sz w:val="18"/>
        </w:rPr>
        <w:t>by the Treasury, particularly if their past buoyancy reflected structural rather than cyclical factors. But since the reasons for higher tax revenues were not well understood, it was uncertain how far recent trends could safely be extrapolated into the future. It was noted, though, that the Treasury’s Budget projections were prepared using what seemed to be prudent assumptions. All in all, most members of the Committee thought that the impact on future activity and inflation from the Budget seemed unlikely to be large over the next two</w:t>
      </w:r>
      <w:r>
        <w:rPr>
          <w:spacing w:val="-2"/>
          <w:sz w:val="18"/>
        </w:rPr>
        <w:t> </w:t>
      </w:r>
      <w:r>
        <w:rPr>
          <w:sz w:val="18"/>
        </w:rPr>
        <w:t>years.</w:t>
      </w:r>
    </w:p>
    <w:p>
      <w:pPr>
        <w:pStyle w:val="BodyText"/>
        <w:spacing w:before="4"/>
        <w:rPr>
          <w:sz w:val="16"/>
        </w:rPr>
      </w:pPr>
    </w:p>
    <w:p>
      <w:pPr>
        <w:pStyle w:val="ListParagraph"/>
        <w:numPr>
          <w:ilvl w:val="0"/>
          <w:numId w:val="50"/>
        </w:numPr>
        <w:tabs>
          <w:tab w:pos="639" w:val="left" w:leader="none"/>
          <w:tab w:pos="641" w:val="left" w:leader="none"/>
        </w:tabs>
        <w:spacing w:line="232" w:lineRule="auto" w:before="0" w:after="0"/>
        <w:ind w:left="160" w:right="103" w:firstLine="0"/>
        <w:jc w:val="left"/>
        <w:rPr>
          <w:sz w:val="18"/>
        </w:rPr>
      </w:pPr>
      <w:r>
        <w:rPr>
          <w:sz w:val="18"/>
        </w:rPr>
        <w:t>The Committee then discussed the effect on the public finances of the spectrum auctions for the Third Generation mobile telephone licences. While the auction receipts would boost the government’s cash flow straightaway, the immediate impact on the Public</w:t>
      </w:r>
      <w:r>
        <w:rPr>
          <w:spacing w:val="-6"/>
          <w:sz w:val="18"/>
        </w:rPr>
        <w:t> </w:t>
      </w:r>
      <w:r>
        <w:rPr>
          <w:sz w:val="18"/>
        </w:rPr>
        <w:t>Sector</w:t>
      </w:r>
      <w:r>
        <w:rPr>
          <w:spacing w:val="-5"/>
          <w:sz w:val="18"/>
        </w:rPr>
        <w:t> </w:t>
      </w:r>
      <w:r>
        <w:rPr>
          <w:sz w:val="18"/>
        </w:rPr>
        <w:t>Net</w:t>
      </w:r>
      <w:r>
        <w:rPr>
          <w:spacing w:val="-5"/>
          <w:sz w:val="18"/>
        </w:rPr>
        <w:t> </w:t>
      </w:r>
      <w:r>
        <w:rPr>
          <w:sz w:val="18"/>
        </w:rPr>
        <w:t>Borrowing</w:t>
      </w:r>
      <w:r>
        <w:rPr>
          <w:spacing w:val="-6"/>
          <w:sz w:val="18"/>
        </w:rPr>
        <w:t> </w:t>
      </w:r>
      <w:r>
        <w:rPr>
          <w:sz w:val="18"/>
        </w:rPr>
        <w:t>measure</w:t>
      </w:r>
      <w:r>
        <w:rPr>
          <w:spacing w:val="-5"/>
          <w:sz w:val="18"/>
        </w:rPr>
        <w:t> </w:t>
      </w:r>
      <w:r>
        <w:rPr>
          <w:sz w:val="18"/>
        </w:rPr>
        <w:t>would</w:t>
      </w:r>
      <w:r>
        <w:rPr>
          <w:spacing w:val="-5"/>
          <w:sz w:val="18"/>
        </w:rPr>
        <w:t> </w:t>
      </w:r>
      <w:r>
        <w:rPr>
          <w:sz w:val="18"/>
        </w:rPr>
        <w:t>be</w:t>
      </w:r>
      <w:r>
        <w:rPr>
          <w:spacing w:val="-6"/>
          <w:sz w:val="18"/>
        </w:rPr>
        <w:t> </w:t>
      </w:r>
      <w:r>
        <w:rPr>
          <w:sz w:val="18"/>
        </w:rPr>
        <w:t>much</w:t>
      </w:r>
      <w:r>
        <w:rPr>
          <w:spacing w:val="-5"/>
          <w:sz w:val="18"/>
        </w:rPr>
        <w:t> </w:t>
      </w:r>
      <w:r>
        <w:rPr>
          <w:sz w:val="18"/>
        </w:rPr>
        <w:t>less</w:t>
      </w:r>
      <w:r>
        <w:rPr>
          <w:spacing w:val="-5"/>
          <w:sz w:val="18"/>
        </w:rPr>
        <w:t> </w:t>
      </w:r>
      <w:r>
        <w:rPr>
          <w:sz w:val="18"/>
        </w:rPr>
        <w:t>marked, since for these purposes the revenue would be accrued over the life of the licences, ie until December 2021. On balance, even though the proceeds were likely to be substantially higher than initially expected</w:t>
      </w:r>
      <w:r>
        <w:rPr>
          <w:spacing w:val="-6"/>
          <w:sz w:val="18"/>
        </w:rPr>
        <w:t> </w:t>
      </w:r>
      <w:r>
        <w:rPr>
          <w:sz w:val="18"/>
        </w:rPr>
        <w:t>the</w:t>
      </w:r>
      <w:r>
        <w:rPr>
          <w:spacing w:val="-5"/>
          <w:sz w:val="18"/>
        </w:rPr>
        <w:t> </w:t>
      </w:r>
      <w:r>
        <w:rPr>
          <w:sz w:val="18"/>
        </w:rPr>
        <w:t>macroeconomic</w:t>
      </w:r>
      <w:r>
        <w:rPr>
          <w:spacing w:val="-6"/>
          <w:sz w:val="18"/>
        </w:rPr>
        <w:t> </w:t>
      </w:r>
      <w:r>
        <w:rPr>
          <w:sz w:val="18"/>
        </w:rPr>
        <w:t>effect</w:t>
      </w:r>
      <w:r>
        <w:rPr>
          <w:spacing w:val="-5"/>
          <w:sz w:val="18"/>
        </w:rPr>
        <w:t> </w:t>
      </w:r>
      <w:r>
        <w:rPr>
          <w:sz w:val="18"/>
        </w:rPr>
        <w:t>should</w:t>
      </w:r>
      <w:r>
        <w:rPr>
          <w:spacing w:val="-5"/>
          <w:sz w:val="18"/>
        </w:rPr>
        <w:t> </w:t>
      </w:r>
      <w:r>
        <w:rPr>
          <w:sz w:val="18"/>
        </w:rPr>
        <w:t>not</w:t>
      </w:r>
      <w:r>
        <w:rPr>
          <w:spacing w:val="-6"/>
          <w:sz w:val="18"/>
        </w:rPr>
        <w:t> </w:t>
      </w:r>
      <w:r>
        <w:rPr>
          <w:sz w:val="18"/>
        </w:rPr>
        <w:t>be</w:t>
      </w:r>
      <w:r>
        <w:rPr>
          <w:spacing w:val="-5"/>
          <w:sz w:val="18"/>
        </w:rPr>
        <w:t> </w:t>
      </w:r>
      <w:r>
        <w:rPr>
          <w:sz w:val="18"/>
        </w:rPr>
        <w:t>large,</w:t>
      </w:r>
      <w:r>
        <w:rPr>
          <w:spacing w:val="-5"/>
          <w:sz w:val="18"/>
        </w:rPr>
        <w:t> </w:t>
      </w:r>
      <w:r>
        <w:rPr>
          <w:sz w:val="18"/>
        </w:rPr>
        <w:t>unless</w:t>
      </w:r>
      <w:r>
        <w:rPr>
          <w:spacing w:val="-6"/>
          <w:sz w:val="18"/>
        </w:rPr>
        <w:t> </w:t>
      </w:r>
      <w:r>
        <w:rPr>
          <w:sz w:val="18"/>
        </w:rPr>
        <w:t>any</w:t>
      </w:r>
    </w:p>
    <w:p>
      <w:pPr>
        <w:pStyle w:val="BodyText"/>
        <w:spacing w:line="232" w:lineRule="auto" w:before="97"/>
        <w:ind w:left="160" w:right="196"/>
      </w:pPr>
      <w:r>
        <w:rPr/>
        <w:br w:type="column"/>
      </w:r>
      <w:r>
        <w:rPr/>
        <w:t>adjustment in taxes or government spending were brought forward rather than accrued over the life of the licences. More immediately, if foreign bidders bought rather than borrowed sterling to pay for the licences there could be a temporary effect on the exchange rate.</w:t>
      </w:r>
    </w:p>
    <w:p>
      <w:pPr>
        <w:pStyle w:val="BodyText"/>
        <w:spacing w:before="5"/>
        <w:rPr>
          <w:sz w:val="20"/>
        </w:rPr>
      </w:pPr>
    </w:p>
    <w:p>
      <w:pPr>
        <w:pStyle w:val="Heading8"/>
        <w:ind w:left="160"/>
      </w:pPr>
      <w:r>
        <w:rPr>
          <w:color w:val="009391"/>
        </w:rPr>
        <w:t>Money and asset prices</w:t>
      </w:r>
    </w:p>
    <w:p>
      <w:pPr>
        <w:pStyle w:val="ListParagraph"/>
        <w:numPr>
          <w:ilvl w:val="0"/>
          <w:numId w:val="50"/>
        </w:numPr>
        <w:tabs>
          <w:tab w:pos="639" w:val="left" w:leader="none"/>
          <w:tab w:pos="640" w:val="left" w:leader="none"/>
        </w:tabs>
        <w:spacing w:line="232" w:lineRule="auto" w:before="109" w:after="0"/>
        <w:ind w:left="160" w:right="250" w:firstLine="0"/>
        <w:jc w:val="left"/>
        <w:rPr>
          <w:sz w:val="18"/>
        </w:rPr>
      </w:pPr>
      <w:r>
        <w:rPr>
          <w:sz w:val="18"/>
        </w:rPr>
        <w:t>M0 and M4 lending were both increasing at 8%–9% a year, consistent with robust consumption growth. Loan approvals for house purchase had bounced back strongly in February, suggesting that the slowdown around the turn of the year had reflected seasonal effects. Competition in the mortgage market remained intense. House price indicators in March were mixed, with the Halifax index declining while the Nationwide index had risen strongly. Data on site visits and net reservations from the House Builders’</w:t>
      </w:r>
      <w:r>
        <w:rPr>
          <w:spacing w:val="-6"/>
          <w:sz w:val="18"/>
        </w:rPr>
        <w:t> </w:t>
      </w:r>
      <w:r>
        <w:rPr>
          <w:sz w:val="18"/>
        </w:rPr>
        <w:t>Federation</w:t>
      </w:r>
      <w:r>
        <w:rPr>
          <w:spacing w:val="-5"/>
          <w:sz w:val="18"/>
        </w:rPr>
        <w:t> </w:t>
      </w:r>
      <w:r>
        <w:rPr>
          <w:sz w:val="18"/>
        </w:rPr>
        <w:t>pointed</w:t>
      </w:r>
      <w:r>
        <w:rPr>
          <w:spacing w:val="-6"/>
          <w:sz w:val="18"/>
        </w:rPr>
        <w:t> </w:t>
      </w:r>
      <w:r>
        <w:rPr>
          <w:sz w:val="18"/>
        </w:rPr>
        <w:t>to</w:t>
      </w:r>
      <w:r>
        <w:rPr>
          <w:spacing w:val="-5"/>
          <w:sz w:val="18"/>
        </w:rPr>
        <w:t> </w:t>
      </w:r>
      <w:r>
        <w:rPr>
          <w:sz w:val="18"/>
        </w:rPr>
        <w:t>a</w:t>
      </w:r>
      <w:r>
        <w:rPr>
          <w:spacing w:val="-5"/>
          <w:sz w:val="18"/>
        </w:rPr>
        <w:t> </w:t>
      </w:r>
      <w:r>
        <w:rPr>
          <w:sz w:val="18"/>
        </w:rPr>
        <w:t>possible</w:t>
      </w:r>
      <w:r>
        <w:rPr>
          <w:spacing w:val="-6"/>
          <w:sz w:val="18"/>
        </w:rPr>
        <w:t> </w:t>
      </w:r>
      <w:r>
        <w:rPr>
          <w:sz w:val="18"/>
        </w:rPr>
        <w:t>easing</w:t>
      </w:r>
      <w:r>
        <w:rPr>
          <w:spacing w:val="-5"/>
          <w:sz w:val="18"/>
        </w:rPr>
        <w:t> </w:t>
      </w:r>
      <w:r>
        <w:rPr>
          <w:sz w:val="18"/>
        </w:rPr>
        <w:t>in</w:t>
      </w:r>
      <w:r>
        <w:rPr>
          <w:spacing w:val="-6"/>
          <w:sz w:val="18"/>
        </w:rPr>
        <w:t> </w:t>
      </w:r>
      <w:r>
        <w:rPr>
          <w:sz w:val="18"/>
        </w:rPr>
        <w:t>activity</w:t>
      </w:r>
      <w:r>
        <w:rPr>
          <w:spacing w:val="-5"/>
          <w:sz w:val="18"/>
        </w:rPr>
        <w:t> </w:t>
      </w:r>
      <w:r>
        <w:rPr>
          <w:sz w:val="18"/>
        </w:rPr>
        <w:t>later</w:t>
      </w:r>
      <w:r>
        <w:rPr>
          <w:spacing w:val="-5"/>
          <w:sz w:val="18"/>
        </w:rPr>
        <w:t> </w:t>
      </w:r>
      <w:r>
        <w:rPr>
          <w:sz w:val="18"/>
        </w:rPr>
        <w:t>in the year, but it was too early to say whether house price increases would moderate to the extent projected in the</w:t>
      </w:r>
      <w:r>
        <w:rPr>
          <w:spacing w:val="-19"/>
          <w:sz w:val="18"/>
        </w:rPr>
        <w:t> </w:t>
      </w:r>
      <w:r>
        <w:rPr>
          <w:sz w:val="18"/>
        </w:rPr>
        <w:t>February</w:t>
      </w:r>
    </w:p>
    <w:p>
      <w:pPr>
        <w:spacing w:line="193" w:lineRule="exact" w:before="0"/>
        <w:ind w:left="160" w:right="0" w:firstLine="0"/>
        <w:jc w:val="left"/>
        <w:rPr>
          <w:sz w:val="18"/>
        </w:rPr>
      </w:pPr>
      <w:r>
        <w:rPr>
          <w:i/>
          <w:sz w:val="18"/>
        </w:rPr>
        <w:t>Inflation Report</w:t>
      </w:r>
      <w:r>
        <w:rPr>
          <w:sz w:val="18"/>
        </w:rPr>
        <w:t>.</w:t>
      </w:r>
    </w:p>
    <w:p>
      <w:pPr>
        <w:pStyle w:val="BodyText"/>
        <w:spacing w:before="3"/>
        <w:rPr>
          <w:sz w:val="17"/>
        </w:rPr>
      </w:pPr>
    </w:p>
    <w:p>
      <w:pPr>
        <w:pStyle w:val="ListParagraph"/>
        <w:numPr>
          <w:ilvl w:val="0"/>
          <w:numId w:val="50"/>
        </w:numPr>
        <w:tabs>
          <w:tab w:pos="639" w:val="left" w:leader="none"/>
          <w:tab w:pos="640" w:val="left" w:leader="none"/>
        </w:tabs>
        <w:spacing w:line="232" w:lineRule="auto" w:before="0" w:after="0"/>
        <w:ind w:left="160" w:right="290" w:firstLine="0"/>
        <w:jc w:val="left"/>
        <w:rPr>
          <w:sz w:val="18"/>
        </w:rPr>
      </w:pPr>
      <w:r>
        <w:rPr>
          <w:sz w:val="18"/>
        </w:rPr>
        <w:t>Monetary and financial data, together with recent surveys, suggested a rather stronger outlook for business investment, with capital gearing (as measured by market values) falling as equity prices rose. The financial deficit of the private non-financial corporate sector in 1999, however, was at its highest as a percentage of GDP for almost ten years, although there was little sign that this was holding back planned investment. Much of the deficit had been financed either by foreign currency borrowing or by sterling capital market issuance. Corporate bond spreads over gilts</w:t>
      </w:r>
      <w:r>
        <w:rPr>
          <w:spacing w:val="-7"/>
          <w:sz w:val="18"/>
        </w:rPr>
        <w:t> </w:t>
      </w:r>
      <w:r>
        <w:rPr>
          <w:sz w:val="18"/>
        </w:rPr>
        <w:t>remained</w:t>
      </w:r>
      <w:r>
        <w:rPr>
          <w:spacing w:val="-6"/>
          <w:sz w:val="18"/>
        </w:rPr>
        <w:t> </w:t>
      </w:r>
      <w:r>
        <w:rPr>
          <w:sz w:val="18"/>
        </w:rPr>
        <w:t>wide,</w:t>
      </w:r>
      <w:r>
        <w:rPr>
          <w:spacing w:val="-7"/>
          <w:sz w:val="18"/>
        </w:rPr>
        <w:t> </w:t>
      </w:r>
      <w:r>
        <w:rPr>
          <w:sz w:val="18"/>
        </w:rPr>
        <w:t>perhaps</w:t>
      </w:r>
      <w:r>
        <w:rPr>
          <w:spacing w:val="-6"/>
          <w:sz w:val="18"/>
        </w:rPr>
        <w:t> </w:t>
      </w:r>
      <w:r>
        <w:rPr>
          <w:sz w:val="18"/>
        </w:rPr>
        <w:t>reflecting</w:t>
      </w:r>
      <w:r>
        <w:rPr>
          <w:spacing w:val="-7"/>
          <w:sz w:val="18"/>
        </w:rPr>
        <w:t> </w:t>
      </w:r>
      <w:r>
        <w:rPr>
          <w:sz w:val="18"/>
        </w:rPr>
        <w:t>relative</w:t>
      </w:r>
      <w:r>
        <w:rPr>
          <w:spacing w:val="-6"/>
          <w:sz w:val="18"/>
        </w:rPr>
        <w:t> </w:t>
      </w:r>
      <w:r>
        <w:rPr>
          <w:sz w:val="18"/>
        </w:rPr>
        <w:t>supply,</w:t>
      </w:r>
      <w:r>
        <w:rPr>
          <w:spacing w:val="-7"/>
          <w:sz w:val="18"/>
        </w:rPr>
        <w:t> </w:t>
      </w:r>
      <w:r>
        <w:rPr>
          <w:sz w:val="18"/>
        </w:rPr>
        <w:t>with</w:t>
      </w:r>
      <w:r>
        <w:rPr>
          <w:spacing w:val="-6"/>
          <w:sz w:val="18"/>
        </w:rPr>
        <w:t> </w:t>
      </w:r>
      <w:r>
        <w:rPr>
          <w:sz w:val="18"/>
        </w:rPr>
        <w:t>heavy long-dated corporate bond issuance over the last</w:t>
      </w:r>
      <w:r>
        <w:rPr>
          <w:spacing w:val="-17"/>
          <w:sz w:val="18"/>
        </w:rPr>
        <w:t> </w:t>
      </w:r>
      <w:r>
        <w:rPr>
          <w:sz w:val="18"/>
        </w:rPr>
        <w:t>year.</w:t>
      </w:r>
    </w:p>
    <w:p>
      <w:pPr>
        <w:pStyle w:val="BodyText"/>
        <w:spacing w:before="7"/>
        <w:rPr>
          <w:sz w:val="16"/>
        </w:rPr>
      </w:pPr>
    </w:p>
    <w:p>
      <w:pPr>
        <w:pStyle w:val="ListParagraph"/>
        <w:numPr>
          <w:ilvl w:val="0"/>
          <w:numId w:val="50"/>
        </w:numPr>
        <w:tabs>
          <w:tab w:pos="639" w:val="left" w:leader="none"/>
          <w:tab w:pos="640" w:val="left" w:leader="none"/>
        </w:tabs>
        <w:spacing w:line="232" w:lineRule="auto" w:before="0" w:after="0"/>
        <w:ind w:left="160" w:right="301" w:firstLine="0"/>
        <w:jc w:val="left"/>
        <w:rPr>
          <w:sz w:val="18"/>
        </w:rPr>
      </w:pPr>
      <w:r>
        <w:rPr>
          <w:sz w:val="18"/>
        </w:rPr>
        <w:t>The Committee discussed the implications of the recent movements in global equity prices for the economic outlook. While so-called ‘new economy’ shares had fallen significantly in price over the month, with the NASDAQ index in the US down around 15%, this had not had a contagious effect on other sectors, and ‘old economy’ share prices showed a significant rise over the same period. In both cases these moves represented a reversal of the</w:t>
      </w:r>
      <w:r>
        <w:rPr>
          <w:spacing w:val="-5"/>
          <w:sz w:val="18"/>
        </w:rPr>
        <w:t> </w:t>
      </w:r>
      <w:r>
        <w:rPr>
          <w:sz w:val="18"/>
        </w:rPr>
        <w:t>price</w:t>
      </w:r>
      <w:r>
        <w:rPr>
          <w:spacing w:val="-5"/>
          <w:sz w:val="18"/>
        </w:rPr>
        <w:t> </w:t>
      </w:r>
      <w:r>
        <w:rPr>
          <w:sz w:val="18"/>
        </w:rPr>
        <w:t>changes</w:t>
      </w:r>
      <w:r>
        <w:rPr>
          <w:spacing w:val="-5"/>
          <w:sz w:val="18"/>
        </w:rPr>
        <w:t> </w:t>
      </w:r>
      <w:r>
        <w:rPr>
          <w:sz w:val="18"/>
        </w:rPr>
        <w:t>seen</w:t>
      </w:r>
      <w:r>
        <w:rPr>
          <w:spacing w:val="-4"/>
          <w:sz w:val="18"/>
        </w:rPr>
        <w:t> </w:t>
      </w:r>
      <w:r>
        <w:rPr>
          <w:sz w:val="18"/>
        </w:rPr>
        <w:t>earlier</w:t>
      </w:r>
      <w:r>
        <w:rPr>
          <w:spacing w:val="-5"/>
          <w:sz w:val="18"/>
        </w:rPr>
        <w:t> </w:t>
      </w:r>
      <w:r>
        <w:rPr>
          <w:sz w:val="18"/>
        </w:rPr>
        <w:t>in</w:t>
      </w:r>
      <w:r>
        <w:rPr>
          <w:spacing w:val="-5"/>
          <w:sz w:val="18"/>
        </w:rPr>
        <w:t> </w:t>
      </w:r>
      <w:r>
        <w:rPr>
          <w:sz w:val="18"/>
        </w:rPr>
        <w:t>the</w:t>
      </w:r>
      <w:r>
        <w:rPr>
          <w:spacing w:val="-5"/>
          <w:sz w:val="18"/>
        </w:rPr>
        <w:t> </w:t>
      </w:r>
      <w:r>
        <w:rPr>
          <w:sz w:val="18"/>
        </w:rPr>
        <w:t>year,</w:t>
      </w:r>
      <w:r>
        <w:rPr>
          <w:spacing w:val="-4"/>
          <w:sz w:val="18"/>
        </w:rPr>
        <w:t> </w:t>
      </w:r>
      <w:r>
        <w:rPr>
          <w:sz w:val="18"/>
        </w:rPr>
        <w:t>and</w:t>
      </w:r>
      <w:r>
        <w:rPr>
          <w:spacing w:val="-5"/>
          <w:sz w:val="18"/>
        </w:rPr>
        <w:t> </w:t>
      </w:r>
      <w:r>
        <w:rPr>
          <w:sz w:val="18"/>
        </w:rPr>
        <w:t>were</w:t>
      </w:r>
      <w:r>
        <w:rPr>
          <w:spacing w:val="-5"/>
          <w:sz w:val="18"/>
        </w:rPr>
        <w:t> </w:t>
      </w:r>
      <w:r>
        <w:rPr>
          <w:sz w:val="18"/>
        </w:rPr>
        <w:t>not</w:t>
      </w:r>
      <w:r>
        <w:rPr>
          <w:spacing w:val="-5"/>
          <w:sz w:val="18"/>
        </w:rPr>
        <w:t> </w:t>
      </w:r>
      <w:r>
        <w:rPr>
          <w:sz w:val="18"/>
        </w:rPr>
        <w:t>necessarily evidence</w:t>
      </w:r>
      <w:r>
        <w:rPr>
          <w:spacing w:val="-5"/>
          <w:sz w:val="18"/>
        </w:rPr>
        <w:t> </w:t>
      </w:r>
      <w:r>
        <w:rPr>
          <w:sz w:val="18"/>
        </w:rPr>
        <w:t>of</w:t>
      </w:r>
      <w:r>
        <w:rPr>
          <w:spacing w:val="-4"/>
          <w:sz w:val="18"/>
        </w:rPr>
        <w:t> </w:t>
      </w:r>
      <w:r>
        <w:rPr>
          <w:sz w:val="18"/>
        </w:rPr>
        <w:t>increased</w:t>
      </w:r>
      <w:r>
        <w:rPr>
          <w:spacing w:val="-5"/>
          <w:sz w:val="18"/>
        </w:rPr>
        <w:t> </w:t>
      </w:r>
      <w:r>
        <w:rPr>
          <w:sz w:val="18"/>
        </w:rPr>
        <w:t>fragility</w:t>
      </w:r>
      <w:r>
        <w:rPr>
          <w:spacing w:val="-4"/>
          <w:sz w:val="18"/>
        </w:rPr>
        <w:t> </w:t>
      </w:r>
      <w:r>
        <w:rPr>
          <w:sz w:val="18"/>
        </w:rPr>
        <w:t>in</w:t>
      </w:r>
      <w:r>
        <w:rPr>
          <w:spacing w:val="-5"/>
          <w:sz w:val="18"/>
        </w:rPr>
        <w:t> </w:t>
      </w:r>
      <w:r>
        <w:rPr>
          <w:sz w:val="18"/>
        </w:rPr>
        <w:t>the</w:t>
      </w:r>
      <w:r>
        <w:rPr>
          <w:spacing w:val="-4"/>
          <w:sz w:val="18"/>
        </w:rPr>
        <w:t> </w:t>
      </w:r>
      <w:r>
        <w:rPr>
          <w:sz w:val="18"/>
        </w:rPr>
        <w:t>market</w:t>
      </w:r>
      <w:r>
        <w:rPr>
          <w:spacing w:val="-5"/>
          <w:sz w:val="18"/>
        </w:rPr>
        <w:t> </w:t>
      </w:r>
      <w:r>
        <w:rPr>
          <w:sz w:val="18"/>
        </w:rPr>
        <w:t>as</w:t>
      </w:r>
      <w:r>
        <w:rPr>
          <w:spacing w:val="-4"/>
          <w:sz w:val="18"/>
        </w:rPr>
        <w:t> </w:t>
      </w:r>
      <w:r>
        <w:rPr>
          <w:sz w:val="18"/>
        </w:rPr>
        <w:t>a</w:t>
      </w:r>
      <w:r>
        <w:rPr>
          <w:spacing w:val="-5"/>
          <w:sz w:val="18"/>
        </w:rPr>
        <w:t> </w:t>
      </w:r>
      <w:r>
        <w:rPr>
          <w:sz w:val="18"/>
        </w:rPr>
        <w:t>whole,</w:t>
      </w:r>
      <w:r>
        <w:rPr>
          <w:spacing w:val="-4"/>
          <w:sz w:val="18"/>
        </w:rPr>
        <w:t> </w:t>
      </w:r>
      <w:r>
        <w:rPr>
          <w:sz w:val="18"/>
        </w:rPr>
        <w:t>although</w:t>
      </w:r>
    </w:p>
    <w:p>
      <w:pPr>
        <w:pStyle w:val="BodyText"/>
        <w:spacing w:line="232" w:lineRule="auto"/>
        <w:ind w:left="160" w:right="181"/>
        <w:jc w:val="both"/>
      </w:pPr>
      <w:r>
        <w:rPr/>
        <w:t>the extent of recent volatility could alternatively be seen as a sign of a forthcoming downturn, particularly if it should lead to an increase in the equity risk premium.</w:t>
      </w:r>
    </w:p>
    <w:p>
      <w:pPr>
        <w:pStyle w:val="BodyText"/>
        <w:spacing w:before="7"/>
        <w:rPr>
          <w:sz w:val="16"/>
        </w:rPr>
      </w:pPr>
    </w:p>
    <w:p>
      <w:pPr>
        <w:pStyle w:val="ListParagraph"/>
        <w:numPr>
          <w:ilvl w:val="0"/>
          <w:numId w:val="50"/>
        </w:numPr>
        <w:tabs>
          <w:tab w:pos="639" w:val="left" w:leader="none"/>
          <w:tab w:pos="640" w:val="left" w:leader="none"/>
        </w:tabs>
        <w:spacing w:line="232" w:lineRule="auto" w:before="0" w:after="0"/>
        <w:ind w:left="160" w:right="210" w:firstLine="0"/>
        <w:jc w:val="left"/>
        <w:rPr>
          <w:sz w:val="18"/>
        </w:rPr>
      </w:pPr>
      <w:r>
        <w:rPr>
          <w:sz w:val="18"/>
        </w:rPr>
        <w:t>The weakness of the euro continued, although over the month as a whole sterling was little changed despite intra-month volatility. While the decline in the euro might reflect the cyclical strength of the US economy or pessimistic views on structural reform</w:t>
      </w:r>
      <w:r>
        <w:rPr>
          <w:spacing w:val="-5"/>
          <w:sz w:val="18"/>
        </w:rPr>
        <w:t> </w:t>
      </w:r>
      <w:r>
        <w:rPr>
          <w:sz w:val="18"/>
        </w:rPr>
        <w:t>within</w:t>
      </w:r>
      <w:r>
        <w:rPr>
          <w:spacing w:val="-5"/>
          <w:sz w:val="18"/>
        </w:rPr>
        <w:t> </w:t>
      </w:r>
      <w:r>
        <w:rPr>
          <w:sz w:val="18"/>
        </w:rPr>
        <w:t>the</w:t>
      </w:r>
      <w:r>
        <w:rPr>
          <w:spacing w:val="-4"/>
          <w:sz w:val="18"/>
        </w:rPr>
        <w:t> </w:t>
      </w:r>
      <w:r>
        <w:rPr>
          <w:sz w:val="18"/>
        </w:rPr>
        <w:t>euro</w:t>
      </w:r>
      <w:r>
        <w:rPr>
          <w:spacing w:val="-5"/>
          <w:sz w:val="18"/>
        </w:rPr>
        <w:t> </w:t>
      </w:r>
      <w:r>
        <w:rPr>
          <w:sz w:val="18"/>
        </w:rPr>
        <w:t>area,</w:t>
      </w:r>
      <w:r>
        <w:rPr>
          <w:spacing w:val="-5"/>
          <w:sz w:val="18"/>
        </w:rPr>
        <w:t> </w:t>
      </w:r>
      <w:r>
        <w:rPr>
          <w:sz w:val="18"/>
        </w:rPr>
        <w:t>this</w:t>
      </w:r>
      <w:r>
        <w:rPr>
          <w:spacing w:val="-4"/>
          <w:sz w:val="18"/>
        </w:rPr>
        <w:t> </w:t>
      </w:r>
      <w:r>
        <w:rPr>
          <w:sz w:val="18"/>
        </w:rPr>
        <w:t>had</w:t>
      </w:r>
      <w:r>
        <w:rPr>
          <w:spacing w:val="-5"/>
          <w:sz w:val="18"/>
        </w:rPr>
        <w:t> </w:t>
      </w:r>
      <w:r>
        <w:rPr>
          <w:sz w:val="18"/>
        </w:rPr>
        <w:t>not</w:t>
      </w:r>
      <w:r>
        <w:rPr>
          <w:spacing w:val="-5"/>
          <w:sz w:val="18"/>
        </w:rPr>
        <w:t> </w:t>
      </w:r>
      <w:r>
        <w:rPr>
          <w:sz w:val="18"/>
        </w:rPr>
        <w:t>been</w:t>
      </w:r>
      <w:r>
        <w:rPr>
          <w:spacing w:val="-4"/>
          <w:sz w:val="18"/>
        </w:rPr>
        <w:t> </w:t>
      </w:r>
      <w:r>
        <w:rPr>
          <w:sz w:val="18"/>
        </w:rPr>
        <w:t>mirrored</w:t>
      </w:r>
      <w:r>
        <w:rPr>
          <w:spacing w:val="-5"/>
          <w:sz w:val="18"/>
        </w:rPr>
        <w:t> </w:t>
      </w:r>
      <w:r>
        <w:rPr>
          <w:sz w:val="18"/>
        </w:rPr>
        <w:t>in</w:t>
      </w:r>
      <w:r>
        <w:rPr>
          <w:spacing w:val="-5"/>
          <w:sz w:val="18"/>
        </w:rPr>
        <w:t> </w:t>
      </w:r>
      <w:r>
        <w:rPr>
          <w:sz w:val="18"/>
        </w:rPr>
        <w:t>European equity markets, which had risen strongly over recent months. Nor did such hypotheses do much to explain why the euro had fallen by more than 10% against the yen since</w:t>
      </w:r>
      <w:r>
        <w:rPr>
          <w:spacing w:val="-13"/>
          <w:sz w:val="18"/>
        </w:rPr>
        <w:t> </w:t>
      </w:r>
      <w:r>
        <w:rPr>
          <w:sz w:val="18"/>
        </w:rPr>
        <w:t>September.</w:t>
      </w:r>
    </w:p>
    <w:p>
      <w:pPr>
        <w:pStyle w:val="BodyText"/>
        <w:spacing w:before="1"/>
        <w:rPr>
          <w:sz w:val="20"/>
        </w:rPr>
      </w:pPr>
    </w:p>
    <w:p>
      <w:pPr>
        <w:pStyle w:val="Heading8"/>
        <w:ind w:left="160"/>
        <w:jc w:val="both"/>
      </w:pPr>
      <w:r>
        <w:rPr>
          <w:color w:val="009391"/>
        </w:rPr>
        <w:t>Demand and output</w:t>
      </w:r>
    </w:p>
    <w:p>
      <w:pPr>
        <w:pStyle w:val="ListParagraph"/>
        <w:numPr>
          <w:ilvl w:val="0"/>
          <w:numId w:val="50"/>
        </w:numPr>
        <w:tabs>
          <w:tab w:pos="639" w:val="left" w:leader="none"/>
          <w:tab w:pos="640" w:val="left" w:leader="none"/>
        </w:tabs>
        <w:spacing w:line="232" w:lineRule="auto" w:before="110" w:after="0"/>
        <w:ind w:left="160" w:right="270" w:firstLine="0"/>
        <w:jc w:val="left"/>
        <w:rPr>
          <w:sz w:val="18"/>
        </w:rPr>
      </w:pPr>
      <w:r>
        <w:rPr>
          <w:sz w:val="18"/>
        </w:rPr>
        <w:t>The latest national accounts data for 1999 Q4 included upwards</w:t>
      </w:r>
      <w:r>
        <w:rPr>
          <w:spacing w:val="-6"/>
          <w:sz w:val="18"/>
        </w:rPr>
        <w:t> </w:t>
      </w:r>
      <w:r>
        <w:rPr>
          <w:sz w:val="18"/>
        </w:rPr>
        <w:t>revisions</w:t>
      </w:r>
      <w:r>
        <w:rPr>
          <w:spacing w:val="-5"/>
          <w:sz w:val="18"/>
        </w:rPr>
        <w:t> </w:t>
      </w:r>
      <w:r>
        <w:rPr>
          <w:sz w:val="18"/>
        </w:rPr>
        <w:t>to</w:t>
      </w:r>
      <w:r>
        <w:rPr>
          <w:spacing w:val="-5"/>
          <w:sz w:val="18"/>
        </w:rPr>
        <w:t> </w:t>
      </w:r>
      <w:r>
        <w:rPr>
          <w:sz w:val="18"/>
        </w:rPr>
        <w:t>all</w:t>
      </w:r>
      <w:r>
        <w:rPr>
          <w:spacing w:val="-5"/>
          <w:sz w:val="18"/>
        </w:rPr>
        <w:t> </w:t>
      </w:r>
      <w:r>
        <w:rPr>
          <w:sz w:val="18"/>
        </w:rPr>
        <w:t>of</w:t>
      </w:r>
      <w:r>
        <w:rPr>
          <w:spacing w:val="-5"/>
          <w:sz w:val="18"/>
        </w:rPr>
        <w:t> </w:t>
      </w:r>
      <w:r>
        <w:rPr>
          <w:sz w:val="18"/>
        </w:rPr>
        <w:t>the</w:t>
      </w:r>
      <w:r>
        <w:rPr>
          <w:spacing w:val="-5"/>
          <w:sz w:val="18"/>
        </w:rPr>
        <w:t> </w:t>
      </w:r>
      <w:r>
        <w:rPr>
          <w:sz w:val="18"/>
        </w:rPr>
        <w:t>major</w:t>
      </w:r>
      <w:r>
        <w:rPr>
          <w:spacing w:val="-5"/>
          <w:sz w:val="18"/>
        </w:rPr>
        <w:t> </w:t>
      </w:r>
      <w:r>
        <w:rPr>
          <w:sz w:val="18"/>
        </w:rPr>
        <w:t>components</w:t>
      </w:r>
      <w:r>
        <w:rPr>
          <w:spacing w:val="-5"/>
          <w:sz w:val="18"/>
        </w:rPr>
        <w:t> </w:t>
      </w:r>
      <w:r>
        <w:rPr>
          <w:sz w:val="18"/>
        </w:rPr>
        <w:t>of</w:t>
      </w:r>
      <w:r>
        <w:rPr>
          <w:spacing w:val="-5"/>
          <w:sz w:val="18"/>
        </w:rPr>
        <w:t> </w:t>
      </w:r>
      <w:r>
        <w:rPr>
          <w:sz w:val="18"/>
        </w:rPr>
        <w:t>final</w:t>
      </w:r>
      <w:r>
        <w:rPr>
          <w:spacing w:val="-5"/>
          <w:sz w:val="18"/>
        </w:rPr>
        <w:t> </w:t>
      </w:r>
      <w:r>
        <w:rPr>
          <w:sz w:val="18"/>
        </w:rPr>
        <w:t>domestic demand,</w:t>
      </w:r>
      <w:r>
        <w:rPr>
          <w:spacing w:val="-5"/>
          <w:sz w:val="18"/>
        </w:rPr>
        <w:t> </w:t>
      </w:r>
      <w:r>
        <w:rPr>
          <w:sz w:val="18"/>
        </w:rPr>
        <w:t>which</w:t>
      </w:r>
      <w:r>
        <w:rPr>
          <w:spacing w:val="-5"/>
          <w:sz w:val="18"/>
        </w:rPr>
        <w:t> </w:t>
      </w:r>
      <w:r>
        <w:rPr>
          <w:sz w:val="18"/>
        </w:rPr>
        <w:t>was</w:t>
      </w:r>
      <w:r>
        <w:rPr>
          <w:spacing w:val="-4"/>
          <w:sz w:val="18"/>
        </w:rPr>
        <w:t> </w:t>
      </w:r>
      <w:r>
        <w:rPr>
          <w:sz w:val="18"/>
        </w:rPr>
        <w:t>estimated</w:t>
      </w:r>
      <w:r>
        <w:rPr>
          <w:spacing w:val="-5"/>
          <w:sz w:val="18"/>
        </w:rPr>
        <w:t> </w:t>
      </w:r>
      <w:r>
        <w:rPr>
          <w:sz w:val="18"/>
        </w:rPr>
        <w:t>to</w:t>
      </w:r>
      <w:r>
        <w:rPr>
          <w:spacing w:val="-4"/>
          <w:sz w:val="18"/>
        </w:rPr>
        <w:t> </w:t>
      </w:r>
      <w:r>
        <w:rPr>
          <w:sz w:val="18"/>
        </w:rPr>
        <w:t>have</w:t>
      </w:r>
      <w:r>
        <w:rPr>
          <w:spacing w:val="-5"/>
          <w:sz w:val="18"/>
        </w:rPr>
        <w:t> </w:t>
      </w:r>
      <w:r>
        <w:rPr>
          <w:sz w:val="18"/>
        </w:rPr>
        <w:t>risen</w:t>
      </w:r>
      <w:r>
        <w:rPr>
          <w:spacing w:val="-4"/>
          <w:sz w:val="18"/>
        </w:rPr>
        <w:t> </w:t>
      </w:r>
      <w:r>
        <w:rPr>
          <w:sz w:val="18"/>
        </w:rPr>
        <w:t>by</w:t>
      </w:r>
      <w:r>
        <w:rPr>
          <w:spacing w:val="-5"/>
          <w:sz w:val="18"/>
        </w:rPr>
        <w:t> </w:t>
      </w:r>
      <w:r>
        <w:rPr>
          <w:sz w:val="18"/>
        </w:rPr>
        <w:t>1.3%</w:t>
      </w:r>
      <w:r>
        <w:rPr>
          <w:spacing w:val="-4"/>
          <w:sz w:val="18"/>
        </w:rPr>
        <w:t> </w:t>
      </w:r>
      <w:r>
        <w:rPr>
          <w:sz w:val="18"/>
        </w:rPr>
        <w:t>in</w:t>
      </w:r>
      <w:r>
        <w:rPr>
          <w:spacing w:val="-5"/>
          <w:sz w:val="18"/>
        </w:rPr>
        <w:t> </w:t>
      </w:r>
      <w:r>
        <w:rPr>
          <w:sz w:val="18"/>
        </w:rPr>
        <w:t>the</w:t>
      </w:r>
      <w:r>
        <w:rPr>
          <w:spacing w:val="-4"/>
          <w:sz w:val="18"/>
        </w:rPr>
        <w:t> </w:t>
      </w:r>
      <w:r>
        <w:rPr>
          <w:sz w:val="18"/>
        </w:rPr>
        <w:t>quarter, and by 4.4% on a year earlier. Stockbuilding was now thought to be lower than earlier estimated, while the contribution of net trade to GDP growth in the quarter was unchanged, at -1.2 percentage points.</w:t>
      </w:r>
    </w:p>
    <w:p>
      <w:pPr>
        <w:pStyle w:val="BodyText"/>
        <w:spacing w:before="10"/>
        <w:rPr>
          <w:sz w:val="16"/>
        </w:rPr>
      </w:pPr>
    </w:p>
    <w:p>
      <w:pPr>
        <w:pStyle w:val="ListParagraph"/>
        <w:numPr>
          <w:ilvl w:val="0"/>
          <w:numId w:val="50"/>
        </w:numPr>
        <w:tabs>
          <w:tab w:pos="639" w:val="left" w:leader="none"/>
          <w:tab w:pos="640" w:val="left" w:leader="none"/>
        </w:tabs>
        <w:spacing w:line="232" w:lineRule="auto" w:before="0" w:after="0"/>
        <w:ind w:left="160" w:right="525" w:firstLine="0"/>
        <w:jc w:val="left"/>
        <w:rPr>
          <w:sz w:val="18"/>
        </w:rPr>
      </w:pPr>
      <w:r>
        <w:rPr>
          <w:sz w:val="18"/>
        </w:rPr>
        <w:t>Industrial production had fallen in February for the third month</w:t>
      </w:r>
      <w:r>
        <w:rPr>
          <w:spacing w:val="-5"/>
          <w:sz w:val="18"/>
        </w:rPr>
        <w:t> </w:t>
      </w:r>
      <w:r>
        <w:rPr>
          <w:sz w:val="18"/>
        </w:rPr>
        <w:t>in</w:t>
      </w:r>
      <w:r>
        <w:rPr>
          <w:spacing w:val="-5"/>
          <w:sz w:val="18"/>
        </w:rPr>
        <w:t> </w:t>
      </w:r>
      <w:r>
        <w:rPr>
          <w:sz w:val="18"/>
        </w:rPr>
        <w:t>succession,</w:t>
      </w:r>
      <w:r>
        <w:rPr>
          <w:spacing w:val="-4"/>
          <w:sz w:val="18"/>
        </w:rPr>
        <w:t> </w:t>
      </w:r>
      <w:r>
        <w:rPr>
          <w:sz w:val="18"/>
        </w:rPr>
        <w:t>although</w:t>
      </w:r>
      <w:r>
        <w:rPr>
          <w:spacing w:val="-5"/>
          <w:sz w:val="18"/>
        </w:rPr>
        <w:t> </w:t>
      </w:r>
      <w:r>
        <w:rPr>
          <w:sz w:val="18"/>
        </w:rPr>
        <w:t>the</w:t>
      </w:r>
      <w:r>
        <w:rPr>
          <w:spacing w:val="-4"/>
          <w:sz w:val="18"/>
        </w:rPr>
        <w:t> </w:t>
      </w:r>
      <w:r>
        <w:rPr>
          <w:sz w:val="18"/>
        </w:rPr>
        <w:t>size</w:t>
      </w:r>
      <w:r>
        <w:rPr>
          <w:spacing w:val="-5"/>
          <w:sz w:val="18"/>
        </w:rPr>
        <w:t> </w:t>
      </w:r>
      <w:r>
        <w:rPr>
          <w:sz w:val="18"/>
        </w:rPr>
        <w:t>of</w:t>
      </w:r>
      <w:r>
        <w:rPr>
          <w:spacing w:val="-4"/>
          <w:sz w:val="18"/>
        </w:rPr>
        <w:t> </w:t>
      </w:r>
      <w:r>
        <w:rPr>
          <w:sz w:val="18"/>
        </w:rPr>
        <w:t>the</w:t>
      </w:r>
      <w:r>
        <w:rPr>
          <w:spacing w:val="-5"/>
          <w:sz w:val="18"/>
        </w:rPr>
        <w:t> </w:t>
      </w:r>
      <w:r>
        <w:rPr>
          <w:sz w:val="18"/>
        </w:rPr>
        <w:t>fall,</w:t>
      </w:r>
      <w:r>
        <w:rPr>
          <w:spacing w:val="-4"/>
          <w:sz w:val="18"/>
        </w:rPr>
        <w:t> </w:t>
      </w:r>
      <w:r>
        <w:rPr>
          <w:sz w:val="18"/>
        </w:rPr>
        <w:t>at</w:t>
      </w:r>
      <w:r>
        <w:rPr>
          <w:spacing w:val="-5"/>
          <w:sz w:val="18"/>
        </w:rPr>
        <w:t> </w:t>
      </w:r>
      <w:r>
        <w:rPr>
          <w:sz w:val="18"/>
        </w:rPr>
        <w:t>-0.6%,</w:t>
      </w:r>
      <w:r>
        <w:rPr>
          <w:spacing w:val="-4"/>
          <w:sz w:val="18"/>
        </w:rPr>
        <w:t> </w:t>
      </w:r>
      <w:r>
        <w:rPr>
          <w:sz w:val="18"/>
        </w:rPr>
        <w:t>had</w:t>
      </w:r>
    </w:p>
    <w:p>
      <w:pPr>
        <w:spacing w:after="0" w:line="232" w:lineRule="auto"/>
        <w:jc w:val="left"/>
        <w:rPr>
          <w:sz w:val="18"/>
        </w:rPr>
        <w:sectPr>
          <w:type w:val="continuous"/>
          <w:pgSz w:w="11900" w:h="16840"/>
          <w:pgMar w:top="1220" w:bottom="280" w:left="640" w:right="620"/>
          <w:cols w:num="2" w:equalWidth="0">
            <w:col w:w="5103" w:space="287"/>
            <w:col w:w="5250"/>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7"/>
        <w:rPr>
          <w:sz w:val="19"/>
        </w:rPr>
      </w:pPr>
    </w:p>
    <w:p>
      <w:pPr>
        <w:pStyle w:val="BodyText"/>
        <w:spacing w:line="232" w:lineRule="auto" w:before="1"/>
        <w:ind w:left="160" w:right="113"/>
      </w:pPr>
      <w:r>
        <w:rPr/>
        <w:t>been affected by a sharp decline in energy production, reflecting relatively mild weather for the time of year. Manufacturing production had also fallen and was now below its August level. When taken together with the net trade figures for Q4, this suggested that the internationally exposed sectors were coming under renewed pressure, reflecting in part the effects of sterling’s appreciation against the euro. The fall in output was quite broadly based, with chemicals and engineering (which had contributed significantly to manufacturing output growth in 1999) declining in February.</w:t>
      </w:r>
    </w:p>
    <w:p>
      <w:pPr>
        <w:pStyle w:val="BodyText"/>
        <w:spacing w:before="8"/>
        <w:rPr>
          <w:sz w:val="16"/>
        </w:rPr>
      </w:pPr>
    </w:p>
    <w:p>
      <w:pPr>
        <w:pStyle w:val="ListParagraph"/>
        <w:numPr>
          <w:ilvl w:val="0"/>
          <w:numId w:val="50"/>
        </w:numPr>
        <w:tabs>
          <w:tab w:pos="639" w:val="left" w:leader="none"/>
          <w:tab w:pos="640" w:val="left" w:leader="none"/>
        </w:tabs>
        <w:spacing w:line="232" w:lineRule="auto" w:before="0" w:after="0"/>
        <w:ind w:left="160" w:right="53" w:firstLine="0"/>
        <w:jc w:val="left"/>
        <w:rPr>
          <w:sz w:val="18"/>
        </w:rPr>
      </w:pPr>
      <w:r>
        <w:rPr>
          <w:sz w:val="18"/>
        </w:rPr>
        <w:t>Survey data were not entirely in line with this picture. The purchasing managers’ index for manufacturing, produced by the Chartered Institute of Purchasing and Supply (CIPS), had risen slightly</w:t>
      </w:r>
      <w:r>
        <w:rPr>
          <w:spacing w:val="-4"/>
          <w:sz w:val="18"/>
        </w:rPr>
        <w:t> </w:t>
      </w:r>
      <w:r>
        <w:rPr>
          <w:sz w:val="18"/>
        </w:rPr>
        <w:t>in</w:t>
      </w:r>
      <w:r>
        <w:rPr>
          <w:spacing w:val="-5"/>
          <w:sz w:val="18"/>
        </w:rPr>
        <w:t> </w:t>
      </w:r>
      <w:r>
        <w:rPr>
          <w:sz w:val="18"/>
        </w:rPr>
        <w:t>March,</w:t>
      </w:r>
      <w:r>
        <w:rPr>
          <w:spacing w:val="-4"/>
          <w:sz w:val="18"/>
        </w:rPr>
        <w:t> </w:t>
      </w:r>
      <w:r>
        <w:rPr>
          <w:sz w:val="18"/>
        </w:rPr>
        <w:t>and</w:t>
      </w:r>
      <w:r>
        <w:rPr>
          <w:spacing w:val="-4"/>
          <w:sz w:val="18"/>
        </w:rPr>
        <w:t> </w:t>
      </w:r>
      <w:r>
        <w:rPr>
          <w:sz w:val="18"/>
        </w:rPr>
        <w:t>had</w:t>
      </w:r>
      <w:r>
        <w:rPr>
          <w:spacing w:val="-4"/>
          <w:sz w:val="18"/>
        </w:rPr>
        <w:t> </w:t>
      </w:r>
      <w:r>
        <w:rPr>
          <w:sz w:val="18"/>
        </w:rPr>
        <w:t>last</w:t>
      </w:r>
      <w:r>
        <w:rPr>
          <w:spacing w:val="-4"/>
          <w:sz w:val="18"/>
        </w:rPr>
        <w:t> </w:t>
      </w:r>
      <w:r>
        <w:rPr>
          <w:sz w:val="18"/>
        </w:rPr>
        <w:t>been</w:t>
      </w:r>
      <w:r>
        <w:rPr>
          <w:spacing w:val="-4"/>
          <w:sz w:val="18"/>
        </w:rPr>
        <w:t> </w:t>
      </w:r>
      <w:r>
        <w:rPr>
          <w:sz w:val="18"/>
        </w:rPr>
        <w:t>below</w:t>
      </w:r>
      <w:r>
        <w:rPr>
          <w:spacing w:val="-4"/>
          <w:sz w:val="18"/>
        </w:rPr>
        <w:t> </w:t>
      </w:r>
      <w:r>
        <w:rPr>
          <w:sz w:val="18"/>
        </w:rPr>
        <w:t>the</w:t>
      </w:r>
      <w:r>
        <w:rPr>
          <w:spacing w:val="-4"/>
          <w:sz w:val="18"/>
        </w:rPr>
        <w:t> </w:t>
      </w:r>
      <w:r>
        <w:rPr>
          <w:sz w:val="18"/>
        </w:rPr>
        <w:t>neutral</w:t>
      </w:r>
      <w:r>
        <w:rPr>
          <w:spacing w:val="-4"/>
          <w:sz w:val="18"/>
        </w:rPr>
        <w:t> </w:t>
      </w:r>
      <w:r>
        <w:rPr>
          <w:sz w:val="18"/>
        </w:rPr>
        <w:t>level</w:t>
      </w:r>
      <w:r>
        <w:rPr>
          <w:spacing w:val="-4"/>
          <w:sz w:val="18"/>
        </w:rPr>
        <w:t> </w:t>
      </w:r>
      <w:r>
        <w:rPr>
          <w:sz w:val="18"/>
        </w:rPr>
        <w:t>of</w:t>
      </w:r>
      <w:r>
        <w:rPr>
          <w:spacing w:val="-4"/>
          <w:sz w:val="18"/>
        </w:rPr>
        <w:t> </w:t>
      </w:r>
      <w:r>
        <w:rPr>
          <w:sz w:val="18"/>
        </w:rPr>
        <w:t>50</w:t>
      </w:r>
      <w:r>
        <w:rPr>
          <w:spacing w:val="-4"/>
          <w:sz w:val="18"/>
        </w:rPr>
        <w:t> </w:t>
      </w:r>
      <w:r>
        <w:rPr>
          <w:sz w:val="18"/>
        </w:rPr>
        <w:t>in April, nearly a year ago; the output index was also higher, while new orders were little changed. In the Engineering Employers’ Federation survey, the output balance remained at +9 in Q1, with new orders again little changed. Reports from the Bank’s regional Agents had suggested a resumption in manufacturing growth in February. It was possible that in some sectors volumes were being maintained only through a further reduction in margins, and that there</w:t>
      </w:r>
      <w:r>
        <w:rPr>
          <w:spacing w:val="-4"/>
          <w:sz w:val="18"/>
        </w:rPr>
        <w:t> </w:t>
      </w:r>
      <w:r>
        <w:rPr>
          <w:sz w:val="18"/>
        </w:rPr>
        <w:t>would</w:t>
      </w:r>
      <w:r>
        <w:rPr>
          <w:spacing w:val="-4"/>
          <w:sz w:val="18"/>
        </w:rPr>
        <w:t> </w:t>
      </w:r>
      <w:r>
        <w:rPr>
          <w:sz w:val="18"/>
        </w:rPr>
        <w:t>be</w:t>
      </w:r>
      <w:r>
        <w:rPr>
          <w:spacing w:val="-3"/>
          <w:sz w:val="18"/>
        </w:rPr>
        <w:t> </w:t>
      </w:r>
      <w:r>
        <w:rPr>
          <w:sz w:val="18"/>
        </w:rPr>
        <w:t>limits</w:t>
      </w:r>
      <w:r>
        <w:rPr>
          <w:spacing w:val="-4"/>
          <w:sz w:val="18"/>
        </w:rPr>
        <w:t> </w:t>
      </w:r>
      <w:r>
        <w:rPr>
          <w:sz w:val="18"/>
        </w:rPr>
        <w:t>on</w:t>
      </w:r>
      <w:r>
        <w:rPr>
          <w:spacing w:val="-4"/>
          <w:sz w:val="18"/>
        </w:rPr>
        <w:t> </w:t>
      </w:r>
      <w:r>
        <w:rPr>
          <w:sz w:val="18"/>
        </w:rPr>
        <w:t>how</w:t>
      </w:r>
      <w:r>
        <w:rPr>
          <w:spacing w:val="-3"/>
          <w:sz w:val="18"/>
        </w:rPr>
        <w:t> </w:t>
      </w:r>
      <w:r>
        <w:rPr>
          <w:sz w:val="18"/>
        </w:rPr>
        <w:t>much</w:t>
      </w:r>
      <w:r>
        <w:rPr>
          <w:spacing w:val="-4"/>
          <w:sz w:val="18"/>
        </w:rPr>
        <w:t> </w:t>
      </w:r>
      <w:r>
        <w:rPr>
          <w:sz w:val="18"/>
        </w:rPr>
        <w:t>further</w:t>
      </w:r>
      <w:r>
        <w:rPr>
          <w:spacing w:val="-3"/>
          <w:sz w:val="18"/>
        </w:rPr>
        <w:t> </w:t>
      </w:r>
      <w:r>
        <w:rPr>
          <w:sz w:val="18"/>
        </w:rPr>
        <w:t>that</w:t>
      </w:r>
      <w:r>
        <w:rPr>
          <w:spacing w:val="-4"/>
          <w:sz w:val="18"/>
        </w:rPr>
        <w:t> </w:t>
      </w:r>
      <w:r>
        <w:rPr>
          <w:sz w:val="18"/>
        </w:rPr>
        <w:t>process</w:t>
      </w:r>
      <w:r>
        <w:rPr>
          <w:spacing w:val="-4"/>
          <w:sz w:val="18"/>
        </w:rPr>
        <w:t> </w:t>
      </w:r>
      <w:r>
        <w:rPr>
          <w:sz w:val="18"/>
        </w:rPr>
        <w:t>could</w:t>
      </w:r>
      <w:r>
        <w:rPr>
          <w:spacing w:val="-3"/>
          <w:sz w:val="18"/>
        </w:rPr>
        <w:t> </w:t>
      </w:r>
      <w:r>
        <w:rPr>
          <w:sz w:val="18"/>
        </w:rPr>
        <w:t>go.</w:t>
      </w:r>
    </w:p>
    <w:p>
      <w:pPr>
        <w:pStyle w:val="BodyText"/>
        <w:spacing w:before="6"/>
        <w:rPr>
          <w:sz w:val="16"/>
        </w:rPr>
      </w:pPr>
    </w:p>
    <w:p>
      <w:pPr>
        <w:pStyle w:val="ListParagraph"/>
        <w:numPr>
          <w:ilvl w:val="0"/>
          <w:numId w:val="50"/>
        </w:numPr>
        <w:tabs>
          <w:tab w:pos="639" w:val="left" w:leader="none"/>
          <w:tab w:pos="640" w:val="left" w:leader="none"/>
        </w:tabs>
        <w:spacing w:line="232" w:lineRule="auto" w:before="1" w:after="0"/>
        <w:ind w:left="160" w:right="193" w:firstLine="0"/>
        <w:jc w:val="left"/>
        <w:rPr>
          <w:sz w:val="18"/>
        </w:rPr>
      </w:pPr>
      <w:r>
        <w:rPr>
          <w:sz w:val="18"/>
        </w:rPr>
        <w:t>While any slowdown in parts of manufacturing might feed through</w:t>
      </w:r>
      <w:r>
        <w:rPr>
          <w:spacing w:val="-5"/>
          <w:sz w:val="18"/>
        </w:rPr>
        <w:t> </w:t>
      </w:r>
      <w:r>
        <w:rPr>
          <w:sz w:val="18"/>
        </w:rPr>
        <w:t>into</w:t>
      </w:r>
      <w:r>
        <w:rPr>
          <w:spacing w:val="-5"/>
          <w:sz w:val="18"/>
        </w:rPr>
        <w:t> </w:t>
      </w:r>
      <w:r>
        <w:rPr>
          <w:sz w:val="18"/>
        </w:rPr>
        <w:t>the</w:t>
      </w:r>
      <w:r>
        <w:rPr>
          <w:spacing w:val="-5"/>
          <w:sz w:val="18"/>
        </w:rPr>
        <w:t> </w:t>
      </w:r>
      <w:r>
        <w:rPr>
          <w:sz w:val="18"/>
        </w:rPr>
        <w:t>rest</w:t>
      </w:r>
      <w:r>
        <w:rPr>
          <w:spacing w:val="-4"/>
          <w:sz w:val="18"/>
        </w:rPr>
        <w:t> </w:t>
      </w:r>
      <w:r>
        <w:rPr>
          <w:sz w:val="18"/>
        </w:rPr>
        <w:t>of</w:t>
      </w:r>
      <w:r>
        <w:rPr>
          <w:spacing w:val="-5"/>
          <w:sz w:val="18"/>
        </w:rPr>
        <w:t> </w:t>
      </w:r>
      <w:r>
        <w:rPr>
          <w:sz w:val="18"/>
        </w:rPr>
        <w:t>the</w:t>
      </w:r>
      <w:r>
        <w:rPr>
          <w:spacing w:val="-5"/>
          <w:sz w:val="18"/>
        </w:rPr>
        <w:t> </w:t>
      </w:r>
      <w:r>
        <w:rPr>
          <w:sz w:val="18"/>
        </w:rPr>
        <w:t>economy,</w:t>
      </w:r>
      <w:r>
        <w:rPr>
          <w:spacing w:val="-5"/>
          <w:sz w:val="18"/>
        </w:rPr>
        <w:t> </w:t>
      </w:r>
      <w:r>
        <w:rPr>
          <w:sz w:val="18"/>
        </w:rPr>
        <w:t>either</w:t>
      </w:r>
      <w:r>
        <w:rPr>
          <w:spacing w:val="-4"/>
          <w:sz w:val="18"/>
        </w:rPr>
        <w:t> </w:t>
      </w:r>
      <w:r>
        <w:rPr>
          <w:sz w:val="18"/>
        </w:rPr>
        <w:t>directly</w:t>
      </w:r>
      <w:r>
        <w:rPr>
          <w:spacing w:val="-5"/>
          <w:sz w:val="18"/>
        </w:rPr>
        <w:t> </w:t>
      </w:r>
      <w:r>
        <w:rPr>
          <w:sz w:val="18"/>
        </w:rPr>
        <w:t>or</w:t>
      </w:r>
      <w:r>
        <w:rPr>
          <w:spacing w:val="-5"/>
          <w:sz w:val="18"/>
        </w:rPr>
        <w:t> </w:t>
      </w:r>
      <w:r>
        <w:rPr>
          <w:sz w:val="18"/>
        </w:rPr>
        <w:t>through</w:t>
      </w:r>
      <w:r>
        <w:rPr>
          <w:spacing w:val="-5"/>
          <w:sz w:val="18"/>
        </w:rPr>
        <w:t> </w:t>
      </w:r>
      <w:r>
        <w:rPr>
          <w:sz w:val="18"/>
        </w:rPr>
        <w:t>its impact on consumer confidence, at present the services sector appeared to be buoyant. The CIPS services index for business activity had risen to 59.6 in March, its highest level</w:t>
      </w:r>
      <w:r>
        <w:rPr>
          <w:spacing w:val="-26"/>
          <w:sz w:val="18"/>
        </w:rPr>
        <w:t> </w:t>
      </w:r>
      <w:r>
        <w:rPr>
          <w:sz w:val="18"/>
        </w:rPr>
        <w:t>since</w:t>
      </w:r>
    </w:p>
    <w:p>
      <w:pPr>
        <w:pStyle w:val="BodyText"/>
        <w:spacing w:line="232" w:lineRule="auto"/>
        <w:ind w:left="160"/>
      </w:pPr>
      <w:r>
        <w:rPr/>
        <w:t>June 1997. The CIPS construction index also pointed to continuing growth in activity and new orders.</w:t>
      </w:r>
    </w:p>
    <w:p>
      <w:pPr>
        <w:pStyle w:val="BodyText"/>
        <w:spacing w:before="10"/>
        <w:rPr>
          <w:sz w:val="16"/>
        </w:rPr>
      </w:pPr>
    </w:p>
    <w:p>
      <w:pPr>
        <w:pStyle w:val="ListParagraph"/>
        <w:numPr>
          <w:ilvl w:val="0"/>
          <w:numId w:val="50"/>
        </w:numPr>
        <w:tabs>
          <w:tab w:pos="639" w:val="left" w:leader="none"/>
          <w:tab w:pos="640" w:val="left" w:leader="none"/>
        </w:tabs>
        <w:spacing w:line="232" w:lineRule="auto" w:before="0" w:after="0"/>
        <w:ind w:left="159" w:right="68" w:firstLine="0"/>
        <w:jc w:val="left"/>
        <w:rPr>
          <w:sz w:val="18"/>
        </w:rPr>
      </w:pPr>
      <w:r>
        <w:rPr>
          <w:sz w:val="18"/>
        </w:rPr>
        <w:t>The picture for retail sales was mixed. In February volumes had fallen back from their unusually high January levels, but on a three-monthly basis growth was unchanged, at 1.8%. The CBI Distributive</w:t>
      </w:r>
      <w:r>
        <w:rPr>
          <w:spacing w:val="-6"/>
          <w:sz w:val="18"/>
        </w:rPr>
        <w:t> </w:t>
      </w:r>
      <w:r>
        <w:rPr>
          <w:sz w:val="18"/>
        </w:rPr>
        <w:t>Trades</w:t>
      </w:r>
      <w:r>
        <w:rPr>
          <w:spacing w:val="-5"/>
          <w:sz w:val="18"/>
        </w:rPr>
        <w:t> </w:t>
      </w:r>
      <w:r>
        <w:rPr>
          <w:sz w:val="18"/>
        </w:rPr>
        <w:t>Survey</w:t>
      </w:r>
      <w:r>
        <w:rPr>
          <w:spacing w:val="-6"/>
          <w:sz w:val="18"/>
        </w:rPr>
        <w:t> </w:t>
      </w:r>
      <w:r>
        <w:rPr>
          <w:sz w:val="18"/>
        </w:rPr>
        <w:t>had</w:t>
      </w:r>
      <w:r>
        <w:rPr>
          <w:spacing w:val="-5"/>
          <w:sz w:val="18"/>
        </w:rPr>
        <w:t> </w:t>
      </w:r>
      <w:r>
        <w:rPr>
          <w:sz w:val="18"/>
        </w:rPr>
        <w:t>shown</w:t>
      </w:r>
      <w:r>
        <w:rPr>
          <w:spacing w:val="-5"/>
          <w:sz w:val="18"/>
        </w:rPr>
        <w:t> </w:t>
      </w:r>
      <w:r>
        <w:rPr>
          <w:sz w:val="18"/>
        </w:rPr>
        <w:t>quite</w:t>
      </w:r>
      <w:r>
        <w:rPr>
          <w:spacing w:val="-6"/>
          <w:sz w:val="18"/>
        </w:rPr>
        <w:t> </w:t>
      </w:r>
      <w:r>
        <w:rPr>
          <w:sz w:val="18"/>
        </w:rPr>
        <w:t>a</w:t>
      </w:r>
      <w:r>
        <w:rPr>
          <w:spacing w:val="-5"/>
          <w:sz w:val="18"/>
        </w:rPr>
        <w:t> </w:t>
      </w:r>
      <w:r>
        <w:rPr>
          <w:sz w:val="18"/>
        </w:rPr>
        <w:t>marked</w:t>
      </w:r>
      <w:r>
        <w:rPr>
          <w:spacing w:val="-6"/>
          <w:sz w:val="18"/>
        </w:rPr>
        <w:t> </w:t>
      </w:r>
      <w:r>
        <w:rPr>
          <w:sz w:val="18"/>
        </w:rPr>
        <w:t>slowdown</w:t>
      </w:r>
      <w:r>
        <w:rPr>
          <w:spacing w:val="-5"/>
          <w:sz w:val="18"/>
        </w:rPr>
        <w:t> </w:t>
      </w:r>
      <w:r>
        <w:rPr>
          <w:sz w:val="18"/>
        </w:rPr>
        <w:t>in the growth of retail sales volumes and orders placed in March, but expectations for April remained strong. The GfK consumer confidence index was sharply down in March. The evidence suggested that while household spending remained strong, it might no longer be accelerating, although real disposable incomes still seemed to be growing rapidly. But a slowdown in consumption growth was built into the central projection in the February </w:t>
      </w:r>
      <w:r>
        <w:rPr>
          <w:i/>
          <w:sz w:val="18"/>
        </w:rPr>
        <w:t>Inflation Report</w:t>
      </w:r>
      <w:r>
        <w:rPr>
          <w:sz w:val="18"/>
        </w:rPr>
        <w:t>, and it was too early to say whether this would materialise.</w:t>
      </w:r>
    </w:p>
    <w:p>
      <w:pPr>
        <w:pStyle w:val="BodyText"/>
        <w:spacing w:before="6"/>
        <w:rPr>
          <w:sz w:val="16"/>
        </w:rPr>
      </w:pPr>
    </w:p>
    <w:p>
      <w:pPr>
        <w:pStyle w:val="ListParagraph"/>
        <w:numPr>
          <w:ilvl w:val="0"/>
          <w:numId w:val="50"/>
        </w:numPr>
        <w:tabs>
          <w:tab w:pos="639" w:val="left" w:leader="none"/>
          <w:tab w:pos="640" w:val="left" w:leader="none"/>
        </w:tabs>
        <w:spacing w:line="232" w:lineRule="auto" w:before="0" w:after="0"/>
        <w:ind w:left="159" w:right="233" w:firstLine="0"/>
        <w:jc w:val="left"/>
        <w:rPr>
          <w:sz w:val="18"/>
        </w:rPr>
      </w:pPr>
      <w:r>
        <w:rPr>
          <w:sz w:val="18"/>
        </w:rPr>
        <w:t>Taking all the evidence together, there was still a sharp contrast between the rapid growth in the services sector, and the less robust performance of manufacturing. On balance it seemed likely that growth in 2000 Q1 would be little different from the central projection in the February </w:t>
      </w:r>
      <w:r>
        <w:rPr>
          <w:i/>
          <w:sz w:val="18"/>
        </w:rPr>
        <w:t>Inflation</w:t>
      </w:r>
      <w:r>
        <w:rPr>
          <w:i/>
          <w:spacing w:val="-12"/>
          <w:sz w:val="18"/>
        </w:rPr>
        <w:t> </w:t>
      </w:r>
      <w:r>
        <w:rPr>
          <w:i/>
          <w:sz w:val="18"/>
        </w:rPr>
        <w:t>Report</w:t>
      </w:r>
      <w:r>
        <w:rPr>
          <w:sz w:val="18"/>
        </w:rPr>
        <w:t>.</w:t>
      </w:r>
    </w:p>
    <w:p>
      <w:pPr>
        <w:pStyle w:val="BodyText"/>
        <w:spacing w:before="4"/>
        <w:rPr>
          <w:sz w:val="20"/>
        </w:rPr>
      </w:pPr>
    </w:p>
    <w:p>
      <w:pPr>
        <w:pStyle w:val="Heading8"/>
        <w:ind w:left="160"/>
      </w:pPr>
      <w:r>
        <w:rPr>
          <w:color w:val="009391"/>
        </w:rPr>
        <w:t>Labour market</w:t>
      </w:r>
    </w:p>
    <w:p>
      <w:pPr>
        <w:pStyle w:val="ListParagraph"/>
        <w:numPr>
          <w:ilvl w:val="0"/>
          <w:numId w:val="50"/>
        </w:numPr>
        <w:tabs>
          <w:tab w:pos="639" w:val="left" w:leader="none"/>
          <w:tab w:pos="640" w:val="left" w:leader="none"/>
        </w:tabs>
        <w:spacing w:line="232" w:lineRule="auto" w:before="109" w:after="0"/>
        <w:ind w:left="160" w:right="38" w:firstLine="0"/>
        <w:jc w:val="left"/>
        <w:rPr>
          <w:sz w:val="18"/>
        </w:rPr>
      </w:pPr>
      <w:r>
        <w:rPr>
          <w:sz w:val="18"/>
        </w:rPr>
        <w:t>Whole-economy productivity growth, defined by comparing GDP with the Workforce Jobs measure of employment, had picked up to 1.8% in the year to 1999 Q4, and to 2.7% on an annualised basis between 1999 Q2 and Q4. Figures based on the Labour Force Survey (LFS) employment measure suggested slightly lower figures, at 1.6% and 2.1% respectively. This took annual productivity growth back towards trend, but it was too early to say whether it represented anything more than a normal cyclical response of productivity to a recovery in output</w:t>
      </w:r>
      <w:r>
        <w:rPr>
          <w:spacing w:val="-20"/>
          <w:sz w:val="18"/>
        </w:rPr>
        <w:t> </w:t>
      </w:r>
      <w:r>
        <w:rPr>
          <w:sz w:val="18"/>
        </w:rPr>
        <w:t>growth.</w:t>
      </w:r>
    </w:p>
    <w:p>
      <w:pPr>
        <w:pStyle w:val="BodyText"/>
        <w:spacing w:before="9"/>
        <w:rPr>
          <w:sz w:val="16"/>
        </w:rPr>
      </w:pPr>
    </w:p>
    <w:p>
      <w:pPr>
        <w:pStyle w:val="ListParagraph"/>
        <w:numPr>
          <w:ilvl w:val="0"/>
          <w:numId w:val="50"/>
        </w:numPr>
        <w:tabs>
          <w:tab w:pos="639" w:val="left" w:leader="none"/>
          <w:tab w:pos="640" w:val="left" w:leader="none"/>
        </w:tabs>
        <w:spacing w:line="232" w:lineRule="auto" w:before="0" w:after="0"/>
        <w:ind w:left="160" w:right="113" w:firstLine="0"/>
        <w:jc w:val="left"/>
        <w:rPr>
          <w:sz w:val="18"/>
        </w:rPr>
      </w:pPr>
      <w:r>
        <w:rPr>
          <w:sz w:val="18"/>
        </w:rPr>
        <w:t>The labour market remained tight, with employment growth on the LFS measure up 0.3% in the three months to January. Unemployment had risen on the LFS (but not the claimant-count) measure, reflecting—in an accounting sense—a fall in inactivity, with the LFS unemployment rate unchanged for the past seven months. Survey data were consistent with this picture, and the Recruitment and Employers’ Confederation (REC) survey showed a</w:t>
      </w:r>
      <w:r>
        <w:rPr>
          <w:spacing w:val="-5"/>
          <w:sz w:val="18"/>
        </w:rPr>
        <w:t> </w:t>
      </w:r>
      <w:r>
        <w:rPr>
          <w:sz w:val="18"/>
        </w:rPr>
        <w:t>significant</w:t>
      </w:r>
      <w:r>
        <w:rPr>
          <w:spacing w:val="-5"/>
          <w:sz w:val="18"/>
        </w:rPr>
        <w:t> </w:t>
      </w:r>
      <w:r>
        <w:rPr>
          <w:sz w:val="18"/>
        </w:rPr>
        <w:t>strengthening</w:t>
      </w:r>
      <w:r>
        <w:rPr>
          <w:spacing w:val="-4"/>
          <w:sz w:val="18"/>
        </w:rPr>
        <w:t> </w:t>
      </w:r>
      <w:r>
        <w:rPr>
          <w:sz w:val="18"/>
        </w:rPr>
        <w:t>in</w:t>
      </w:r>
      <w:r>
        <w:rPr>
          <w:spacing w:val="-5"/>
          <w:sz w:val="18"/>
        </w:rPr>
        <w:t> </w:t>
      </w:r>
      <w:r>
        <w:rPr>
          <w:sz w:val="18"/>
        </w:rPr>
        <w:t>the</w:t>
      </w:r>
      <w:r>
        <w:rPr>
          <w:spacing w:val="-4"/>
          <w:sz w:val="18"/>
        </w:rPr>
        <w:t> </w:t>
      </w:r>
      <w:r>
        <w:rPr>
          <w:sz w:val="18"/>
        </w:rPr>
        <w:t>demand</w:t>
      </w:r>
      <w:r>
        <w:rPr>
          <w:spacing w:val="-5"/>
          <w:sz w:val="18"/>
        </w:rPr>
        <w:t> </w:t>
      </w:r>
      <w:r>
        <w:rPr>
          <w:sz w:val="18"/>
        </w:rPr>
        <w:t>for</w:t>
      </w:r>
      <w:r>
        <w:rPr>
          <w:spacing w:val="-4"/>
          <w:sz w:val="18"/>
        </w:rPr>
        <w:t> </w:t>
      </w:r>
      <w:r>
        <w:rPr>
          <w:sz w:val="18"/>
        </w:rPr>
        <w:t>staff,</w:t>
      </w:r>
      <w:r>
        <w:rPr>
          <w:spacing w:val="-5"/>
          <w:sz w:val="18"/>
        </w:rPr>
        <w:t> </w:t>
      </w:r>
      <w:r>
        <w:rPr>
          <w:sz w:val="18"/>
        </w:rPr>
        <w:t>in</w:t>
      </w:r>
      <w:r>
        <w:rPr>
          <w:spacing w:val="-4"/>
          <w:sz w:val="18"/>
        </w:rPr>
        <w:t> </w:t>
      </w:r>
      <w:r>
        <w:rPr>
          <w:sz w:val="18"/>
        </w:rPr>
        <w:t>line</w:t>
      </w:r>
      <w:r>
        <w:rPr>
          <w:spacing w:val="-5"/>
          <w:sz w:val="18"/>
        </w:rPr>
        <w:t> </w:t>
      </w:r>
      <w:r>
        <w:rPr>
          <w:sz w:val="18"/>
        </w:rPr>
        <w:t>with</w:t>
      </w:r>
      <w:r>
        <w:rPr>
          <w:spacing w:val="-4"/>
          <w:sz w:val="18"/>
        </w:rPr>
        <w:t> </w:t>
      </w:r>
      <w:r>
        <w:rPr>
          <w:sz w:val="18"/>
        </w:rPr>
        <w:t>the</w:t>
      </w:r>
    </w:p>
    <w:p>
      <w:pPr>
        <w:pStyle w:val="BodyText"/>
        <w:spacing w:before="7"/>
        <w:rPr>
          <w:sz w:val="19"/>
        </w:rPr>
      </w:pPr>
      <w:r>
        <w:rPr/>
        <w:br w:type="column"/>
      </w:r>
      <w:r>
        <w:rPr>
          <w:sz w:val="19"/>
        </w:rPr>
      </w:r>
    </w:p>
    <w:p>
      <w:pPr>
        <w:pStyle w:val="BodyText"/>
        <w:spacing w:line="232" w:lineRule="auto" w:before="1"/>
        <w:ind w:left="160" w:right="211"/>
      </w:pPr>
      <w:r>
        <w:rPr/>
        <w:t>reports of skills shortages from the Bank’s regional Agents. It was suggested that the labour market measures in the Budget, when taken together with previously announced reforms, might have a small positive effect on future labour supply.</w:t>
      </w:r>
    </w:p>
    <w:p>
      <w:pPr>
        <w:pStyle w:val="BodyText"/>
        <w:spacing w:before="1"/>
        <w:rPr>
          <w:sz w:val="17"/>
        </w:rPr>
      </w:pPr>
    </w:p>
    <w:p>
      <w:pPr>
        <w:pStyle w:val="ListParagraph"/>
        <w:numPr>
          <w:ilvl w:val="0"/>
          <w:numId w:val="50"/>
        </w:numPr>
        <w:tabs>
          <w:tab w:pos="639" w:val="left" w:leader="none"/>
          <w:tab w:pos="640" w:val="left" w:leader="none"/>
        </w:tabs>
        <w:spacing w:line="232" w:lineRule="auto" w:before="0" w:after="0"/>
        <w:ind w:left="160" w:right="205" w:firstLine="0"/>
        <w:jc w:val="left"/>
        <w:rPr>
          <w:sz w:val="18"/>
        </w:rPr>
      </w:pPr>
      <w:r>
        <w:rPr>
          <w:sz w:val="18"/>
        </w:rPr>
        <w:t>Whole-economy average earnings growth, as measured by the headline rate, had risen to 5.9% in the year to January. Much of the increase seemed to reflect bonus and other payments, in part related to the new millennium. A survey by the Bank’s regional Agents suggested that further bonus payments were due to be made in subsequent months, particularly in March, and that this might further complicate the analysis of the</w:t>
      </w:r>
      <w:r>
        <w:rPr>
          <w:spacing w:val="-10"/>
          <w:sz w:val="18"/>
        </w:rPr>
        <w:t> </w:t>
      </w:r>
      <w:r>
        <w:rPr>
          <w:sz w:val="18"/>
        </w:rPr>
        <w:t>data.</w:t>
      </w:r>
    </w:p>
    <w:p>
      <w:pPr>
        <w:pStyle w:val="BodyText"/>
        <w:spacing w:before="10"/>
        <w:rPr>
          <w:sz w:val="16"/>
        </w:rPr>
      </w:pPr>
    </w:p>
    <w:p>
      <w:pPr>
        <w:pStyle w:val="ListParagraph"/>
        <w:numPr>
          <w:ilvl w:val="0"/>
          <w:numId w:val="50"/>
        </w:numPr>
        <w:tabs>
          <w:tab w:pos="639" w:val="left" w:leader="none"/>
          <w:tab w:pos="640" w:val="left" w:leader="none"/>
        </w:tabs>
        <w:spacing w:line="232" w:lineRule="auto" w:before="1" w:after="0"/>
        <w:ind w:left="160" w:right="226" w:firstLine="0"/>
        <w:jc w:val="left"/>
        <w:rPr>
          <w:sz w:val="18"/>
        </w:rPr>
      </w:pPr>
      <w:r>
        <w:rPr>
          <w:sz w:val="18"/>
        </w:rPr>
        <w:t>Some members of the Committee considered that the pricing response by firms to an increase in earnings would depend on whether these took the form of higher settlements or faster ‘wage drift’, (including bonuses and other payments that might be linked to productivity or profits), with some evidence suggesting that ‘wage drift’ had a smaller effect on prices. Others believed that the effects of one-off increases in earnings would tend to feed through into final prices on a smoothed basis, and it was quite unclear whether in the longer term prices reacted differently to increases in earnings stemming from higher settlements, and those reflecting greater wage</w:t>
      </w:r>
      <w:r>
        <w:rPr>
          <w:spacing w:val="-3"/>
          <w:sz w:val="18"/>
        </w:rPr>
        <w:t> </w:t>
      </w:r>
      <w:r>
        <w:rPr>
          <w:sz w:val="18"/>
        </w:rPr>
        <w:t>drift.</w:t>
      </w:r>
    </w:p>
    <w:p>
      <w:pPr>
        <w:pStyle w:val="BodyText"/>
        <w:spacing w:before="7"/>
        <w:rPr>
          <w:sz w:val="16"/>
        </w:rPr>
      </w:pPr>
    </w:p>
    <w:p>
      <w:pPr>
        <w:pStyle w:val="ListParagraph"/>
        <w:numPr>
          <w:ilvl w:val="0"/>
          <w:numId w:val="50"/>
        </w:numPr>
        <w:tabs>
          <w:tab w:pos="639" w:val="left" w:leader="none"/>
          <w:tab w:pos="640" w:val="left" w:leader="none"/>
        </w:tabs>
        <w:spacing w:line="232" w:lineRule="auto" w:before="0" w:after="0"/>
        <w:ind w:left="160" w:right="195" w:firstLine="0"/>
        <w:jc w:val="left"/>
        <w:rPr>
          <w:sz w:val="18"/>
        </w:rPr>
      </w:pPr>
      <w:r>
        <w:rPr>
          <w:sz w:val="18"/>
        </w:rPr>
        <w:t>Data collected by the Bank suggested that on a matched sample basis, settlements in January were if anything lower than a year previously. But the Bank’s regional Agents had noted that this was</w:t>
      </w:r>
      <w:r>
        <w:rPr>
          <w:spacing w:val="-5"/>
          <w:sz w:val="18"/>
        </w:rPr>
        <w:t> </w:t>
      </w:r>
      <w:r>
        <w:rPr>
          <w:sz w:val="18"/>
        </w:rPr>
        <w:t>not</w:t>
      </w:r>
      <w:r>
        <w:rPr>
          <w:spacing w:val="-4"/>
          <w:sz w:val="18"/>
        </w:rPr>
        <w:t> </w:t>
      </w:r>
      <w:r>
        <w:rPr>
          <w:sz w:val="18"/>
        </w:rPr>
        <w:t>the</w:t>
      </w:r>
      <w:r>
        <w:rPr>
          <w:spacing w:val="-5"/>
          <w:sz w:val="18"/>
        </w:rPr>
        <w:t> </w:t>
      </w:r>
      <w:r>
        <w:rPr>
          <w:sz w:val="18"/>
        </w:rPr>
        <w:t>case</w:t>
      </w:r>
      <w:r>
        <w:rPr>
          <w:spacing w:val="-4"/>
          <w:sz w:val="18"/>
        </w:rPr>
        <w:t> </w:t>
      </w:r>
      <w:r>
        <w:rPr>
          <w:sz w:val="18"/>
        </w:rPr>
        <w:t>in</w:t>
      </w:r>
      <w:r>
        <w:rPr>
          <w:spacing w:val="-4"/>
          <w:sz w:val="18"/>
        </w:rPr>
        <w:t> </w:t>
      </w:r>
      <w:r>
        <w:rPr>
          <w:sz w:val="18"/>
        </w:rPr>
        <w:t>services,</w:t>
      </w:r>
      <w:r>
        <w:rPr>
          <w:spacing w:val="-5"/>
          <w:sz w:val="18"/>
        </w:rPr>
        <w:t> </w:t>
      </w:r>
      <w:r>
        <w:rPr>
          <w:sz w:val="18"/>
        </w:rPr>
        <w:t>and</w:t>
      </w:r>
      <w:r>
        <w:rPr>
          <w:spacing w:val="-4"/>
          <w:sz w:val="18"/>
        </w:rPr>
        <w:t> </w:t>
      </w:r>
      <w:r>
        <w:rPr>
          <w:sz w:val="18"/>
        </w:rPr>
        <w:t>that</w:t>
      </w:r>
      <w:r>
        <w:rPr>
          <w:spacing w:val="-5"/>
          <w:sz w:val="18"/>
        </w:rPr>
        <w:t> </w:t>
      </w:r>
      <w:r>
        <w:rPr>
          <w:sz w:val="18"/>
        </w:rPr>
        <w:t>pay</w:t>
      </w:r>
      <w:r>
        <w:rPr>
          <w:spacing w:val="-4"/>
          <w:sz w:val="18"/>
        </w:rPr>
        <w:t> </w:t>
      </w:r>
      <w:r>
        <w:rPr>
          <w:sz w:val="18"/>
        </w:rPr>
        <w:t>pressures</w:t>
      </w:r>
      <w:r>
        <w:rPr>
          <w:spacing w:val="-4"/>
          <w:sz w:val="18"/>
        </w:rPr>
        <w:t> </w:t>
      </w:r>
      <w:r>
        <w:rPr>
          <w:sz w:val="18"/>
        </w:rPr>
        <w:t>were</w:t>
      </w:r>
      <w:r>
        <w:rPr>
          <w:spacing w:val="-5"/>
          <w:sz w:val="18"/>
        </w:rPr>
        <w:t> </w:t>
      </w:r>
      <w:r>
        <w:rPr>
          <w:sz w:val="18"/>
        </w:rPr>
        <w:t>building</w:t>
      </w:r>
      <w:r>
        <w:rPr>
          <w:spacing w:val="-4"/>
          <w:sz w:val="18"/>
        </w:rPr>
        <w:t> </w:t>
      </w:r>
      <w:r>
        <w:rPr>
          <w:sz w:val="18"/>
        </w:rPr>
        <w:t>in some areas, with concern about settlements later in the year both in services and some parts of</w:t>
      </w:r>
      <w:r>
        <w:rPr>
          <w:spacing w:val="-9"/>
          <w:sz w:val="18"/>
        </w:rPr>
        <w:t> </w:t>
      </w:r>
      <w:r>
        <w:rPr>
          <w:sz w:val="18"/>
        </w:rPr>
        <w:t>manufacturing.</w:t>
      </w:r>
    </w:p>
    <w:p>
      <w:pPr>
        <w:pStyle w:val="BodyText"/>
        <w:rPr>
          <w:sz w:val="17"/>
        </w:rPr>
      </w:pPr>
    </w:p>
    <w:p>
      <w:pPr>
        <w:pStyle w:val="ListParagraph"/>
        <w:numPr>
          <w:ilvl w:val="0"/>
          <w:numId w:val="50"/>
        </w:numPr>
        <w:tabs>
          <w:tab w:pos="639" w:val="left" w:leader="none"/>
          <w:tab w:pos="640" w:val="left" w:leader="none"/>
        </w:tabs>
        <w:spacing w:line="232" w:lineRule="auto" w:before="0" w:after="0"/>
        <w:ind w:left="160" w:right="195" w:firstLine="0"/>
        <w:jc w:val="left"/>
        <w:rPr>
          <w:sz w:val="18"/>
        </w:rPr>
      </w:pPr>
      <w:r>
        <w:rPr>
          <w:sz w:val="18"/>
        </w:rPr>
        <w:t>The Committee agreed that the labour market remained tight. While it would be wrong to react to every fluctuation in the average earnings index, given the volatility of that series and the possible distortions resulting from millennium-related factors, it was likely that the starting point for earnings in the Committee’s May forecast would be above that in the February </w:t>
      </w:r>
      <w:r>
        <w:rPr>
          <w:i/>
          <w:sz w:val="18"/>
        </w:rPr>
        <w:t>Inflation</w:t>
      </w:r>
      <w:r>
        <w:rPr>
          <w:i/>
          <w:spacing w:val="-16"/>
          <w:sz w:val="18"/>
        </w:rPr>
        <w:t> </w:t>
      </w:r>
      <w:r>
        <w:rPr>
          <w:i/>
          <w:sz w:val="18"/>
        </w:rPr>
        <w:t>Report</w:t>
      </w:r>
      <w:r>
        <w:rPr>
          <w:sz w:val="18"/>
        </w:rPr>
        <w:t>.</w:t>
      </w:r>
    </w:p>
    <w:p>
      <w:pPr>
        <w:pStyle w:val="BodyText"/>
        <w:spacing w:before="3"/>
        <w:rPr>
          <w:sz w:val="20"/>
        </w:rPr>
      </w:pPr>
    </w:p>
    <w:p>
      <w:pPr>
        <w:pStyle w:val="Heading8"/>
        <w:ind w:left="160"/>
      </w:pPr>
      <w:r>
        <w:rPr>
          <w:color w:val="009391"/>
        </w:rPr>
        <w:t>Prices and costs</w:t>
      </w:r>
    </w:p>
    <w:p>
      <w:pPr>
        <w:pStyle w:val="ListParagraph"/>
        <w:numPr>
          <w:ilvl w:val="0"/>
          <w:numId w:val="50"/>
        </w:numPr>
        <w:tabs>
          <w:tab w:pos="639" w:val="left" w:leader="none"/>
          <w:tab w:pos="640" w:val="left" w:leader="none"/>
        </w:tabs>
        <w:spacing w:line="232" w:lineRule="auto" w:before="109" w:after="0"/>
        <w:ind w:left="160" w:right="255" w:firstLine="0"/>
        <w:jc w:val="left"/>
        <w:rPr>
          <w:sz w:val="18"/>
        </w:rPr>
      </w:pPr>
      <w:r>
        <w:rPr>
          <w:sz w:val="18"/>
        </w:rPr>
        <w:t>In recent months retail prices had increased by slightly more than had been expected. Part of the reason was the increase in oil prices, but now that OPEC had decided to increase production, and aimed to stabilise oil prices at around $20–$25 per barrel, the upside risks to inflation from this source had diminished. The oil price now was no higher than that incorporated into the February </w:t>
      </w:r>
      <w:r>
        <w:rPr>
          <w:i/>
          <w:sz w:val="18"/>
        </w:rPr>
        <w:t>Inflation Report </w:t>
      </w:r>
      <w:r>
        <w:rPr>
          <w:sz w:val="18"/>
        </w:rPr>
        <w:t>for Q1. How far earlier price increases had been passed through was difficult to determine, and it was possible that firms would base their pricing decisions on the new (lower) oil price rather than passing on all of the earlier</w:t>
      </w:r>
      <w:r>
        <w:rPr>
          <w:spacing w:val="-21"/>
          <w:sz w:val="18"/>
        </w:rPr>
        <w:t> </w:t>
      </w:r>
      <w:r>
        <w:rPr>
          <w:sz w:val="18"/>
        </w:rPr>
        <w:t>increases.</w:t>
      </w:r>
    </w:p>
    <w:p>
      <w:pPr>
        <w:pStyle w:val="BodyText"/>
        <w:spacing w:before="9"/>
        <w:rPr>
          <w:sz w:val="16"/>
        </w:rPr>
      </w:pPr>
    </w:p>
    <w:p>
      <w:pPr>
        <w:pStyle w:val="ListParagraph"/>
        <w:numPr>
          <w:ilvl w:val="0"/>
          <w:numId w:val="50"/>
        </w:numPr>
        <w:tabs>
          <w:tab w:pos="639" w:val="left" w:leader="none"/>
          <w:tab w:pos="640" w:val="left" w:leader="none"/>
        </w:tabs>
        <w:spacing w:line="232" w:lineRule="auto" w:before="0" w:after="0"/>
        <w:ind w:left="160" w:right="215" w:firstLine="0"/>
        <w:jc w:val="left"/>
        <w:rPr>
          <w:sz w:val="18"/>
        </w:rPr>
      </w:pPr>
      <w:r>
        <w:rPr>
          <w:sz w:val="18"/>
        </w:rPr>
        <w:t>The CBI Monthly Industrial Trends Survey for March showed more respondents now expecting a fall in manufacturing output</w:t>
      </w:r>
      <w:r>
        <w:rPr>
          <w:spacing w:val="-7"/>
          <w:sz w:val="18"/>
        </w:rPr>
        <w:t> </w:t>
      </w:r>
      <w:r>
        <w:rPr>
          <w:sz w:val="18"/>
        </w:rPr>
        <w:t>prices,</w:t>
      </w:r>
      <w:r>
        <w:rPr>
          <w:spacing w:val="-7"/>
          <w:sz w:val="18"/>
        </w:rPr>
        <w:t> </w:t>
      </w:r>
      <w:r>
        <w:rPr>
          <w:sz w:val="18"/>
        </w:rPr>
        <w:t>perhaps</w:t>
      </w:r>
      <w:r>
        <w:rPr>
          <w:spacing w:val="-6"/>
          <w:sz w:val="18"/>
        </w:rPr>
        <w:t> </w:t>
      </w:r>
      <w:r>
        <w:rPr>
          <w:sz w:val="18"/>
        </w:rPr>
        <w:t>reflecting</w:t>
      </w:r>
      <w:r>
        <w:rPr>
          <w:spacing w:val="-7"/>
          <w:sz w:val="18"/>
        </w:rPr>
        <w:t> </w:t>
      </w:r>
      <w:r>
        <w:rPr>
          <w:sz w:val="18"/>
        </w:rPr>
        <w:t>competitive</w:t>
      </w:r>
      <w:r>
        <w:rPr>
          <w:spacing w:val="-7"/>
          <w:sz w:val="18"/>
        </w:rPr>
        <w:t> </w:t>
      </w:r>
      <w:r>
        <w:rPr>
          <w:sz w:val="18"/>
        </w:rPr>
        <w:t>pressures</w:t>
      </w:r>
      <w:r>
        <w:rPr>
          <w:spacing w:val="-6"/>
          <w:sz w:val="18"/>
        </w:rPr>
        <w:t> </w:t>
      </w:r>
      <w:r>
        <w:rPr>
          <w:sz w:val="18"/>
        </w:rPr>
        <w:t>linked</w:t>
      </w:r>
      <w:r>
        <w:rPr>
          <w:spacing w:val="-7"/>
          <w:sz w:val="18"/>
        </w:rPr>
        <w:t> </w:t>
      </w:r>
      <w:r>
        <w:rPr>
          <w:sz w:val="18"/>
        </w:rPr>
        <w:t>to</w:t>
      </w:r>
      <w:r>
        <w:rPr>
          <w:spacing w:val="-7"/>
          <w:sz w:val="18"/>
        </w:rPr>
        <w:t> </w:t>
      </w:r>
      <w:r>
        <w:rPr>
          <w:sz w:val="18"/>
        </w:rPr>
        <w:t>the rise in sterling against the euro. By contrast, higher oil prices had led to an increase in input prices reported in the latest CIPS manufacturing survey. The Bank’s regional Agents reported that service price inflation remained relatively high, but variable across sub-sectors.</w:t>
      </w:r>
    </w:p>
    <w:p>
      <w:pPr>
        <w:pStyle w:val="BodyText"/>
        <w:spacing w:before="1"/>
        <w:rPr>
          <w:sz w:val="20"/>
        </w:rPr>
      </w:pPr>
    </w:p>
    <w:p>
      <w:pPr>
        <w:pStyle w:val="Heading8"/>
        <w:ind w:left="160"/>
      </w:pPr>
      <w:r>
        <w:rPr>
          <w:color w:val="009391"/>
        </w:rPr>
        <w:t>The world economy</w:t>
      </w:r>
    </w:p>
    <w:p>
      <w:pPr>
        <w:pStyle w:val="ListParagraph"/>
        <w:numPr>
          <w:ilvl w:val="0"/>
          <w:numId w:val="50"/>
        </w:numPr>
        <w:tabs>
          <w:tab w:pos="639" w:val="left" w:leader="none"/>
          <w:tab w:pos="640" w:val="left" w:leader="none"/>
        </w:tabs>
        <w:spacing w:line="232" w:lineRule="auto" w:before="110" w:after="0"/>
        <w:ind w:left="160" w:right="215" w:firstLine="0"/>
        <w:jc w:val="left"/>
        <w:rPr>
          <w:sz w:val="18"/>
        </w:rPr>
      </w:pPr>
      <w:r>
        <w:rPr>
          <w:sz w:val="18"/>
        </w:rPr>
        <w:t>Prospects for world economic activity had strengthened further since the February </w:t>
      </w:r>
      <w:r>
        <w:rPr>
          <w:i/>
          <w:sz w:val="18"/>
        </w:rPr>
        <w:t>Inflation Report</w:t>
      </w:r>
      <w:r>
        <w:rPr>
          <w:sz w:val="18"/>
        </w:rPr>
        <w:t>, with output in the US accelerating in 1999 Q4 and activity indicators remaining buoyant in the early part of 2000. The prospects for the euro area had improved,</w:t>
      </w:r>
      <w:r>
        <w:rPr>
          <w:spacing w:val="-6"/>
          <w:sz w:val="18"/>
        </w:rPr>
        <w:t> </w:t>
      </w:r>
      <w:r>
        <w:rPr>
          <w:sz w:val="18"/>
        </w:rPr>
        <w:t>particularly</w:t>
      </w:r>
      <w:r>
        <w:rPr>
          <w:spacing w:val="-6"/>
          <w:sz w:val="18"/>
        </w:rPr>
        <w:t> </w:t>
      </w:r>
      <w:r>
        <w:rPr>
          <w:sz w:val="18"/>
        </w:rPr>
        <w:t>in</w:t>
      </w:r>
      <w:r>
        <w:rPr>
          <w:spacing w:val="-5"/>
          <w:sz w:val="18"/>
        </w:rPr>
        <w:t> </w:t>
      </w:r>
      <w:r>
        <w:rPr>
          <w:sz w:val="18"/>
        </w:rPr>
        <w:t>Germany</w:t>
      </w:r>
      <w:r>
        <w:rPr>
          <w:spacing w:val="-6"/>
          <w:sz w:val="18"/>
        </w:rPr>
        <w:t> </w:t>
      </w:r>
      <w:r>
        <w:rPr>
          <w:sz w:val="18"/>
        </w:rPr>
        <w:t>and</w:t>
      </w:r>
      <w:r>
        <w:rPr>
          <w:spacing w:val="-5"/>
          <w:sz w:val="18"/>
        </w:rPr>
        <w:t> </w:t>
      </w:r>
      <w:r>
        <w:rPr>
          <w:sz w:val="18"/>
        </w:rPr>
        <w:t>France,</w:t>
      </w:r>
      <w:r>
        <w:rPr>
          <w:spacing w:val="-6"/>
          <w:sz w:val="18"/>
        </w:rPr>
        <w:t> </w:t>
      </w:r>
      <w:r>
        <w:rPr>
          <w:sz w:val="18"/>
        </w:rPr>
        <w:t>while</w:t>
      </w:r>
      <w:r>
        <w:rPr>
          <w:spacing w:val="-5"/>
          <w:sz w:val="18"/>
        </w:rPr>
        <w:t> </w:t>
      </w:r>
      <w:r>
        <w:rPr>
          <w:sz w:val="18"/>
        </w:rPr>
        <w:t>East</w:t>
      </w:r>
      <w:r>
        <w:rPr>
          <w:spacing w:val="-5"/>
          <w:sz w:val="18"/>
        </w:rPr>
        <w:t> </w:t>
      </w:r>
      <w:r>
        <w:rPr>
          <w:sz w:val="18"/>
        </w:rPr>
        <w:t>Asia</w:t>
      </w:r>
      <w:r>
        <w:rPr>
          <w:spacing w:val="-6"/>
          <w:sz w:val="18"/>
        </w:rPr>
        <w:t> </w:t>
      </w:r>
      <w:r>
        <w:rPr>
          <w:sz w:val="18"/>
        </w:rPr>
        <w:t>had recovered rapidly from its downturn, and there were also some signs of a recovery in Japan. Official interest rates had risen in the previous month in most OECD economies, and market rates suggested</w:t>
      </w:r>
      <w:r>
        <w:rPr>
          <w:spacing w:val="-6"/>
          <w:sz w:val="18"/>
        </w:rPr>
        <w:t> </w:t>
      </w:r>
      <w:r>
        <w:rPr>
          <w:sz w:val="18"/>
        </w:rPr>
        <w:t>expectations</w:t>
      </w:r>
      <w:r>
        <w:rPr>
          <w:spacing w:val="-5"/>
          <w:sz w:val="18"/>
        </w:rPr>
        <w:t> </w:t>
      </w:r>
      <w:r>
        <w:rPr>
          <w:sz w:val="18"/>
        </w:rPr>
        <w:t>of</w:t>
      </w:r>
      <w:r>
        <w:rPr>
          <w:spacing w:val="-5"/>
          <w:sz w:val="18"/>
        </w:rPr>
        <w:t> </w:t>
      </w:r>
      <w:r>
        <w:rPr>
          <w:sz w:val="18"/>
        </w:rPr>
        <w:t>further</w:t>
      </w:r>
      <w:r>
        <w:rPr>
          <w:spacing w:val="-5"/>
          <w:sz w:val="18"/>
        </w:rPr>
        <w:t> </w:t>
      </w:r>
      <w:r>
        <w:rPr>
          <w:sz w:val="18"/>
        </w:rPr>
        <w:t>increases</w:t>
      </w:r>
      <w:r>
        <w:rPr>
          <w:spacing w:val="-5"/>
          <w:sz w:val="18"/>
        </w:rPr>
        <w:t> </w:t>
      </w:r>
      <w:r>
        <w:rPr>
          <w:sz w:val="18"/>
        </w:rPr>
        <w:t>in</w:t>
      </w:r>
      <w:r>
        <w:rPr>
          <w:spacing w:val="-5"/>
          <w:sz w:val="18"/>
        </w:rPr>
        <w:t> </w:t>
      </w:r>
      <w:r>
        <w:rPr>
          <w:sz w:val="18"/>
        </w:rPr>
        <w:t>official</w:t>
      </w:r>
      <w:r>
        <w:rPr>
          <w:spacing w:val="-5"/>
          <w:sz w:val="18"/>
        </w:rPr>
        <w:t> </w:t>
      </w:r>
      <w:r>
        <w:rPr>
          <w:sz w:val="18"/>
        </w:rPr>
        <w:t>rates</w:t>
      </w:r>
      <w:r>
        <w:rPr>
          <w:spacing w:val="-5"/>
          <w:sz w:val="18"/>
        </w:rPr>
        <w:t> </w:t>
      </w:r>
      <w:r>
        <w:rPr>
          <w:sz w:val="18"/>
        </w:rPr>
        <w:t>later</w:t>
      </w:r>
      <w:r>
        <w:rPr>
          <w:spacing w:val="-5"/>
          <w:sz w:val="18"/>
        </w:rPr>
        <w:t> </w:t>
      </w:r>
      <w:r>
        <w:rPr>
          <w:sz w:val="18"/>
        </w:rPr>
        <w:t>in</w:t>
      </w:r>
    </w:p>
    <w:p>
      <w:pPr>
        <w:spacing w:after="0" w:line="232" w:lineRule="auto"/>
        <w:jc w:val="left"/>
        <w:rPr>
          <w:sz w:val="18"/>
        </w:rPr>
        <w:sectPr>
          <w:type w:val="continuous"/>
          <w:pgSz w:w="11900" w:h="16840"/>
          <w:pgMar w:top="1220" w:bottom="280" w:left="640" w:right="620"/>
          <w:cols w:num="2" w:equalWidth="0">
            <w:col w:w="5083" w:space="307"/>
            <w:col w:w="5250"/>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7"/>
        <w:rPr>
          <w:sz w:val="19"/>
        </w:rPr>
      </w:pPr>
    </w:p>
    <w:p>
      <w:pPr>
        <w:pStyle w:val="BodyText"/>
        <w:spacing w:line="232" w:lineRule="auto" w:before="1"/>
        <w:ind w:left="180" w:right="39"/>
      </w:pPr>
      <w:r>
        <w:rPr/>
        <w:t>the year, for instance in the US and the euro area. The prospects for inflation in the global economy would depend not only on the strength of demand growth and the reaction of monetary policy, but also on the size and distribution of world productive capacity relative to demand.</w:t>
      </w:r>
    </w:p>
    <w:p>
      <w:pPr>
        <w:pStyle w:val="BodyText"/>
        <w:rPr>
          <w:sz w:val="17"/>
        </w:rPr>
      </w:pPr>
    </w:p>
    <w:p>
      <w:pPr>
        <w:pStyle w:val="ListParagraph"/>
        <w:numPr>
          <w:ilvl w:val="0"/>
          <w:numId w:val="50"/>
        </w:numPr>
        <w:tabs>
          <w:tab w:pos="659" w:val="left" w:leader="none"/>
          <w:tab w:pos="660" w:val="left" w:leader="none"/>
        </w:tabs>
        <w:spacing w:line="232" w:lineRule="auto" w:before="0" w:after="0"/>
        <w:ind w:left="180" w:right="208" w:firstLine="0"/>
        <w:jc w:val="left"/>
        <w:rPr>
          <w:sz w:val="18"/>
        </w:rPr>
      </w:pPr>
      <w:r>
        <w:rPr>
          <w:sz w:val="18"/>
        </w:rPr>
        <w:t>The strength of the US economy, and uncertainty about the balance between domestic demand and supply in that country, remained important factors in any assessment of the world economy. The target Federal funds rate had been raised again in March, for the second time this year, and while there had been considerable volatility in the various US equity price indices, on balance</w:t>
      </w:r>
      <w:r>
        <w:rPr>
          <w:spacing w:val="-5"/>
          <w:sz w:val="18"/>
        </w:rPr>
        <w:t> </w:t>
      </w:r>
      <w:r>
        <w:rPr>
          <w:sz w:val="18"/>
        </w:rPr>
        <w:t>these</w:t>
      </w:r>
      <w:r>
        <w:rPr>
          <w:spacing w:val="-4"/>
          <w:sz w:val="18"/>
        </w:rPr>
        <w:t> </w:t>
      </w:r>
      <w:r>
        <w:rPr>
          <w:sz w:val="18"/>
        </w:rPr>
        <w:t>were</w:t>
      </w:r>
      <w:r>
        <w:rPr>
          <w:spacing w:val="-5"/>
          <w:sz w:val="18"/>
        </w:rPr>
        <w:t> </w:t>
      </w:r>
      <w:r>
        <w:rPr>
          <w:sz w:val="18"/>
        </w:rPr>
        <w:t>now</w:t>
      </w:r>
      <w:r>
        <w:rPr>
          <w:spacing w:val="-4"/>
          <w:sz w:val="18"/>
        </w:rPr>
        <w:t> </w:t>
      </w:r>
      <w:r>
        <w:rPr>
          <w:sz w:val="18"/>
        </w:rPr>
        <w:t>not</w:t>
      </w:r>
      <w:r>
        <w:rPr>
          <w:spacing w:val="-5"/>
          <w:sz w:val="18"/>
        </w:rPr>
        <w:t> </w:t>
      </w:r>
      <w:r>
        <w:rPr>
          <w:sz w:val="18"/>
        </w:rPr>
        <w:t>much</w:t>
      </w:r>
      <w:r>
        <w:rPr>
          <w:spacing w:val="-4"/>
          <w:sz w:val="18"/>
        </w:rPr>
        <w:t> </w:t>
      </w:r>
      <w:r>
        <w:rPr>
          <w:sz w:val="18"/>
        </w:rPr>
        <w:t>changed</w:t>
      </w:r>
      <w:r>
        <w:rPr>
          <w:spacing w:val="-4"/>
          <w:sz w:val="18"/>
        </w:rPr>
        <w:t> </w:t>
      </w:r>
      <w:r>
        <w:rPr>
          <w:sz w:val="18"/>
        </w:rPr>
        <w:t>from</w:t>
      </w:r>
      <w:r>
        <w:rPr>
          <w:spacing w:val="-5"/>
          <w:sz w:val="18"/>
        </w:rPr>
        <w:t> </w:t>
      </w:r>
      <w:r>
        <w:rPr>
          <w:sz w:val="18"/>
        </w:rPr>
        <w:t>their</w:t>
      </w:r>
      <w:r>
        <w:rPr>
          <w:spacing w:val="-4"/>
          <w:sz w:val="18"/>
        </w:rPr>
        <w:t> </w:t>
      </w:r>
      <w:r>
        <w:rPr>
          <w:sz w:val="18"/>
        </w:rPr>
        <w:t>levels</w:t>
      </w:r>
      <w:r>
        <w:rPr>
          <w:spacing w:val="-5"/>
          <w:sz w:val="18"/>
        </w:rPr>
        <w:t> </w:t>
      </w:r>
      <w:r>
        <w:rPr>
          <w:sz w:val="18"/>
        </w:rPr>
        <w:t>at</w:t>
      </w:r>
      <w:r>
        <w:rPr>
          <w:spacing w:val="-4"/>
          <w:sz w:val="18"/>
        </w:rPr>
        <w:t> </w:t>
      </w:r>
      <w:r>
        <w:rPr>
          <w:sz w:val="18"/>
        </w:rPr>
        <w:t>the start of the year. To some members this suggested an increased chance of a gradual slowdown in US growth closer to</w:t>
      </w:r>
      <w:r>
        <w:rPr>
          <w:spacing w:val="-29"/>
          <w:sz w:val="18"/>
        </w:rPr>
        <w:t> </w:t>
      </w:r>
      <w:r>
        <w:rPr>
          <w:sz w:val="18"/>
        </w:rPr>
        <w:t>trend.</w:t>
      </w:r>
    </w:p>
    <w:p>
      <w:pPr>
        <w:pStyle w:val="BodyText"/>
        <w:spacing w:before="1"/>
        <w:rPr>
          <w:sz w:val="20"/>
        </w:rPr>
      </w:pPr>
    </w:p>
    <w:p>
      <w:pPr>
        <w:pStyle w:val="Heading8"/>
        <w:ind w:left="180"/>
      </w:pPr>
      <w:r>
        <w:rPr>
          <w:color w:val="009391"/>
        </w:rPr>
        <w:t>Other considerations</w:t>
      </w:r>
    </w:p>
    <w:p>
      <w:pPr>
        <w:pStyle w:val="ListParagraph"/>
        <w:numPr>
          <w:ilvl w:val="0"/>
          <w:numId w:val="50"/>
        </w:numPr>
        <w:tabs>
          <w:tab w:pos="659" w:val="left" w:leader="none"/>
          <w:tab w:pos="660" w:val="left" w:leader="none"/>
        </w:tabs>
        <w:spacing w:line="232" w:lineRule="auto" w:before="109" w:after="0"/>
        <w:ind w:left="180" w:right="38" w:firstLine="0"/>
        <w:jc w:val="left"/>
        <w:rPr>
          <w:sz w:val="18"/>
        </w:rPr>
      </w:pPr>
      <w:r>
        <w:rPr>
          <w:sz w:val="18"/>
        </w:rPr>
        <w:t>Although a majority of market participants did not expect the Committee to move rates this month, an increase in the Bank’s repo rate during Q2 was widely forecast. The Committee had agreed in March, when a change in the repo rate would have been more of a surprise, that this of itself should not be a constraint on the Committee’s decision, and that remained the case. The Committee also agreed that, while the May </w:t>
      </w:r>
      <w:r>
        <w:rPr>
          <w:i/>
          <w:sz w:val="18"/>
        </w:rPr>
        <w:t>Inflation Report </w:t>
      </w:r>
      <w:r>
        <w:rPr>
          <w:sz w:val="18"/>
        </w:rPr>
        <w:t>provided an opportunity</w:t>
      </w:r>
      <w:r>
        <w:rPr>
          <w:spacing w:val="-6"/>
          <w:sz w:val="18"/>
        </w:rPr>
        <w:t> </w:t>
      </w:r>
      <w:r>
        <w:rPr>
          <w:sz w:val="18"/>
        </w:rPr>
        <w:t>to</w:t>
      </w:r>
      <w:r>
        <w:rPr>
          <w:spacing w:val="-5"/>
          <w:sz w:val="18"/>
        </w:rPr>
        <w:t> </w:t>
      </w:r>
      <w:r>
        <w:rPr>
          <w:sz w:val="18"/>
        </w:rPr>
        <w:t>analyse</w:t>
      </w:r>
      <w:r>
        <w:rPr>
          <w:spacing w:val="-5"/>
          <w:sz w:val="18"/>
        </w:rPr>
        <w:t> </w:t>
      </w:r>
      <w:r>
        <w:rPr>
          <w:sz w:val="18"/>
        </w:rPr>
        <w:t>the</w:t>
      </w:r>
      <w:r>
        <w:rPr>
          <w:spacing w:val="-6"/>
          <w:sz w:val="18"/>
        </w:rPr>
        <w:t> </w:t>
      </w:r>
      <w:r>
        <w:rPr>
          <w:sz w:val="18"/>
        </w:rPr>
        <w:t>latest</w:t>
      </w:r>
      <w:r>
        <w:rPr>
          <w:spacing w:val="-5"/>
          <w:sz w:val="18"/>
        </w:rPr>
        <w:t> </w:t>
      </w:r>
      <w:r>
        <w:rPr>
          <w:sz w:val="18"/>
        </w:rPr>
        <w:t>developments</w:t>
      </w:r>
      <w:r>
        <w:rPr>
          <w:spacing w:val="-5"/>
          <w:sz w:val="18"/>
        </w:rPr>
        <w:t> </w:t>
      </w:r>
      <w:r>
        <w:rPr>
          <w:sz w:val="18"/>
        </w:rPr>
        <w:t>in</w:t>
      </w:r>
      <w:r>
        <w:rPr>
          <w:spacing w:val="-6"/>
          <w:sz w:val="18"/>
        </w:rPr>
        <w:t> </w:t>
      </w:r>
      <w:r>
        <w:rPr>
          <w:sz w:val="18"/>
        </w:rPr>
        <w:t>more</w:t>
      </w:r>
      <w:r>
        <w:rPr>
          <w:spacing w:val="-5"/>
          <w:sz w:val="18"/>
        </w:rPr>
        <w:t> </w:t>
      </w:r>
      <w:r>
        <w:rPr>
          <w:sz w:val="18"/>
        </w:rPr>
        <w:t>detail,</w:t>
      </w:r>
      <w:r>
        <w:rPr>
          <w:spacing w:val="-5"/>
          <w:sz w:val="18"/>
        </w:rPr>
        <w:t> </w:t>
      </w:r>
      <w:r>
        <w:rPr>
          <w:sz w:val="18"/>
        </w:rPr>
        <w:t>and</w:t>
      </w:r>
      <w:r>
        <w:rPr>
          <w:spacing w:val="-6"/>
          <w:sz w:val="18"/>
        </w:rPr>
        <w:t> </w:t>
      </w:r>
      <w:r>
        <w:rPr>
          <w:sz w:val="18"/>
        </w:rPr>
        <w:t>to set out the reasons for any change in official rates at greater length, that also did not preclude a change in rates this</w:t>
      </w:r>
      <w:r>
        <w:rPr>
          <w:spacing w:val="-21"/>
          <w:sz w:val="18"/>
        </w:rPr>
        <w:t> </w:t>
      </w:r>
      <w:r>
        <w:rPr>
          <w:sz w:val="18"/>
        </w:rPr>
        <w:t>month.</w:t>
      </w:r>
    </w:p>
    <w:p>
      <w:pPr>
        <w:pStyle w:val="BodyText"/>
        <w:spacing w:before="8"/>
        <w:rPr>
          <w:sz w:val="16"/>
        </w:rPr>
      </w:pPr>
    </w:p>
    <w:p>
      <w:pPr>
        <w:pStyle w:val="ListParagraph"/>
        <w:numPr>
          <w:ilvl w:val="0"/>
          <w:numId w:val="50"/>
        </w:numPr>
        <w:tabs>
          <w:tab w:pos="659" w:val="left" w:leader="none"/>
          <w:tab w:pos="660" w:val="left" w:leader="none"/>
        </w:tabs>
        <w:spacing w:line="232" w:lineRule="auto" w:before="1" w:after="0"/>
        <w:ind w:left="180" w:right="58" w:firstLine="0"/>
        <w:jc w:val="left"/>
        <w:rPr>
          <w:sz w:val="18"/>
        </w:rPr>
      </w:pPr>
      <w:r>
        <w:rPr>
          <w:sz w:val="18"/>
        </w:rPr>
        <w:t>The Committee discussed a suggestion that it should intervene in the foreign exchange markets. The argument advanced in favour was that this could, if successful, not only be profitable but also improve the balance in the economy between the internationally exposed sectors of the economy and other sectors which were growing very rapidly, reducing the risk that the Committee would need to adjust monetary policy sharply later. Some members were not at all attracted to this view, believing that intervention would be unsuccessful and would cause confusion in the markets about the Committee’s reaction function and its priorities. Some others thought that intervention in the foreign exchange market was unlikely to be successful at present, though they did not wish to rule out the possibility in appropriate circumstances in the future. Sterling’s current strength in effective terms reflected a more general weakness of the euro against most other major currencies, and there was little evidence that the present level of sterling was seen as unsustainable or fragile by the market, at least in the short term. On this view, intervention would be effective in current circumstances only if it was accompanied by an easing of monetary policy, which would not be appropriate in the present conjuncture, and to intervene ineffectively could be counterproductive.</w:t>
      </w:r>
    </w:p>
    <w:p>
      <w:pPr>
        <w:pStyle w:val="BodyText"/>
        <w:spacing w:before="2"/>
        <w:rPr>
          <w:sz w:val="19"/>
        </w:rPr>
      </w:pPr>
    </w:p>
    <w:p>
      <w:pPr>
        <w:pStyle w:val="Heading8"/>
        <w:ind w:left="180"/>
      </w:pPr>
      <w:r>
        <w:rPr>
          <w:color w:val="009391"/>
        </w:rPr>
        <w:t>The immediate policy decision</w:t>
      </w:r>
    </w:p>
    <w:p>
      <w:pPr>
        <w:pStyle w:val="ListParagraph"/>
        <w:numPr>
          <w:ilvl w:val="0"/>
          <w:numId w:val="50"/>
        </w:numPr>
        <w:tabs>
          <w:tab w:pos="659" w:val="left" w:leader="none"/>
          <w:tab w:pos="660" w:val="left" w:leader="none"/>
        </w:tabs>
        <w:spacing w:line="232" w:lineRule="auto" w:before="109" w:after="0"/>
        <w:ind w:left="180" w:right="123" w:firstLine="0"/>
        <w:jc w:val="left"/>
        <w:rPr>
          <w:sz w:val="18"/>
        </w:rPr>
      </w:pPr>
      <w:r>
        <w:rPr>
          <w:sz w:val="18"/>
        </w:rPr>
        <w:t>The Committee discussed the case for leaving rates unchanged, and for increasing the repo rate by 25 basis points. For many members, the choice was finely</w:t>
      </w:r>
      <w:r>
        <w:rPr>
          <w:spacing w:val="-12"/>
          <w:sz w:val="18"/>
        </w:rPr>
        <w:t> </w:t>
      </w:r>
      <w:r>
        <w:rPr>
          <w:sz w:val="18"/>
        </w:rPr>
        <w:t>balanced.</w:t>
      </w:r>
    </w:p>
    <w:p>
      <w:pPr>
        <w:pStyle w:val="BodyText"/>
        <w:spacing w:before="2"/>
        <w:rPr>
          <w:sz w:val="17"/>
        </w:rPr>
      </w:pPr>
    </w:p>
    <w:p>
      <w:pPr>
        <w:pStyle w:val="ListParagraph"/>
        <w:numPr>
          <w:ilvl w:val="0"/>
          <w:numId w:val="50"/>
        </w:numPr>
        <w:tabs>
          <w:tab w:pos="659" w:val="left" w:leader="none"/>
          <w:tab w:pos="660" w:val="left" w:leader="none"/>
        </w:tabs>
        <w:spacing w:line="232" w:lineRule="auto" w:before="0" w:after="0"/>
        <w:ind w:left="180" w:right="53" w:firstLine="0"/>
        <w:jc w:val="left"/>
        <w:rPr>
          <w:sz w:val="18"/>
        </w:rPr>
      </w:pPr>
      <w:r>
        <w:rPr>
          <w:sz w:val="18"/>
        </w:rPr>
        <w:t>Final domestic demand was growing rapidly, although in Q4 this</w:t>
      </w:r>
      <w:r>
        <w:rPr>
          <w:spacing w:val="-5"/>
          <w:sz w:val="18"/>
        </w:rPr>
        <w:t> </w:t>
      </w:r>
      <w:r>
        <w:rPr>
          <w:sz w:val="18"/>
        </w:rPr>
        <w:t>had</w:t>
      </w:r>
      <w:r>
        <w:rPr>
          <w:spacing w:val="-4"/>
          <w:sz w:val="18"/>
        </w:rPr>
        <w:t> </w:t>
      </w:r>
      <w:r>
        <w:rPr>
          <w:sz w:val="18"/>
        </w:rPr>
        <w:t>been</w:t>
      </w:r>
      <w:r>
        <w:rPr>
          <w:spacing w:val="-5"/>
          <w:sz w:val="18"/>
        </w:rPr>
        <w:t> </w:t>
      </w:r>
      <w:r>
        <w:rPr>
          <w:sz w:val="18"/>
        </w:rPr>
        <w:t>offset</w:t>
      </w:r>
      <w:r>
        <w:rPr>
          <w:spacing w:val="-4"/>
          <w:sz w:val="18"/>
        </w:rPr>
        <w:t> </w:t>
      </w:r>
      <w:r>
        <w:rPr>
          <w:sz w:val="18"/>
        </w:rPr>
        <w:t>in</w:t>
      </w:r>
      <w:r>
        <w:rPr>
          <w:spacing w:val="-5"/>
          <w:sz w:val="18"/>
        </w:rPr>
        <w:t> </w:t>
      </w:r>
      <w:r>
        <w:rPr>
          <w:sz w:val="18"/>
        </w:rPr>
        <w:t>part</w:t>
      </w:r>
      <w:r>
        <w:rPr>
          <w:spacing w:val="-4"/>
          <w:sz w:val="18"/>
        </w:rPr>
        <w:t> </w:t>
      </w:r>
      <w:r>
        <w:rPr>
          <w:sz w:val="18"/>
        </w:rPr>
        <w:t>by</w:t>
      </w:r>
      <w:r>
        <w:rPr>
          <w:spacing w:val="-5"/>
          <w:sz w:val="18"/>
        </w:rPr>
        <w:t> </w:t>
      </w:r>
      <w:r>
        <w:rPr>
          <w:sz w:val="18"/>
        </w:rPr>
        <w:t>a</w:t>
      </w:r>
      <w:r>
        <w:rPr>
          <w:spacing w:val="-4"/>
          <w:sz w:val="18"/>
        </w:rPr>
        <w:t> </w:t>
      </w:r>
      <w:r>
        <w:rPr>
          <w:sz w:val="18"/>
        </w:rPr>
        <w:t>large</w:t>
      </w:r>
      <w:r>
        <w:rPr>
          <w:spacing w:val="-4"/>
          <w:sz w:val="18"/>
        </w:rPr>
        <w:t> </w:t>
      </w:r>
      <w:r>
        <w:rPr>
          <w:sz w:val="18"/>
        </w:rPr>
        <w:t>negative</w:t>
      </w:r>
      <w:r>
        <w:rPr>
          <w:spacing w:val="-5"/>
          <w:sz w:val="18"/>
        </w:rPr>
        <w:t> </w:t>
      </w:r>
      <w:r>
        <w:rPr>
          <w:sz w:val="18"/>
        </w:rPr>
        <w:t>contribution</w:t>
      </w:r>
      <w:r>
        <w:rPr>
          <w:spacing w:val="-4"/>
          <w:sz w:val="18"/>
        </w:rPr>
        <w:t> </w:t>
      </w:r>
      <w:r>
        <w:rPr>
          <w:sz w:val="18"/>
        </w:rPr>
        <w:t>from</w:t>
      </w:r>
      <w:r>
        <w:rPr>
          <w:spacing w:val="-5"/>
          <w:sz w:val="18"/>
        </w:rPr>
        <w:t> </w:t>
      </w:r>
      <w:r>
        <w:rPr>
          <w:sz w:val="18"/>
        </w:rPr>
        <w:t>net trade. Some members thought that such an imbalance was not sustainable over the medium term. Although retail sales and consumer confidence had fallen back more recently, consumption still seemed robust, and while there were indications that house prices were no longer accelerating, there was little evidence of a slowdown in the housing market. Business investment growth was moderate but public investment was likely to grow rapidly. Government consumption would also boost total demand for the indefinite future. The net trade picture was more mixed, with the rise in sterling against the euro working in one direction, and stronger world demand in the other. While the services</w:t>
      </w:r>
      <w:r>
        <w:rPr>
          <w:spacing w:val="-30"/>
          <w:sz w:val="18"/>
        </w:rPr>
        <w:t> </w:t>
      </w:r>
      <w:r>
        <w:rPr>
          <w:sz w:val="18"/>
        </w:rPr>
        <w:t>sector</w:t>
      </w:r>
    </w:p>
    <w:p>
      <w:pPr>
        <w:pStyle w:val="BodyText"/>
        <w:spacing w:before="7"/>
        <w:rPr>
          <w:sz w:val="19"/>
        </w:rPr>
      </w:pPr>
      <w:r>
        <w:rPr/>
        <w:br w:type="column"/>
      </w:r>
      <w:r>
        <w:rPr>
          <w:sz w:val="19"/>
        </w:rPr>
      </w:r>
    </w:p>
    <w:p>
      <w:pPr>
        <w:pStyle w:val="BodyText"/>
        <w:spacing w:line="232" w:lineRule="auto" w:before="1"/>
        <w:ind w:left="180" w:right="159"/>
      </w:pPr>
      <w:r>
        <w:rPr/>
        <w:t>remained robust, manufacturing output had fallen in recent months, although survey evidence suggested a rather more resilient picture. The labour market remained tight and, whether or not higher earnings fed through into firms’ prices directly, they would add to disposable incomes and hence to demand pressures. While oil prices were now easing back, input costs continued to rise, though there was little evidence of much acceleration in final prices.</w:t>
      </w:r>
    </w:p>
    <w:p>
      <w:pPr>
        <w:pStyle w:val="BodyText"/>
        <w:spacing w:before="10"/>
        <w:rPr>
          <w:sz w:val="16"/>
        </w:rPr>
      </w:pPr>
    </w:p>
    <w:p>
      <w:pPr>
        <w:pStyle w:val="ListParagraph"/>
        <w:numPr>
          <w:ilvl w:val="0"/>
          <w:numId w:val="50"/>
        </w:numPr>
        <w:tabs>
          <w:tab w:pos="659" w:val="left" w:leader="none"/>
          <w:tab w:pos="660" w:val="left" w:leader="none"/>
        </w:tabs>
        <w:spacing w:line="232" w:lineRule="auto" w:before="0" w:after="0"/>
        <w:ind w:left="180" w:right="103" w:firstLine="0"/>
        <w:jc w:val="left"/>
        <w:rPr>
          <w:sz w:val="18"/>
        </w:rPr>
      </w:pPr>
      <w:r>
        <w:rPr>
          <w:sz w:val="18"/>
        </w:rPr>
        <w:t>On one view, it would be better not to raise rates this month. The news over the month as a whole was inconclusive, with falls in manufacturing production, retail sales and consumer confidence, and oil prices, but with the determinants of domestic demand, both private and public, remaining robust. Against that background other factors were also important. First, the extent of price pressures stemming from the labour market required further analysis, not least in disentangling the effects of bonuses and other elements of wage drift from that of settlements. Second, the analysis undertaken for the </w:t>
      </w:r>
      <w:r>
        <w:rPr>
          <w:i/>
          <w:sz w:val="18"/>
        </w:rPr>
        <w:t>Inflation Report</w:t>
      </w:r>
      <w:r>
        <w:rPr>
          <w:sz w:val="18"/>
        </w:rPr>
        <w:t>, and the opportunity this provided to set out the Committee’s thinking in detail, were valid reasons not to move this month unless there was a strong case to do so. Third, for some, the volatility in equity markets introduced a possible downside risk which might mean that any increase in rates this month would need to be reversed soon afterwards. Finally, the imbalances in the economy, manifested in another fall in manufacturing production, seemed to have worsened. An increase might exacerbate these imbalances and it was possible that the weakness in some sectors might feed through into the rest of the economy. With inflation running below target, and expected to continue to do so for a while, there was no pressing reason to raise rates straightaway. For these members, no change in the repo rate was needed this month, although for some of them it was more likely than not that there would need to be an increase in rates in due</w:t>
      </w:r>
      <w:r>
        <w:rPr>
          <w:spacing w:val="-19"/>
          <w:sz w:val="18"/>
        </w:rPr>
        <w:t> </w:t>
      </w:r>
      <w:r>
        <w:rPr>
          <w:sz w:val="18"/>
        </w:rPr>
        <w:t>course.</w:t>
      </w:r>
    </w:p>
    <w:p>
      <w:pPr>
        <w:pStyle w:val="BodyText"/>
        <w:spacing w:before="9"/>
        <w:rPr>
          <w:sz w:val="15"/>
        </w:rPr>
      </w:pPr>
    </w:p>
    <w:p>
      <w:pPr>
        <w:pStyle w:val="ListParagraph"/>
        <w:numPr>
          <w:ilvl w:val="0"/>
          <w:numId w:val="50"/>
        </w:numPr>
        <w:tabs>
          <w:tab w:pos="659" w:val="left" w:leader="none"/>
          <w:tab w:pos="660" w:val="left" w:leader="none"/>
        </w:tabs>
        <w:spacing w:line="232" w:lineRule="auto" w:before="0" w:after="0"/>
        <w:ind w:left="180" w:right="133" w:firstLine="0"/>
        <w:jc w:val="left"/>
        <w:rPr>
          <w:sz w:val="18"/>
        </w:rPr>
      </w:pPr>
      <w:r>
        <w:rPr>
          <w:sz w:val="18"/>
        </w:rPr>
        <w:t>On a second view, although the news over the month was mixed, it had on balance pointed to somewhat higher prospective inflation, which was sufficient to tip the balance for some who had been close to voting for higher rates in March. The fog surrounding some of the data around the millennium date change had begun to clear. A rise in rates would no longer come as a big surprise to the market and might not lead to much change either in short-term interest rate expectations or in the exchange rate. To delay moving rates could lead to expectations that more would need to be done later, to rein back the unsustainable growth of domestic demand. While the </w:t>
      </w:r>
      <w:r>
        <w:rPr>
          <w:i/>
          <w:sz w:val="18"/>
        </w:rPr>
        <w:t>Inflation Report </w:t>
      </w:r>
      <w:r>
        <w:rPr>
          <w:sz w:val="18"/>
        </w:rPr>
        <w:t>would provide an opportunity to analyse recent developments in more detail, and set out the thinking of the Committee at greater length, this argument was not by itself a conclusive reason for delay. Finally, the Committee had decided in March that the timing of the Budget would not be a constraint on moving rates either that month or this. On balance therefore a rise in the repo rate of 25 basis points was needed this</w:t>
      </w:r>
      <w:r>
        <w:rPr>
          <w:spacing w:val="-24"/>
          <w:sz w:val="18"/>
        </w:rPr>
        <w:t> </w:t>
      </w:r>
      <w:r>
        <w:rPr>
          <w:sz w:val="18"/>
        </w:rPr>
        <w:t>month.</w:t>
      </w:r>
    </w:p>
    <w:p>
      <w:pPr>
        <w:pStyle w:val="BodyText"/>
        <w:spacing w:before="3"/>
        <w:rPr>
          <w:sz w:val="16"/>
        </w:rPr>
      </w:pPr>
    </w:p>
    <w:p>
      <w:pPr>
        <w:pStyle w:val="ListParagraph"/>
        <w:numPr>
          <w:ilvl w:val="0"/>
          <w:numId w:val="50"/>
        </w:numPr>
        <w:tabs>
          <w:tab w:pos="659" w:val="left" w:leader="none"/>
          <w:tab w:pos="660" w:val="left" w:leader="none"/>
        </w:tabs>
        <w:spacing w:line="232" w:lineRule="auto" w:before="0" w:after="0"/>
        <w:ind w:left="180" w:right="267" w:firstLine="0"/>
        <w:jc w:val="left"/>
        <w:rPr>
          <w:sz w:val="18"/>
        </w:rPr>
      </w:pPr>
      <w:r>
        <w:rPr>
          <w:sz w:val="18"/>
        </w:rPr>
        <w:t>The Governor invited members to vote on the proposition that the Bank’s repo rate be maintained at 6.0%. Six members of the Committee (the Governor, David Clementi, Charles Goodhart, DeAnne Julius, Ian Plenderleith and Sushil Wadhwani) voted for the proposition. Mervyn King, Willem Buiter and John Vickers voted against, preferring a rise in rates of 25 basis</w:t>
      </w:r>
      <w:r>
        <w:rPr>
          <w:spacing w:val="-25"/>
          <w:sz w:val="18"/>
        </w:rPr>
        <w:t> </w:t>
      </w:r>
      <w:r>
        <w:rPr>
          <w:sz w:val="18"/>
        </w:rPr>
        <w:t>points.</w:t>
      </w:r>
    </w:p>
    <w:p>
      <w:pPr>
        <w:pStyle w:val="ListParagraph"/>
        <w:numPr>
          <w:ilvl w:val="0"/>
          <w:numId w:val="50"/>
        </w:numPr>
        <w:tabs>
          <w:tab w:pos="659" w:val="left" w:leader="none"/>
          <w:tab w:pos="660" w:val="left" w:leader="none"/>
        </w:tabs>
        <w:spacing w:line="400" w:lineRule="exact" w:before="38" w:after="0"/>
        <w:ind w:left="180" w:right="512" w:firstLine="0"/>
        <w:jc w:val="left"/>
        <w:rPr>
          <w:sz w:val="18"/>
        </w:rPr>
      </w:pPr>
      <w:r>
        <w:rPr>
          <w:sz w:val="18"/>
        </w:rPr>
        <w:t>The following members of the Committee were present: Eddie George,</w:t>
      </w:r>
      <w:r>
        <w:rPr>
          <w:spacing w:val="-3"/>
          <w:sz w:val="18"/>
        </w:rPr>
        <w:t> </w:t>
      </w:r>
      <w:r>
        <w:rPr>
          <w:sz w:val="18"/>
        </w:rPr>
        <w:t>Governor</w:t>
      </w:r>
    </w:p>
    <w:p>
      <w:pPr>
        <w:pStyle w:val="BodyText"/>
        <w:spacing w:line="155" w:lineRule="exact"/>
        <w:ind w:left="180"/>
      </w:pPr>
      <w:r>
        <w:rPr/>
        <w:t>Mervyn King, Deputy Governor responsible for monetary policy</w:t>
      </w:r>
    </w:p>
    <w:p>
      <w:pPr>
        <w:pStyle w:val="BodyText"/>
        <w:spacing w:line="232" w:lineRule="auto" w:before="2"/>
        <w:ind w:left="180" w:right="99"/>
      </w:pPr>
      <w:r>
        <w:rPr/>
        <w:t>David Clementi, Deputy Governor responsible for financial stability Willem Buiter</w:t>
      </w:r>
    </w:p>
    <w:p>
      <w:pPr>
        <w:pStyle w:val="BodyText"/>
        <w:spacing w:line="232" w:lineRule="auto"/>
        <w:ind w:left="180" w:right="3743"/>
      </w:pPr>
      <w:r>
        <w:rPr/>
        <w:t>Charles Goodhart DeAnne Julius Ian Plenderleith John Vickers Sushil Wadhwani</w:t>
      </w:r>
    </w:p>
    <w:p>
      <w:pPr>
        <w:pStyle w:val="BodyText"/>
        <w:spacing w:before="5"/>
        <w:rPr>
          <w:sz w:val="16"/>
        </w:rPr>
      </w:pPr>
    </w:p>
    <w:p>
      <w:pPr>
        <w:pStyle w:val="ListParagraph"/>
        <w:numPr>
          <w:ilvl w:val="0"/>
          <w:numId w:val="50"/>
        </w:numPr>
        <w:tabs>
          <w:tab w:pos="659" w:val="left" w:leader="none"/>
          <w:tab w:pos="660" w:val="left" w:leader="none"/>
        </w:tabs>
        <w:spacing w:line="240" w:lineRule="auto" w:before="0" w:after="0"/>
        <w:ind w:left="659" w:right="0" w:hanging="480"/>
        <w:jc w:val="left"/>
        <w:rPr>
          <w:sz w:val="18"/>
        </w:rPr>
      </w:pPr>
      <w:r>
        <w:rPr>
          <w:sz w:val="18"/>
        </w:rPr>
        <w:t>Gus O’Donnell was present as the Treasury</w:t>
      </w:r>
      <w:r>
        <w:rPr>
          <w:spacing w:val="-27"/>
          <w:sz w:val="18"/>
        </w:rPr>
        <w:t> </w:t>
      </w:r>
      <w:r>
        <w:rPr>
          <w:sz w:val="18"/>
        </w:rPr>
        <w:t>representative.</w:t>
      </w:r>
    </w:p>
    <w:p>
      <w:pPr>
        <w:spacing w:after="0" w:line="240" w:lineRule="auto"/>
        <w:jc w:val="left"/>
        <w:rPr>
          <w:sz w:val="18"/>
        </w:rPr>
        <w:sectPr>
          <w:type w:val="continuous"/>
          <w:pgSz w:w="11900" w:h="16840"/>
          <w:pgMar w:top="1220" w:bottom="280" w:left="640" w:right="620"/>
          <w:cols w:num="2" w:equalWidth="0">
            <w:col w:w="5143" w:space="279"/>
            <w:col w:w="5218"/>
          </w:cols>
        </w:sectPr>
      </w:pPr>
    </w:p>
    <w:p>
      <w:pPr>
        <w:pStyle w:val="BodyText"/>
        <w:rPr>
          <w:sz w:val="20"/>
        </w:rPr>
      </w:pPr>
    </w:p>
    <w:p>
      <w:pPr>
        <w:pStyle w:val="BodyText"/>
        <w:rPr>
          <w:sz w:val="20"/>
        </w:rPr>
      </w:pPr>
    </w:p>
    <w:p>
      <w:pPr>
        <w:pStyle w:val="BodyText"/>
        <w:spacing w:before="1"/>
        <w:rPr>
          <w:sz w:val="16"/>
        </w:rPr>
      </w:pPr>
    </w:p>
    <w:p>
      <w:pPr>
        <w:pStyle w:val="Heading2"/>
      </w:pPr>
      <w:r>
        <w:rPr>
          <w:color w:val="009391"/>
        </w:rPr>
        <w:t>Annex: Summary of data presented by Bank staff</w:t>
      </w:r>
    </w:p>
    <w:p>
      <w:pPr>
        <w:pStyle w:val="BodyText"/>
        <w:rPr>
          <w:b/>
          <w:sz w:val="20"/>
        </w:rPr>
      </w:pPr>
    </w:p>
    <w:p>
      <w:pPr>
        <w:pStyle w:val="BodyText"/>
        <w:spacing w:before="9"/>
        <w:rPr>
          <w:b/>
          <w:sz w:val="27"/>
        </w:rPr>
      </w:pPr>
    </w:p>
    <w:p>
      <w:pPr>
        <w:spacing w:after="0"/>
        <w:rPr>
          <w:sz w:val="27"/>
        </w:rPr>
        <w:sectPr>
          <w:pgSz w:w="11900" w:h="16840"/>
          <w:pgMar w:header="566" w:footer="597" w:top="760" w:bottom="780" w:left="640" w:right="620"/>
        </w:sectPr>
      </w:pPr>
    </w:p>
    <w:p>
      <w:pPr>
        <w:pStyle w:val="ListParagraph"/>
        <w:numPr>
          <w:ilvl w:val="0"/>
          <w:numId w:val="51"/>
        </w:numPr>
        <w:tabs>
          <w:tab w:pos="649" w:val="left" w:leader="none"/>
          <w:tab w:pos="650" w:val="left" w:leader="none"/>
        </w:tabs>
        <w:spacing w:line="232" w:lineRule="auto" w:before="98" w:after="0"/>
        <w:ind w:left="170" w:right="107" w:firstLine="0"/>
        <w:jc w:val="left"/>
        <w:rPr>
          <w:sz w:val="18"/>
        </w:rPr>
      </w:pPr>
      <w:r>
        <w:rPr>
          <w:sz w:val="18"/>
        </w:rPr>
        <w:t>This annex summarises the analysis presented by Bank staff to the Monetary Policy Committee on 31 March, in advance of the meeting on 5–6 April 2000. At the start of the Committee meeting itself, members were made aware of information that had subsequently become available, and that information is included in this</w:t>
      </w:r>
      <w:r>
        <w:rPr>
          <w:spacing w:val="-2"/>
          <w:sz w:val="18"/>
        </w:rPr>
        <w:t> </w:t>
      </w:r>
      <w:r>
        <w:rPr>
          <w:sz w:val="18"/>
        </w:rPr>
        <w:t>Annex.</w:t>
      </w:r>
    </w:p>
    <w:p>
      <w:pPr>
        <w:pStyle w:val="BodyText"/>
        <w:spacing w:before="3"/>
        <w:rPr>
          <w:sz w:val="20"/>
        </w:rPr>
      </w:pPr>
    </w:p>
    <w:p>
      <w:pPr>
        <w:pStyle w:val="Heading8"/>
        <w:numPr>
          <w:ilvl w:val="0"/>
          <w:numId w:val="52"/>
        </w:numPr>
        <w:tabs>
          <w:tab w:pos="649" w:val="left" w:leader="none"/>
          <w:tab w:pos="651" w:val="left" w:leader="none"/>
        </w:tabs>
        <w:spacing w:line="240" w:lineRule="auto" w:before="0" w:after="0"/>
        <w:ind w:left="650" w:right="0" w:hanging="481"/>
        <w:jc w:val="left"/>
      </w:pPr>
      <w:r>
        <w:rPr>
          <w:color w:val="009391"/>
        </w:rPr>
        <w:t>The international</w:t>
      </w:r>
      <w:r>
        <w:rPr>
          <w:color w:val="009391"/>
          <w:spacing w:val="-5"/>
        </w:rPr>
        <w:t> </w:t>
      </w:r>
      <w:r>
        <w:rPr>
          <w:color w:val="009391"/>
        </w:rPr>
        <w:t>environment</w:t>
      </w:r>
    </w:p>
    <w:p>
      <w:pPr>
        <w:pStyle w:val="ListParagraph"/>
        <w:numPr>
          <w:ilvl w:val="0"/>
          <w:numId w:val="51"/>
        </w:numPr>
        <w:tabs>
          <w:tab w:pos="649" w:val="left" w:leader="none"/>
          <w:tab w:pos="650" w:val="left" w:leader="none"/>
        </w:tabs>
        <w:spacing w:line="232" w:lineRule="auto" w:before="109" w:after="0"/>
        <w:ind w:left="170" w:right="38" w:firstLine="0"/>
        <w:jc w:val="left"/>
        <w:rPr>
          <w:sz w:val="18"/>
        </w:rPr>
      </w:pPr>
      <w:r>
        <w:rPr>
          <w:sz w:val="18"/>
        </w:rPr>
        <w:t>Overall, the world economy had continued to strengthen and industrial production for a wide range of countries had remained strong in January, though there were signs of a slowing in annual growth. Producer and consumer price inflation had risen a little since the end of the year in the United States and the euro area, largely reflecting increased energy costs. OPEC’s decision to increase oil production had eased the pressures on oil prices since March, as had evidence of lower compliance with output quotas in the latest quarter. Interest rates had been raised in the United States and the euro area in March, and rates implied by futures contracts had pointed to further tightening in</w:t>
      </w:r>
      <w:r>
        <w:rPr>
          <w:spacing w:val="-10"/>
          <w:sz w:val="18"/>
        </w:rPr>
        <w:t> </w:t>
      </w:r>
      <w:r>
        <w:rPr>
          <w:sz w:val="18"/>
        </w:rPr>
        <w:t>2000.</w:t>
      </w:r>
    </w:p>
    <w:p>
      <w:pPr>
        <w:pStyle w:val="BodyText"/>
        <w:spacing w:before="7"/>
        <w:rPr>
          <w:sz w:val="16"/>
        </w:rPr>
      </w:pPr>
    </w:p>
    <w:p>
      <w:pPr>
        <w:pStyle w:val="ListParagraph"/>
        <w:numPr>
          <w:ilvl w:val="0"/>
          <w:numId w:val="51"/>
        </w:numPr>
        <w:tabs>
          <w:tab w:pos="649" w:val="left" w:leader="none"/>
          <w:tab w:pos="650" w:val="left" w:leader="none"/>
        </w:tabs>
        <w:spacing w:line="232" w:lineRule="auto" w:before="1" w:after="0"/>
        <w:ind w:left="170" w:right="372" w:firstLine="0"/>
        <w:jc w:val="left"/>
        <w:rPr>
          <w:sz w:val="18"/>
        </w:rPr>
      </w:pPr>
      <w:r>
        <w:rPr>
          <w:sz w:val="18"/>
        </w:rPr>
        <w:t>Final</w:t>
      </w:r>
      <w:r>
        <w:rPr>
          <w:spacing w:val="-5"/>
          <w:sz w:val="18"/>
        </w:rPr>
        <w:t> </w:t>
      </w:r>
      <w:r>
        <w:rPr>
          <w:sz w:val="18"/>
        </w:rPr>
        <w:t>estimates</w:t>
      </w:r>
      <w:r>
        <w:rPr>
          <w:spacing w:val="-4"/>
          <w:sz w:val="18"/>
        </w:rPr>
        <w:t> </w:t>
      </w:r>
      <w:r>
        <w:rPr>
          <w:sz w:val="18"/>
        </w:rPr>
        <w:t>for</w:t>
      </w:r>
      <w:r>
        <w:rPr>
          <w:spacing w:val="-5"/>
          <w:sz w:val="18"/>
        </w:rPr>
        <w:t> </w:t>
      </w:r>
      <w:r>
        <w:rPr>
          <w:sz w:val="18"/>
        </w:rPr>
        <w:t>US</w:t>
      </w:r>
      <w:r>
        <w:rPr>
          <w:spacing w:val="-4"/>
          <w:sz w:val="18"/>
        </w:rPr>
        <w:t> </w:t>
      </w:r>
      <w:r>
        <w:rPr>
          <w:sz w:val="18"/>
        </w:rPr>
        <w:t>GDP</w:t>
      </w:r>
      <w:r>
        <w:rPr>
          <w:spacing w:val="-4"/>
          <w:sz w:val="18"/>
        </w:rPr>
        <w:t> </w:t>
      </w:r>
      <w:r>
        <w:rPr>
          <w:sz w:val="18"/>
        </w:rPr>
        <w:t>had</w:t>
      </w:r>
      <w:r>
        <w:rPr>
          <w:spacing w:val="-5"/>
          <w:sz w:val="18"/>
        </w:rPr>
        <w:t> </w:t>
      </w:r>
      <w:r>
        <w:rPr>
          <w:sz w:val="18"/>
        </w:rPr>
        <w:t>shown</w:t>
      </w:r>
      <w:r>
        <w:rPr>
          <w:spacing w:val="-4"/>
          <w:sz w:val="18"/>
        </w:rPr>
        <w:t> </w:t>
      </w:r>
      <w:r>
        <w:rPr>
          <w:sz w:val="18"/>
        </w:rPr>
        <w:t>4.2%</w:t>
      </w:r>
      <w:r>
        <w:rPr>
          <w:spacing w:val="-5"/>
          <w:sz w:val="18"/>
        </w:rPr>
        <w:t> </w:t>
      </w:r>
      <w:r>
        <w:rPr>
          <w:sz w:val="18"/>
        </w:rPr>
        <w:t>growth</w:t>
      </w:r>
      <w:r>
        <w:rPr>
          <w:spacing w:val="-4"/>
          <w:sz w:val="18"/>
        </w:rPr>
        <w:t> </w:t>
      </w:r>
      <w:r>
        <w:rPr>
          <w:sz w:val="18"/>
        </w:rPr>
        <w:t>for 1999 as a whole. US GDP growth had been revised up</w:t>
      </w:r>
      <w:r>
        <w:rPr>
          <w:spacing w:val="-29"/>
          <w:sz w:val="18"/>
        </w:rPr>
        <w:t> </w:t>
      </w:r>
      <w:r>
        <w:rPr>
          <w:sz w:val="18"/>
        </w:rPr>
        <w:t>by</w:t>
      </w:r>
    </w:p>
    <w:p>
      <w:pPr>
        <w:pStyle w:val="BodyText"/>
        <w:spacing w:line="232" w:lineRule="auto"/>
        <w:ind w:left="170" w:right="29"/>
      </w:pPr>
      <w:r>
        <w:rPr/>
        <w:t>0.1 percentage point in Q4 to 1.8% for the quarter. The revisions had mainly affected net trade, with higher exports and lower imports than in the preliminary profile. However, in January, US export volumes had fallen by 3.4% over the month, partly due to a fall in aircraft sales, and the US trade deficit had widened to a record $28 billion. US industrial production had slowed slightly in February to 5.6% on a year earlier, largely because of a fall in automobile production. Retail sales, which had grown by 1.1% in February, pointed to strong underlying growth of consumption in Q1, though consumer confidence indicators in March had fallen further from January’s record levels. Producer price inflation had been strong in February, rising to 4% over the year, mainly reflecting energy and tobacco price increases. Headline consumer price inflation (CPI) had also risen, to 3.2% in the year to February, and core CPI inflation had risen to 2.1%.</w:t>
      </w:r>
    </w:p>
    <w:p>
      <w:pPr>
        <w:pStyle w:val="BodyText"/>
        <w:spacing w:before="2"/>
        <w:rPr>
          <w:sz w:val="16"/>
        </w:rPr>
      </w:pPr>
    </w:p>
    <w:p>
      <w:pPr>
        <w:pStyle w:val="ListParagraph"/>
        <w:numPr>
          <w:ilvl w:val="0"/>
          <w:numId w:val="51"/>
        </w:numPr>
        <w:tabs>
          <w:tab w:pos="649" w:val="left" w:leader="none"/>
          <w:tab w:pos="650" w:val="left" w:leader="none"/>
        </w:tabs>
        <w:spacing w:line="232" w:lineRule="auto" w:before="0" w:after="0"/>
        <w:ind w:left="170" w:right="43" w:firstLine="0"/>
        <w:jc w:val="left"/>
        <w:rPr>
          <w:sz w:val="18"/>
        </w:rPr>
      </w:pPr>
      <w:r>
        <w:rPr>
          <w:sz w:val="18"/>
        </w:rPr>
        <w:t>The picture of stronger activity in the euro area in the second half of the year had been confirmed by Q4 results. GDP had grown by 0.9% in Q4 and by 2.2% in 1999.  Net trade had made a negative contribution to growth in Q4, but domestic demand had been strong, reflecting the growth in private consumption, and reported stockbuilding. Industrial production had continued to grow strongly in Q4 and in January was 3.8% higher than a year earlier. Business and consumer confidence had reached the peak levels previously seen in 1998 and so had pointed to a continued strengthening of activity. M3 growth had increased by 6.2% in February, above the January rate of 5.2%. Euro-area PPI inflation had risen again in March. Consumer price inflation was 2.0% in February. As with the United States, energy effects had mainly accounted for the stronger PPI and headline CPI</w:t>
      </w:r>
      <w:r>
        <w:rPr>
          <w:spacing w:val="-22"/>
          <w:sz w:val="18"/>
        </w:rPr>
        <w:t> </w:t>
      </w:r>
      <w:r>
        <w:rPr>
          <w:sz w:val="18"/>
        </w:rPr>
        <w:t>inflation.</w:t>
      </w:r>
    </w:p>
    <w:p>
      <w:pPr>
        <w:pStyle w:val="BodyText"/>
        <w:spacing w:before="5"/>
        <w:rPr>
          <w:sz w:val="16"/>
        </w:rPr>
      </w:pPr>
    </w:p>
    <w:p>
      <w:pPr>
        <w:pStyle w:val="ListParagraph"/>
        <w:numPr>
          <w:ilvl w:val="0"/>
          <w:numId w:val="51"/>
        </w:numPr>
        <w:tabs>
          <w:tab w:pos="649" w:val="left" w:leader="none"/>
          <w:tab w:pos="650" w:val="left" w:leader="none"/>
        </w:tabs>
        <w:spacing w:line="232" w:lineRule="auto" w:before="1" w:after="0"/>
        <w:ind w:left="170" w:right="38" w:firstLine="0"/>
        <w:jc w:val="left"/>
        <w:rPr>
          <w:sz w:val="18"/>
        </w:rPr>
      </w:pPr>
      <w:r>
        <w:rPr>
          <w:sz w:val="18"/>
        </w:rPr>
        <w:t>The first estimate of Japanese GDP in Q4 had shown a decline of 1.4% on the previous quarter; private consumption had fallen by 1.6%.  Investment, mainly non-residential, had contributed positively to growth in Q4.  Rising corporate profits and orders had pointed to further investment growth. The March Tankan survey pointed to a slow recovery in output. Japanese workers’ household expenditure had increased by 3.9% in the year to February, boosted by the extra day in February 2000, but nonetheless pointed to higher private consumption in Q1. Net trade had been supported by intra-Asian exports and this was also likely to be a strong component in Q1 growth. Exports had increased</w:t>
      </w:r>
      <w:r>
        <w:rPr>
          <w:spacing w:val="2"/>
          <w:sz w:val="18"/>
        </w:rPr>
        <w:t> </w:t>
      </w:r>
      <w:r>
        <w:rPr>
          <w:sz w:val="18"/>
        </w:rPr>
        <w:t>by</w:t>
      </w:r>
    </w:p>
    <w:p>
      <w:pPr>
        <w:pStyle w:val="BodyText"/>
        <w:spacing w:line="232" w:lineRule="auto" w:before="98"/>
        <w:ind w:left="170" w:right="506"/>
      </w:pPr>
      <w:r>
        <w:rPr/>
        <w:br w:type="column"/>
      </w:r>
      <w:r>
        <w:rPr/>
        <w:t>15% in the year to February while import growth had remained above 10%. In February, consumer prices had fallen by 0.6% compared with a year earlier, as the effects of the earlier appreciation of the yen continued to feed through.</w:t>
      </w:r>
    </w:p>
    <w:p>
      <w:pPr>
        <w:pStyle w:val="BodyText"/>
        <w:spacing w:before="4"/>
        <w:rPr>
          <w:sz w:val="20"/>
        </w:rPr>
      </w:pPr>
    </w:p>
    <w:p>
      <w:pPr>
        <w:pStyle w:val="Heading8"/>
        <w:numPr>
          <w:ilvl w:val="0"/>
          <w:numId w:val="52"/>
        </w:numPr>
        <w:tabs>
          <w:tab w:pos="649" w:val="left" w:leader="none"/>
          <w:tab w:pos="650" w:val="left" w:leader="none"/>
        </w:tabs>
        <w:spacing w:line="240" w:lineRule="auto" w:before="0" w:after="0"/>
        <w:ind w:left="650" w:right="0" w:hanging="480"/>
        <w:jc w:val="left"/>
      </w:pPr>
      <w:r>
        <w:rPr>
          <w:color w:val="009391"/>
        </w:rPr>
        <w:t>Monetary and financial</w:t>
      </w:r>
      <w:r>
        <w:rPr>
          <w:color w:val="009391"/>
          <w:spacing w:val="-7"/>
        </w:rPr>
        <w:t> </w:t>
      </w:r>
      <w:r>
        <w:rPr>
          <w:color w:val="009391"/>
        </w:rPr>
        <w:t>conditions</w:t>
      </w:r>
    </w:p>
    <w:p>
      <w:pPr>
        <w:pStyle w:val="ListParagraph"/>
        <w:numPr>
          <w:ilvl w:val="0"/>
          <w:numId w:val="51"/>
        </w:numPr>
        <w:tabs>
          <w:tab w:pos="649" w:val="left" w:leader="none"/>
          <w:tab w:pos="650" w:val="left" w:leader="none"/>
        </w:tabs>
        <w:spacing w:line="232" w:lineRule="auto" w:before="110" w:after="0"/>
        <w:ind w:left="170" w:right="296" w:firstLine="0"/>
        <w:jc w:val="left"/>
        <w:rPr>
          <w:sz w:val="18"/>
        </w:rPr>
      </w:pPr>
      <w:r>
        <w:rPr>
          <w:sz w:val="18"/>
        </w:rPr>
        <w:t>The twelve-month growth rate of notes and coin in March had remained strong at 8.4%, the same as in February. Bank staff noted</w:t>
      </w:r>
      <w:r>
        <w:rPr>
          <w:spacing w:val="-5"/>
          <w:sz w:val="18"/>
        </w:rPr>
        <w:t> </w:t>
      </w:r>
      <w:r>
        <w:rPr>
          <w:sz w:val="18"/>
        </w:rPr>
        <w:t>that</w:t>
      </w:r>
      <w:r>
        <w:rPr>
          <w:spacing w:val="-5"/>
          <w:sz w:val="18"/>
        </w:rPr>
        <w:t> </w:t>
      </w:r>
      <w:r>
        <w:rPr>
          <w:sz w:val="18"/>
        </w:rPr>
        <w:t>the</w:t>
      </w:r>
      <w:r>
        <w:rPr>
          <w:spacing w:val="-4"/>
          <w:sz w:val="18"/>
        </w:rPr>
        <w:t> </w:t>
      </w:r>
      <w:r>
        <w:rPr>
          <w:sz w:val="18"/>
        </w:rPr>
        <w:t>velocity</w:t>
      </w:r>
      <w:r>
        <w:rPr>
          <w:spacing w:val="-5"/>
          <w:sz w:val="18"/>
        </w:rPr>
        <w:t> </w:t>
      </w:r>
      <w:r>
        <w:rPr>
          <w:sz w:val="18"/>
        </w:rPr>
        <w:t>of</w:t>
      </w:r>
      <w:r>
        <w:rPr>
          <w:spacing w:val="-5"/>
          <w:sz w:val="18"/>
        </w:rPr>
        <w:t> </w:t>
      </w:r>
      <w:r>
        <w:rPr>
          <w:sz w:val="18"/>
        </w:rPr>
        <w:t>narrow</w:t>
      </w:r>
      <w:r>
        <w:rPr>
          <w:spacing w:val="-4"/>
          <w:sz w:val="18"/>
        </w:rPr>
        <w:t> </w:t>
      </w:r>
      <w:r>
        <w:rPr>
          <w:sz w:val="18"/>
        </w:rPr>
        <w:t>money</w:t>
      </w:r>
      <w:r>
        <w:rPr>
          <w:spacing w:val="-5"/>
          <w:sz w:val="18"/>
        </w:rPr>
        <w:t> </w:t>
      </w:r>
      <w:r>
        <w:rPr>
          <w:sz w:val="18"/>
        </w:rPr>
        <w:t>had</w:t>
      </w:r>
      <w:r>
        <w:rPr>
          <w:spacing w:val="-5"/>
          <w:sz w:val="18"/>
        </w:rPr>
        <w:t> </w:t>
      </w:r>
      <w:r>
        <w:rPr>
          <w:sz w:val="18"/>
        </w:rPr>
        <w:t>fallen</w:t>
      </w:r>
      <w:r>
        <w:rPr>
          <w:spacing w:val="-4"/>
          <w:sz w:val="18"/>
        </w:rPr>
        <w:t> </w:t>
      </w:r>
      <w:r>
        <w:rPr>
          <w:sz w:val="18"/>
        </w:rPr>
        <w:t>in</w:t>
      </w:r>
      <w:r>
        <w:rPr>
          <w:spacing w:val="-5"/>
          <w:sz w:val="18"/>
        </w:rPr>
        <w:t> </w:t>
      </w:r>
      <w:r>
        <w:rPr>
          <w:sz w:val="18"/>
        </w:rPr>
        <w:t>recent</w:t>
      </w:r>
      <w:r>
        <w:rPr>
          <w:spacing w:val="-5"/>
          <w:sz w:val="18"/>
        </w:rPr>
        <w:t> </w:t>
      </w:r>
      <w:r>
        <w:rPr>
          <w:sz w:val="18"/>
        </w:rPr>
        <w:t>years, partly as the result of a gradual adjustment to lower nominal interest</w:t>
      </w:r>
      <w:r>
        <w:rPr>
          <w:spacing w:val="-2"/>
          <w:sz w:val="18"/>
        </w:rPr>
        <w:t> </w:t>
      </w:r>
      <w:r>
        <w:rPr>
          <w:sz w:val="18"/>
        </w:rPr>
        <w:t>rates.</w:t>
      </w:r>
    </w:p>
    <w:p>
      <w:pPr>
        <w:pStyle w:val="BodyText"/>
        <w:rPr>
          <w:sz w:val="17"/>
        </w:rPr>
      </w:pPr>
    </w:p>
    <w:p>
      <w:pPr>
        <w:pStyle w:val="ListParagraph"/>
        <w:numPr>
          <w:ilvl w:val="0"/>
          <w:numId w:val="51"/>
        </w:numPr>
        <w:tabs>
          <w:tab w:pos="649" w:val="left" w:leader="none"/>
          <w:tab w:pos="650" w:val="left" w:leader="none"/>
        </w:tabs>
        <w:spacing w:line="232" w:lineRule="auto" w:before="0" w:after="0"/>
        <w:ind w:left="170" w:right="189" w:firstLine="0"/>
        <w:jc w:val="left"/>
        <w:rPr>
          <w:sz w:val="18"/>
        </w:rPr>
      </w:pPr>
      <w:r>
        <w:rPr>
          <w:sz w:val="18"/>
        </w:rPr>
        <w:t>The</w:t>
      </w:r>
      <w:r>
        <w:rPr>
          <w:spacing w:val="-5"/>
          <w:sz w:val="18"/>
        </w:rPr>
        <w:t> </w:t>
      </w:r>
      <w:r>
        <w:rPr>
          <w:sz w:val="18"/>
        </w:rPr>
        <w:t>stock</w:t>
      </w:r>
      <w:r>
        <w:rPr>
          <w:spacing w:val="-4"/>
          <w:sz w:val="18"/>
        </w:rPr>
        <w:t> </w:t>
      </w:r>
      <w:r>
        <w:rPr>
          <w:sz w:val="18"/>
        </w:rPr>
        <w:t>of</w:t>
      </w:r>
      <w:r>
        <w:rPr>
          <w:spacing w:val="-4"/>
          <w:sz w:val="18"/>
        </w:rPr>
        <w:t> </w:t>
      </w:r>
      <w:r>
        <w:rPr>
          <w:sz w:val="18"/>
        </w:rPr>
        <w:t>M4</w:t>
      </w:r>
      <w:r>
        <w:rPr>
          <w:spacing w:val="-4"/>
          <w:sz w:val="18"/>
        </w:rPr>
        <w:t> </w:t>
      </w:r>
      <w:r>
        <w:rPr>
          <w:sz w:val="18"/>
        </w:rPr>
        <w:t>had</w:t>
      </w:r>
      <w:r>
        <w:rPr>
          <w:spacing w:val="-4"/>
          <w:sz w:val="18"/>
        </w:rPr>
        <w:t> </w:t>
      </w:r>
      <w:r>
        <w:rPr>
          <w:sz w:val="18"/>
        </w:rPr>
        <w:t>risen</w:t>
      </w:r>
      <w:r>
        <w:rPr>
          <w:spacing w:val="-4"/>
          <w:sz w:val="18"/>
        </w:rPr>
        <w:t> </w:t>
      </w:r>
      <w:r>
        <w:rPr>
          <w:sz w:val="18"/>
        </w:rPr>
        <w:t>by</w:t>
      </w:r>
      <w:r>
        <w:rPr>
          <w:spacing w:val="-4"/>
          <w:sz w:val="18"/>
        </w:rPr>
        <w:t> </w:t>
      </w:r>
      <w:r>
        <w:rPr>
          <w:sz w:val="18"/>
        </w:rPr>
        <w:t>£2.2</w:t>
      </w:r>
      <w:r>
        <w:rPr>
          <w:spacing w:val="-4"/>
          <w:sz w:val="18"/>
        </w:rPr>
        <w:t> </w:t>
      </w:r>
      <w:r>
        <w:rPr>
          <w:sz w:val="18"/>
        </w:rPr>
        <w:t>billion</w:t>
      </w:r>
      <w:r>
        <w:rPr>
          <w:spacing w:val="-4"/>
          <w:sz w:val="18"/>
        </w:rPr>
        <w:t> </w:t>
      </w:r>
      <w:r>
        <w:rPr>
          <w:sz w:val="18"/>
        </w:rPr>
        <w:t>(0.3%)</w:t>
      </w:r>
      <w:r>
        <w:rPr>
          <w:spacing w:val="-4"/>
          <w:sz w:val="18"/>
        </w:rPr>
        <w:t> </w:t>
      </w:r>
      <w:r>
        <w:rPr>
          <w:sz w:val="18"/>
        </w:rPr>
        <w:t>in</w:t>
      </w:r>
      <w:r>
        <w:rPr>
          <w:spacing w:val="-4"/>
          <w:sz w:val="18"/>
        </w:rPr>
        <w:t> </w:t>
      </w:r>
      <w:r>
        <w:rPr>
          <w:sz w:val="18"/>
        </w:rPr>
        <w:t>February leaving the twelve-month growth rate at its historic low of 2.7%. The weak M4 figures had continued to be dominated by other financial corporations’ (OFCs’) deposits, but private non-financial corporations’ (PNFCs’) and households’ deposits had also been weak in recent months. Aggregate M4 lending (excluding the effects</w:t>
      </w:r>
      <w:r>
        <w:rPr>
          <w:spacing w:val="-5"/>
          <w:sz w:val="18"/>
        </w:rPr>
        <w:t> </w:t>
      </w:r>
      <w:r>
        <w:rPr>
          <w:sz w:val="18"/>
        </w:rPr>
        <w:t>of</w:t>
      </w:r>
      <w:r>
        <w:rPr>
          <w:spacing w:val="-5"/>
          <w:sz w:val="18"/>
        </w:rPr>
        <w:t> </w:t>
      </w:r>
      <w:r>
        <w:rPr>
          <w:sz w:val="18"/>
        </w:rPr>
        <w:t>securitisations)</w:t>
      </w:r>
      <w:r>
        <w:rPr>
          <w:spacing w:val="-4"/>
          <w:sz w:val="18"/>
        </w:rPr>
        <w:t> </w:t>
      </w:r>
      <w:r>
        <w:rPr>
          <w:sz w:val="18"/>
        </w:rPr>
        <w:t>had</w:t>
      </w:r>
      <w:r>
        <w:rPr>
          <w:spacing w:val="-5"/>
          <w:sz w:val="18"/>
        </w:rPr>
        <w:t> </w:t>
      </w:r>
      <w:r>
        <w:rPr>
          <w:sz w:val="18"/>
        </w:rPr>
        <w:t>been</w:t>
      </w:r>
      <w:r>
        <w:rPr>
          <w:spacing w:val="-4"/>
          <w:sz w:val="18"/>
        </w:rPr>
        <w:t> </w:t>
      </w:r>
      <w:r>
        <w:rPr>
          <w:sz w:val="18"/>
        </w:rPr>
        <w:t>stronger</w:t>
      </w:r>
      <w:r>
        <w:rPr>
          <w:spacing w:val="-5"/>
          <w:sz w:val="18"/>
        </w:rPr>
        <w:t> </w:t>
      </w:r>
      <w:r>
        <w:rPr>
          <w:sz w:val="18"/>
        </w:rPr>
        <w:t>in</w:t>
      </w:r>
      <w:r>
        <w:rPr>
          <w:spacing w:val="-5"/>
          <w:sz w:val="18"/>
        </w:rPr>
        <w:t> </w:t>
      </w:r>
      <w:r>
        <w:rPr>
          <w:sz w:val="18"/>
        </w:rPr>
        <w:t>February,</w:t>
      </w:r>
      <w:r>
        <w:rPr>
          <w:spacing w:val="-4"/>
          <w:sz w:val="18"/>
        </w:rPr>
        <w:t> </w:t>
      </w:r>
      <w:r>
        <w:rPr>
          <w:sz w:val="18"/>
        </w:rPr>
        <w:t>rising</w:t>
      </w:r>
      <w:r>
        <w:rPr>
          <w:spacing w:val="-5"/>
          <w:sz w:val="18"/>
        </w:rPr>
        <w:t> </w:t>
      </w:r>
      <w:r>
        <w:rPr>
          <w:sz w:val="18"/>
        </w:rPr>
        <w:t>by</w:t>
      </w:r>
    </w:p>
    <w:p>
      <w:pPr>
        <w:pStyle w:val="BodyText"/>
        <w:spacing w:line="232" w:lineRule="auto"/>
        <w:ind w:left="170" w:right="245"/>
      </w:pPr>
      <w:r>
        <w:rPr/>
        <w:t>£7.5 billion (0.8%) compared with £3.9 billion in January. The twelve-month rate had risen by 0.3 percentage points and remained robust at 8.9%.</w:t>
      </w:r>
    </w:p>
    <w:p>
      <w:pPr>
        <w:pStyle w:val="BodyText"/>
        <w:spacing w:before="8"/>
        <w:rPr>
          <w:sz w:val="16"/>
        </w:rPr>
      </w:pPr>
    </w:p>
    <w:p>
      <w:pPr>
        <w:pStyle w:val="ListParagraph"/>
        <w:numPr>
          <w:ilvl w:val="0"/>
          <w:numId w:val="51"/>
        </w:numPr>
        <w:tabs>
          <w:tab w:pos="649" w:val="left" w:leader="none"/>
          <w:tab w:pos="650" w:val="left" w:leader="none"/>
        </w:tabs>
        <w:spacing w:line="232" w:lineRule="auto" w:before="1" w:after="0"/>
        <w:ind w:left="170" w:right="220" w:firstLine="0"/>
        <w:jc w:val="left"/>
        <w:rPr>
          <w:sz w:val="18"/>
        </w:rPr>
      </w:pPr>
      <w:r>
        <w:rPr>
          <w:sz w:val="18"/>
        </w:rPr>
        <w:t>Households’ M4 deposits had risen by £2 billion (0.4%) in February. But the twelve-month growth rate, at 5.3%, had remained low when compared with rates seen in 1999. Households’ M4 lending (excluding the effects of securitisations) had</w:t>
      </w:r>
      <w:r>
        <w:rPr>
          <w:spacing w:val="-6"/>
          <w:sz w:val="18"/>
        </w:rPr>
        <w:t> </w:t>
      </w:r>
      <w:r>
        <w:rPr>
          <w:sz w:val="18"/>
        </w:rPr>
        <w:t>remained</w:t>
      </w:r>
      <w:r>
        <w:rPr>
          <w:spacing w:val="-6"/>
          <w:sz w:val="18"/>
        </w:rPr>
        <w:t> </w:t>
      </w:r>
      <w:r>
        <w:rPr>
          <w:sz w:val="18"/>
        </w:rPr>
        <w:t>robust,</w:t>
      </w:r>
      <w:r>
        <w:rPr>
          <w:spacing w:val="-6"/>
          <w:sz w:val="18"/>
        </w:rPr>
        <w:t> </w:t>
      </w:r>
      <w:r>
        <w:rPr>
          <w:sz w:val="18"/>
        </w:rPr>
        <w:t>increasing</w:t>
      </w:r>
      <w:r>
        <w:rPr>
          <w:spacing w:val="-5"/>
          <w:sz w:val="18"/>
        </w:rPr>
        <w:t> </w:t>
      </w:r>
      <w:r>
        <w:rPr>
          <w:sz w:val="18"/>
        </w:rPr>
        <w:t>by</w:t>
      </w:r>
      <w:r>
        <w:rPr>
          <w:spacing w:val="-6"/>
          <w:sz w:val="18"/>
        </w:rPr>
        <w:t> </w:t>
      </w:r>
      <w:r>
        <w:rPr>
          <w:sz w:val="18"/>
        </w:rPr>
        <w:t>£4.3</w:t>
      </w:r>
      <w:r>
        <w:rPr>
          <w:spacing w:val="-5"/>
          <w:sz w:val="18"/>
        </w:rPr>
        <w:t> </w:t>
      </w:r>
      <w:r>
        <w:rPr>
          <w:sz w:val="18"/>
        </w:rPr>
        <w:t>billion</w:t>
      </w:r>
      <w:r>
        <w:rPr>
          <w:spacing w:val="-6"/>
          <w:sz w:val="18"/>
        </w:rPr>
        <w:t> </w:t>
      </w:r>
      <w:r>
        <w:rPr>
          <w:sz w:val="18"/>
        </w:rPr>
        <w:t>(0.8%)</w:t>
      </w:r>
      <w:r>
        <w:rPr>
          <w:spacing w:val="-5"/>
          <w:sz w:val="18"/>
        </w:rPr>
        <w:t> </w:t>
      </w:r>
      <w:r>
        <w:rPr>
          <w:sz w:val="18"/>
        </w:rPr>
        <w:t>in</w:t>
      </w:r>
      <w:r>
        <w:rPr>
          <w:spacing w:val="-6"/>
          <w:sz w:val="18"/>
        </w:rPr>
        <w:t> </w:t>
      </w:r>
      <w:r>
        <w:rPr>
          <w:sz w:val="18"/>
        </w:rPr>
        <w:t>February, with the twelve-month rate at</w:t>
      </w:r>
      <w:r>
        <w:rPr>
          <w:spacing w:val="-8"/>
          <w:sz w:val="18"/>
        </w:rPr>
        <w:t> </w:t>
      </w:r>
      <w:r>
        <w:rPr>
          <w:sz w:val="18"/>
        </w:rPr>
        <w:t>9.7%.</w:t>
      </w:r>
    </w:p>
    <w:p>
      <w:pPr>
        <w:pStyle w:val="BodyText"/>
        <w:spacing w:before="11"/>
        <w:rPr>
          <w:sz w:val="16"/>
        </w:rPr>
      </w:pPr>
    </w:p>
    <w:p>
      <w:pPr>
        <w:pStyle w:val="ListParagraph"/>
        <w:numPr>
          <w:ilvl w:val="0"/>
          <w:numId w:val="51"/>
        </w:numPr>
        <w:tabs>
          <w:tab w:pos="649" w:val="left" w:leader="none"/>
          <w:tab w:pos="650" w:val="left" w:leader="none"/>
        </w:tabs>
        <w:spacing w:line="232" w:lineRule="auto" w:before="0" w:after="0"/>
        <w:ind w:left="170" w:right="205" w:firstLine="0"/>
        <w:jc w:val="left"/>
        <w:rPr>
          <w:sz w:val="18"/>
        </w:rPr>
      </w:pPr>
      <w:r>
        <w:rPr>
          <w:sz w:val="18"/>
        </w:rPr>
        <w:t>Data on mortgage approvals had pointed to continuing buoyancy in housing market activity. The number and value of mortgage approvals had risen by 11,000 and £0.6 billion respectively in February, reversing the downward trend of the previous two months. This had suggested that secured lending could rise in the coming months. Revised estimates by Bank staff had suggested that mortgage equity withdrawal had been strong in 1999 Q4 at around £2.5 billion, although it had been weaker than provisional</w:t>
      </w:r>
      <w:r>
        <w:rPr>
          <w:spacing w:val="-6"/>
          <w:sz w:val="18"/>
        </w:rPr>
        <w:t> </w:t>
      </w:r>
      <w:r>
        <w:rPr>
          <w:sz w:val="18"/>
        </w:rPr>
        <w:t>estimates,</w:t>
      </w:r>
      <w:r>
        <w:rPr>
          <w:spacing w:val="-5"/>
          <w:sz w:val="18"/>
        </w:rPr>
        <w:t> </w:t>
      </w:r>
      <w:r>
        <w:rPr>
          <w:sz w:val="18"/>
        </w:rPr>
        <w:t>which</w:t>
      </w:r>
      <w:r>
        <w:rPr>
          <w:spacing w:val="-5"/>
          <w:sz w:val="18"/>
        </w:rPr>
        <w:t> </w:t>
      </w:r>
      <w:r>
        <w:rPr>
          <w:sz w:val="18"/>
        </w:rPr>
        <w:t>had</w:t>
      </w:r>
      <w:r>
        <w:rPr>
          <w:spacing w:val="-6"/>
          <w:sz w:val="18"/>
        </w:rPr>
        <w:t> </w:t>
      </w:r>
      <w:r>
        <w:rPr>
          <w:sz w:val="18"/>
        </w:rPr>
        <w:t>put</w:t>
      </w:r>
      <w:r>
        <w:rPr>
          <w:spacing w:val="-5"/>
          <w:sz w:val="18"/>
        </w:rPr>
        <w:t> </w:t>
      </w:r>
      <w:r>
        <w:rPr>
          <w:sz w:val="18"/>
        </w:rPr>
        <w:t>the</w:t>
      </w:r>
      <w:r>
        <w:rPr>
          <w:spacing w:val="-5"/>
          <w:sz w:val="18"/>
        </w:rPr>
        <w:t> </w:t>
      </w:r>
      <w:r>
        <w:rPr>
          <w:sz w:val="18"/>
        </w:rPr>
        <w:t>figure</w:t>
      </w:r>
      <w:r>
        <w:rPr>
          <w:spacing w:val="-6"/>
          <w:sz w:val="18"/>
        </w:rPr>
        <w:t> </w:t>
      </w:r>
      <w:r>
        <w:rPr>
          <w:sz w:val="18"/>
        </w:rPr>
        <w:t>at</w:t>
      </w:r>
      <w:r>
        <w:rPr>
          <w:spacing w:val="-5"/>
          <w:sz w:val="18"/>
        </w:rPr>
        <w:t> </w:t>
      </w:r>
      <w:r>
        <w:rPr>
          <w:sz w:val="18"/>
        </w:rPr>
        <w:t>around</w:t>
      </w:r>
      <w:r>
        <w:rPr>
          <w:spacing w:val="-5"/>
          <w:sz w:val="18"/>
        </w:rPr>
        <w:t> </w:t>
      </w:r>
      <w:r>
        <w:rPr>
          <w:sz w:val="18"/>
        </w:rPr>
        <w:t>£3</w:t>
      </w:r>
      <w:r>
        <w:rPr>
          <w:spacing w:val="-6"/>
          <w:sz w:val="18"/>
        </w:rPr>
        <w:t> </w:t>
      </w:r>
      <w:r>
        <w:rPr>
          <w:sz w:val="18"/>
        </w:rPr>
        <w:t>billion. Total real lending for consumption (real mortgage equity withdrawal plus real unsecured lending) in 1999 was estimated to have been at its highest level since</w:t>
      </w:r>
      <w:r>
        <w:rPr>
          <w:spacing w:val="-11"/>
          <w:sz w:val="18"/>
        </w:rPr>
        <w:t> </w:t>
      </w:r>
      <w:r>
        <w:rPr>
          <w:sz w:val="18"/>
        </w:rPr>
        <w:t>1990.</w:t>
      </w:r>
    </w:p>
    <w:p>
      <w:pPr>
        <w:pStyle w:val="BodyText"/>
        <w:spacing w:before="6"/>
        <w:rPr>
          <w:sz w:val="16"/>
        </w:rPr>
      </w:pPr>
    </w:p>
    <w:p>
      <w:pPr>
        <w:pStyle w:val="ListParagraph"/>
        <w:numPr>
          <w:ilvl w:val="0"/>
          <w:numId w:val="51"/>
        </w:numPr>
        <w:tabs>
          <w:tab w:pos="649" w:val="left" w:leader="none"/>
          <w:tab w:pos="650" w:val="left" w:leader="none"/>
        </w:tabs>
        <w:spacing w:line="232" w:lineRule="auto" w:before="1" w:after="0"/>
        <w:ind w:left="170" w:right="254" w:firstLine="0"/>
        <w:jc w:val="left"/>
        <w:rPr>
          <w:sz w:val="18"/>
        </w:rPr>
      </w:pPr>
      <w:r>
        <w:rPr>
          <w:sz w:val="18"/>
        </w:rPr>
        <w:t>Net bank borrowing (borrowing minus deposits) by PNFCs had risen again in January and February. PNFCs’ M4 deposits had fallen by £0.5 billion on average over the first two months of the year whereas PNFCs’ M4 lending (excluding the effects of securitisations) had risen by £0.6 billion on average. Non-bank borrowing by PNFCs (and foreign currency capital issues in particular) had been strong in the first two months of the year. In 1999 the PNFCs’ financial deficit had stood at £20 billion, which, at 2.4% of GDP, had been at its highest level since 1990. Unlike the previous economic cycle, a relatively small proportion of this debt had been raised via the banking</w:t>
      </w:r>
      <w:r>
        <w:rPr>
          <w:spacing w:val="-12"/>
          <w:sz w:val="18"/>
        </w:rPr>
        <w:t> </w:t>
      </w:r>
      <w:r>
        <w:rPr>
          <w:sz w:val="18"/>
        </w:rPr>
        <w:t>system.</w:t>
      </w:r>
    </w:p>
    <w:p>
      <w:pPr>
        <w:pStyle w:val="BodyText"/>
        <w:spacing w:before="7"/>
        <w:rPr>
          <w:sz w:val="16"/>
        </w:rPr>
      </w:pPr>
    </w:p>
    <w:p>
      <w:pPr>
        <w:pStyle w:val="ListParagraph"/>
        <w:numPr>
          <w:ilvl w:val="0"/>
          <w:numId w:val="51"/>
        </w:numPr>
        <w:tabs>
          <w:tab w:pos="649" w:val="left" w:leader="none"/>
          <w:tab w:pos="650" w:val="left" w:leader="none"/>
        </w:tabs>
        <w:spacing w:line="232" w:lineRule="auto" w:before="0" w:after="0"/>
        <w:ind w:left="170" w:right="444" w:firstLine="0"/>
        <w:jc w:val="left"/>
        <w:rPr>
          <w:sz w:val="18"/>
        </w:rPr>
      </w:pPr>
      <w:r>
        <w:rPr>
          <w:sz w:val="18"/>
        </w:rPr>
        <w:t>OFCs’ M4 had fallen by £1.2 billion (-0.7%) in February, and was 4.5% lower than a year earlier, down from -3.8% in January. OFCs’ M4 lending rose by £2.3 billion (1.1%) in February, a 10% increase on a year</w:t>
      </w:r>
      <w:r>
        <w:rPr>
          <w:spacing w:val="-11"/>
          <w:sz w:val="18"/>
        </w:rPr>
        <w:t> </w:t>
      </w:r>
      <w:r>
        <w:rPr>
          <w:sz w:val="18"/>
        </w:rPr>
        <w:t>earlier.</w:t>
      </w:r>
    </w:p>
    <w:p>
      <w:pPr>
        <w:pStyle w:val="BodyText"/>
        <w:spacing w:before="1"/>
        <w:rPr>
          <w:sz w:val="17"/>
        </w:rPr>
      </w:pPr>
    </w:p>
    <w:p>
      <w:pPr>
        <w:pStyle w:val="ListParagraph"/>
        <w:numPr>
          <w:ilvl w:val="0"/>
          <w:numId w:val="51"/>
        </w:numPr>
        <w:tabs>
          <w:tab w:pos="649" w:val="left" w:leader="none"/>
          <w:tab w:pos="650" w:val="left" w:leader="none"/>
        </w:tabs>
        <w:spacing w:line="232" w:lineRule="auto" w:before="1" w:after="0"/>
        <w:ind w:left="170" w:right="534" w:firstLine="0"/>
        <w:jc w:val="left"/>
        <w:rPr>
          <w:sz w:val="18"/>
        </w:rPr>
      </w:pPr>
      <w:r>
        <w:rPr>
          <w:sz w:val="18"/>
        </w:rPr>
        <w:t>Since the previous MPC meeting, short interest rate expectations around one year out, as measured by the gilt repo curve, had risen by around 5 basis points. Medium-term yields (5–12 years) had risen by around 10–15 basis</w:t>
      </w:r>
      <w:r>
        <w:rPr>
          <w:spacing w:val="-19"/>
          <w:sz w:val="18"/>
        </w:rPr>
        <w:t> </w:t>
      </w:r>
      <w:r>
        <w:rPr>
          <w:sz w:val="18"/>
        </w:rPr>
        <w:t>points.</w:t>
      </w:r>
    </w:p>
    <w:p>
      <w:pPr>
        <w:spacing w:after="0" w:line="232" w:lineRule="auto"/>
        <w:jc w:val="left"/>
        <w:rPr>
          <w:sz w:val="18"/>
        </w:rPr>
        <w:sectPr>
          <w:type w:val="continuous"/>
          <w:pgSz w:w="11900" w:h="16840"/>
          <w:pgMar w:top="1220" w:bottom="280" w:left="640" w:right="620"/>
          <w:cols w:num="2" w:equalWidth="0">
            <w:col w:w="5093" w:space="292"/>
            <w:col w:w="5255"/>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7"/>
        <w:rPr>
          <w:sz w:val="19"/>
        </w:rPr>
      </w:pPr>
    </w:p>
    <w:p>
      <w:pPr>
        <w:pStyle w:val="ListParagraph"/>
        <w:numPr>
          <w:ilvl w:val="0"/>
          <w:numId w:val="51"/>
        </w:numPr>
        <w:tabs>
          <w:tab w:pos="639" w:val="left" w:leader="none"/>
          <w:tab w:pos="640" w:val="left" w:leader="none"/>
        </w:tabs>
        <w:spacing w:line="232" w:lineRule="auto" w:before="1" w:after="0"/>
        <w:ind w:left="160" w:right="62" w:firstLine="0"/>
        <w:jc w:val="left"/>
        <w:rPr>
          <w:sz w:val="18"/>
        </w:rPr>
      </w:pPr>
      <w:r>
        <w:rPr>
          <w:sz w:val="18"/>
        </w:rPr>
        <w:t>The February increase in interest rates of 25 basis points had been fully passed through to the average standard variable mortgage rate, but there had been a continued trend for lenders to provide greater discounts for new mortgages. Fixed-rate mortgages had also</w:t>
      </w:r>
      <w:r>
        <w:rPr>
          <w:spacing w:val="-3"/>
          <w:sz w:val="18"/>
        </w:rPr>
        <w:t> </w:t>
      </w:r>
      <w:r>
        <w:rPr>
          <w:sz w:val="18"/>
        </w:rPr>
        <w:t>fallen.</w:t>
      </w:r>
    </w:p>
    <w:p>
      <w:pPr>
        <w:pStyle w:val="BodyText"/>
        <w:spacing w:before="6"/>
        <w:rPr>
          <w:sz w:val="20"/>
        </w:rPr>
      </w:pPr>
    </w:p>
    <w:p>
      <w:pPr>
        <w:pStyle w:val="ListParagraph"/>
        <w:numPr>
          <w:ilvl w:val="0"/>
          <w:numId w:val="51"/>
        </w:numPr>
        <w:tabs>
          <w:tab w:pos="639" w:val="left" w:leader="none"/>
          <w:tab w:pos="640" w:val="left" w:leader="none"/>
        </w:tabs>
        <w:spacing w:line="232" w:lineRule="auto" w:before="0" w:after="0"/>
        <w:ind w:left="160" w:right="492" w:firstLine="0"/>
        <w:jc w:val="left"/>
        <w:rPr>
          <w:sz w:val="18"/>
        </w:rPr>
      </w:pPr>
      <w:r>
        <w:rPr>
          <w:sz w:val="18"/>
        </w:rPr>
        <w:t>The average of inflation expectations reported in the Treasury</w:t>
      </w:r>
      <w:r>
        <w:rPr>
          <w:spacing w:val="-7"/>
          <w:sz w:val="18"/>
        </w:rPr>
        <w:t> </w:t>
      </w:r>
      <w:r>
        <w:rPr>
          <w:sz w:val="18"/>
        </w:rPr>
        <w:t>survey</w:t>
      </w:r>
      <w:r>
        <w:rPr>
          <w:spacing w:val="-7"/>
          <w:sz w:val="18"/>
        </w:rPr>
        <w:t> </w:t>
      </w:r>
      <w:r>
        <w:rPr>
          <w:sz w:val="18"/>
        </w:rPr>
        <w:t>of</w:t>
      </w:r>
      <w:r>
        <w:rPr>
          <w:spacing w:val="-7"/>
          <w:sz w:val="18"/>
        </w:rPr>
        <w:t> </w:t>
      </w:r>
      <w:r>
        <w:rPr>
          <w:sz w:val="18"/>
        </w:rPr>
        <w:t>independent</w:t>
      </w:r>
      <w:r>
        <w:rPr>
          <w:spacing w:val="-7"/>
          <w:sz w:val="18"/>
        </w:rPr>
        <w:t> </w:t>
      </w:r>
      <w:r>
        <w:rPr>
          <w:sz w:val="18"/>
        </w:rPr>
        <w:t>forecasters</w:t>
      </w:r>
      <w:r>
        <w:rPr>
          <w:spacing w:val="-6"/>
          <w:sz w:val="18"/>
        </w:rPr>
        <w:t> </w:t>
      </w:r>
      <w:r>
        <w:rPr>
          <w:sz w:val="18"/>
        </w:rPr>
        <w:t>had</w:t>
      </w:r>
      <w:r>
        <w:rPr>
          <w:spacing w:val="-7"/>
          <w:sz w:val="18"/>
        </w:rPr>
        <w:t> </w:t>
      </w:r>
      <w:r>
        <w:rPr>
          <w:sz w:val="18"/>
        </w:rPr>
        <w:t>fallen</w:t>
      </w:r>
      <w:r>
        <w:rPr>
          <w:spacing w:val="-7"/>
          <w:sz w:val="18"/>
        </w:rPr>
        <w:t> </w:t>
      </w:r>
      <w:r>
        <w:rPr>
          <w:sz w:val="18"/>
        </w:rPr>
        <w:t>slightly to 2.3% in 2001 Q4. Survey-based measures of inflation expectations for the next two years had also fallen slightly. Trade union expectations had fallen to 2.8% from 2.9%</w:t>
      </w:r>
      <w:r>
        <w:rPr>
          <w:spacing w:val="-31"/>
          <w:sz w:val="18"/>
        </w:rPr>
        <w:t> </w:t>
      </w:r>
      <w:r>
        <w:rPr>
          <w:sz w:val="18"/>
        </w:rPr>
        <w:t>in</w:t>
      </w:r>
    </w:p>
    <w:p>
      <w:pPr>
        <w:pStyle w:val="BodyText"/>
        <w:spacing w:line="232" w:lineRule="auto"/>
        <w:ind w:left="160" w:right="73"/>
      </w:pPr>
      <w:r>
        <w:rPr/>
        <w:t>December 1999. The inflation expectations of the general public had fallen slightly to 4.4%, but these were still well above the inflation target.</w:t>
      </w:r>
    </w:p>
    <w:p>
      <w:pPr>
        <w:pStyle w:val="BodyText"/>
        <w:spacing w:before="3"/>
        <w:rPr>
          <w:sz w:val="20"/>
        </w:rPr>
      </w:pPr>
    </w:p>
    <w:p>
      <w:pPr>
        <w:pStyle w:val="ListParagraph"/>
        <w:numPr>
          <w:ilvl w:val="0"/>
          <w:numId w:val="51"/>
        </w:numPr>
        <w:tabs>
          <w:tab w:pos="639" w:val="left" w:leader="none"/>
          <w:tab w:pos="640" w:val="left" w:leader="none"/>
        </w:tabs>
        <w:spacing w:line="232" w:lineRule="auto" w:before="1" w:after="0"/>
        <w:ind w:left="160" w:right="61" w:firstLine="0"/>
        <w:jc w:val="left"/>
        <w:rPr>
          <w:sz w:val="18"/>
        </w:rPr>
      </w:pPr>
      <w:r>
        <w:rPr>
          <w:sz w:val="18"/>
        </w:rPr>
        <w:t>Equity prices in the United Kingdom had been relatively volatile since the previous meeting. The FTSE All-Share index had fallen by 2% since the previous MPC meeting, with the IT sector down 29% from its peak in early March. Since October 1999, however, the FTSE IT sector had nearly doubled in value, while the FTSE All-Share had risen by around</w:t>
      </w:r>
      <w:r>
        <w:rPr>
          <w:spacing w:val="-10"/>
          <w:sz w:val="18"/>
        </w:rPr>
        <w:t> </w:t>
      </w:r>
      <w:r>
        <w:rPr>
          <w:sz w:val="18"/>
        </w:rPr>
        <w:t>8%.</w:t>
      </w:r>
    </w:p>
    <w:p>
      <w:pPr>
        <w:pStyle w:val="BodyText"/>
        <w:spacing w:before="5"/>
        <w:rPr>
          <w:sz w:val="20"/>
        </w:rPr>
      </w:pPr>
    </w:p>
    <w:p>
      <w:pPr>
        <w:pStyle w:val="ListParagraph"/>
        <w:numPr>
          <w:ilvl w:val="0"/>
          <w:numId w:val="51"/>
        </w:numPr>
        <w:tabs>
          <w:tab w:pos="639" w:val="left" w:leader="none"/>
          <w:tab w:pos="640" w:val="left" w:leader="none"/>
        </w:tabs>
        <w:spacing w:line="232" w:lineRule="auto" w:before="0" w:after="0"/>
        <w:ind w:left="160" w:right="51" w:firstLine="0"/>
        <w:jc w:val="left"/>
        <w:rPr>
          <w:sz w:val="18"/>
        </w:rPr>
      </w:pPr>
      <w:r>
        <w:rPr>
          <w:sz w:val="18"/>
        </w:rPr>
        <w:t>Since the previous MPC meeting, sterling had appreciated by 0.6% against the US dollar (to $1.5915), but had depreciated by 0.3% against the euro (to 60.67p) and by 1.1% against the yen. The sterling effective exchange rate index (ERI) had depreciated by 0.3% since the previous MPC meeting. This month, movements in sterling against the US dollar had been consistent with ‘monetary news’, though movements in sterling against the euro had not. The sterling ERI was 0.3% below the February </w:t>
      </w:r>
      <w:r>
        <w:rPr>
          <w:i/>
          <w:sz w:val="18"/>
        </w:rPr>
        <w:t>Inflation Report’s </w:t>
      </w:r>
      <w:r>
        <w:rPr>
          <w:sz w:val="18"/>
        </w:rPr>
        <w:t>modal projection.</w:t>
      </w:r>
    </w:p>
    <w:p>
      <w:pPr>
        <w:pStyle w:val="BodyText"/>
        <w:spacing w:before="6"/>
        <w:rPr>
          <w:sz w:val="23"/>
        </w:rPr>
      </w:pPr>
    </w:p>
    <w:p>
      <w:pPr>
        <w:pStyle w:val="Heading8"/>
        <w:numPr>
          <w:ilvl w:val="0"/>
          <w:numId w:val="52"/>
        </w:numPr>
        <w:tabs>
          <w:tab w:pos="640" w:val="left" w:leader="none"/>
          <w:tab w:pos="641" w:val="left" w:leader="none"/>
        </w:tabs>
        <w:spacing w:line="240" w:lineRule="auto" w:before="0" w:after="0"/>
        <w:ind w:left="640" w:right="0" w:hanging="481"/>
        <w:jc w:val="left"/>
      </w:pPr>
      <w:r>
        <w:rPr>
          <w:color w:val="009391"/>
        </w:rPr>
        <w:t>The</w:t>
      </w:r>
      <w:r>
        <w:rPr>
          <w:color w:val="009391"/>
          <w:spacing w:val="-2"/>
        </w:rPr>
        <w:t> </w:t>
      </w:r>
      <w:r>
        <w:rPr>
          <w:color w:val="009391"/>
        </w:rPr>
        <w:t>Budget</w:t>
      </w:r>
    </w:p>
    <w:p>
      <w:pPr>
        <w:pStyle w:val="ListParagraph"/>
        <w:numPr>
          <w:ilvl w:val="0"/>
          <w:numId w:val="51"/>
        </w:numPr>
        <w:tabs>
          <w:tab w:pos="639" w:val="left" w:leader="none"/>
          <w:tab w:pos="640" w:val="left" w:leader="none"/>
        </w:tabs>
        <w:spacing w:line="232" w:lineRule="auto" w:before="110" w:after="0"/>
        <w:ind w:left="160" w:right="66" w:firstLine="0"/>
        <w:jc w:val="left"/>
        <w:rPr>
          <w:sz w:val="18"/>
        </w:rPr>
      </w:pPr>
      <w:r>
        <w:rPr>
          <w:sz w:val="18"/>
        </w:rPr>
        <w:t>Staff presented a summary of the March 2000 Budget, which had focused on changes in the Treasury’s projections compared with the November 1999 </w:t>
      </w:r>
      <w:r>
        <w:rPr>
          <w:i/>
          <w:sz w:val="18"/>
        </w:rPr>
        <w:t>Pre-Budget Report</w:t>
      </w:r>
      <w:r>
        <w:rPr>
          <w:sz w:val="18"/>
        </w:rPr>
        <w:t>. The policy changes announced for 2000/01 and 2001/02 had increased discretionary spending in particular, but had been more than offset</w:t>
      </w:r>
      <w:r>
        <w:rPr>
          <w:spacing w:val="-21"/>
          <w:sz w:val="18"/>
        </w:rPr>
        <w:t> </w:t>
      </w:r>
      <w:r>
        <w:rPr>
          <w:sz w:val="18"/>
        </w:rPr>
        <w:t>by</w:t>
      </w:r>
    </w:p>
    <w:p>
      <w:pPr>
        <w:pStyle w:val="BodyText"/>
        <w:spacing w:line="232" w:lineRule="auto"/>
        <w:ind w:left="160" w:right="38"/>
      </w:pPr>
      <w:r>
        <w:rPr/>
        <w:t>non-discretionary changes to spending and revenues. Much of the weaker-than-expected spending and stronger-than-expected revenue outturns in 1999/2000 had been considered to be structural by the Treasury, and were therefore assumed to continue to reduce borrowing over the forecast period.</w:t>
      </w:r>
    </w:p>
    <w:p>
      <w:pPr>
        <w:pStyle w:val="BodyText"/>
        <w:spacing w:before="2"/>
        <w:rPr>
          <w:sz w:val="20"/>
        </w:rPr>
      </w:pPr>
    </w:p>
    <w:p>
      <w:pPr>
        <w:pStyle w:val="ListParagraph"/>
        <w:numPr>
          <w:ilvl w:val="0"/>
          <w:numId w:val="51"/>
        </w:numPr>
        <w:tabs>
          <w:tab w:pos="639" w:val="left" w:leader="none"/>
          <w:tab w:pos="640" w:val="left" w:leader="none"/>
        </w:tabs>
        <w:spacing w:line="232" w:lineRule="auto" w:before="0" w:after="0"/>
        <w:ind w:left="159" w:right="171" w:firstLine="0"/>
        <w:jc w:val="left"/>
        <w:rPr>
          <w:sz w:val="18"/>
        </w:rPr>
      </w:pPr>
      <w:r>
        <w:rPr>
          <w:sz w:val="18"/>
        </w:rPr>
        <w:t>The net effect of the changes to the projections had been to reduce projected borrowing in 2000/01 and 2001/02. A surplus of around £5 billion was now projected for 2000/01, £4 billion more than in the </w:t>
      </w:r>
      <w:r>
        <w:rPr>
          <w:i/>
          <w:sz w:val="18"/>
        </w:rPr>
        <w:t>Pre-Budget Report</w:t>
      </w:r>
      <w:r>
        <w:rPr>
          <w:sz w:val="18"/>
        </w:rPr>
        <w:t>, while a surplus £2 billion higher than in the </w:t>
      </w:r>
      <w:r>
        <w:rPr>
          <w:i/>
          <w:sz w:val="18"/>
        </w:rPr>
        <w:t>Pre-Budget Report </w:t>
      </w:r>
      <w:r>
        <w:rPr>
          <w:sz w:val="18"/>
        </w:rPr>
        <w:t>was projected for 2001/02. So in the near term, the Budget represented a modest tightening in the fiscal stance relative to the </w:t>
      </w:r>
      <w:r>
        <w:rPr>
          <w:i/>
          <w:sz w:val="18"/>
        </w:rPr>
        <w:t>Pre-Budget Report</w:t>
      </w:r>
      <w:r>
        <w:rPr>
          <w:sz w:val="18"/>
        </w:rPr>
        <w:t>. From 2002/03 onwards, higher borrowing had been forecast. The Budget projections had been dependent on the Treasury’s 2</w:t>
      </w:r>
      <w:r>
        <w:rPr>
          <w:position w:val="6"/>
          <w:sz w:val="9"/>
        </w:rPr>
        <w:t>1</w:t>
      </w:r>
      <w:r>
        <w:rPr>
          <w:sz w:val="18"/>
        </w:rPr>
        <w:t>/</w:t>
      </w:r>
      <w:r>
        <w:rPr>
          <w:sz w:val="9"/>
        </w:rPr>
        <w:t>4</w:t>
      </w:r>
      <w:r>
        <w:rPr>
          <w:sz w:val="18"/>
        </w:rPr>
        <w:t>% trend growth</w:t>
      </w:r>
      <w:r>
        <w:rPr>
          <w:spacing w:val="-2"/>
          <w:sz w:val="18"/>
        </w:rPr>
        <w:t> </w:t>
      </w:r>
      <w:r>
        <w:rPr>
          <w:sz w:val="18"/>
        </w:rPr>
        <w:t>assumption.</w:t>
      </w:r>
    </w:p>
    <w:p>
      <w:pPr>
        <w:pStyle w:val="BodyText"/>
        <w:spacing w:before="5"/>
      </w:pPr>
    </w:p>
    <w:p>
      <w:pPr>
        <w:pStyle w:val="ListParagraph"/>
        <w:numPr>
          <w:ilvl w:val="0"/>
          <w:numId w:val="51"/>
        </w:numPr>
        <w:tabs>
          <w:tab w:pos="639" w:val="left" w:leader="none"/>
          <w:tab w:pos="640" w:val="left" w:leader="none"/>
        </w:tabs>
        <w:spacing w:line="232" w:lineRule="auto" w:before="0" w:after="0"/>
        <w:ind w:left="159" w:right="61" w:firstLine="0"/>
        <w:jc w:val="left"/>
        <w:rPr>
          <w:sz w:val="18"/>
        </w:rPr>
      </w:pPr>
      <w:r>
        <w:rPr>
          <w:sz w:val="18"/>
        </w:rPr>
        <w:t>The figures for cyclically adjusted net borrowing had been similar to those for the unadjusted deficit, because an output gap of close to zero had been projected. Very little of the change since the </w:t>
      </w:r>
      <w:r>
        <w:rPr>
          <w:i/>
          <w:sz w:val="18"/>
        </w:rPr>
        <w:t>Pre-Budget Report </w:t>
      </w:r>
      <w:r>
        <w:rPr>
          <w:sz w:val="18"/>
        </w:rPr>
        <w:t>had been ascribed by the Treasury to the cycle. Cyclically adjusted net borrowing in the Budget had been estimated at</w:t>
      </w:r>
      <w:r>
        <w:rPr>
          <w:spacing w:val="-4"/>
          <w:sz w:val="18"/>
        </w:rPr>
        <w:t> </w:t>
      </w:r>
      <w:r>
        <w:rPr>
          <w:sz w:val="18"/>
        </w:rPr>
        <w:t>-1.2%</w:t>
      </w:r>
      <w:r>
        <w:rPr>
          <w:spacing w:val="-4"/>
          <w:sz w:val="18"/>
        </w:rPr>
        <w:t> </w:t>
      </w:r>
      <w:r>
        <w:rPr>
          <w:sz w:val="18"/>
        </w:rPr>
        <w:t>of</w:t>
      </w:r>
      <w:r>
        <w:rPr>
          <w:spacing w:val="-4"/>
          <w:sz w:val="18"/>
        </w:rPr>
        <w:t> </w:t>
      </w:r>
      <w:r>
        <w:rPr>
          <w:sz w:val="18"/>
        </w:rPr>
        <w:t>GDP</w:t>
      </w:r>
      <w:r>
        <w:rPr>
          <w:spacing w:val="-4"/>
          <w:sz w:val="18"/>
        </w:rPr>
        <w:t> </w:t>
      </w:r>
      <w:r>
        <w:rPr>
          <w:sz w:val="18"/>
        </w:rPr>
        <w:t>in</w:t>
      </w:r>
      <w:r>
        <w:rPr>
          <w:spacing w:val="-4"/>
          <w:sz w:val="18"/>
        </w:rPr>
        <w:t> </w:t>
      </w:r>
      <w:r>
        <w:rPr>
          <w:sz w:val="18"/>
        </w:rPr>
        <w:t>1999/2000,</w:t>
      </w:r>
      <w:r>
        <w:rPr>
          <w:spacing w:val="-4"/>
          <w:sz w:val="18"/>
        </w:rPr>
        <w:t> </w:t>
      </w:r>
      <w:r>
        <w:rPr>
          <w:sz w:val="18"/>
        </w:rPr>
        <w:t>and</w:t>
      </w:r>
      <w:r>
        <w:rPr>
          <w:spacing w:val="-4"/>
          <w:sz w:val="18"/>
        </w:rPr>
        <w:t> </w:t>
      </w:r>
      <w:r>
        <w:rPr>
          <w:sz w:val="18"/>
        </w:rPr>
        <w:t>projected</w:t>
      </w:r>
      <w:r>
        <w:rPr>
          <w:spacing w:val="-4"/>
          <w:sz w:val="18"/>
        </w:rPr>
        <w:t> </w:t>
      </w:r>
      <w:r>
        <w:rPr>
          <w:sz w:val="18"/>
        </w:rPr>
        <w:t>at</w:t>
      </w:r>
      <w:r>
        <w:rPr>
          <w:spacing w:val="-4"/>
          <w:sz w:val="18"/>
        </w:rPr>
        <w:t> </w:t>
      </w:r>
      <w:r>
        <w:rPr>
          <w:sz w:val="18"/>
        </w:rPr>
        <w:t>-0.5%</w:t>
      </w:r>
      <w:r>
        <w:rPr>
          <w:spacing w:val="-4"/>
          <w:sz w:val="18"/>
        </w:rPr>
        <w:t> </w:t>
      </w:r>
      <w:r>
        <w:rPr>
          <w:sz w:val="18"/>
        </w:rPr>
        <w:t>in</w:t>
      </w:r>
      <w:r>
        <w:rPr>
          <w:spacing w:val="-4"/>
          <w:sz w:val="18"/>
        </w:rPr>
        <w:t> </w:t>
      </w:r>
      <w:r>
        <w:rPr>
          <w:sz w:val="18"/>
        </w:rPr>
        <w:t>2000/01,</w:t>
      </w:r>
    </w:p>
    <w:p>
      <w:pPr>
        <w:pStyle w:val="BodyText"/>
        <w:spacing w:line="197" w:lineRule="exact"/>
        <w:ind w:left="159"/>
      </w:pPr>
      <w:r>
        <w:rPr/>
        <w:t>-0.3% in 2001/02, and +0.5% in 2002/03.</w:t>
      </w:r>
    </w:p>
    <w:p>
      <w:pPr>
        <w:pStyle w:val="BodyText"/>
        <w:spacing w:before="3"/>
        <w:rPr>
          <w:sz w:val="17"/>
        </w:rPr>
      </w:pPr>
    </w:p>
    <w:p>
      <w:pPr>
        <w:pStyle w:val="ListParagraph"/>
        <w:numPr>
          <w:ilvl w:val="0"/>
          <w:numId w:val="51"/>
        </w:numPr>
        <w:tabs>
          <w:tab w:pos="640" w:val="left" w:leader="none"/>
        </w:tabs>
        <w:spacing w:line="232" w:lineRule="auto" w:before="0" w:after="0"/>
        <w:ind w:left="159" w:right="261" w:firstLine="0"/>
        <w:jc w:val="both"/>
        <w:rPr>
          <w:sz w:val="18"/>
        </w:rPr>
      </w:pPr>
      <w:r>
        <w:rPr>
          <w:sz w:val="18"/>
        </w:rPr>
        <w:t>The Treasury had expected that the Golden Rule would be met throughout the next five years with a small margin of safety, with</w:t>
      </w:r>
      <w:r>
        <w:rPr>
          <w:spacing w:val="-6"/>
          <w:sz w:val="18"/>
        </w:rPr>
        <w:t> </w:t>
      </w:r>
      <w:r>
        <w:rPr>
          <w:sz w:val="18"/>
        </w:rPr>
        <w:t>the</w:t>
      </w:r>
      <w:r>
        <w:rPr>
          <w:spacing w:val="-5"/>
          <w:sz w:val="18"/>
        </w:rPr>
        <w:t> </w:t>
      </w:r>
      <w:r>
        <w:rPr>
          <w:sz w:val="18"/>
        </w:rPr>
        <w:t>cyclically</w:t>
      </w:r>
      <w:r>
        <w:rPr>
          <w:spacing w:val="-5"/>
          <w:sz w:val="18"/>
        </w:rPr>
        <w:t> </w:t>
      </w:r>
      <w:r>
        <w:rPr>
          <w:sz w:val="18"/>
        </w:rPr>
        <w:t>adjusted</w:t>
      </w:r>
      <w:r>
        <w:rPr>
          <w:spacing w:val="-5"/>
          <w:sz w:val="18"/>
        </w:rPr>
        <w:t> </w:t>
      </w:r>
      <w:r>
        <w:rPr>
          <w:sz w:val="18"/>
        </w:rPr>
        <w:t>surplus</w:t>
      </w:r>
      <w:r>
        <w:rPr>
          <w:spacing w:val="-5"/>
          <w:sz w:val="18"/>
        </w:rPr>
        <w:t> </w:t>
      </w:r>
      <w:r>
        <w:rPr>
          <w:sz w:val="18"/>
        </w:rPr>
        <w:t>on</w:t>
      </w:r>
      <w:r>
        <w:rPr>
          <w:spacing w:val="-5"/>
          <w:sz w:val="18"/>
        </w:rPr>
        <w:t> </w:t>
      </w:r>
      <w:r>
        <w:rPr>
          <w:sz w:val="18"/>
        </w:rPr>
        <w:t>current</w:t>
      </w:r>
      <w:r>
        <w:rPr>
          <w:spacing w:val="-5"/>
          <w:sz w:val="18"/>
        </w:rPr>
        <w:t> </w:t>
      </w:r>
      <w:r>
        <w:rPr>
          <w:sz w:val="18"/>
        </w:rPr>
        <w:t>budget</w:t>
      </w:r>
      <w:r>
        <w:rPr>
          <w:spacing w:val="-5"/>
          <w:sz w:val="18"/>
        </w:rPr>
        <w:t> </w:t>
      </w:r>
      <w:r>
        <w:rPr>
          <w:sz w:val="18"/>
        </w:rPr>
        <w:t>declining</w:t>
      </w:r>
    </w:p>
    <w:p>
      <w:pPr>
        <w:pStyle w:val="BodyText"/>
        <w:spacing w:line="232" w:lineRule="auto"/>
        <w:ind w:left="159" w:right="73"/>
      </w:pPr>
      <w:r>
        <w:rPr/>
        <w:t>to 0.7% in 2004/05 from 1.8% in 1999/2000. The ratio of net debt to GDP had already been below 40%, the Treasury’s benchmark, and had been projected to fall to around 33% in 2002/03 and 2003/04.</w:t>
      </w:r>
    </w:p>
    <w:p>
      <w:pPr>
        <w:pStyle w:val="Heading8"/>
        <w:numPr>
          <w:ilvl w:val="0"/>
          <w:numId w:val="52"/>
        </w:numPr>
        <w:tabs>
          <w:tab w:pos="639" w:val="left" w:leader="none"/>
          <w:tab w:pos="641" w:val="left" w:leader="none"/>
        </w:tabs>
        <w:spacing w:line="240" w:lineRule="auto" w:before="212" w:after="0"/>
        <w:ind w:left="640" w:right="0" w:hanging="482"/>
        <w:jc w:val="left"/>
      </w:pPr>
      <w:r>
        <w:rPr>
          <w:color w:val="009391"/>
          <w:spacing w:val="-1"/>
        </w:rPr>
        <w:br w:type="column"/>
      </w:r>
      <w:r>
        <w:rPr>
          <w:color w:val="009391"/>
        </w:rPr>
        <w:t>Demand and</w:t>
      </w:r>
      <w:r>
        <w:rPr>
          <w:color w:val="009391"/>
          <w:spacing w:val="-3"/>
        </w:rPr>
        <w:t> </w:t>
      </w:r>
      <w:r>
        <w:rPr>
          <w:color w:val="009391"/>
        </w:rPr>
        <w:t>output</w:t>
      </w:r>
    </w:p>
    <w:p>
      <w:pPr>
        <w:pStyle w:val="ListParagraph"/>
        <w:numPr>
          <w:ilvl w:val="0"/>
          <w:numId w:val="51"/>
        </w:numPr>
        <w:tabs>
          <w:tab w:pos="639" w:val="left" w:leader="none"/>
          <w:tab w:pos="640" w:val="left" w:leader="none"/>
        </w:tabs>
        <w:spacing w:line="232" w:lineRule="auto" w:before="109" w:after="0"/>
        <w:ind w:left="159" w:right="205" w:firstLine="0"/>
        <w:jc w:val="left"/>
        <w:rPr>
          <w:sz w:val="18"/>
        </w:rPr>
      </w:pPr>
      <w:r>
        <w:rPr>
          <w:sz w:val="18"/>
        </w:rPr>
        <w:t>Quarterly</w:t>
      </w:r>
      <w:r>
        <w:rPr>
          <w:spacing w:val="-5"/>
          <w:sz w:val="18"/>
        </w:rPr>
        <w:t> </w:t>
      </w:r>
      <w:r>
        <w:rPr>
          <w:sz w:val="18"/>
        </w:rPr>
        <w:t>GDP</w:t>
      </w:r>
      <w:r>
        <w:rPr>
          <w:spacing w:val="-4"/>
          <w:sz w:val="18"/>
        </w:rPr>
        <w:t> </w:t>
      </w:r>
      <w:r>
        <w:rPr>
          <w:sz w:val="18"/>
        </w:rPr>
        <w:t>growth</w:t>
      </w:r>
      <w:r>
        <w:rPr>
          <w:spacing w:val="-4"/>
          <w:sz w:val="18"/>
        </w:rPr>
        <w:t> </w:t>
      </w:r>
      <w:r>
        <w:rPr>
          <w:sz w:val="18"/>
        </w:rPr>
        <w:t>had</w:t>
      </w:r>
      <w:r>
        <w:rPr>
          <w:spacing w:val="-5"/>
          <w:sz w:val="18"/>
        </w:rPr>
        <w:t> </w:t>
      </w:r>
      <w:r>
        <w:rPr>
          <w:sz w:val="18"/>
        </w:rPr>
        <w:t>been</w:t>
      </w:r>
      <w:r>
        <w:rPr>
          <w:spacing w:val="-4"/>
          <w:sz w:val="18"/>
        </w:rPr>
        <w:t> </w:t>
      </w:r>
      <w:r>
        <w:rPr>
          <w:sz w:val="18"/>
        </w:rPr>
        <w:t>unrevised</w:t>
      </w:r>
      <w:r>
        <w:rPr>
          <w:spacing w:val="-4"/>
          <w:sz w:val="18"/>
        </w:rPr>
        <w:t> </w:t>
      </w:r>
      <w:r>
        <w:rPr>
          <w:sz w:val="18"/>
        </w:rPr>
        <w:t>at</w:t>
      </w:r>
      <w:r>
        <w:rPr>
          <w:spacing w:val="-5"/>
          <w:sz w:val="18"/>
        </w:rPr>
        <w:t> </w:t>
      </w:r>
      <w:r>
        <w:rPr>
          <w:sz w:val="18"/>
        </w:rPr>
        <w:t>0.8%</w:t>
      </w:r>
      <w:r>
        <w:rPr>
          <w:spacing w:val="-4"/>
          <w:sz w:val="18"/>
        </w:rPr>
        <w:t> </w:t>
      </w:r>
      <w:r>
        <w:rPr>
          <w:sz w:val="18"/>
        </w:rPr>
        <w:t>in</w:t>
      </w:r>
      <w:r>
        <w:rPr>
          <w:spacing w:val="-4"/>
          <w:sz w:val="18"/>
        </w:rPr>
        <w:t> </w:t>
      </w:r>
      <w:r>
        <w:rPr>
          <w:sz w:val="18"/>
        </w:rPr>
        <w:t>Q4</w:t>
      </w:r>
      <w:r>
        <w:rPr>
          <w:spacing w:val="-5"/>
          <w:sz w:val="18"/>
        </w:rPr>
        <w:t> </w:t>
      </w:r>
      <w:r>
        <w:rPr>
          <w:sz w:val="18"/>
        </w:rPr>
        <w:t>but the level of GDP had been revised up by just under 0.1%. Final domestic demand growth had been revised up to 1.3% in Q4 and the annual growth of final domestic demand had been revised up to 4.4%. Stockbuilding had been revised down; it</w:t>
      </w:r>
      <w:r>
        <w:rPr>
          <w:spacing w:val="-24"/>
          <w:sz w:val="18"/>
        </w:rPr>
        <w:t> </w:t>
      </w:r>
      <w:r>
        <w:rPr>
          <w:sz w:val="18"/>
        </w:rPr>
        <w:t>contributed</w:t>
      </w:r>
    </w:p>
    <w:p>
      <w:pPr>
        <w:pStyle w:val="BodyText"/>
        <w:spacing w:line="195" w:lineRule="exact"/>
        <w:ind w:left="159"/>
      </w:pPr>
      <w:r>
        <w:rPr/>
        <w:t>0.6 percentage points to GDP growth in Q4, down from the</w:t>
      </w:r>
    </w:p>
    <w:p>
      <w:pPr>
        <w:pStyle w:val="BodyText"/>
        <w:spacing w:line="232" w:lineRule="auto" w:before="2"/>
        <w:ind w:left="159" w:right="211"/>
      </w:pPr>
      <w:r>
        <w:rPr/>
        <w:t>1 percentage point reported in the previous GDP release. The net trade contribution had been unchanged at -1.2 percentage points. Revisions had brought the expenditure, output, and income measures of GDP closer together.</w:t>
      </w:r>
    </w:p>
    <w:p>
      <w:pPr>
        <w:pStyle w:val="BodyText"/>
        <w:spacing w:before="9"/>
      </w:pPr>
    </w:p>
    <w:p>
      <w:pPr>
        <w:pStyle w:val="ListParagraph"/>
        <w:numPr>
          <w:ilvl w:val="0"/>
          <w:numId w:val="53"/>
        </w:numPr>
        <w:tabs>
          <w:tab w:pos="639" w:val="left" w:leader="none"/>
          <w:tab w:pos="640" w:val="left" w:leader="none"/>
        </w:tabs>
        <w:spacing w:line="232" w:lineRule="auto" w:before="1" w:after="0"/>
        <w:ind w:left="159" w:right="184" w:firstLine="0"/>
        <w:jc w:val="left"/>
        <w:rPr>
          <w:sz w:val="18"/>
        </w:rPr>
      </w:pPr>
      <w:r>
        <w:rPr>
          <w:sz w:val="18"/>
        </w:rPr>
        <w:t>Household consumption growth in Q4 had been revised up to 1.1%, but there had been some downward revisions to earlier quarters so that the level of consumption in 1999 Q4 was broadly unchanged. Within the total, services had grown by 2.2% on the quarter, and spending on durable goods had risen by 0.3%, while spending on non-durable goods had risen by 0.2%. Cars had contributed little to durables growth in 1999 but spending on other durables had grown by 12.9% in the year to Q4. Real government consumption had been revised up by more than £1 billion</w:t>
      </w:r>
      <w:r>
        <w:rPr>
          <w:spacing w:val="-26"/>
          <w:sz w:val="18"/>
        </w:rPr>
        <w:t> </w:t>
      </w:r>
      <w:r>
        <w:rPr>
          <w:sz w:val="18"/>
        </w:rPr>
        <w:t>by</w:t>
      </w:r>
    </w:p>
    <w:p>
      <w:pPr>
        <w:pStyle w:val="BodyText"/>
        <w:spacing w:line="232" w:lineRule="auto"/>
        <w:ind w:left="159" w:right="190"/>
      </w:pPr>
      <w:r>
        <w:rPr/>
        <w:t>1999 Q4 with similar-sized revisions to nominal government spending. The estimates of whole-economy investment had been little changed for 1999 Q4 but general government investment had been revised up and business investment had been revised down. Quarterly manufacturing investment growth had been revised up to 4.3% in Q4, the first positive growth rate since 1998 Q4. Other plant and machinery investment had fallen by 0.4%, which could be consistent</w:t>
      </w:r>
      <w:r>
        <w:rPr>
          <w:spacing w:val="-4"/>
        </w:rPr>
        <w:t> </w:t>
      </w:r>
      <w:r>
        <w:rPr/>
        <w:t>with</w:t>
      </w:r>
      <w:r>
        <w:rPr>
          <w:spacing w:val="-4"/>
        </w:rPr>
        <w:t> </w:t>
      </w:r>
      <w:r>
        <w:rPr/>
        <w:t>a</w:t>
      </w:r>
      <w:r>
        <w:rPr>
          <w:spacing w:val="-4"/>
        </w:rPr>
        <w:t> </w:t>
      </w:r>
      <w:r>
        <w:rPr/>
        <w:t>pause</w:t>
      </w:r>
      <w:r>
        <w:rPr>
          <w:spacing w:val="-3"/>
        </w:rPr>
        <w:t> </w:t>
      </w:r>
      <w:r>
        <w:rPr/>
        <w:t>in</w:t>
      </w:r>
      <w:r>
        <w:rPr>
          <w:spacing w:val="-4"/>
        </w:rPr>
        <w:t> </w:t>
      </w:r>
      <w:r>
        <w:rPr/>
        <w:t>IT</w:t>
      </w:r>
      <w:r>
        <w:rPr>
          <w:spacing w:val="-4"/>
        </w:rPr>
        <w:t> </w:t>
      </w:r>
      <w:r>
        <w:rPr/>
        <w:t>investment</w:t>
      </w:r>
      <w:r>
        <w:rPr>
          <w:spacing w:val="-4"/>
        </w:rPr>
        <w:t> </w:t>
      </w:r>
      <w:r>
        <w:rPr/>
        <w:t>around</w:t>
      </w:r>
      <w:r>
        <w:rPr>
          <w:spacing w:val="-3"/>
        </w:rPr>
        <w:t> </w:t>
      </w:r>
      <w:r>
        <w:rPr/>
        <w:t>the</w:t>
      </w:r>
      <w:r>
        <w:rPr>
          <w:spacing w:val="-4"/>
        </w:rPr>
        <w:t> </w:t>
      </w:r>
      <w:r>
        <w:rPr/>
        <w:t>millennium.</w:t>
      </w:r>
    </w:p>
    <w:p>
      <w:pPr>
        <w:pStyle w:val="BodyText"/>
        <w:spacing w:line="232" w:lineRule="auto"/>
        <w:ind w:left="159" w:right="227"/>
      </w:pPr>
      <w:r>
        <w:rPr/>
        <w:t>Revisions had reduced the volatility of inventories between Q3 and Q4.</w:t>
      </w:r>
    </w:p>
    <w:p>
      <w:pPr>
        <w:pStyle w:val="BodyText"/>
        <w:spacing w:before="9"/>
        <w:rPr>
          <w:sz w:val="17"/>
        </w:rPr>
      </w:pPr>
    </w:p>
    <w:p>
      <w:pPr>
        <w:pStyle w:val="ListParagraph"/>
        <w:numPr>
          <w:ilvl w:val="0"/>
          <w:numId w:val="53"/>
        </w:numPr>
        <w:tabs>
          <w:tab w:pos="639" w:val="left" w:leader="none"/>
          <w:tab w:pos="640" w:val="left" w:leader="none"/>
        </w:tabs>
        <w:spacing w:line="232" w:lineRule="auto" w:before="0" w:after="0"/>
        <w:ind w:left="159" w:right="220" w:firstLine="0"/>
        <w:jc w:val="left"/>
        <w:rPr>
          <w:sz w:val="18"/>
        </w:rPr>
      </w:pPr>
      <w:r>
        <w:rPr>
          <w:sz w:val="18"/>
        </w:rPr>
        <w:t>There had been upward revisions to the level of both imports and exports during 1999, although the timing of revisions differed. The net trade contribution had been slightly more negative</w:t>
      </w:r>
      <w:r>
        <w:rPr>
          <w:spacing w:val="-28"/>
          <w:sz w:val="18"/>
        </w:rPr>
        <w:t> </w:t>
      </w:r>
      <w:r>
        <w:rPr>
          <w:sz w:val="18"/>
        </w:rPr>
        <w:t>in</w:t>
      </w:r>
    </w:p>
    <w:p>
      <w:pPr>
        <w:pStyle w:val="BodyText"/>
        <w:spacing w:line="232" w:lineRule="auto"/>
        <w:ind w:left="159" w:right="272"/>
      </w:pPr>
      <w:r>
        <w:rPr/>
        <w:t>1999 H2. The trade deficit had increased to around 2% of GDP in Q4 but this had been more than offset by increases in investment income and so the current account deficit had narrowed to 1.3% of GDP.</w:t>
      </w:r>
    </w:p>
    <w:p>
      <w:pPr>
        <w:pStyle w:val="BodyText"/>
        <w:spacing w:before="8"/>
      </w:pPr>
    </w:p>
    <w:p>
      <w:pPr>
        <w:pStyle w:val="ListParagraph"/>
        <w:numPr>
          <w:ilvl w:val="0"/>
          <w:numId w:val="53"/>
        </w:numPr>
        <w:tabs>
          <w:tab w:pos="639" w:val="left" w:leader="none"/>
          <w:tab w:pos="640" w:val="left" w:leader="none"/>
        </w:tabs>
        <w:spacing w:line="232" w:lineRule="auto" w:before="0" w:after="0"/>
        <w:ind w:left="159" w:right="310" w:firstLine="0"/>
        <w:jc w:val="left"/>
        <w:rPr>
          <w:sz w:val="18"/>
        </w:rPr>
      </w:pPr>
      <w:r>
        <w:rPr>
          <w:sz w:val="18"/>
        </w:rPr>
        <w:t>The gross operating surplus of all corporations had fallen by 0.9% in Q4 but the level had been revised up by 1.5%. The half-yearly growth rates had been volatile. PNFCs’ net borrowing had been little changed in Q4, at 2.4% of GDP. Household compensation of employees had grown strongly, by 1.8%</w:t>
      </w:r>
      <w:r>
        <w:rPr>
          <w:spacing w:val="-25"/>
          <w:sz w:val="18"/>
        </w:rPr>
        <w:t> </w:t>
      </w:r>
      <w:r>
        <w:rPr>
          <w:sz w:val="18"/>
        </w:rPr>
        <w:t>in</w:t>
      </w:r>
    </w:p>
    <w:p>
      <w:pPr>
        <w:pStyle w:val="BodyText"/>
        <w:spacing w:line="232" w:lineRule="auto"/>
        <w:ind w:left="159" w:right="422"/>
      </w:pPr>
      <w:r>
        <w:rPr/>
        <w:t>Q4. The annual household savings ratio had been around 6% over the past two years. It had been low compared with the recent past but did not look so low when compared with the 1960s.</w:t>
      </w:r>
    </w:p>
    <w:p>
      <w:pPr>
        <w:pStyle w:val="BodyText"/>
        <w:spacing w:before="9"/>
        <w:rPr>
          <w:sz w:val="16"/>
        </w:rPr>
      </w:pPr>
    </w:p>
    <w:p>
      <w:pPr>
        <w:pStyle w:val="ListParagraph"/>
        <w:numPr>
          <w:ilvl w:val="0"/>
          <w:numId w:val="53"/>
        </w:numPr>
        <w:tabs>
          <w:tab w:pos="639" w:val="left" w:leader="none"/>
          <w:tab w:pos="640" w:val="left" w:leader="none"/>
        </w:tabs>
        <w:spacing w:line="232" w:lineRule="auto" w:before="0" w:after="0"/>
        <w:ind w:left="159" w:right="186" w:firstLine="0"/>
        <w:jc w:val="left"/>
        <w:rPr>
          <w:sz w:val="18"/>
        </w:rPr>
      </w:pPr>
      <w:r>
        <w:rPr>
          <w:sz w:val="18"/>
        </w:rPr>
        <w:t>Retail sales had fallen by 1.2% in February following growth of 1.6% in January. The three-month rates had still been strong. The BRC weekly data for March had pointed to further retail sales growth and the Bank’s regional Agents had reported little change in the growth rate, although there was a further rise in the dispersion across regions. The CBI distributive trades survey had reported lower sales volume growth in March but a rise in expected growth for April. The GfK measure of consumer confidence had weakened across all categories to -2 in</w:t>
      </w:r>
      <w:r>
        <w:rPr>
          <w:spacing w:val="-9"/>
          <w:sz w:val="18"/>
        </w:rPr>
        <w:t> </w:t>
      </w:r>
      <w:r>
        <w:rPr>
          <w:sz w:val="18"/>
        </w:rPr>
        <w:t>March.</w:t>
      </w:r>
    </w:p>
    <w:p>
      <w:pPr>
        <w:pStyle w:val="BodyText"/>
        <w:spacing w:before="9"/>
        <w:rPr>
          <w:sz w:val="16"/>
        </w:rPr>
      </w:pPr>
    </w:p>
    <w:p>
      <w:pPr>
        <w:pStyle w:val="ListParagraph"/>
        <w:numPr>
          <w:ilvl w:val="0"/>
          <w:numId w:val="53"/>
        </w:numPr>
        <w:tabs>
          <w:tab w:pos="639" w:val="left" w:leader="none"/>
          <w:tab w:pos="640" w:val="left" w:leader="none"/>
        </w:tabs>
        <w:spacing w:line="232" w:lineRule="auto" w:before="0" w:after="0"/>
        <w:ind w:left="159" w:right="270" w:firstLine="0"/>
        <w:jc w:val="left"/>
        <w:rPr>
          <w:sz w:val="18"/>
        </w:rPr>
      </w:pPr>
      <w:r>
        <w:rPr>
          <w:sz w:val="18"/>
        </w:rPr>
        <w:t>Analysis by Bank staff had shown close links between housing market surveys and housing market activity and prices. Loan approvals and the Royal Institute of Chartered Surveyors (RICS) sales survey had strengthened in February and had suggested stronger activity in the short term. But the House Builders’ Federation survey had shown falling growth in site visits and net reservations which pointed to an easing in activity in the summer. House price indicators had been mixed. The Nationwide index had been very strong at 2.3% in March with annual growth rising to 16.2%. By contrast, the Halifax index fell by 0.4% in March</w:t>
      </w:r>
      <w:r>
        <w:rPr>
          <w:spacing w:val="-4"/>
          <w:sz w:val="18"/>
        </w:rPr>
        <w:t> </w:t>
      </w:r>
      <w:r>
        <w:rPr>
          <w:sz w:val="18"/>
        </w:rPr>
        <w:t>and</w:t>
      </w:r>
      <w:r>
        <w:rPr>
          <w:spacing w:val="-4"/>
          <w:sz w:val="18"/>
        </w:rPr>
        <w:t> </w:t>
      </w:r>
      <w:r>
        <w:rPr>
          <w:sz w:val="18"/>
        </w:rPr>
        <w:t>the</w:t>
      </w:r>
      <w:r>
        <w:rPr>
          <w:spacing w:val="-4"/>
          <w:sz w:val="18"/>
        </w:rPr>
        <w:t> </w:t>
      </w:r>
      <w:r>
        <w:rPr>
          <w:sz w:val="18"/>
        </w:rPr>
        <w:t>annual</w:t>
      </w:r>
      <w:r>
        <w:rPr>
          <w:spacing w:val="-4"/>
          <w:sz w:val="18"/>
        </w:rPr>
        <w:t> </w:t>
      </w:r>
      <w:r>
        <w:rPr>
          <w:sz w:val="18"/>
        </w:rPr>
        <w:t>rate</w:t>
      </w:r>
      <w:r>
        <w:rPr>
          <w:spacing w:val="-4"/>
          <w:sz w:val="18"/>
        </w:rPr>
        <w:t> </w:t>
      </w:r>
      <w:r>
        <w:rPr>
          <w:sz w:val="18"/>
        </w:rPr>
        <w:t>of</w:t>
      </w:r>
      <w:r>
        <w:rPr>
          <w:spacing w:val="-4"/>
          <w:sz w:val="18"/>
        </w:rPr>
        <w:t> </w:t>
      </w:r>
      <w:r>
        <w:rPr>
          <w:sz w:val="18"/>
        </w:rPr>
        <w:t>house</w:t>
      </w:r>
      <w:r>
        <w:rPr>
          <w:spacing w:val="-4"/>
          <w:sz w:val="18"/>
        </w:rPr>
        <w:t> </w:t>
      </w:r>
      <w:r>
        <w:rPr>
          <w:sz w:val="18"/>
        </w:rPr>
        <w:t>price</w:t>
      </w:r>
      <w:r>
        <w:rPr>
          <w:spacing w:val="-3"/>
          <w:sz w:val="18"/>
        </w:rPr>
        <w:t> </w:t>
      </w:r>
      <w:r>
        <w:rPr>
          <w:sz w:val="18"/>
        </w:rPr>
        <w:t>inflation</w:t>
      </w:r>
      <w:r>
        <w:rPr>
          <w:spacing w:val="-4"/>
          <w:sz w:val="18"/>
        </w:rPr>
        <w:t> </w:t>
      </w:r>
      <w:r>
        <w:rPr>
          <w:sz w:val="18"/>
        </w:rPr>
        <w:t>eased</w:t>
      </w:r>
      <w:r>
        <w:rPr>
          <w:spacing w:val="-4"/>
          <w:sz w:val="18"/>
        </w:rPr>
        <w:t> </w:t>
      </w:r>
      <w:r>
        <w:rPr>
          <w:sz w:val="18"/>
        </w:rPr>
        <w:t>a</w:t>
      </w:r>
      <w:r>
        <w:rPr>
          <w:spacing w:val="-4"/>
          <w:sz w:val="18"/>
        </w:rPr>
        <w:t> </w:t>
      </w:r>
      <w:r>
        <w:rPr>
          <w:sz w:val="18"/>
        </w:rPr>
        <w:t>little</w:t>
      </w:r>
      <w:r>
        <w:rPr>
          <w:spacing w:val="-4"/>
          <w:sz w:val="18"/>
        </w:rPr>
        <w:t> </w:t>
      </w:r>
      <w:r>
        <w:rPr>
          <w:sz w:val="18"/>
        </w:rPr>
        <w:t>to</w:t>
      </w:r>
    </w:p>
    <w:p>
      <w:pPr>
        <w:spacing w:after="0" w:line="232" w:lineRule="auto"/>
        <w:jc w:val="left"/>
        <w:rPr>
          <w:sz w:val="18"/>
        </w:rPr>
        <w:sectPr>
          <w:type w:val="continuous"/>
          <w:pgSz w:w="11900" w:h="16840"/>
          <w:pgMar w:top="1220" w:bottom="280" w:left="640" w:right="620"/>
          <w:cols w:num="2" w:equalWidth="0">
            <w:col w:w="5107" w:space="283"/>
            <w:col w:w="5250"/>
          </w:cols>
        </w:sectPr>
      </w:pPr>
    </w:p>
    <w:p>
      <w:pPr>
        <w:pStyle w:val="BodyText"/>
        <w:rPr>
          <w:sz w:val="20"/>
        </w:rPr>
      </w:pPr>
    </w:p>
    <w:p>
      <w:pPr>
        <w:spacing w:after="0"/>
        <w:rPr>
          <w:sz w:val="20"/>
        </w:rPr>
        <w:sectPr>
          <w:pgSz w:w="11900" w:h="16840"/>
          <w:pgMar w:header="566" w:footer="597" w:top="760" w:bottom="780" w:left="640" w:right="620"/>
        </w:sectPr>
      </w:pPr>
    </w:p>
    <w:p>
      <w:pPr>
        <w:pStyle w:val="BodyText"/>
        <w:spacing w:before="7"/>
        <w:rPr>
          <w:sz w:val="19"/>
        </w:rPr>
      </w:pPr>
    </w:p>
    <w:p>
      <w:pPr>
        <w:pStyle w:val="BodyText"/>
        <w:spacing w:line="232" w:lineRule="auto" w:before="1"/>
        <w:ind w:left="150"/>
      </w:pPr>
      <w:r>
        <w:rPr/>
        <w:t>13.5%. The RICS prices data seemed consistent with house price inflation of around 4% per quarter.</w:t>
      </w:r>
    </w:p>
    <w:p>
      <w:pPr>
        <w:pStyle w:val="BodyText"/>
        <w:spacing w:before="2"/>
        <w:rPr>
          <w:sz w:val="17"/>
        </w:rPr>
      </w:pPr>
    </w:p>
    <w:p>
      <w:pPr>
        <w:pStyle w:val="ListParagraph"/>
        <w:numPr>
          <w:ilvl w:val="0"/>
          <w:numId w:val="53"/>
        </w:numPr>
        <w:tabs>
          <w:tab w:pos="629" w:val="left" w:leader="none"/>
          <w:tab w:pos="630" w:val="left" w:leader="none"/>
        </w:tabs>
        <w:spacing w:line="232" w:lineRule="auto" w:before="1" w:after="0"/>
        <w:ind w:left="150" w:right="63" w:firstLine="0"/>
        <w:jc w:val="left"/>
        <w:rPr>
          <w:sz w:val="18"/>
        </w:rPr>
      </w:pPr>
      <w:r>
        <w:rPr>
          <w:sz w:val="18"/>
        </w:rPr>
        <w:t>Exports had been flat in January and there had been evidence that the upward trend in imports was attenuating slightly.  There had been a strengthening in exports to non-EU countries in February.</w:t>
      </w:r>
    </w:p>
    <w:p>
      <w:pPr>
        <w:pStyle w:val="BodyText"/>
        <w:spacing w:before="1"/>
        <w:rPr>
          <w:sz w:val="17"/>
        </w:rPr>
      </w:pPr>
    </w:p>
    <w:p>
      <w:pPr>
        <w:pStyle w:val="ListParagraph"/>
        <w:numPr>
          <w:ilvl w:val="0"/>
          <w:numId w:val="53"/>
        </w:numPr>
        <w:tabs>
          <w:tab w:pos="629" w:val="left" w:leader="none"/>
          <w:tab w:pos="630" w:val="left" w:leader="none"/>
        </w:tabs>
        <w:spacing w:line="232" w:lineRule="auto" w:before="0" w:after="0"/>
        <w:ind w:left="150" w:right="403" w:firstLine="0"/>
        <w:jc w:val="left"/>
        <w:rPr>
          <w:sz w:val="18"/>
        </w:rPr>
      </w:pPr>
      <w:r>
        <w:rPr>
          <w:sz w:val="18"/>
        </w:rPr>
        <w:t>Industrial output had fallen by 0.6% in February and manufacturing output had fallen by 0.2%, the third month in a row that manufacturing output had declined. Output had fallen across most industries in the latest three months.</w:t>
      </w:r>
      <w:r>
        <w:rPr>
          <w:spacing w:val="23"/>
          <w:sz w:val="18"/>
        </w:rPr>
        <w:t> </w:t>
      </w:r>
      <w:r>
        <w:rPr>
          <w:sz w:val="18"/>
        </w:rPr>
        <w:t>The</w:t>
      </w:r>
    </w:p>
    <w:p>
      <w:pPr>
        <w:pStyle w:val="BodyText"/>
        <w:spacing w:line="232" w:lineRule="auto"/>
        <w:ind w:left="150" w:right="48"/>
      </w:pPr>
      <w:r>
        <w:rPr/>
        <w:t>weaker-than-expected manufacturing data had led to a fall in the National Institute’s projection of GDP growth for the latest three months to 0.5% from 0.8% the previous month. However, surveys had pointed to a rise in manufacturing output in March. The Chartered Institute of Purchasing and Supply (CIPS) manufacturing survey output balance had been 54.1 in March, suggesting a moderate expansion of output in Q1. Though still pointing to an expansion of output, the growth of new orders had moderated to 51.7, with firms citing post-millennium destocking as a factor. CBI Industrial Trends output expectations had been stronger in March at</w:t>
      </w:r>
    </w:p>
    <w:p>
      <w:pPr>
        <w:pStyle w:val="BodyText"/>
        <w:spacing w:line="232" w:lineRule="auto"/>
        <w:ind w:left="150" w:right="133"/>
      </w:pPr>
      <w:r>
        <w:rPr/>
        <w:t>+17; total orders had dipped to -16 but had been broadly flat over the past six months. The Engineering Employers’ Federation output balance had been flat at +9 in Q1 and orders had risen slightly. By contrast, the CIPS services survey had risen to 59.6 in March, indicating relatively strong service sector output growth. The CIPS construction trends survey had continued to point to growth of current and future construction activity.</w:t>
      </w:r>
    </w:p>
    <w:p>
      <w:pPr>
        <w:pStyle w:val="BodyText"/>
        <w:spacing w:before="3"/>
        <w:rPr>
          <w:sz w:val="19"/>
        </w:rPr>
      </w:pPr>
    </w:p>
    <w:p>
      <w:pPr>
        <w:pStyle w:val="Heading8"/>
        <w:numPr>
          <w:ilvl w:val="0"/>
          <w:numId w:val="52"/>
        </w:numPr>
        <w:tabs>
          <w:tab w:pos="629" w:val="left" w:leader="none"/>
          <w:tab w:pos="631" w:val="left" w:leader="none"/>
        </w:tabs>
        <w:spacing w:line="240" w:lineRule="auto" w:before="0" w:after="0"/>
        <w:ind w:left="630" w:right="0" w:hanging="481"/>
        <w:jc w:val="left"/>
      </w:pPr>
      <w:r>
        <w:rPr>
          <w:color w:val="009391"/>
        </w:rPr>
        <w:t>Labour</w:t>
      </w:r>
      <w:r>
        <w:rPr>
          <w:color w:val="009391"/>
          <w:spacing w:val="-2"/>
        </w:rPr>
        <w:t> </w:t>
      </w:r>
      <w:r>
        <w:rPr>
          <w:color w:val="009391"/>
        </w:rPr>
        <w:t>market</w:t>
      </w:r>
    </w:p>
    <w:p>
      <w:pPr>
        <w:pStyle w:val="ListParagraph"/>
        <w:numPr>
          <w:ilvl w:val="0"/>
          <w:numId w:val="53"/>
        </w:numPr>
        <w:tabs>
          <w:tab w:pos="629" w:val="left" w:leader="none"/>
          <w:tab w:pos="630" w:val="left" w:leader="none"/>
        </w:tabs>
        <w:spacing w:line="232" w:lineRule="auto" w:before="109" w:after="0"/>
        <w:ind w:left="150" w:right="113" w:firstLine="0"/>
        <w:jc w:val="left"/>
        <w:rPr>
          <w:sz w:val="18"/>
        </w:rPr>
      </w:pPr>
      <w:r>
        <w:rPr>
          <w:sz w:val="18"/>
        </w:rPr>
        <w:t>According to the Labour Force Survey (LFS) employment had risen by 83,000 (or 0.3%) in the three months to January compared with the previous three months, a little stronger than the growth rate in each of the previous three releases. Within the total, full-time employment had risen by 88,000 and part-time employment had fallen by 5,000. The 0.3% rise in the number of people in employment in the three months to January had been offset by a 0.3% fall in average hours worked. So total hours worked had been broadly unchanged in the latest</w:t>
      </w:r>
      <w:r>
        <w:rPr>
          <w:spacing w:val="-21"/>
          <w:sz w:val="18"/>
        </w:rPr>
        <w:t> </w:t>
      </w:r>
      <w:r>
        <w:rPr>
          <w:sz w:val="18"/>
        </w:rPr>
        <w:t>quarter.</w:t>
      </w:r>
    </w:p>
    <w:p>
      <w:pPr>
        <w:pStyle w:val="BodyText"/>
        <w:spacing w:before="9"/>
        <w:rPr>
          <w:sz w:val="16"/>
        </w:rPr>
      </w:pPr>
    </w:p>
    <w:p>
      <w:pPr>
        <w:pStyle w:val="ListParagraph"/>
        <w:numPr>
          <w:ilvl w:val="0"/>
          <w:numId w:val="53"/>
        </w:numPr>
        <w:tabs>
          <w:tab w:pos="629" w:val="left" w:leader="none"/>
          <w:tab w:pos="630" w:val="left" w:leader="none"/>
        </w:tabs>
        <w:spacing w:line="232" w:lineRule="auto" w:before="0" w:after="0"/>
        <w:ind w:left="150" w:right="652" w:firstLine="0"/>
        <w:jc w:val="left"/>
        <w:rPr>
          <w:sz w:val="18"/>
        </w:rPr>
      </w:pPr>
      <w:r>
        <w:rPr>
          <w:sz w:val="18"/>
        </w:rPr>
        <w:t>The number of Workforce Jobs had risen by 70,000 (or 0.3%) in Q4. Within the total, the number of jobs in</w:t>
      </w:r>
      <w:r>
        <w:rPr>
          <w:spacing w:val="-1"/>
          <w:sz w:val="18"/>
        </w:rPr>
        <w:t> </w:t>
      </w:r>
      <w:r>
        <w:rPr>
          <w:sz w:val="18"/>
        </w:rPr>
        <w:t>the</w:t>
      </w:r>
    </w:p>
    <w:p>
      <w:pPr>
        <w:pStyle w:val="BodyText"/>
        <w:spacing w:line="232" w:lineRule="auto"/>
        <w:ind w:left="150" w:right="244"/>
      </w:pPr>
      <w:r>
        <w:rPr/>
        <w:t>production sector had continued to fall, though by less than on average over the past year. There had been a further sharp rise in the number of service sector jobs. The level of Workforce Jobs in Q3 had been revised, so that the number of jobs was estimated to have fallen by just 1,000 during the third quarter, rather than 51,000 as reported in the previous release of the Labour Market Statistics.</w:t>
      </w:r>
    </w:p>
    <w:p>
      <w:pPr>
        <w:pStyle w:val="BodyText"/>
        <w:spacing w:before="9"/>
        <w:rPr>
          <w:sz w:val="16"/>
        </w:rPr>
      </w:pPr>
    </w:p>
    <w:p>
      <w:pPr>
        <w:pStyle w:val="ListParagraph"/>
        <w:numPr>
          <w:ilvl w:val="0"/>
          <w:numId w:val="53"/>
        </w:numPr>
        <w:tabs>
          <w:tab w:pos="629" w:val="left" w:leader="none"/>
          <w:tab w:pos="630" w:val="left" w:leader="none"/>
        </w:tabs>
        <w:spacing w:line="232" w:lineRule="auto" w:before="0" w:after="0"/>
        <w:ind w:left="150" w:right="118" w:firstLine="0"/>
        <w:jc w:val="left"/>
        <w:rPr>
          <w:sz w:val="18"/>
        </w:rPr>
      </w:pPr>
      <w:r>
        <w:rPr>
          <w:sz w:val="18"/>
        </w:rPr>
        <w:t>Survey data had been consistent with further increases in employment in Q1. According to the CIPS, the reading on construction</w:t>
      </w:r>
      <w:r>
        <w:rPr>
          <w:spacing w:val="-6"/>
          <w:sz w:val="18"/>
        </w:rPr>
        <w:t> </w:t>
      </w:r>
      <w:r>
        <w:rPr>
          <w:sz w:val="18"/>
        </w:rPr>
        <w:t>sector</w:t>
      </w:r>
      <w:r>
        <w:rPr>
          <w:spacing w:val="-5"/>
          <w:sz w:val="18"/>
        </w:rPr>
        <w:t> </w:t>
      </w:r>
      <w:r>
        <w:rPr>
          <w:sz w:val="18"/>
        </w:rPr>
        <w:t>employment</w:t>
      </w:r>
      <w:r>
        <w:rPr>
          <w:spacing w:val="-6"/>
          <w:sz w:val="18"/>
        </w:rPr>
        <w:t> </w:t>
      </w:r>
      <w:r>
        <w:rPr>
          <w:sz w:val="18"/>
        </w:rPr>
        <w:t>was</w:t>
      </w:r>
      <w:r>
        <w:rPr>
          <w:spacing w:val="-5"/>
          <w:sz w:val="18"/>
        </w:rPr>
        <w:t> </w:t>
      </w:r>
      <w:r>
        <w:rPr>
          <w:sz w:val="18"/>
        </w:rPr>
        <w:t>60.8</w:t>
      </w:r>
      <w:r>
        <w:rPr>
          <w:spacing w:val="-6"/>
          <w:sz w:val="18"/>
        </w:rPr>
        <w:t> </w:t>
      </w:r>
      <w:r>
        <w:rPr>
          <w:sz w:val="18"/>
        </w:rPr>
        <w:t>in</w:t>
      </w:r>
      <w:r>
        <w:rPr>
          <w:spacing w:val="-5"/>
          <w:sz w:val="18"/>
        </w:rPr>
        <w:t> </w:t>
      </w:r>
      <w:r>
        <w:rPr>
          <w:sz w:val="18"/>
        </w:rPr>
        <w:t>March,</w:t>
      </w:r>
      <w:r>
        <w:rPr>
          <w:spacing w:val="-6"/>
          <w:sz w:val="18"/>
        </w:rPr>
        <w:t> </w:t>
      </w:r>
      <w:r>
        <w:rPr>
          <w:sz w:val="18"/>
        </w:rPr>
        <w:t>well</w:t>
      </w:r>
      <w:r>
        <w:rPr>
          <w:spacing w:val="-5"/>
          <w:sz w:val="18"/>
        </w:rPr>
        <w:t> </w:t>
      </w:r>
      <w:r>
        <w:rPr>
          <w:sz w:val="18"/>
        </w:rPr>
        <w:t>above</w:t>
      </w:r>
      <w:r>
        <w:rPr>
          <w:spacing w:val="-6"/>
          <w:sz w:val="18"/>
        </w:rPr>
        <w:t> </w:t>
      </w:r>
      <w:r>
        <w:rPr>
          <w:sz w:val="18"/>
        </w:rPr>
        <w:t>the neutral 50 level and the strongest figure since May 1997. Other CIPS surveys suggested a small rise in service sector employment and a small fall in manufacturing employment in</w:t>
      </w:r>
      <w:r>
        <w:rPr>
          <w:spacing w:val="-20"/>
          <w:sz w:val="18"/>
        </w:rPr>
        <w:t> </w:t>
      </w:r>
      <w:r>
        <w:rPr>
          <w:sz w:val="18"/>
        </w:rPr>
        <w:t>March.</w:t>
      </w:r>
    </w:p>
    <w:p>
      <w:pPr>
        <w:pStyle w:val="BodyText"/>
        <w:rPr>
          <w:sz w:val="17"/>
        </w:rPr>
      </w:pPr>
    </w:p>
    <w:p>
      <w:pPr>
        <w:pStyle w:val="ListParagraph"/>
        <w:numPr>
          <w:ilvl w:val="0"/>
          <w:numId w:val="53"/>
        </w:numPr>
        <w:tabs>
          <w:tab w:pos="629" w:val="left" w:leader="none"/>
          <w:tab w:pos="630" w:val="left" w:leader="none"/>
        </w:tabs>
        <w:spacing w:line="232" w:lineRule="auto" w:before="0" w:after="0"/>
        <w:ind w:left="150" w:right="38" w:firstLine="0"/>
        <w:jc w:val="left"/>
        <w:rPr>
          <w:sz w:val="18"/>
        </w:rPr>
      </w:pPr>
      <w:r>
        <w:rPr>
          <w:sz w:val="18"/>
        </w:rPr>
        <w:t>There had been a sharp increase in whole-economy productivity growth. One measure, based on the change in the ratio of GDP to Workforce Jobs, had risen from 1.0% in the year to Q3 to 1.8% in the year to Q4. Another measure, based on the change in the ratio of GDP to LFS employment, had risen from 0.8% in the year to Q3 to 1.6% in the year to Q4. Survey data from the Institute of Management Services confirmed the pick-up in productivity growth during the second half of 1999, and suggested that productivity growth had remained firm during the first quarter of this</w:t>
      </w:r>
      <w:r>
        <w:rPr>
          <w:spacing w:val="-2"/>
          <w:sz w:val="18"/>
        </w:rPr>
        <w:t> </w:t>
      </w:r>
      <w:r>
        <w:rPr>
          <w:sz w:val="18"/>
        </w:rPr>
        <w:t>year.</w:t>
      </w:r>
    </w:p>
    <w:p>
      <w:pPr>
        <w:pStyle w:val="BodyText"/>
        <w:spacing w:before="5"/>
      </w:pPr>
    </w:p>
    <w:p>
      <w:pPr>
        <w:pStyle w:val="ListParagraph"/>
        <w:numPr>
          <w:ilvl w:val="0"/>
          <w:numId w:val="53"/>
        </w:numPr>
        <w:tabs>
          <w:tab w:pos="629" w:val="left" w:leader="none"/>
          <w:tab w:pos="630" w:val="left" w:leader="none"/>
        </w:tabs>
        <w:spacing w:line="232" w:lineRule="auto" w:before="1" w:after="0"/>
        <w:ind w:left="150" w:right="38" w:firstLine="0"/>
        <w:jc w:val="left"/>
        <w:rPr>
          <w:sz w:val="18"/>
        </w:rPr>
      </w:pPr>
      <w:r>
        <w:rPr>
          <w:sz w:val="18"/>
        </w:rPr>
        <w:t>There was little new information on labour shortages. The Recruitment</w:t>
      </w:r>
      <w:r>
        <w:rPr>
          <w:spacing w:val="-7"/>
          <w:sz w:val="18"/>
        </w:rPr>
        <w:t> </w:t>
      </w:r>
      <w:r>
        <w:rPr>
          <w:sz w:val="18"/>
        </w:rPr>
        <w:t>and</w:t>
      </w:r>
      <w:r>
        <w:rPr>
          <w:spacing w:val="-7"/>
          <w:sz w:val="18"/>
        </w:rPr>
        <w:t> </w:t>
      </w:r>
      <w:r>
        <w:rPr>
          <w:sz w:val="18"/>
        </w:rPr>
        <w:t>Employers’</w:t>
      </w:r>
      <w:r>
        <w:rPr>
          <w:spacing w:val="-7"/>
          <w:sz w:val="18"/>
        </w:rPr>
        <w:t> </w:t>
      </w:r>
      <w:r>
        <w:rPr>
          <w:sz w:val="18"/>
        </w:rPr>
        <w:t>Confederation</w:t>
      </w:r>
      <w:r>
        <w:rPr>
          <w:spacing w:val="-6"/>
          <w:sz w:val="18"/>
        </w:rPr>
        <w:t> </w:t>
      </w:r>
      <w:r>
        <w:rPr>
          <w:sz w:val="18"/>
        </w:rPr>
        <w:t>(REC)</w:t>
      </w:r>
      <w:r>
        <w:rPr>
          <w:spacing w:val="-7"/>
          <w:sz w:val="18"/>
        </w:rPr>
        <w:t> </w:t>
      </w:r>
      <w:r>
        <w:rPr>
          <w:sz w:val="18"/>
        </w:rPr>
        <w:t>survey</w:t>
      </w:r>
      <w:r>
        <w:rPr>
          <w:spacing w:val="-7"/>
          <w:sz w:val="18"/>
        </w:rPr>
        <w:t> </w:t>
      </w:r>
      <w:r>
        <w:rPr>
          <w:sz w:val="18"/>
        </w:rPr>
        <w:t>showed</w:t>
      </w:r>
      <w:r>
        <w:rPr>
          <w:spacing w:val="-6"/>
          <w:sz w:val="18"/>
        </w:rPr>
        <w:t> </w:t>
      </w:r>
      <w:r>
        <w:rPr>
          <w:sz w:val="18"/>
        </w:rPr>
        <w:t>a</w:t>
      </w:r>
    </w:p>
    <w:p>
      <w:pPr>
        <w:pStyle w:val="BodyText"/>
        <w:spacing w:before="7"/>
        <w:rPr>
          <w:sz w:val="19"/>
        </w:rPr>
      </w:pPr>
      <w:r>
        <w:rPr/>
        <w:br w:type="column"/>
      </w:r>
      <w:r>
        <w:rPr>
          <w:sz w:val="19"/>
        </w:rPr>
      </w:r>
    </w:p>
    <w:p>
      <w:pPr>
        <w:pStyle w:val="BodyText"/>
        <w:spacing w:line="232" w:lineRule="auto" w:before="1"/>
        <w:ind w:left="150" w:right="446"/>
      </w:pPr>
      <w:r>
        <w:rPr/>
        <w:t>further reduction in the availability of both permanent and temporary staff in March. According to reports from the Bank’s regional Agents, skill shortages had remained a serious concern, particularly in southern England.</w:t>
      </w:r>
    </w:p>
    <w:p>
      <w:pPr>
        <w:pStyle w:val="BodyText"/>
        <w:spacing w:before="6"/>
        <w:rPr>
          <w:sz w:val="20"/>
        </w:rPr>
      </w:pPr>
    </w:p>
    <w:p>
      <w:pPr>
        <w:pStyle w:val="ListParagraph"/>
        <w:numPr>
          <w:ilvl w:val="0"/>
          <w:numId w:val="53"/>
        </w:numPr>
        <w:tabs>
          <w:tab w:pos="629" w:val="left" w:leader="none"/>
          <w:tab w:pos="630" w:val="left" w:leader="none"/>
        </w:tabs>
        <w:spacing w:line="232" w:lineRule="auto" w:before="0" w:after="0"/>
        <w:ind w:left="150" w:right="284" w:firstLine="0"/>
        <w:jc w:val="left"/>
        <w:rPr>
          <w:sz w:val="18"/>
        </w:rPr>
      </w:pPr>
      <w:r>
        <w:rPr>
          <w:sz w:val="18"/>
        </w:rPr>
        <w:t>LFS unemployment had risen by 21,000 in the three months to January compared with the previous three months. Most of the rise had been accounted for by those unemployed for less than six months. The claimant count measure had fallen by 42,000 in the three months to January, and by a further 6,700 in February. Inactivity had fallen by 68,000 in the three months to January compared with the previous three months, reflecting similar reductions in the number who reported that they wanted jobs and those who did</w:t>
      </w:r>
      <w:r>
        <w:rPr>
          <w:spacing w:val="-4"/>
          <w:sz w:val="18"/>
        </w:rPr>
        <w:t> </w:t>
      </w:r>
      <w:r>
        <w:rPr>
          <w:sz w:val="18"/>
        </w:rPr>
        <w:t>not.</w:t>
      </w:r>
    </w:p>
    <w:p>
      <w:pPr>
        <w:pStyle w:val="BodyText"/>
        <w:spacing w:before="3"/>
        <w:rPr>
          <w:sz w:val="20"/>
        </w:rPr>
      </w:pPr>
    </w:p>
    <w:p>
      <w:pPr>
        <w:pStyle w:val="ListParagraph"/>
        <w:numPr>
          <w:ilvl w:val="0"/>
          <w:numId w:val="53"/>
        </w:numPr>
        <w:tabs>
          <w:tab w:pos="629" w:val="left" w:leader="none"/>
          <w:tab w:pos="630" w:val="left" w:leader="none"/>
        </w:tabs>
        <w:spacing w:line="232" w:lineRule="auto" w:before="0" w:after="0"/>
        <w:ind w:left="150" w:right="256" w:firstLine="0"/>
        <w:jc w:val="left"/>
        <w:rPr>
          <w:sz w:val="18"/>
        </w:rPr>
      </w:pPr>
      <w:r>
        <w:rPr>
          <w:sz w:val="18"/>
        </w:rPr>
        <w:t>There had been a further sharp increase in the headline rate of earnings growth for the whole economy as measured by the Average Earnings Index (AEI), from 5.5% in December to 5.9% in January. The January headline figure was an average of the annual rates for November, December and January. These were 5.1%, 6.2% and 6.4%</w:t>
      </w:r>
      <w:r>
        <w:rPr>
          <w:spacing w:val="-4"/>
          <w:sz w:val="18"/>
        </w:rPr>
        <w:t> </w:t>
      </w:r>
      <w:r>
        <w:rPr>
          <w:sz w:val="18"/>
        </w:rPr>
        <w:t>respectively.</w:t>
      </w:r>
    </w:p>
    <w:p>
      <w:pPr>
        <w:pStyle w:val="BodyText"/>
        <w:spacing w:before="6"/>
        <w:rPr>
          <w:sz w:val="20"/>
        </w:rPr>
      </w:pPr>
    </w:p>
    <w:p>
      <w:pPr>
        <w:pStyle w:val="ListParagraph"/>
        <w:numPr>
          <w:ilvl w:val="0"/>
          <w:numId w:val="53"/>
        </w:numPr>
        <w:tabs>
          <w:tab w:pos="629" w:val="left" w:leader="none"/>
          <w:tab w:pos="630" w:val="left" w:leader="none"/>
        </w:tabs>
        <w:spacing w:line="232" w:lineRule="auto" w:before="0" w:after="0"/>
        <w:ind w:left="150" w:right="425" w:firstLine="0"/>
        <w:jc w:val="left"/>
        <w:rPr>
          <w:sz w:val="18"/>
        </w:rPr>
      </w:pPr>
      <w:r>
        <w:rPr>
          <w:sz w:val="18"/>
        </w:rPr>
        <w:t>Within the total, annual growth in manufacturing earnings had fallen by 0.2 percentage points to 5.6% in January. At the same</w:t>
      </w:r>
      <w:r>
        <w:rPr>
          <w:spacing w:val="-5"/>
          <w:sz w:val="18"/>
        </w:rPr>
        <w:t> </w:t>
      </w:r>
      <w:r>
        <w:rPr>
          <w:sz w:val="18"/>
        </w:rPr>
        <w:t>time,</w:t>
      </w:r>
      <w:r>
        <w:rPr>
          <w:spacing w:val="-5"/>
          <w:sz w:val="18"/>
        </w:rPr>
        <w:t> </w:t>
      </w:r>
      <w:r>
        <w:rPr>
          <w:sz w:val="18"/>
        </w:rPr>
        <w:t>annual</w:t>
      </w:r>
      <w:r>
        <w:rPr>
          <w:spacing w:val="-5"/>
          <w:sz w:val="18"/>
        </w:rPr>
        <w:t> </w:t>
      </w:r>
      <w:r>
        <w:rPr>
          <w:sz w:val="18"/>
        </w:rPr>
        <w:t>growth</w:t>
      </w:r>
      <w:r>
        <w:rPr>
          <w:spacing w:val="-5"/>
          <w:sz w:val="18"/>
        </w:rPr>
        <w:t> </w:t>
      </w:r>
      <w:r>
        <w:rPr>
          <w:sz w:val="18"/>
        </w:rPr>
        <w:t>in</w:t>
      </w:r>
      <w:r>
        <w:rPr>
          <w:spacing w:val="-4"/>
          <w:sz w:val="18"/>
        </w:rPr>
        <w:t> </w:t>
      </w:r>
      <w:r>
        <w:rPr>
          <w:sz w:val="18"/>
        </w:rPr>
        <w:t>service</w:t>
      </w:r>
      <w:r>
        <w:rPr>
          <w:spacing w:val="-5"/>
          <w:sz w:val="18"/>
        </w:rPr>
        <w:t> </w:t>
      </w:r>
      <w:r>
        <w:rPr>
          <w:sz w:val="18"/>
        </w:rPr>
        <w:t>sector</w:t>
      </w:r>
      <w:r>
        <w:rPr>
          <w:spacing w:val="-5"/>
          <w:sz w:val="18"/>
        </w:rPr>
        <w:t> </w:t>
      </w:r>
      <w:r>
        <w:rPr>
          <w:sz w:val="18"/>
        </w:rPr>
        <w:t>earnings</w:t>
      </w:r>
      <w:r>
        <w:rPr>
          <w:spacing w:val="-5"/>
          <w:sz w:val="18"/>
        </w:rPr>
        <w:t> </w:t>
      </w:r>
      <w:r>
        <w:rPr>
          <w:sz w:val="18"/>
        </w:rPr>
        <w:t>had</w:t>
      </w:r>
      <w:r>
        <w:rPr>
          <w:spacing w:val="-5"/>
          <w:sz w:val="18"/>
        </w:rPr>
        <w:t> </w:t>
      </w:r>
      <w:r>
        <w:rPr>
          <w:sz w:val="18"/>
        </w:rPr>
        <w:t>risen</w:t>
      </w:r>
      <w:r>
        <w:rPr>
          <w:spacing w:val="-4"/>
          <w:sz w:val="18"/>
        </w:rPr>
        <w:t> </w:t>
      </w:r>
      <w:r>
        <w:rPr>
          <w:sz w:val="18"/>
        </w:rPr>
        <w:t>by</w:t>
      </w:r>
    </w:p>
    <w:p>
      <w:pPr>
        <w:pStyle w:val="ListParagraph"/>
        <w:numPr>
          <w:ilvl w:val="1"/>
          <w:numId w:val="54"/>
        </w:numPr>
        <w:tabs>
          <w:tab w:pos="420" w:val="left" w:leader="none"/>
        </w:tabs>
        <w:spacing w:line="200" w:lineRule="exact" w:before="0" w:after="0"/>
        <w:ind w:left="420" w:right="0" w:hanging="270"/>
        <w:jc w:val="left"/>
        <w:rPr>
          <w:sz w:val="18"/>
        </w:rPr>
      </w:pPr>
      <w:r>
        <w:rPr>
          <w:sz w:val="18"/>
        </w:rPr>
        <w:t>percentage points to 6.7%.</w:t>
      </w:r>
    </w:p>
    <w:p>
      <w:pPr>
        <w:pStyle w:val="BodyText"/>
        <w:spacing w:before="3"/>
        <w:rPr>
          <w:sz w:val="20"/>
        </w:rPr>
      </w:pPr>
    </w:p>
    <w:p>
      <w:pPr>
        <w:pStyle w:val="ListParagraph"/>
        <w:numPr>
          <w:ilvl w:val="0"/>
          <w:numId w:val="53"/>
        </w:numPr>
        <w:tabs>
          <w:tab w:pos="629" w:val="left" w:leader="none"/>
          <w:tab w:pos="630" w:val="left" w:leader="none"/>
        </w:tabs>
        <w:spacing w:line="203" w:lineRule="exact" w:before="0" w:after="0"/>
        <w:ind w:left="629" w:right="0" w:hanging="480"/>
        <w:jc w:val="left"/>
        <w:rPr>
          <w:sz w:val="18"/>
        </w:rPr>
      </w:pPr>
      <w:r>
        <w:rPr>
          <w:sz w:val="18"/>
        </w:rPr>
        <w:t>The latest earnings figures had been affected</w:t>
      </w:r>
      <w:r>
        <w:rPr>
          <w:spacing w:val="-14"/>
          <w:sz w:val="18"/>
        </w:rPr>
        <w:t> </w:t>
      </w:r>
      <w:r>
        <w:rPr>
          <w:sz w:val="18"/>
        </w:rPr>
        <w:t>by</w:t>
      </w:r>
    </w:p>
    <w:p>
      <w:pPr>
        <w:pStyle w:val="BodyText"/>
        <w:spacing w:line="232" w:lineRule="auto" w:before="1"/>
        <w:ind w:left="150" w:right="176"/>
      </w:pPr>
      <w:r>
        <w:rPr/>
        <w:t>millennium-related and other bonus payments. These had included overtime payments to police and health sector workers, and on-call allowances in transport, storage and communication and the utilities sectors. Overtime payments were reported to have risen in the manufacturing sector as firms sought to make up lost output after the prolonged holiday season.</w:t>
      </w:r>
    </w:p>
    <w:p>
      <w:pPr>
        <w:pStyle w:val="BodyText"/>
        <w:spacing w:before="6"/>
        <w:rPr>
          <w:sz w:val="20"/>
        </w:rPr>
      </w:pPr>
    </w:p>
    <w:p>
      <w:pPr>
        <w:pStyle w:val="ListParagraph"/>
        <w:numPr>
          <w:ilvl w:val="0"/>
          <w:numId w:val="53"/>
        </w:numPr>
        <w:tabs>
          <w:tab w:pos="629" w:val="left" w:leader="none"/>
          <w:tab w:pos="630" w:val="left" w:leader="none"/>
        </w:tabs>
        <w:spacing w:line="232" w:lineRule="auto" w:before="0" w:after="0"/>
        <w:ind w:left="150" w:right="180" w:firstLine="0"/>
        <w:jc w:val="left"/>
        <w:rPr>
          <w:sz w:val="18"/>
        </w:rPr>
      </w:pPr>
      <w:r>
        <w:rPr>
          <w:sz w:val="18"/>
        </w:rPr>
        <w:t>The Bank’s regional Agents had asked around 160 of their business contacts to comment on any bonus payments which they had made, or planned to make, during the period November 1999 to April 2000.  Around 50% of all respondents had stated that the share of bonus payments in the total wage bill would be higher this year than last year. This proportion was slightly higher in the financial services sector than in manufacturing. Looking at those firms that had reported a higher bonus share for this year, the most common explanation was higher productivity and profits, with around</w:t>
      </w:r>
      <w:r>
        <w:rPr>
          <w:spacing w:val="-5"/>
          <w:sz w:val="18"/>
        </w:rPr>
        <w:t> </w:t>
      </w:r>
      <w:r>
        <w:rPr>
          <w:sz w:val="18"/>
        </w:rPr>
        <w:t>70%</w:t>
      </w:r>
      <w:r>
        <w:rPr>
          <w:spacing w:val="-5"/>
          <w:sz w:val="18"/>
        </w:rPr>
        <w:t> </w:t>
      </w:r>
      <w:r>
        <w:rPr>
          <w:sz w:val="18"/>
        </w:rPr>
        <w:t>citing</w:t>
      </w:r>
      <w:r>
        <w:rPr>
          <w:spacing w:val="-5"/>
          <w:sz w:val="18"/>
        </w:rPr>
        <w:t> </w:t>
      </w:r>
      <w:r>
        <w:rPr>
          <w:sz w:val="18"/>
        </w:rPr>
        <w:t>this</w:t>
      </w:r>
      <w:r>
        <w:rPr>
          <w:spacing w:val="-5"/>
          <w:sz w:val="18"/>
        </w:rPr>
        <w:t> </w:t>
      </w:r>
      <w:r>
        <w:rPr>
          <w:sz w:val="18"/>
        </w:rPr>
        <w:t>as</w:t>
      </w:r>
      <w:r>
        <w:rPr>
          <w:spacing w:val="-5"/>
          <w:sz w:val="18"/>
        </w:rPr>
        <w:t> </w:t>
      </w:r>
      <w:r>
        <w:rPr>
          <w:sz w:val="18"/>
        </w:rPr>
        <w:t>either</w:t>
      </w:r>
      <w:r>
        <w:rPr>
          <w:spacing w:val="-4"/>
          <w:sz w:val="18"/>
        </w:rPr>
        <w:t> </w:t>
      </w:r>
      <w:r>
        <w:rPr>
          <w:sz w:val="18"/>
        </w:rPr>
        <w:t>an</w:t>
      </w:r>
      <w:r>
        <w:rPr>
          <w:spacing w:val="-5"/>
          <w:sz w:val="18"/>
        </w:rPr>
        <w:t> </w:t>
      </w:r>
      <w:r>
        <w:rPr>
          <w:sz w:val="18"/>
        </w:rPr>
        <w:t>‘important’</w:t>
      </w:r>
      <w:r>
        <w:rPr>
          <w:spacing w:val="-5"/>
          <w:sz w:val="18"/>
        </w:rPr>
        <w:t> </w:t>
      </w:r>
      <w:r>
        <w:rPr>
          <w:sz w:val="18"/>
        </w:rPr>
        <w:t>or</w:t>
      </w:r>
      <w:r>
        <w:rPr>
          <w:spacing w:val="-5"/>
          <w:sz w:val="18"/>
        </w:rPr>
        <w:t> </w:t>
      </w:r>
      <w:r>
        <w:rPr>
          <w:sz w:val="18"/>
        </w:rPr>
        <w:t>a</w:t>
      </w:r>
      <w:r>
        <w:rPr>
          <w:spacing w:val="-5"/>
          <w:sz w:val="18"/>
        </w:rPr>
        <w:t> </w:t>
      </w:r>
      <w:r>
        <w:rPr>
          <w:sz w:val="18"/>
        </w:rPr>
        <w:t>‘very</w:t>
      </w:r>
      <w:r>
        <w:rPr>
          <w:spacing w:val="-4"/>
          <w:sz w:val="18"/>
        </w:rPr>
        <w:t> </w:t>
      </w:r>
      <w:r>
        <w:rPr>
          <w:sz w:val="18"/>
        </w:rPr>
        <w:t>important’ factor. The need to retain and recruit staff was a close second in most sectors, though not in manufacturing where</w:t>
      </w:r>
      <w:r>
        <w:rPr>
          <w:spacing w:val="-24"/>
          <w:sz w:val="18"/>
        </w:rPr>
        <w:t> </w:t>
      </w:r>
      <w:r>
        <w:rPr>
          <w:sz w:val="18"/>
        </w:rPr>
        <w:t>employment</w:t>
      </w:r>
    </w:p>
    <w:p>
      <w:pPr>
        <w:pStyle w:val="BodyText"/>
        <w:spacing w:line="232" w:lineRule="auto"/>
        <w:ind w:left="150" w:right="321"/>
      </w:pPr>
      <w:r>
        <w:rPr/>
        <w:t>had been falling.  The millennium was seen as ‘important’ or ‘very</w:t>
      </w:r>
      <w:r>
        <w:rPr>
          <w:spacing w:val="-5"/>
        </w:rPr>
        <w:t> </w:t>
      </w:r>
      <w:r>
        <w:rPr/>
        <w:t>important’</w:t>
      </w:r>
      <w:r>
        <w:rPr>
          <w:spacing w:val="-5"/>
        </w:rPr>
        <w:t> </w:t>
      </w:r>
      <w:r>
        <w:rPr/>
        <w:t>by</w:t>
      </w:r>
      <w:r>
        <w:rPr>
          <w:spacing w:val="-4"/>
        </w:rPr>
        <w:t> </w:t>
      </w:r>
      <w:r>
        <w:rPr/>
        <w:t>fewer</w:t>
      </w:r>
      <w:r>
        <w:rPr>
          <w:spacing w:val="-5"/>
        </w:rPr>
        <w:t> </w:t>
      </w:r>
      <w:r>
        <w:rPr/>
        <w:t>than</w:t>
      </w:r>
      <w:r>
        <w:rPr>
          <w:spacing w:val="-4"/>
        </w:rPr>
        <w:t> </w:t>
      </w:r>
      <w:r>
        <w:rPr/>
        <w:t>one</w:t>
      </w:r>
      <w:r>
        <w:rPr>
          <w:spacing w:val="-5"/>
        </w:rPr>
        <w:t> </w:t>
      </w:r>
      <w:r>
        <w:rPr/>
        <w:t>third</w:t>
      </w:r>
      <w:r>
        <w:rPr>
          <w:spacing w:val="-5"/>
        </w:rPr>
        <w:t> </w:t>
      </w:r>
      <w:r>
        <w:rPr/>
        <w:t>of</w:t>
      </w:r>
      <w:r>
        <w:rPr>
          <w:spacing w:val="-4"/>
        </w:rPr>
        <w:t> </w:t>
      </w:r>
      <w:r>
        <w:rPr/>
        <w:t>those</w:t>
      </w:r>
      <w:r>
        <w:rPr>
          <w:spacing w:val="-5"/>
        </w:rPr>
        <w:t> </w:t>
      </w:r>
      <w:r>
        <w:rPr/>
        <w:t>firms</w:t>
      </w:r>
      <w:r>
        <w:rPr>
          <w:spacing w:val="-4"/>
        </w:rPr>
        <w:t> </w:t>
      </w:r>
      <w:r>
        <w:rPr/>
        <w:t>reporting</w:t>
      </w:r>
      <w:r>
        <w:rPr>
          <w:spacing w:val="-5"/>
        </w:rPr>
        <w:t> </w:t>
      </w:r>
      <w:r>
        <w:rPr/>
        <w:t>a higher bonus share this year. On balance, roughly the same proportion</w:t>
      </w:r>
      <w:r>
        <w:rPr>
          <w:spacing w:val="-6"/>
        </w:rPr>
        <w:t> </w:t>
      </w:r>
      <w:r>
        <w:rPr/>
        <w:t>of</w:t>
      </w:r>
      <w:r>
        <w:rPr>
          <w:spacing w:val="-6"/>
        </w:rPr>
        <w:t> </w:t>
      </w:r>
      <w:r>
        <w:rPr/>
        <w:t>respondents</w:t>
      </w:r>
      <w:r>
        <w:rPr>
          <w:spacing w:val="-6"/>
        </w:rPr>
        <w:t> </w:t>
      </w:r>
      <w:r>
        <w:rPr/>
        <w:t>had</w:t>
      </w:r>
      <w:r>
        <w:rPr>
          <w:spacing w:val="-6"/>
        </w:rPr>
        <w:t> </w:t>
      </w:r>
      <w:r>
        <w:rPr/>
        <w:t>expected</w:t>
      </w:r>
      <w:r>
        <w:rPr>
          <w:spacing w:val="-5"/>
        </w:rPr>
        <w:t> </w:t>
      </w:r>
      <w:r>
        <w:rPr/>
        <w:t>to</w:t>
      </w:r>
      <w:r>
        <w:rPr>
          <w:spacing w:val="-6"/>
        </w:rPr>
        <w:t> </w:t>
      </w:r>
      <w:r>
        <w:rPr/>
        <w:t>make</w:t>
      </w:r>
      <w:r>
        <w:rPr>
          <w:spacing w:val="-6"/>
        </w:rPr>
        <w:t> </w:t>
      </w:r>
      <w:r>
        <w:rPr/>
        <w:t>significant</w:t>
      </w:r>
      <w:r>
        <w:rPr>
          <w:spacing w:val="-6"/>
        </w:rPr>
        <w:t> </w:t>
      </w:r>
      <w:r>
        <w:rPr/>
        <w:t>bonus</w:t>
      </w:r>
    </w:p>
    <w:p>
      <w:pPr>
        <w:pStyle w:val="BodyText"/>
        <w:spacing w:line="232" w:lineRule="auto"/>
        <w:ind w:left="150" w:right="175"/>
      </w:pPr>
      <w:r>
        <w:rPr/>
        <w:t>payments in March as had done so in January, though it looked as if March bonuses would be concentrated in the financial services sector.</w:t>
      </w:r>
    </w:p>
    <w:p>
      <w:pPr>
        <w:pStyle w:val="BodyText"/>
        <w:spacing w:before="9"/>
        <w:rPr>
          <w:sz w:val="17"/>
        </w:rPr>
      </w:pPr>
    </w:p>
    <w:p>
      <w:pPr>
        <w:pStyle w:val="ListParagraph"/>
        <w:numPr>
          <w:ilvl w:val="0"/>
          <w:numId w:val="53"/>
        </w:numPr>
        <w:tabs>
          <w:tab w:pos="629" w:val="left" w:leader="none"/>
          <w:tab w:pos="630" w:val="left" w:leader="none"/>
        </w:tabs>
        <w:spacing w:line="232" w:lineRule="auto" w:before="1" w:after="0"/>
        <w:ind w:left="150" w:right="211" w:firstLine="0"/>
        <w:jc w:val="left"/>
        <w:rPr>
          <w:sz w:val="18"/>
        </w:rPr>
      </w:pPr>
      <w:r>
        <w:rPr>
          <w:sz w:val="18"/>
        </w:rPr>
        <w:t>Consistent with the AEI, the REC survey showed a sharp pick-up</w:t>
      </w:r>
      <w:r>
        <w:rPr>
          <w:spacing w:val="-5"/>
          <w:sz w:val="18"/>
        </w:rPr>
        <w:t> </w:t>
      </w:r>
      <w:r>
        <w:rPr>
          <w:sz w:val="18"/>
        </w:rPr>
        <w:t>in</w:t>
      </w:r>
      <w:r>
        <w:rPr>
          <w:spacing w:val="-5"/>
          <w:sz w:val="18"/>
        </w:rPr>
        <w:t> </w:t>
      </w:r>
      <w:r>
        <w:rPr>
          <w:sz w:val="18"/>
        </w:rPr>
        <w:t>the</w:t>
      </w:r>
      <w:r>
        <w:rPr>
          <w:spacing w:val="-5"/>
          <w:sz w:val="18"/>
        </w:rPr>
        <w:t> </w:t>
      </w:r>
      <w:r>
        <w:rPr>
          <w:sz w:val="18"/>
        </w:rPr>
        <w:t>growth</w:t>
      </w:r>
      <w:r>
        <w:rPr>
          <w:spacing w:val="-5"/>
          <w:sz w:val="18"/>
        </w:rPr>
        <w:t> </w:t>
      </w:r>
      <w:r>
        <w:rPr>
          <w:sz w:val="18"/>
        </w:rPr>
        <w:t>rate</w:t>
      </w:r>
      <w:r>
        <w:rPr>
          <w:spacing w:val="-5"/>
          <w:sz w:val="18"/>
        </w:rPr>
        <w:t> </w:t>
      </w:r>
      <w:r>
        <w:rPr>
          <w:sz w:val="18"/>
        </w:rPr>
        <w:t>of</w:t>
      </w:r>
      <w:r>
        <w:rPr>
          <w:spacing w:val="-4"/>
          <w:sz w:val="18"/>
        </w:rPr>
        <w:t> </w:t>
      </w:r>
      <w:r>
        <w:rPr>
          <w:sz w:val="18"/>
        </w:rPr>
        <w:t>salaries</w:t>
      </w:r>
      <w:r>
        <w:rPr>
          <w:spacing w:val="-5"/>
          <w:sz w:val="18"/>
        </w:rPr>
        <w:t> </w:t>
      </w:r>
      <w:r>
        <w:rPr>
          <w:sz w:val="18"/>
        </w:rPr>
        <w:t>for</w:t>
      </w:r>
      <w:r>
        <w:rPr>
          <w:spacing w:val="-5"/>
          <w:sz w:val="18"/>
        </w:rPr>
        <w:t> </w:t>
      </w:r>
      <w:r>
        <w:rPr>
          <w:sz w:val="18"/>
        </w:rPr>
        <w:t>permanent</w:t>
      </w:r>
      <w:r>
        <w:rPr>
          <w:spacing w:val="-5"/>
          <w:sz w:val="18"/>
        </w:rPr>
        <w:t> </w:t>
      </w:r>
      <w:r>
        <w:rPr>
          <w:sz w:val="18"/>
        </w:rPr>
        <w:t>staff</w:t>
      </w:r>
      <w:r>
        <w:rPr>
          <w:spacing w:val="-5"/>
          <w:sz w:val="18"/>
        </w:rPr>
        <w:t> </w:t>
      </w:r>
      <w:r>
        <w:rPr>
          <w:sz w:val="18"/>
        </w:rPr>
        <w:t>around</w:t>
      </w:r>
      <w:r>
        <w:rPr>
          <w:spacing w:val="-4"/>
          <w:sz w:val="18"/>
        </w:rPr>
        <w:t> </w:t>
      </w:r>
      <w:r>
        <w:rPr>
          <w:sz w:val="18"/>
        </w:rPr>
        <w:t>the turn of the year. There had been a more moderate increase in the growth rate of pay for temporary (or contract) staff. Wages and salaries per head rose by 5.0% over the year to 1999</w:t>
      </w:r>
      <w:r>
        <w:rPr>
          <w:spacing w:val="-24"/>
          <w:sz w:val="18"/>
        </w:rPr>
        <w:t> </w:t>
      </w:r>
      <w:r>
        <w:rPr>
          <w:sz w:val="18"/>
        </w:rPr>
        <w:t>Q4,</w:t>
      </w:r>
    </w:p>
    <w:p>
      <w:pPr>
        <w:pStyle w:val="ListParagraph"/>
        <w:numPr>
          <w:ilvl w:val="1"/>
          <w:numId w:val="54"/>
        </w:numPr>
        <w:tabs>
          <w:tab w:pos="420" w:val="left" w:leader="none"/>
        </w:tabs>
        <w:spacing w:line="232" w:lineRule="auto" w:before="0" w:after="0"/>
        <w:ind w:left="150" w:right="240" w:firstLine="0"/>
        <w:jc w:val="left"/>
        <w:rPr>
          <w:sz w:val="18"/>
        </w:rPr>
      </w:pPr>
      <w:r>
        <w:rPr>
          <w:sz w:val="18"/>
        </w:rPr>
        <w:t>percentage points below the headline growth in the AEI for December. Growth in unit wage costs fell from 3.8% in the year to Q3 to 3.2% in the year to Q4, reflecting the sharp increase in productivity</w:t>
      </w:r>
      <w:r>
        <w:rPr>
          <w:spacing w:val="-2"/>
          <w:sz w:val="18"/>
        </w:rPr>
        <w:t> </w:t>
      </w:r>
      <w:r>
        <w:rPr>
          <w:sz w:val="18"/>
        </w:rPr>
        <w:t>growth.</w:t>
      </w:r>
    </w:p>
    <w:p>
      <w:pPr>
        <w:pStyle w:val="BodyText"/>
        <w:spacing w:before="8"/>
        <w:rPr>
          <w:sz w:val="16"/>
        </w:rPr>
      </w:pPr>
    </w:p>
    <w:p>
      <w:pPr>
        <w:pStyle w:val="ListParagraph"/>
        <w:numPr>
          <w:ilvl w:val="0"/>
          <w:numId w:val="53"/>
        </w:numPr>
        <w:tabs>
          <w:tab w:pos="629" w:val="left" w:leader="none"/>
          <w:tab w:pos="630" w:val="left" w:leader="none"/>
        </w:tabs>
        <w:spacing w:line="232" w:lineRule="auto" w:before="1" w:after="0"/>
        <w:ind w:left="150" w:right="880" w:firstLine="0"/>
        <w:jc w:val="left"/>
        <w:rPr>
          <w:sz w:val="18"/>
        </w:rPr>
      </w:pPr>
      <w:r>
        <w:rPr>
          <w:sz w:val="18"/>
        </w:rPr>
        <w:t>According to the latest available data, the Bank’s AEI-weighted</w:t>
      </w:r>
      <w:r>
        <w:rPr>
          <w:spacing w:val="-7"/>
          <w:sz w:val="18"/>
        </w:rPr>
        <w:t> </w:t>
      </w:r>
      <w:r>
        <w:rPr>
          <w:sz w:val="18"/>
        </w:rPr>
        <w:t>twelve-month</w:t>
      </w:r>
      <w:r>
        <w:rPr>
          <w:spacing w:val="-7"/>
          <w:sz w:val="18"/>
        </w:rPr>
        <w:t> </w:t>
      </w:r>
      <w:r>
        <w:rPr>
          <w:sz w:val="18"/>
        </w:rPr>
        <w:t>mean</w:t>
      </w:r>
      <w:r>
        <w:rPr>
          <w:spacing w:val="-7"/>
          <w:sz w:val="18"/>
        </w:rPr>
        <w:t> </w:t>
      </w:r>
      <w:r>
        <w:rPr>
          <w:sz w:val="18"/>
        </w:rPr>
        <w:t>settlement</w:t>
      </w:r>
      <w:r>
        <w:rPr>
          <w:spacing w:val="-7"/>
          <w:sz w:val="18"/>
        </w:rPr>
        <w:t> </w:t>
      </w:r>
      <w:r>
        <w:rPr>
          <w:sz w:val="18"/>
        </w:rPr>
        <w:t>was</w:t>
      </w:r>
      <w:r>
        <w:rPr>
          <w:spacing w:val="-6"/>
          <w:sz w:val="18"/>
        </w:rPr>
        <w:t> </w:t>
      </w:r>
      <w:r>
        <w:rPr>
          <w:sz w:val="18"/>
        </w:rPr>
        <w:t>3.3%</w:t>
      </w:r>
      <w:r>
        <w:rPr>
          <w:spacing w:val="-7"/>
          <w:sz w:val="18"/>
        </w:rPr>
        <w:t> </w:t>
      </w:r>
      <w:r>
        <w:rPr>
          <w:sz w:val="18"/>
        </w:rPr>
        <w:t>in</w:t>
      </w:r>
    </w:p>
    <w:p>
      <w:pPr>
        <w:pStyle w:val="BodyText"/>
        <w:spacing w:line="232" w:lineRule="auto"/>
        <w:ind w:left="150" w:right="256"/>
      </w:pPr>
      <w:r>
        <w:rPr/>
        <w:t>February, the same as the January figure. On balance, settlements were turning out lower this year than last year: of the 110 settlements that could be matched 25 were higher, 11 the same and 74 lower in January 2000 than in January 1999.</w:t>
      </w:r>
    </w:p>
    <w:p>
      <w:pPr>
        <w:spacing w:after="0" w:line="232" w:lineRule="auto"/>
        <w:sectPr>
          <w:type w:val="continuous"/>
          <w:pgSz w:w="11900" w:h="16840"/>
          <w:pgMar w:top="1220" w:bottom="280" w:left="640" w:right="620"/>
          <w:cols w:num="2" w:equalWidth="0">
            <w:col w:w="5103" w:space="292"/>
            <w:col w:w="5245"/>
          </w:cols>
        </w:sectPr>
      </w:pPr>
    </w:p>
    <w:p>
      <w:pPr>
        <w:pStyle w:val="BodyText"/>
        <w:rPr>
          <w:sz w:val="20"/>
        </w:rPr>
      </w:pPr>
    </w:p>
    <w:p>
      <w:pPr>
        <w:spacing w:after="0"/>
        <w:rPr>
          <w:sz w:val="20"/>
        </w:rPr>
        <w:sectPr>
          <w:pgSz w:w="11900" w:h="16840"/>
          <w:pgMar w:header="566" w:footer="597" w:top="760" w:bottom="780" w:left="640" w:right="620"/>
        </w:sectPr>
      </w:pPr>
    </w:p>
    <w:p>
      <w:pPr>
        <w:pStyle w:val="Heading8"/>
        <w:numPr>
          <w:ilvl w:val="0"/>
          <w:numId w:val="52"/>
        </w:numPr>
        <w:tabs>
          <w:tab w:pos="639" w:val="left" w:leader="none"/>
          <w:tab w:pos="641" w:val="left" w:leader="none"/>
        </w:tabs>
        <w:spacing w:line="240" w:lineRule="auto" w:before="212" w:after="0"/>
        <w:ind w:left="640" w:right="0" w:hanging="481"/>
        <w:jc w:val="left"/>
      </w:pPr>
      <w:r>
        <w:rPr>
          <w:color w:val="009391"/>
        </w:rPr>
        <w:t>Prices</w:t>
      </w:r>
    </w:p>
    <w:p>
      <w:pPr>
        <w:pStyle w:val="ListParagraph"/>
        <w:numPr>
          <w:ilvl w:val="0"/>
          <w:numId w:val="53"/>
        </w:numPr>
        <w:tabs>
          <w:tab w:pos="639" w:val="left" w:leader="none"/>
          <w:tab w:pos="640" w:val="left" w:leader="none"/>
        </w:tabs>
        <w:spacing w:line="232" w:lineRule="auto" w:before="109" w:after="0"/>
        <w:ind w:left="160" w:right="62" w:firstLine="0"/>
        <w:jc w:val="left"/>
        <w:rPr>
          <w:sz w:val="18"/>
        </w:rPr>
      </w:pPr>
      <w:r>
        <w:rPr>
          <w:sz w:val="18"/>
        </w:rPr>
        <w:t>The Bank oil-inclusive commodity price index had risen by 3.4% in February, taking the annual inflation rate from 18.9% to 22.7%. The monthly increase had reflected price rises in all the major components of the index, except for non-indigenous food. In particular, the price of fuels had risen quite sharply, by 5.1%. This had been mainly due to the 9% rise in crude oil prices in February. Excluding oil, commodity prices had risen by 1.8% in February to give an annual inflation rate of</w:t>
      </w:r>
      <w:r>
        <w:rPr>
          <w:spacing w:val="-9"/>
          <w:sz w:val="18"/>
        </w:rPr>
        <w:t> </w:t>
      </w:r>
      <w:r>
        <w:rPr>
          <w:sz w:val="18"/>
        </w:rPr>
        <w:t>2.9%.</w:t>
      </w:r>
    </w:p>
    <w:p>
      <w:pPr>
        <w:pStyle w:val="BodyText"/>
        <w:spacing w:before="10"/>
        <w:rPr>
          <w:sz w:val="16"/>
        </w:rPr>
      </w:pPr>
    </w:p>
    <w:p>
      <w:pPr>
        <w:pStyle w:val="ListParagraph"/>
        <w:numPr>
          <w:ilvl w:val="0"/>
          <w:numId w:val="53"/>
        </w:numPr>
        <w:tabs>
          <w:tab w:pos="639" w:val="left" w:leader="none"/>
          <w:tab w:pos="640" w:val="left" w:leader="none"/>
        </w:tabs>
        <w:spacing w:line="232" w:lineRule="auto" w:before="0" w:after="0"/>
        <w:ind w:left="160" w:right="67" w:firstLine="0"/>
        <w:jc w:val="left"/>
        <w:rPr>
          <w:sz w:val="18"/>
        </w:rPr>
      </w:pPr>
      <w:r>
        <w:rPr>
          <w:sz w:val="18"/>
        </w:rPr>
        <w:t>Seasonally adjusted manufacturing input prices had risen by 3.1% in February, taking the annual inflation rate from 10.8% to 14.5%, the highest since the mid-1980s. This had again mainly reflected the large monthly rise in the price of crude oil. There had also been rises in the prices of imported materials as a whole and of domestically produced food. According to March’s CIPS manufacturing survey, the input price index had risen to its highest level since August 1995. Seasonally adjusted total output prices excluding excise duties (PPIY) had risen by 0.1% in February, to give an annual inflation rate of 1.6%, slightly down from 1.7% in the previous month. March’s CBI survey output price balance had fallen sharply to -11 from</w:t>
      </w:r>
      <w:r>
        <w:rPr>
          <w:spacing w:val="-7"/>
          <w:sz w:val="18"/>
        </w:rPr>
        <w:t> </w:t>
      </w:r>
      <w:r>
        <w:rPr>
          <w:sz w:val="18"/>
        </w:rPr>
        <w:t>-4.</w:t>
      </w:r>
    </w:p>
    <w:p>
      <w:pPr>
        <w:pStyle w:val="BodyText"/>
        <w:spacing w:before="6"/>
        <w:rPr>
          <w:sz w:val="16"/>
        </w:rPr>
      </w:pPr>
    </w:p>
    <w:p>
      <w:pPr>
        <w:pStyle w:val="ListParagraph"/>
        <w:numPr>
          <w:ilvl w:val="0"/>
          <w:numId w:val="53"/>
        </w:numPr>
        <w:tabs>
          <w:tab w:pos="639" w:val="left" w:leader="none"/>
          <w:tab w:pos="640" w:val="left" w:leader="none"/>
        </w:tabs>
        <w:spacing w:line="232" w:lineRule="auto" w:before="1" w:after="0"/>
        <w:ind w:left="160" w:right="331" w:firstLine="0"/>
        <w:jc w:val="left"/>
        <w:rPr>
          <w:sz w:val="18"/>
        </w:rPr>
      </w:pPr>
      <w:r>
        <w:rPr>
          <w:sz w:val="18"/>
        </w:rPr>
        <w:t>Prices of imported and exported goods had risen by 1.1% and 0.5% respectively in the three months to January compared with the previous three months. Excluding oil, the price of imported goods had risen by 0.5%, while the price of exported goods had fallen by 0.5% over the same</w:t>
      </w:r>
      <w:r>
        <w:rPr>
          <w:spacing w:val="-15"/>
          <w:sz w:val="18"/>
        </w:rPr>
        <w:t> </w:t>
      </w:r>
      <w:r>
        <w:rPr>
          <w:sz w:val="18"/>
        </w:rPr>
        <w:t>period.</w:t>
      </w:r>
    </w:p>
    <w:p>
      <w:pPr>
        <w:pStyle w:val="BodyText"/>
        <w:rPr>
          <w:sz w:val="17"/>
        </w:rPr>
      </w:pPr>
    </w:p>
    <w:p>
      <w:pPr>
        <w:pStyle w:val="ListParagraph"/>
        <w:numPr>
          <w:ilvl w:val="0"/>
          <w:numId w:val="53"/>
        </w:numPr>
        <w:tabs>
          <w:tab w:pos="639" w:val="left" w:leader="none"/>
          <w:tab w:pos="640" w:val="left" w:leader="none"/>
        </w:tabs>
        <w:spacing w:line="232" w:lineRule="auto" w:before="0" w:after="0"/>
        <w:ind w:left="160" w:right="38" w:firstLine="0"/>
        <w:jc w:val="left"/>
        <w:rPr>
          <w:sz w:val="18"/>
        </w:rPr>
      </w:pPr>
      <w:r>
        <w:rPr>
          <w:sz w:val="18"/>
        </w:rPr>
        <w:t>RPIX inflation had risen to 2.2% in February, up from 2.1% in the previous month. RPI inflation had risen to 2.3% in February from 2.0% in January. RPIY inflation had remained unchanged for the second consecutive month in February at 1.8%. Large monthly rises</w:t>
      </w:r>
      <w:r>
        <w:rPr>
          <w:spacing w:val="-5"/>
          <w:sz w:val="18"/>
        </w:rPr>
        <w:t> </w:t>
      </w:r>
      <w:r>
        <w:rPr>
          <w:sz w:val="18"/>
        </w:rPr>
        <w:t>in</w:t>
      </w:r>
      <w:r>
        <w:rPr>
          <w:spacing w:val="-4"/>
          <w:sz w:val="18"/>
        </w:rPr>
        <w:t> </w:t>
      </w:r>
      <w:r>
        <w:rPr>
          <w:sz w:val="18"/>
        </w:rPr>
        <w:t>the</w:t>
      </w:r>
      <w:r>
        <w:rPr>
          <w:spacing w:val="-5"/>
          <w:sz w:val="18"/>
        </w:rPr>
        <w:t> </w:t>
      </w:r>
      <w:r>
        <w:rPr>
          <w:sz w:val="18"/>
        </w:rPr>
        <w:t>prices</w:t>
      </w:r>
      <w:r>
        <w:rPr>
          <w:spacing w:val="-4"/>
          <w:sz w:val="18"/>
        </w:rPr>
        <w:t> </w:t>
      </w:r>
      <w:r>
        <w:rPr>
          <w:sz w:val="18"/>
        </w:rPr>
        <w:t>of</w:t>
      </w:r>
      <w:r>
        <w:rPr>
          <w:spacing w:val="-5"/>
          <w:sz w:val="18"/>
        </w:rPr>
        <w:t> </w:t>
      </w:r>
      <w:r>
        <w:rPr>
          <w:sz w:val="18"/>
        </w:rPr>
        <w:t>clothing,</w:t>
      </w:r>
      <w:r>
        <w:rPr>
          <w:spacing w:val="-4"/>
          <w:sz w:val="18"/>
        </w:rPr>
        <w:t> </w:t>
      </w:r>
      <w:r>
        <w:rPr>
          <w:sz w:val="18"/>
        </w:rPr>
        <w:t>used</w:t>
      </w:r>
      <w:r>
        <w:rPr>
          <w:spacing w:val="-5"/>
          <w:sz w:val="18"/>
        </w:rPr>
        <w:t> </w:t>
      </w:r>
      <w:r>
        <w:rPr>
          <w:sz w:val="18"/>
        </w:rPr>
        <w:t>cars</w:t>
      </w:r>
      <w:r>
        <w:rPr>
          <w:spacing w:val="-4"/>
          <w:sz w:val="18"/>
        </w:rPr>
        <w:t> </w:t>
      </w:r>
      <w:r>
        <w:rPr>
          <w:sz w:val="18"/>
        </w:rPr>
        <w:t>and</w:t>
      </w:r>
      <w:r>
        <w:rPr>
          <w:spacing w:val="-4"/>
          <w:sz w:val="18"/>
        </w:rPr>
        <w:t> </w:t>
      </w:r>
      <w:r>
        <w:rPr>
          <w:sz w:val="18"/>
        </w:rPr>
        <w:t>tobacco</w:t>
      </w:r>
      <w:r>
        <w:rPr>
          <w:spacing w:val="-5"/>
          <w:sz w:val="18"/>
        </w:rPr>
        <w:t> </w:t>
      </w:r>
      <w:r>
        <w:rPr>
          <w:sz w:val="18"/>
        </w:rPr>
        <w:t>had</w:t>
      </w:r>
      <w:r>
        <w:rPr>
          <w:spacing w:val="-4"/>
          <w:sz w:val="18"/>
        </w:rPr>
        <w:t> </w:t>
      </w:r>
      <w:r>
        <w:rPr>
          <w:sz w:val="18"/>
        </w:rPr>
        <w:t>been</w:t>
      </w:r>
      <w:r>
        <w:rPr>
          <w:spacing w:val="-5"/>
          <w:sz w:val="18"/>
        </w:rPr>
        <w:t> </w:t>
      </w:r>
      <w:r>
        <w:rPr>
          <w:sz w:val="18"/>
        </w:rPr>
        <w:t>partly offset by price falls for pharmaceuticals and toiletries, and vehicle insurance.  HICP inflation had risen from 0.8% to 1.0% in February. As a result, the difference between HICP and RPIX inflation had narrowed slightly to 1.2% in February from 1.3% in January. Much of this reduction in the difference had been accounted for by a rise in February in the price of new cars, which are not included in</w:t>
      </w:r>
      <w:r>
        <w:rPr>
          <w:spacing w:val="-5"/>
          <w:sz w:val="18"/>
        </w:rPr>
        <w:t> </w:t>
      </w:r>
      <w:r>
        <w:rPr>
          <w:sz w:val="18"/>
        </w:rPr>
        <w:t>RPIX.</w:t>
      </w:r>
    </w:p>
    <w:p>
      <w:pPr>
        <w:pStyle w:val="BodyText"/>
        <w:spacing w:before="7"/>
        <w:rPr>
          <w:sz w:val="16"/>
        </w:rPr>
      </w:pPr>
    </w:p>
    <w:p>
      <w:pPr>
        <w:pStyle w:val="ListParagraph"/>
        <w:numPr>
          <w:ilvl w:val="0"/>
          <w:numId w:val="53"/>
        </w:numPr>
        <w:tabs>
          <w:tab w:pos="639" w:val="left" w:leader="none"/>
          <w:tab w:pos="640" w:val="left" w:leader="none"/>
        </w:tabs>
        <w:spacing w:line="232" w:lineRule="auto" w:before="0" w:after="0"/>
        <w:ind w:left="160" w:right="267" w:firstLine="0"/>
        <w:jc w:val="left"/>
        <w:rPr>
          <w:sz w:val="18"/>
        </w:rPr>
      </w:pPr>
      <w:r>
        <w:rPr>
          <w:sz w:val="18"/>
        </w:rPr>
        <w:t>The basket and weights of the RPI had been updated, with goods receiving a lower weight and services a higher one. The weights for petrol and depreciation had also</w:t>
      </w:r>
      <w:r>
        <w:rPr>
          <w:spacing w:val="-15"/>
          <w:sz w:val="18"/>
        </w:rPr>
        <w:t> </w:t>
      </w:r>
      <w:r>
        <w:rPr>
          <w:sz w:val="18"/>
        </w:rPr>
        <w:t>risen.</w:t>
      </w:r>
    </w:p>
    <w:p>
      <w:pPr>
        <w:pStyle w:val="BodyText"/>
        <w:spacing w:before="2"/>
        <w:rPr>
          <w:sz w:val="22"/>
        </w:rPr>
      </w:pPr>
    </w:p>
    <w:p>
      <w:pPr>
        <w:pStyle w:val="Heading8"/>
        <w:numPr>
          <w:ilvl w:val="0"/>
          <w:numId w:val="52"/>
        </w:numPr>
        <w:tabs>
          <w:tab w:pos="641" w:val="left" w:leader="none"/>
        </w:tabs>
        <w:spacing w:line="240" w:lineRule="auto" w:before="0" w:after="0"/>
        <w:ind w:left="640" w:right="0" w:hanging="481"/>
        <w:jc w:val="left"/>
      </w:pPr>
      <w:r>
        <w:rPr>
          <w:color w:val="009391"/>
        </w:rPr>
        <w:t>Reports by the </w:t>
      </w:r>
      <w:r>
        <w:rPr>
          <w:color w:val="009391"/>
          <w:spacing w:val="-2"/>
        </w:rPr>
        <w:t>Bank’s</w:t>
      </w:r>
      <w:r>
        <w:rPr>
          <w:color w:val="009391"/>
          <w:spacing w:val="-6"/>
        </w:rPr>
        <w:t> </w:t>
      </w:r>
      <w:r>
        <w:rPr>
          <w:color w:val="009391"/>
        </w:rPr>
        <w:t>Agents</w:t>
      </w:r>
    </w:p>
    <w:p>
      <w:pPr>
        <w:pStyle w:val="ListParagraph"/>
        <w:numPr>
          <w:ilvl w:val="0"/>
          <w:numId w:val="53"/>
        </w:numPr>
        <w:tabs>
          <w:tab w:pos="639" w:val="left" w:leader="none"/>
          <w:tab w:pos="640" w:val="left" w:leader="none"/>
        </w:tabs>
        <w:spacing w:line="232" w:lineRule="auto" w:before="110" w:after="0"/>
        <w:ind w:left="160" w:right="78" w:firstLine="0"/>
        <w:jc w:val="left"/>
        <w:rPr>
          <w:sz w:val="18"/>
        </w:rPr>
      </w:pPr>
      <w:r>
        <w:rPr>
          <w:sz w:val="18"/>
        </w:rPr>
        <w:t>The Bank’s regional Agents had reported a continued moderate recovery in manufacturing activity, although significant sectoral differences remained. The outlook for the sector was reported to be heavily dependent on future movements in the exchange rate. Service sector output growth had remained stable at a strong rate, and there had been some evidence of a strengthening in business services growth. Construction output growth had remained broadly stable, although wide regional variations persisted. The Agents suggested that export volumes had been maintained, but that the strength of sterling continued to result in intense pressure on margins. Concerns regarding the strength of import penetration appeared to have increased</w:t>
      </w:r>
      <w:r>
        <w:rPr>
          <w:spacing w:val="-15"/>
          <w:sz w:val="18"/>
        </w:rPr>
        <w:t> </w:t>
      </w:r>
      <w:r>
        <w:rPr>
          <w:sz w:val="18"/>
        </w:rPr>
        <w:t>further.</w:t>
      </w:r>
    </w:p>
    <w:p>
      <w:pPr>
        <w:pStyle w:val="BodyText"/>
        <w:spacing w:before="7"/>
        <w:rPr>
          <w:sz w:val="19"/>
        </w:rPr>
      </w:pPr>
      <w:r>
        <w:rPr/>
        <w:br w:type="column"/>
      </w:r>
      <w:r>
        <w:rPr>
          <w:sz w:val="19"/>
        </w:rPr>
      </w:r>
    </w:p>
    <w:p>
      <w:pPr>
        <w:pStyle w:val="ListParagraph"/>
        <w:numPr>
          <w:ilvl w:val="0"/>
          <w:numId w:val="53"/>
        </w:numPr>
        <w:tabs>
          <w:tab w:pos="639" w:val="left" w:leader="none"/>
          <w:tab w:pos="640" w:val="left" w:leader="none"/>
        </w:tabs>
        <w:spacing w:line="232" w:lineRule="auto" w:before="1" w:after="0"/>
        <w:ind w:left="160" w:right="179" w:firstLine="0"/>
        <w:jc w:val="left"/>
        <w:rPr>
          <w:sz w:val="18"/>
        </w:rPr>
      </w:pPr>
      <w:r>
        <w:rPr>
          <w:sz w:val="18"/>
        </w:rPr>
        <w:t>Agents had reported a slight easing in annual retail sales growth</w:t>
      </w:r>
      <w:r>
        <w:rPr>
          <w:spacing w:val="-9"/>
          <w:sz w:val="18"/>
        </w:rPr>
        <w:t> </w:t>
      </w:r>
      <w:r>
        <w:rPr>
          <w:sz w:val="18"/>
        </w:rPr>
        <w:t>in</w:t>
      </w:r>
      <w:r>
        <w:rPr>
          <w:spacing w:val="-8"/>
          <w:sz w:val="18"/>
        </w:rPr>
        <w:t> </w:t>
      </w:r>
      <w:r>
        <w:rPr>
          <w:sz w:val="18"/>
        </w:rPr>
        <w:t>February,</w:t>
      </w:r>
      <w:r>
        <w:rPr>
          <w:spacing w:val="-8"/>
          <w:sz w:val="18"/>
        </w:rPr>
        <w:t> </w:t>
      </w:r>
      <w:r>
        <w:rPr>
          <w:sz w:val="18"/>
        </w:rPr>
        <w:t>following</w:t>
      </w:r>
      <w:r>
        <w:rPr>
          <w:spacing w:val="-9"/>
          <w:sz w:val="18"/>
        </w:rPr>
        <w:t> </w:t>
      </w:r>
      <w:r>
        <w:rPr>
          <w:sz w:val="18"/>
        </w:rPr>
        <w:t>stronger</w:t>
      </w:r>
      <w:r>
        <w:rPr>
          <w:spacing w:val="-8"/>
          <w:sz w:val="18"/>
        </w:rPr>
        <w:t> </w:t>
      </w:r>
      <w:r>
        <w:rPr>
          <w:sz w:val="18"/>
        </w:rPr>
        <w:t>Christmas/millennium</w:t>
      </w:r>
      <w:r>
        <w:rPr>
          <w:spacing w:val="-8"/>
          <w:sz w:val="18"/>
        </w:rPr>
        <w:t> </w:t>
      </w:r>
      <w:r>
        <w:rPr>
          <w:sz w:val="18"/>
        </w:rPr>
        <w:t>sales, consistent with ONS retail sales data. New car sales had remained unchanged, while there had been further evidence of a pick-up in the used car</w:t>
      </w:r>
      <w:r>
        <w:rPr>
          <w:spacing w:val="-4"/>
          <w:sz w:val="18"/>
        </w:rPr>
        <w:t> </w:t>
      </w:r>
      <w:r>
        <w:rPr>
          <w:sz w:val="18"/>
        </w:rPr>
        <w:t>market.</w:t>
      </w:r>
    </w:p>
    <w:p>
      <w:pPr>
        <w:pStyle w:val="BodyText"/>
        <w:rPr>
          <w:sz w:val="17"/>
        </w:rPr>
      </w:pPr>
    </w:p>
    <w:p>
      <w:pPr>
        <w:pStyle w:val="ListParagraph"/>
        <w:numPr>
          <w:ilvl w:val="0"/>
          <w:numId w:val="53"/>
        </w:numPr>
        <w:tabs>
          <w:tab w:pos="639" w:val="left" w:leader="none"/>
          <w:tab w:pos="640" w:val="left" w:leader="none"/>
        </w:tabs>
        <w:spacing w:line="232" w:lineRule="auto" w:before="0" w:after="0"/>
        <w:ind w:left="160" w:right="220" w:firstLine="0"/>
        <w:jc w:val="left"/>
        <w:rPr>
          <w:sz w:val="18"/>
        </w:rPr>
      </w:pPr>
      <w:r>
        <w:rPr>
          <w:sz w:val="18"/>
        </w:rPr>
        <w:t>Manufacturers had continued to find it difficult to pass on increases in input prices. There had been further downward pressure on retail goods prices, while service sector inflation was thought to have remained stable. Contacts had remained concerned about skill shortages in the labour market, and there had been signs that expectations regarding pay settlements later in the year had increased in manufacturing and</w:t>
      </w:r>
      <w:r>
        <w:rPr>
          <w:spacing w:val="-7"/>
          <w:sz w:val="18"/>
        </w:rPr>
        <w:t> </w:t>
      </w:r>
      <w:r>
        <w:rPr>
          <w:sz w:val="18"/>
        </w:rPr>
        <w:t>services.</w:t>
      </w:r>
    </w:p>
    <w:p>
      <w:pPr>
        <w:pStyle w:val="BodyText"/>
        <w:spacing w:before="2"/>
        <w:rPr>
          <w:sz w:val="20"/>
        </w:rPr>
      </w:pPr>
    </w:p>
    <w:p>
      <w:pPr>
        <w:pStyle w:val="Heading8"/>
        <w:numPr>
          <w:ilvl w:val="0"/>
          <w:numId w:val="52"/>
        </w:numPr>
        <w:tabs>
          <w:tab w:pos="641" w:val="left" w:leader="none"/>
        </w:tabs>
        <w:spacing w:line="240" w:lineRule="auto" w:before="0" w:after="0"/>
        <w:ind w:left="640" w:right="0" w:hanging="481"/>
        <w:jc w:val="left"/>
      </w:pPr>
      <w:r>
        <w:rPr>
          <w:color w:val="009391"/>
        </w:rPr>
        <w:t>Market</w:t>
      </w:r>
      <w:r>
        <w:rPr>
          <w:color w:val="009391"/>
          <w:spacing w:val="-20"/>
        </w:rPr>
        <w:t> </w:t>
      </w:r>
      <w:r>
        <w:rPr>
          <w:color w:val="009391"/>
        </w:rPr>
        <w:t>intelligence</w:t>
      </w:r>
    </w:p>
    <w:p>
      <w:pPr>
        <w:pStyle w:val="ListParagraph"/>
        <w:numPr>
          <w:ilvl w:val="0"/>
          <w:numId w:val="53"/>
        </w:numPr>
        <w:tabs>
          <w:tab w:pos="639" w:val="left" w:leader="none"/>
          <w:tab w:pos="640" w:val="left" w:leader="none"/>
        </w:tabs>
        <w:spacing w:line="232" w:lineRule="auto" w:before="110" w:after="0"/>
        <w:ind w:left="160" w:right="535" w:firstLine="0"/>
        <w:jc w:val="left"/>
        <w:rPr>
          <w:sz w:val="18"/>
        </w:rPr>
      </w:pPr>
      <w:r>
        <w:rPr>
          <w:sz w:val="18"/>
        </w:rPr>
        <w:t>Expectations of UK interest rates implied by short sterling futures had risen slightly since the previous MPC meeting. But the unexpected weakness of the February retail sales</w:t>
      </w:r>
      <w:r>
        <w:rPr>
          <w:spacing w:val="-7"/>
          <w:sz w:val="18"/>
        </w:rPr>
        <w:t> </w:t>
      </w:r>
      <w:r>
        <w:rPr>
          <w:sz w:val="18"/>
        </w:rPr>
        <w:t>and</w:t>
      </w:r>
      <w:r>
        <w:rPr>
          <w:spacing w:val="-6"/>
          <w:sz w:val="18"/>
        </w:rPr>
        <w:t> </w:t>
      </w:r>
      <w:r>
        <w:rPr>
          <w:sz w:val="18"/>
        </w:rPr>
        <w:t>manufacturing</w:t>
      </w:r>
      <w:r>
        <w:rPr>
          <w:spacing w:val="-6"/>
          <w:sz w:val="18"/>
        </w:rPr>
        <w:t> </w:t>
      </w:r>
      <w:r>
        <w:rPr>
          <w:sz w:val="18"/>
        </w:rPr>
        <w:t>output</w:t>
      </w:r>
      <w:r>
        <w:rPr>
          <w:spacing w:val="-6"/>
          <w:sz w:val="18"/>
        </w:rPr>
        <w:t> </w:t>
      </w:r>
      <w:r>
        <w:rPr>
          <w:sz w:val="18"/>
        </w:rPr>
        <w:t>data,</w:t>
      </w:r>
      <w:r>
        <w:rPr>
          <w:spacing w:val="-6"/>
          <w:sz w:val="18"/>
        </w:rPr>
        <w:t> </w:t>
      </w:r>
      <w:r>
        <w:rPr>
          <w:sz w:val="18"/>
        </w:rPr>
        <w:t>and</w:t>
      </w:r>
      <w:r>
        <w:rPr>
          <w:spacing w:val="-6"/>
          <w:sz w:val="18"/>
        </w:rPr>
        <w:t> </w:t>
      </w:r>
      <w:r>
        <w:rPr>
          <w:sz w:val="18"/>
        </w:rPr>
        <w:t>the</w:t>
      </w:r>
      <w:r>
        <w:rPr>
          <w:spacing w:val="-6"/>
          <w:sz w:val="18"/>
        </w:rPr>
        <w:t> </w:t>
      </w:r>
      <w:r>
        <w:rPr>
          <w:sz w:val="18"/>
        </w:rPr>
        <w:t>sustained</w:t>
      </w:r>
      <w:r>
        <w:rPr>
          <w:spacing w:val="-6"/>
          <w:sz w:val="18"/>
        </w:rPr>
        <w:t> </w:t>
      </w:r>
      <w:r>
        <w:rPr>
          <w:sz w:val="18"/>
        </w:rPr>
        <w:t>strength of sterling since the previous MPC meeting, had</w:t>
      </w:r>
      <w:r>
        <w:rPr>
          <w:spacing w:val="-23"/>
          <w:sz w:val="18"/>
        </w:rPr>
        <w:t> </w:t>
      </w:r>
      <w:r>
        <w:rPr>
          <w:sz w:val="18"/>
        </w:rPr>
        <w:t>limited</w:t>
      </w:r>
    </w:p>
    <w:p>
      <w:pPr>
        <w:pStyle w:val="BodyText"/>
        <w:spacing w:line="232" w:lineRule="auto"/>
        <w:ind w:left="160" w:right="252"/>
      </w:pPr>
      <w:r>
        <w:rPr/>
        <w:t>expectations of a rise in the official interest rate in April. Ahead of the meeting, the markets had attached a probability of up to a half to a rise in the official rate of 25 basis points. The latest poll of economists’ expectations reported by Reuters suggested about a 40% chance of a rate rise, and an expected peak of 6.5% by the third quarter.</w:t>
      </w:r>
    </w:p>
    <w:p>
      <w:pPr>
        <w:pStyle w:val="ListParagraph"/>
        <w:numPr>
          <w:ilvl w:val="0"/>
          <w:numId w:val="53"/>
        </w:numPr>
        <w:tabs>
          <w:tab w:pos="639" w:val="left" w:leader="none"/>
          <w:tab w:pos="640" w:val="left" w:leader="none"/>
        </w:tabs>
        <w:spacing w:line="232" w:lineRule="auto" w:before="171" w:after="0"/>
        <w:ind w:left="160" w:right="395" w:firstLine="0"/>
        <w:jc w:val="left"/>
        <w:rPr>
          <w:sz w:val="18"/>
        </w:rPr>
      </w:pPr>
      <w:r>
        <w:rPr>
          <w:sz w:val="18"/>
        </w:rPr>
        <w:t>In the United States, the FOMC had raised the official rate by 25 basis points on 21 March. This move had been widely anticipated and there had been little market reaction to it. Following the publication of the February FOMC minutes</w:t>
      </w:r>
      <w:r>
        <w:rPr>
          <w:spacing w:val="-30"/>
          <w:sz w:val="18"/>
        </w:rPr>
        <w:t> </w:t>
      </w:r>
      <w:r>
        <w:rPr>
          <w:sz w:val="18"/>
        </w:rPr>
        <w:t>on</w:t>
      </w:r>
    </w:p>
    <w:p>
      <w:pPr>
        <w:pStyle w:val="BodyText"/>
        <w:spacing w:line="232" w:lineRule="auto"/>
        <w:ind w:left="160" w:right="196"/>
      </w:pPr>
      <w:r>
        <w:rPr/>
        <w:t>23 March, in which a discussion of a 50 basis point rate rise was reported, US interest rate futures had risen sharply, but had since fallen back. The ECB raised their official rate by 25 basis points on 16 March and, following that change, interest rate expectations in the euro area had fallen.</w:t>
      </w:r>
    </w:p>
    <w:p>
      <w:pPr>
        <w:pStyle w:val="BodyText"/>
        <w:spacing w:before="9"/>
        <w:rPr>
          <w:sz w:val="16"/>
        </w:rPr>
      </w:pPr>
    </w:p>
    <w:p>
      <w:pPr>
        <w:pStyle w:val="ListParagraph"/>
        <w:numPr>
          <w:ilvl w:val="0"/>
          <w:numId w:val="55"/>
        </w:numPr>
        <w:tabs>
          <w:tab w:pos="639" w:val="left" w:leader="none"/>
          <w:tab w:pos="640" w:val="left" w:leader="none"/>
        </w:tabs>
        <w:spacing w:line="232" w:lineRule="auto" w:before="0" w:after="0"/>
        <w:ind w:left="160" w:right="290" w:firstLine="0"/>
        <w:jc w:val="left"/>
        <w:rPr>
          <w:sz w:val="18"/>
        </w:rPr>
      </w:pPr>
      <w:r>
        <w:rPr>
          <w:sz w:val="18"/>
        </w:rPr>
        <w:t>Since the previous Committee meeting there had been some volatility in US equity markets, with a 15% fall in the US NASDAQ index and a 12% rise in the Dow Jones index (the FTSE All-Share index had fallen by 2% over the same period). Market participants had reported that the movements had been caused by a fall in demand for technology stocks and</w:t>
      </w:r>
      <w:r>
        <w:rPr>
          <w:spacing w:val="-21"/>
          <w:sz w:val="18"/>
        </w:rPr>
        <w:t> </w:t>
      </w:r>
      <w:r>
        <w:rPr>
          <w:sz w:val="18"/>
        </w:rPr>
        <w:t>a</w:t>
      </w:r>
    </w:p>
    <w:p>
      <w:pPr>
        <w:pStyle w:val="BodyText"/>
        <w:spacing w:line="232" w:lineRule="auto"/>
        <w:ind w:left="160" w:right="215"/>
      </w:pPr>
      <w:r>
        <w:rPr/>
        <w:t>corresponding rise in demand for ‘blue-chip’ stocks. In recent days there had been a notable rise in volatility, with the NASDAQ having fallen by 16% between 24 March and 5 April and the Dow Jones having fallen by 0.7% over the same period. Increased volatility had been attributed to uncertainty about the valuation of technology stocks.</w:t>
      </w:r>
    </w:p>
    <w:p>
      <w:pPr>
        <w:pStyle w:val="BodyText"/>
        <w:spacing w:before="7"/>
        <w:rPr>
          <w:sz w:val="16"/>
        </w:rPr>
      </w:pPr>
    </w:p>
    <w:p>
      <w:pPr>
        <w:pStyle w:val="ListParagraph"/>
        <w:numPr>
          <w:ilvl w:val="0"/>
          <w:numId w:val="55"/>
        </w:numPr>
        <w:tabs>
          <w:tab w:pos="639" w:val="left" w:leader="none"/>
          <w:tab w:pos="640" w:val="left" w:leader="none"/>
        </w:tabs>
        <w:spacing w:line="232" w:lineRule="auto" w:before="0" w:after="0"/>
        <w:ind w:left="160" w:right="345" w:firstLine="0"/>
        <w:jc w:val="left"/>
        <w:rPr>
          <w:sz w:val="18"/>
        </w:rPr>
      </w:pPr>
      <w:r>
        <w:rPr>
          <w:sz w:val="18"/>
        </w:rPr>
        <w:t>Sterling’s effective exchange rate index had fallen slightly from 109.3 to 108.9 since the previous Committee meeting, reflecting a small depreciation against the euro and the yen, but a slight appreciation against the US dollar. Risk reversals traded in the foreign exchange market were close to neutral for sterling exchange rates. Since the previous Committee meeting there had been a number of mergers and acquisition deals (both confirmed and</w:t>
      </w:r>
      <w:r>
        <w:rPr>
          <w:spacing w:val="-6"/>
          <w:sz w:val="18"/>
        </w:rPr>
        <w:t> </w:t>
      </w:r>
      <w:r>
        <w:rPr>
          <w:sz w:val="18"/>
        </w:rPr>
        <w:t>rumoured)</w:t>
      </w:r>
      <w:r>
        <w:rPr>
          <w:spacing w:val="-5"/>
          <w:sz w:val="18"/>
        </w:rPr>
        <w:t> </w:t>
      </w:r>
      <w:r>
        <w:rPr>
          <w:sz w:val="18"/>
        </w:rPr>
        <w:t>which</w:t>
      </w:r>
      <w:r>
        <w:rPr>
          <w:spacing w:val="-6"/>
          <w:sz w:val="18"/>
        </w:rPr>
        <w:t> </w:t>
      </w:r>
      <w:r>
        <w:rPr>
          <w:sz w:val="18"/>
        </w:rPr>
        <w:t>had,</w:t>
      </w:r>
      <w:r>
        <w:rPr>
          <w:spacing w:val="-5"/>
          <w:sz w:val="18"/>
        </w:rPr>
        <w:t> </w:t>
      </w:r>
      <w:r>
        <w:rPr>
          <w:sz w:val="18"/>
        </w:rPr>
        <w:t>or</w:t>
      </w:r>
      <w:r>
        <w:rPr>
          <w:spacing w:val="-5"/>
          <w:sz w:val="18"/>
        </w:rPr>
        <w:t> </w:t>
      </w:r>
      <w:r>
        <w:rPr>
          <w:sz w:val="18"/>
        </w:rPr>
        <w:t>were</w:t>
      </w:r>
      <w:r>
        <w:rPr>
          <w:spacing w:val="-6"/>
          <w:sz w:val="18"/>
        </w:rPr>
        <w:t> </w:t>
      </w:r>
      <w:r>
        <w:rPr>
          <w:sz w:val="18"/>
        </w:rPr>
        <w:t>expected</w:t>
      </w:r>
      <w:r>
        <w:rPr>
          <w:spacing w:val="-5"/>
          <w:sz w:val="18"/>
        </w:rPr>
        <w:t> </w:t>
      </w:r>
      <w:r>
        <w:rPr>
          <w:sz w:val="18"/>
        </w:rPr>
        <w:t>to,</w:t>
      </w:r>
      <w:r>
        <w:rPr>
          <w:spacing w:val="-6"/>
          <w:sz w:val="18"/>
        </w:rPr>
        <w:t> </w:t>
      </w:r>
      <w:r>
        <w:rPr>
          <w:sz w:val="18"/>
        </w:rPr>
        <w:t>involve</w:t>
      </w:r>
      <w:r>
        <w:rPr>
          <w:spacing w:val="-5"/>
          <w:sz w:val="18"/>
        </w:rPr>
        <w:t> </w:t>
      </w:r>
      <w:r>
        <w:rPr>
          <w:sz w:val="18"/>
        </w:rPr>
        <w:t>purchases of sterling. That had helped to support sterling, both against the US dollar and the</w:t>
      </w:r>
      <w:r>
        <w:rPr>
          <w:spacing w:val="-4"/>
          <w:sz w:val="18"/>
        </w:rPr>
        <w:t> </w:t>
      </w:r>
      <w:r>
        <w:rPr>
          <w:sz w:val="18"/>
        </w:rPr>
        <w:t>euro.</w:t>
      </w:r>
    </w:p>
    <w:p>
      <w:pPr>
        <w:spacing w:after="0" w:line="232" w:lineRule="auto"/>
        <w:jc w:val="left"/>
        <w:rPr>
          <w:sz w:val="18"/>
        </w:rPr>
        <w:sectPr>
          <w:type w:val="continuous"/>
          <w:pgSz w:w="11900" w:h="16840"/>
          <w:pgMar w:top="1220" w:bottom="280" w:left="640" w:right="620"/>
          <w:cols w:num="2" w:equalWidth="0">
            <w:col w:w="5103" w:space="287"/>
            <w:col w:w="5250"/>
          </w:cols>
        </w:sectPr>
      </w:pPr>
    </w:p>
    <w:p>
      <w:pPr>
        <w:pStyle w:val="BodyText"/>
        <w:rPr>
          <w:sz w:val="20"/>
        </w:rPr>
      </w:pPr>
    </w:p>
    <w:p>
      <w:pPr>
        <w:spacing w:line="357" w:lineRule="auto" w:before="218"/>
        <w:ind w:left="155" w:right="3681" w:firstLine="0"/>
        <w:jc w:val="left"/>
        <w:rPr>
          <w:b/>
          <w:sz w:val="28"/>
        </w:rPr>
      </w:pPr>
      <w:bookmarkStart w:name="April press notice" w:id="106"/>
      <w:bookmarkEnd w:id="106"/>
      <w:r>
        <w:rPr/>
      </w:r>
      <w:bookmarkStart w:name="May press notice" w:id="107"/>
      <w:bookmarkEnd w:id="107"/>
      <w:r>
        <w:rPr/>
      </w:r>
      <w:bookmarkStart w:name="_bookmark54" w:id="108"/>
      <w:bookmarkEnd w:id="108"/>
      <w:r>
        <w:rPr/>
      </w:r>
      <w:bookmarkStart w:name="_bookmark55" w:id="109"/>
      <w:bookmarkEnd w:id="109"/>
      <w:r>
        <w:rPr/>
      </w:r>
      <w:r>
        <w:rPr>
          <w:b/>
          <w:color w:val="009391"/>
          <w:sz w:val="28"/>
        </w:rPr>
        <w:t>Text of Bank of England press notice of 6 April 2000 Bank of England maintains interest rates at 6.0%</w:t>
      </w:r>
    </w:p>
    <w:p>
      <w:pPr>
        <w:pStyle w:val="BodyText"/>
        <w:spacing w:line="463" w:lineRule="auto" w:before="244"/>
        <w:ind w:left="160" w:right="2801"/>
      </w:pPr>
      <w:r>
        <w:rPr/>
        <w:t>The Bank of England’s Monetary Policy Committee today voted to maintain the Bank’s repo rate at 6.0%. The minutes of the meeting will be published at 9.30 am on Wednesday 19 April.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p>
    <w:p>
      <w:pPr>
        <w:pStyle w:val="Heading3"/>
        <w:spacing w:line="357" w:lineRule="auto" w:before="89"/>
        <w:ind w:left="165" w:right="3681"/>
      </w:pPr>
      <w:r>
        <w:rPr>
          <w:color w:val="009391"/>
        </w:rPr>
        <w:t>Text of Bank of England press notice of 4 May 2000 Bank of England maintains interest rates at 6.0%</w:t>
      </w:r>
    </w:p>
    <w:p>
      <w:pPr>
        <w:pStyle w:val="BodyText"/>
        <w:rPr>
          <w:b/>
          <w:sz w:val="14"/>
        </w:rPr>
      </w:pPr>
    </w:p>
    <w:p>
      <w:pPr>
        <w:pStyle w:val="BodyText"/>
        <w:spacing w:line="463" w:lineRule="auto" w:before="93"/>
        <w:ind w:left="170" w:right="2791"/>
      </w:pPr>
      <w:r>
        <w:rPr/>
        <w:t>The Bank of England’s Monetary Policy Committee today voted to maintain the Bank’s repo rate at 6.0%. The </w:t>
      </w:r>
      <w:r>
        <w:rPr>
          <w:i/>
        </w:rPr>
        <w:t>Inflation Report </w:t>
      </w:r>
      <w:r>
        <w:rPr/>
        <w:t>will be published on Wednesday 10 May.</w:t>
      </w:r>
    </w:p>
    <w:p>
      <w:pPr>
        <w:pStyle w:val="BodyText"/>
        <w:spacing w:before="1"/>
        <w:ind w:left="170"/>
      </w:pPr>
      <w:r>
        <w:rPr/>
        <w:t>The minutes of the meeting will be published at 9.30 am on Wednesday 17 May.</w:t>
      </w:r>
    </w:p>
    <w:p>
      <w:pPr>
        <w:spacing w:after="0"/>
        <w:sectPr>
          <w:pgSz w:w="11900" w:h="16840"/>
          <w:pgMar w:header="566" w:footer="597" w:top="760" w:bottom="780" w:left="640" w:right="620"/>
        </w:sectPr>
      </w:pPr>
    </w:p>
    <w:p>
      <w:pPr>
        <w:pStyle w:val="Heading3"/>
        <w:spacing w:before="61"/>
        <w:ind w:left="569"/>
      </w:pPr>
      <w:bookmarkStart w:name="Glossary and other information" w:id="110"/>
      <w:bookmarkEnd w:id="110"/>
      <w:r>
        <w:rPr>
          <w:b w:val="0"/>
        </w:rPr>
      </w:r>
      <w:bookmarkStart w:name="_bookmark56" w:id="111"/>
      <w:bookmarkEnd w:id="111"/>
      <w:r>
        <w:rPr>
          <w:b w:val="0"/>
        </w:rPr>
      </w:r>
      <w:r>
        <w:rPr>
          <w:color w:val="009391"/>
        </w:rPr>
        <w:t>Glossary and other information</w:t>
      </w:r>
    </w:p>
    <w:p>
      <w:pPr>
        <w:pStyle w:val="BodyText"/>
        <w:spacing w:before="8"/>
        <w:rPr>
          <w:b/>
          <w:sz w:val="25"/>
        </w:rPr>
      </w:pPr>
    </w:p>
    <w:p>
      <w:pPr>
        <w:pStyle w:val="Heading5"/>
      </w:pPr>
      <w:r>
        <w:rPr>
          <w:color w:val="0092C7"/>
        </w:rPr>
        <w:t>Glossary of selected data</w:t>
      </w:r>
    </w:p>
    <w:p>
      <w:pPr>
        <w:spacing w:before="121"/>
        <w:ind w:left="569" w:right="0" w:firstLine="0"/>
        <w:jc w:val="left"/>
        <w:rPr>
          <w:sz w:val="19"/>
        </w:rPr>
      </w:pPr>
      <w:r>
        <w:rPr>
          <w:b/>
          <w:sz w:val="19"/>
        </w:rPr>
        <w:t>AEI: </w:t>
      </w:r>
      <w:r>
        <w:rPr>
          <w:sz w:val="19"/>
        </w:rPr>
        <w:t>Average Earnings Index.</w:t>
      </w:r>
    </w:p>
    <w:p>
      <w:pPr>
        <w:spacing w:before="12"/>
        <w:ind w:left="569" w:right="0" w:firstLine="0"/>
        <w:jc w:val="left"/>
        <w:rPr>
          <w:sz w:val="19"/>
        </w:rPr>
      </w:pPr>
      <w:r>
        <w:rPr>
          <w:b/>
          <w:sz w:val="19"/>
        </w:rPr>
        <w:t>DGI: </w:t>
      </w:r>
      <w:r>
        <w:rPr>
          <w:sz w:val="19"/>
        </w:rPr>
        <w:t>domestically generated inflation.</w:t>
      </w:r>
    </w:p>
    <w:p>
      <w:pPr>
        <w:spacing w:line="252" w:lineRule="auto" w:before="11"/>
        <w:ind w:left="789" w:right="381" w:hanging="220"/>
        <w:jc w:val="left"/>
        <w:rPr>
          <w:sz w:val="19"/>
        </w:rPr>
      </w:pPr>
      <w:r>
        <w:rPr>
          <w:b/>
          <w:sz w:val="19"/>
        </w:rPr>
        <w:t>Divisia money</w:t>
      </w:r>
      <w:r>
        <w:rPr>
          <w:sz w:val="19"/>
        </w:rPr>
        <w:t>: a measure of the money stock in which each component is weighted according to an estimate of its likely use for transactions.</w:t>
      </w:r>
    </w:p>
    <w:p>
      <w:pPr>
        <w:spacing w:before="1"/>
        <w:ind w:left="569" w:right="0" w:firstLine="0"/>
        <w:jc w:val="left"/>
        <w:rPr>
          <w:sz w:val="19"/>
        </w:rPr>
      </w:pPr>
      <w:r>
        <w:rPr>
          <w:b/>
          <w:sz w:val="19"/>
        </w:rPr>
        <w:t>ERI: </w:t>
      </w:r>
      <w:r>
        <w:rPr>
          <w:sz w:val="19"/>
        </w:rPr>
        <w:t>exchange rate index.</w:t>
      </w:r>
    </w:p>
    <w:p>
      <w:pPr>
        <w:spacing w:before="12"/>
        <w:ind w:left="569" w:right="0" w:firstLine="0"/>
        <w:jc w:val="left"/>
        <w:rPr>
          <w:sz w:val="19"/>
        </w:rPr>
      </w:pPr>
      <w:r>
        <w:rPr>
          <w:b/>
          <w:sz w:val="19"/>
        </w:rPr>
        <w:t>HICP: </w:t>
      </w:r>
      <w:r>
        <w:rPr>
          <w:sz w:val="19"/>
        </w:rPr>
        <w:t>Harmonised Index of Consumer Prices.</w:t>
      </w:r>
    </w:p>
    <w:p>
      <w:pPr>
        <w:spacing w:before="11"/>
        <w:ind w:left="569" w:right="0" w:firstLine="0"/>
        <w:jc w:val="left"/>
        <w:rPr>
          <w:sz w:val="19"/>
        </w:rPr>
      </w:pPr>
      <w:r>
        <w:rPr>
          <w:b/>
          <w:sz w:val="19"/>
        </w:rPr>
        <w:t>M0: </w:t>
      </w:r>
      <w:r>
        <w:rPr>
          <w:sz w:val="19"/>
        </w:rPr>
        <w:t>notes and coin in circulation outside the Bank of England and bankers’ operational deposits at the Bank.</w:t>
      </w:r>
    </w:p>
    <w:p>
      <w:pPr>
        <w:spacing w:line="252" w:lineRule="auto" w:before="12"/>
        <w:ind w:left="789" w:right="190" w:hanging="220"/>
        <w:jc w:val="left"/>
        <w:rPr>
          <w:sz w:val="19"/>
        </w:rPr>
      </w:pPr>
      <w:r>
        <w:rPr>
          <w:b/>
          <w:sz w:val="19"/>
        </w:rPr>
        <w:t>M4: </w:t>
      </w:r>
      <w:r>
        <w:rPr>
          <w:sz w:val="19"/>
        </w:rPr>
        <w:t>UK non-bank, non building society private sector’s holdings of notes and coin, plus all sterling deposits (including certificates of deposit) held at UK banks and building societies by the non-bank, non building society private sector.</w:t>
      </w:r>
    </w:p>
    <w:p>
      <w:pPr>
        <w:spacing w:before="1"/>
        <w:ind w:left="569" w:right="0" w:firstLine="0"/>
        <w:jc w:val="left"/>
        <w:rPr>
          <w:sz w:val="19"/>
        </w:rPr>
      </w:pPr>
      <w:r>
        <w:rPr>
          <w:b/>
          <w:sz w:val="19"/>
        </w:rPr>
        <w:t>M4 lending: </w:t>
      </w:r>
      <w:r>
        <w:rPr>
          <w:sz w:val="19"/>
        </w:rPr>
        <w:t>sterling lending by UK monetary institutions (MFIs) to all UK residents other than the public sector and MFIs.</w:t>
      </w:r>
    </w:p>
    <w:p>
      <w:pPr>
        <w:spacing w:before="12"/>
        <w:ind w:left="789" w:right="0" w:firstLine="0"/>
        <w:jc w:val="left"/>
        <w:rPr>
          <w:sz w:val="19"/>
        </w:rPr>
      </w:pPr>
      <w:r>
        <w:rPr>
          <w:sz w:val="19"/>
        </w:rPr>
        <w:t>M4 lending includes loans and advances as well as investments, acceptances and reverse repo transactions.</w:t>
      </w:r>
    </w:p>
    <w:p>
      <w:pPr>
        <w:spacing w:before="11"/>
        <w:ind w:left="569" w:right="0" w:firstLine="0"/>
        <w:jc w:val="left"/>
        <w:rPr>
          <w:sz w:val="19"/>
        </w:rPr>
      </w:pPr>
      <w:r>
        <w:rPr>
          <w:b/>
          <w:sz w:val="19"/>
        </w:rPr>
        <w:t>RPI inflation: </w:t>
      </w:r>
      <w:r>
        <w:rPr>
          <w:sz w:val="19"/>
        </w:rPr>
        <w:t>inflation measured by the retail price index.</w:t>
      </w:r>
    </w:p>
    <w:p>
      <w:pPr>
        <w:spacing w:before="12"/>
        <w:ind w:left="569" w:right="0" w:firstLine="0"/>
        <w:jc w:val="left"/>
        <w:rPr>
          <w:sz w:val="19"/>
        </w:rPr>
      </w:pPr>
      <w:r>
        <w:rPr>
          <w:b/>
          <w:sz w:val="19"/>
        </w:rPr>
        <w:t>RPIX inflation: </w:t>
      </w:r>
      <w:r>
        <w:rPr>
          <w:sz w:val="19"/>
        </w:rPr>
        <w:t>inflation measured by the RPI excluding mortgage interest payments.</w:t>
      </w:r>
    </w:p>
    <w:p>
      <w:pPr>
        <w:spacing w:line="252" w:lineRule="auto" w:before="11"/>
        <w:ind w:left="789" w:right="931" w:hanging="220"/>
        <w:jc w:val="left"/>
        <w:rPr>
          <w:sz w:val="19"/>
        </w:rPr>
      </w:pPr>
      <w:r>
        <w:rPr>
          <w:b/>
          <w:sz w:val="19"/>
        </w:rPr>
        <w:t>RPIY inflation: </w:t>
      </w:r>
      <w:r>
        <w:rPr>
          <w:sz w:val="19"/>
        </w:rPr>
        <w:t>inflation measured by the RPI excluding mortgage interest payments and the following indirect taxes: council tax, VAT, duties, car purchase tax and vehicle excise duty, insurance tax and airport tax.</w:t>
      </w:r>
    </w:p>
    <w:p>
      <w:pPr>
        <w:spacing w:before="121"/>
        <w:ind w:left="569" w:right="0" w:firstLine="0"/>
        <w:jc w:val="left"/>
        <w:rPr>
          <w:sz w:val="19"/>
        </w:rPr>
      </w:pPr>
      <w:r>
        <w:rPr>
          <w:b/>
          <w:sz w:val="19"/>
        </w:rPr>
        <w:t>Three-month annualised</w:t>
      </w:r>
      <w:r>
        <w:rPr>
          <w:sz w:val="19"/>
        </w:rPr>
        <w:t>: the percentage change in a series over three months, expressed as an annual rate.</w:t>
      </w:r>
    </w:p>
    <w:p>
      <w:pPr>
        <w:pStyle w:val="BodyText"/>
        <w:spacing w:before="8"/>
      </w:pPr>
    </w:p>
    <w:p>
      <w:pPr>
        <w:pStyle w:val="Heading5"/>
      </w:pPr>
      <w:r>
        <w:rPr>
          <w:color w:val="0092C7"/>
        </w:rPr>
        <w:t>Abbreviations</w:t>
      </w:r>
    </w:p>
    <w:p>
      <w:pPr>
        <w:spacing w:line="252" w:lineRule="auto" w:before="81"/>
        <w:ind w:left="569" w:right="7015" w:firstLine="0"/>
        <w:jc w:val="left"/>
        <w:rPr>
          <w:sz w:val="19"/>
        </w:rPr>
      </w:pPr>
      <w:r>
        <w:rPr>
          <w:b/>
          <w:sz w:val="19"/>
        </w:rPr>
        <w:t>ACT:  </w:t>
      </w:r>
      <w:r>
        <w:rPr>
          <w:sz w:val="19"/>
        </w:rPr>
        <w:t>Advance Corporation Tax. </w:t>
      </w:r>
      <w:r>
        <w:rPr>
          <w:b/>
          <w:sz w:val="19"/>
        </w:rPr>
        <w:t>BCC: </w:t>
      </w:r>
      <w:r>
        <w:rPr>
          <w:sz w:val="19"/>
        </w:rPr>
        <w:t>British Chambers of Commerce. </w:t>
      </w:r>
      <w:r>
        <w:rPr>
          <w:b/>
          <w:sz w:val="19"/>
        </w:rPr>
        <w:t>CBI: </w:t>
      </w:r>
      <w:r>
        <w:rPr>
          <w:sz w:val="19"/>
        </w:rPr>
        <w:t>Confederation of British</w:t>
      </w:r>
      <w:r>
        <w:rPr>
          <w:spacing w:val="-31"/>
          <w:sz w:val="19"/>
        </w:rPr>
        <w:t> </w:t>
      </w:r>
      <w:r>
        <w:rPr>
          <w:sz w:val="19"/>
        </w:rPr>
        <w:t>Industry.</w:t>
      </w:r>
    </w:p>
    <w:p>
      <w:pPr>
        <w:spacing w:before="2"/>
        <w:ind w:left="569" w:right="0" w:firstLine="0"/>
        <w:jc w:val="left"/>
        <w:rPr>
          <w:sz w:val="19"/>
        </w:rPr>
      </w:pPr>
      <w:r>
        <w:rPr>
          <w:b/>
          <w:sz w:val="19"/>
        </w:rPr>
        <w:t>CIPS: </w:t>
      </w:r>
      <w:r>
        <w:rPr>
          <w:sz w:val="19"/>
        </w:rPr>
        <w:t>Chartered Institute of Purchasing and Supply.</w:t>
      </w:r>
    </w:p>
    <w:p>
      <w:pPr>
        <w:spacing w:before="11"/>
        <w:ind w:left="569" w:right="0" w:firstLine="0"/>
        <w:jc w:val="left"/>
        <w:rPr>
          <w:sz w:val="19"/>
        </w:rPr>
      </w:pPr>
      <w:r>
        <w:rPr>
          <w:b/>
          <w:sz w:val="19"/>
        </w:rPr>
        <w:t>CML: </w:t>
      </w:r>
      <w:r>
        <w:rPr>
          <w:sz w:val="19"/>
        </w:rPr>
        <w:t>Council of Mortgage Lenders.</w:t>
      </w:r>
    </w:p>
    <w:p>
      <w:pPr>
        <w:spacing w:before="12"/>
        <w:ind w:left="569" w:right="0" w:firstLine="0"/>
        <w:jc w:val="left"/>
        <w:rPr>
          <w:sz w:val="19"/>
        </w:rPr>
      </w:pPr>
      <w:r>
        <w:rPr>
          <w:b/>
          <w:sz w:val="19"/>
        </w:rPr>
        <w:t>cob: </w:t>
      </w:r>
      <w:r>
        <w:rPr>
          <w:sz w:val="19"/>
        </w:rPr>
        <w:t>close of business.</w:t>
      </w:r>
    </w:p>
    <w:p>
      <w:pPr>
        <w:spacing w:before="11"/>
        <w:ind w:left="569" w:right="0" w:firstLine="0"/>
        <w:jc w:val="left"/>
        <w:rPr>
          <w:sz w:val="19"/>
        </w:rPr>
      </w:pPr>
      <w:r>
        <w:rPr>
          <w:b/>
          <w:sz w:val="19"/>
        </w:rPr>
        <w:t>DETR: </w:t>
      </w:r>
      <w:r>
        <w:rPr>
          <w:sz w:val="19"/>
        </w:rPr>
        <w:t>Department of the Environment, Transport and the Regions.</w:t>
      </w:r>
    </w:p>
    <w:p>
      <w:pPr>
        <w:spacing w:before="12"/>
        <w:ind w:left="569" w:right="0" w:firstLine="0"/>
        <w:jc w:val="left"/>
        <w:rPr>
          <w:sz w:val="19"/>
        </w:rPr>
      </w:pPr>
      <w:r>
        <w:rPr>
          <w:b/>
          <w:sz w:val="19"/>
        </w:rPr>
        <w:t>DMO: </w:t>
      </w:r>
      <w:r>
        <w:rPr>
          <w:sz w:val="19"/>
        </w:rPr>
        <w:t>Debt Management Office.</w:t>
      </w:r>
    </w:p>
    <w:p>
      <w:pPr>
        <w:spacing w:before="11"/>
        <w:ind w:left="569" w:right="0" w:firstLine="0"/>
        <w:jc w:val="left"/>
        <w:rPr>
          <w:sz w:val="19"/>
        </w:rPr>
      </w:pPr>
      <w:r>
        <w:rPr>
          <w:b/>
          <w:sz w:val="19"/>
        </w:rPr>
        <w:t>DS: </w:t>
      </w:r>
      <w:r>
        <w:rPr>
          <w:sz w:val="19"/>
        </w:rPr>
        <w:t>Datastream.</w:t>
      </w:r>
    </w:p>
    <w:p>
      <w:pPr>
        <w:spacing w:before="12"/>
        <w:ind w:left="569" w:right="0" w:firstLine="0"/>
        <w:jc w:val="left"/>
        <w:rPr>
          <w:sz w:val="19"/>
        </w:rPr>
      </w:pPr>
      <w:r>
        <w:rPr>
          <w:b/>
          <w:sz w:val="19"/>
        </w:rPr>
        <w:t>ECB: </w:t>
      </w:r>
      <w:r>
        <w:rPr>
          <w:sz w:val="19"/>
        </w:rPr>
        <w:t>European Central Bank.</w:t>
      </w:r>
    </w:p>
    <w:p>
      <w:pPr>
        <w:spacing w:before="11"/>
        <w:ind w:left="569" w:right="0" w:firstLine="0"/>
        <w:jc w:val="left"/>
        <w:rPr>
          <w:sz w:val="19"/>
        </w:rPr>
      </w:pPr>
      <w:r>
        <w:rPr>
          <w:b/>
          <w:sz w:val="19"/>
        </w:rPr>
        <w:t>EU: </w:t>
      </w:r>
      <w:r>
        <w:rPr>
          <w:sz w:val="19"/>
        </w:rPr>
        <w:t>European Union.</w:t>
      </w:r>
    </w:p>
    <w:p>
      <w:pPr>
        <w:spacing w:before="12"/>
        <w:ind w:left="569" w:right="0" w:firstLine="0"/>
        <w:jc w:val="left"/>
        <w:rPr>
          <w:sz w:val="19"/>
        </w:rPr>
      </w:pPr>
      <w:r>
        <w:rPr>
          <w:b/>
          <w:sz w:val="19"/>
        </w:rPr>
        <w:t>FTSE: </w:t>
      </w:r>
      <w:r>
        <w:rPr>
          <w:sz w:val="19"/>
        </w:rPr>
        <w:t>Financial Times Stock Exchange.</w:t>
      </w:r>
    </w:p>
    <w:p>
      <w:pPr>
        <w:spacing w:line="252" w:lineRule="auto" w:before="11"/>
        <w:ind w:left="569" w:right="5964" w:firstLine="0"/>
        <w:jc w:val="left"/>
        <w:rPr>
          <w:sz w:val="19"/>
        </w:rPr>
      </w:pPr>
      <w:r>
        <w:rPr>
          <w:b/>
          <w:sz w:val="19"/>
        </w:rPr>
        <w:t>GfK: </w:t>
      </w:r>
      <w:r>
        <w:rPr>
          <w:sz w:val="19"/>
        </w:rPr>
        <w:t>Gesellschaft für Konsum, Great Britain Ltd. </w:t>
      </w:r>
      <w:r>
        <w:rPr>
          <w:b/>
          <w:sz w:val="19"/>
        </w:rPr>
        <w:t>ICPFs: </w:t>
      </w:r>
      <w:r>
        <w:rPr>
          <w:sz w:val="19"/>
        </w:rPr>
        <w:t>insurance companies and pension funds. </w:t>
      </w:r>
      <w:r>
        <w:rPr>
          <w:b/>
          <w:sz w:val="19"/>
        </w:rPr>
        <w:t>IMF: </w:t>
      </w:r>
      <w:r>
        <w:rPr>
          <w:sz w:val="19"/>
        </w:rPr>
        <w:t>International Monetary Fund.</w:t>
      </w:r>
    </w:p>
    <w:p>
      <w:pPr>
        <w:spacing w:before="2"/>
        <w:ind w:left="569" w:right="0" w:firstLine="0"/>
        <w:jc w:val="left"/>
        <w:rPr>
          <w:sz w:val="19"/>
        </w:rPr>
      </w:pPr>
      <w:r>
        <w:rPr>
          <w:b/>
          <w:sz w:val="19"/>
        </w:rPr>
        <w:t>IT: </w:t>
      </w:r>
      <w:r>
        <w:rPr>
          <w:sz w:val="19"/>
        </w:rPr>
        <w:t>information technology.</w:t>
      </w:r>
    </w:p>
    <w:p>
      <w:pPr>
        <w:spacing w:before="12"/>
        <w:ind w:left="569" w:right="0" w:firstLine="0"/>
        <w:jc w:val="left"/>
        <w:rPr>
          <w:sz w:val="19"/>
        </w:rPr>
      </w:pPr>
      <w:r>
        <w:rPr>
          <w:b/>
          <w:sz w:val="19"/>
        </w:rPr>
        <w:t>LAPFs: </w:t>
      </w:r>
      <w:r>
        <w:rPr>
          <w:sz w:val="19"/>
        </w:rPr>
        <w:t>life assurance and pension funds.</w:t>
      </w:r>
    </w:p>
    <w:p>
      <w:pPr>
        <w:spacing w:before="11"/>
        <w:ind w:left="569" w:right="0" w:firstLine="0"/>
        <w:jc w:val="left"/>
        <w:rPr>
          <w:sz w:val="19"/>
        </w:rPr>
      </w:pPr>
      <w:r>
        <w:rPr>
          <w:b/>
          <w:sz w:val="19"/>
        </w:rPr>
        <w:t>LFS: </w:t>
      </w:r>
      <w:r>
        <w:rPr>
          <w:sz w:val="19"/>
        </w:rPr>
        <w:t>Labour Force Survey.</w:t>
      </w:r>
    </w:p>
    <w:p>
      <w:pPr>
        <w:spacing w:before="12"/>
        <w:ind w:left="569" w:right="0" w:firstLine="0"/>
        <w:jc w:val="left"/>
        <w:rPr>
          <w:sz w:val="19"/>
        </w:rPr>
      </w:pPr>
      <w:r>
        <w:rPr>
          <w:b/>
          <w:sz w:val="19"/>
        </w:rPr>
        <w:t>MEW: </w:t>
      </w:r>
      <w:r>
        <w:rPr>
          <w:sz w:val="19"/>
        </w:rPr>
        <w:t>mortgage equity withdrawal.</w:t>
      </w:r>
    </w:p>
    <w:p>
      <w:pPr>
        <w:spacing w:before="11"/>
        <w:ind w:left="569" w:right="0" w:firstLine="0"/>
        <w:jc w:val="left"/>
        <w:rPr>
          <w:sz w:val="19"/>
        </w:rPr>
      </w:pPr>
      <w:r>
        <w:rPr>
          <w:b/>
          <w:sz w:val="19"/>
        </w:rPr>
        <w:t>MORI: </w:t>
      </w:r>
      <w:r>
        <w:rPr>
          <w:sz w:val="19"/>
        </w:rPr>
        <w:t>Market and Opinion Research International.</w:t>
      </w:r>
    </w:p>
    <w:p>
      <w:pPr>
        <w:spacing w:before="12"/>
        <w:ind w:left="569" w:right="0" w:firstLine="0"/>
        <w:jc w:val="left"/>
        <w:rPr>
          <w:sz w:val="19"/>
        </w:rPr>
      </w:pPr>
      <w:r>
        <w:rPr>
          <w:b/>
          <w:sz w:val="19"/>
        </w:rPr>
        <w:t>MPC:  </w:t>
      </w:r>
      <w:r>
        <w:rPr>
          <w:sz w:val="19"/>
        </w:rPr>
        <w:t>Monetary Policy</w:t>
      </w:r>
      <w:r>
        <w:rPr>
          <w:spacing w:val="-27"/>
          <w:sz w:val="19"/>
        </w:rPr>
        <w:t> </w:t>
      </w:r>
      <w:r>
        <w:rPr>
          <w:sz w:val="19"/>
        </w:rPr>
        <w:t>Committee.</w:t>
      </w:r>
    </w:p>
    <w:p>
      <w:pPr>
        <w:spacing w:line="252" w:lineRule="auto" w:before="11"/>
        <w:ind w:left="569" w:right="4803" w:firstLine="0"/>
        <w:jc w:val="left"/>
        <w:rPr>
          <w:sz w:val="19"/>
        </w:rPr>
      </w:pPr>
      <w:r>
        <w:rPr>
          <w:b/>
          <w:sz w:val="19"/>
        </w:rPr>
        <w:t>NIESR: </w:t>
      </w:r>
      <w:r>
        <w:rPr>
          <w:sz w:val="19"/>
        </w:rPr>
        <w:t>National Institute of Economic and Social Research. </w:t>
      </w:r>
      <w:r>
        <w:rPr>
          <w:b/>
          <w:sz w:val="19"/>
        </w:rPr>
        <w:t>OECD: </w:t>
      </w:r>
      <w:r>
        <w:rPr>
          <w:sz w:val="19"/>
        </w:rPr>
        <w:t>Organisation for Economic Co-operation and Development. </w:t>
      </w:r>
      <w:r>
        <w:rPr>
          <w:b/>
          <w:sz w:val="19"/>
        </w:rPr>
        <w:t>OFCs: </w:t>
      </w:r>
      <w:r>
        <w:rPr>
          <w:sz w:val="19"/>
        </w:rPr>
        <w:t>other financial</w:t>
      </w:r>
      <w:r>
        <w:rPr>
          <w:spacing w:val="-5"/>
          <w:sz w:val="19"/>
        </w:rPr>
        <w:t> </w:t>
      </w:r>
      <w:r>
        <w:rPr>
          <w:sz w:val="19"/>
        </w:rPr>
        <w:t>corporations.</w:t>
      </w:r>
    </w:p>
    <w:p>
      <w:pPr>
        <w:spacing w:before="2"/>
        <w:ind w:left="569" w:right="0" w:firstLine="0"/>
        <w:jc w:val="left"/>
        <w:rPr>
          <w:sz w:val="19"/>
        </w:rPr>
      </w:pPr>
      <w:r>
        <w:rPr>
          <w:b/>
          <w:sz w:val="19"/>
        </w:rPr>
        <w:t>OFIFAs: </w:t>
      </w:r>
      <w:r>
        <w:rPr>
          <w:sz w:val="19"/>
        </w:rPr>
        <w:t>other financial institutions and financial auxiliaries.</w:t>
      </w:r>
    </w:p>
    <w:p>
      <w:pPr>
        <w:spacing w:before="11"/>
        <w:ind w:left="569" w:right="0" w:firstLine="0"/>
        <w:jc w:val="left"/>
        <w:rPr>
          <w:sz w:val="19"/>
        </w:rPr>
      </w:pPr>
      <w:r>
        <w:rPr>
          <w:b/>
          <w:sz w:val="19"/>
        </w:rPr>
        <w:t>ONS: </w:t>
      </w:r>
      <w:r>
        <w:rPr>
          <w:sz w:val="19"/>
        </w:rPr>
        <w:t>Office for National Statistics.</w:t>
      </w:r>
    </w:p>
    <w:p>
      <w:pPr>
        <w:spacing w:before="12"/>
        <w:ind w:left="569" w:right="0" w:firstLine="0"/>
        <w:jc w:val="left"/>
        <w:rPr>
          <w:sz w:val="19"/>
        </w:rPr>
      </w:pPr>
      <w:r>
        <w:rPr>
          <w:b/>
          <w:sz w:val="19"/>
        </w:rPr>
        <w:t>OPEC: </w:t>
      </w:r>
      <w:r>
        <w:rPr>
          <w:sz w:val="19"/>
        </w:rPr>
        <w:t>Organisation of Petroleum Exporting Countries.</w:t>
      </w:r>
    </w:p>
    <w:p>
      <w:pPr>
        <w:spacing w:before="11"/>
        <w:ind w:left="569" w:right="0" w:firstLine="0"/>
        <w:jc w:val="left"/>
        <w:rPr>
          <w:sz w:val="19"/>
        </w:rPr>
      </w:pPr>
      <w:r>
        <w:rPr>
          <w:b/>
          <w:sz w:val="19"/>
        </w:rPr>
        <w:t>PBR: </w:t>
      </w:r>
      <w:r>
        <w:rPr>
          <w:sz w:val="19"/>
        </w:rPr>
        <w:t>Pre-Budget Report.</w:t>
      </w:r>
    </w:p>
    <w:p>
      <w:pPr>
        <w:spacing w:before="12"/>
        <w:ind w:left="569" w:right="0" w:firstLine="0"/>
        <w:jc w:val="left"/>
        <w:rPr>
          <w:sz w:val="19"/>
        </w:rPr>
      </w:pPr>
      <w:r>
        <w:rPr>
          <w:b/>
          <w:sz w:val="19"/>
        </w:rPr>
        <w:t>PNFCs: </w:t>
      </w:r>
      <w:r>
        <w:rPr>
          <w:sz w:val="19"/>
        </w:rPr>
        <w:t>private non-financial corporations.</w:t>
      </w:r>
    </w:p>
    <w:p>
      <w:pPr>
        <w:spacing w:before="11"/>
        <w:ind w:left="569" w:right="0" w:firstLine="0"/>
        <w:jc w:val="left"/>
        <w:rPr>
          <w:sz w:val="19"/>
        </w:rPr>
      </w:pPr>
      <w:r>
        <w:rPr>
          <w:b/>
          <w:sz w:val="19"/>
        </w:rPr>
        <w:t>PSNB: </w:t>
      </w:r>
      <w:r>
        <w:rPr>
          <w:sz w:val="19"/>
        </w:rPr>
        <w:t>public sector net borrowing.</w:t>
      </w:r>
    </w:p>
    <w:p>
      <w:pPr>
        <w:spacing w:before="12"/>
        <w:ind w:left="569" w:right="0" w:firstLine="0"/>
        <w:jc w:val="left"/>
        <w:rPr>
          <w:sz w:val="19"/>
        </w:rPr>
      </w:pPr>
      <w:r>
        <w:rPr>
          <w:b/>
          <w:sz w:val="19"/>
        </w:rPr>
        <w:t>PSNCR: </w:t>
      </w:r>
      <w:r>
        <w:rPr>
          <w:sz w:val="19"/>
        </w:rPr>
        <w:t>public sector net cash requirement.</w:t>
      </w:r>
    </w:p>
    <w:p>
      <w:pPr>
        <w:spacing w:before="11"/>
        <w:ind w:left="569" w:right="0" w:firstLine="0"/>
        <w:jc w:val="left"/>
        <w:rPr>
          <w:sz w:val="19"/>
        </w:rPr>
      </w:pPr>
      <w:r>
        <w:rPr>
          <w:b/>
          <w:sz w:val="19"/>
        </w:rPr>
        <w:t>REC: </w:t>
      </w:r>
      <w:r>
        <w:rPr>
          <w:sz w:val="19"/>
        </w:rPr>
        <w:t>Recruitment and Employment Confederation.</w:t>
      </w:r>
    </w:p>
    <w:p>
      <w:pPr>
        <w:spacing w:before="12"/>
        <w:ind w:left="569" w:right="0" w:firstLine="0"/>
        <w:jc w:val="left"/>
        <w:rPr>
          <w:sz w:val="19"/>
        </w:rPr>
      </w:pPr>
      <w:r>
        <w:rPr>
          <w:b/>
          <w:sz w:val="19"/>
        </w:rPr>
        <w:t>S&amp;P: </w:t>
      </w:r>
      <w:r>
        <w:rPr>
          <w:sz w:val="19"/>
        </w:rPr>
        <w:t>Standard and Poor’s.</w:t>
      </w:r>
    </w:p>
    <w:p>
      <w:pPr>
        <w:spacing w:line="247" w:lineRule="auto" w:before="12"/>
        <w:ind w:left="569" w:right="7060" w:firstLine="0"/>
        <w:jc w:val="left"/>
        <w:rPr>
          <w:sz w:val="20"/>
        </w:rPr>
      </w:pPr>
      <w:r>
        <w:rPr>
          <w:b/>
          <w:sz w:val="19"/>
        </w:rPr>
        <w:t>UIP: </w:t>
      </w:r>
      <w:r>
        <w:rPr>
          <w:sz w:val="19"/>
        </w:rPr>
        <w:t>uncovered interest parity. </w:t>
      </w:r>
      <w:r>
        <w:rPr>
          <w:b/>
          <w:sz w:val="19"/>
        </w:rPr>
        <w:t>WFTC: </w:t>
      </w:r>
      <w:r>
        <w:rPr>
          <w:sz w:val="19"/>
        </w:rPr>
        <w:t>Working Families Tax Credit. </w:t>
      </w:r>
      <w:r>
        <w:rPr>
          <w:b/>
          <w:sz w:val="20"/>
        </w:rPr>
        <w:t>Y2K: </w:t>
      </w:r>
      <w:r>
        <w:rPr>
          <w:sz w:val="20"/>
        </w:rPr>
        <w:t>Year</w:t>
      </w:r>
      <w:r>
        <w:rPr>
          <w:spacing w:val="-2"/>
          <w:sz w:val="20"/>
        </w:rPr>
        <w:t> </w:t>
      </w:r>
      <w:r>
        <w:rPr>
          <w:sz w:val="20"/>
        </w:rPr>
        <w:t>2000.</w:t>
      </w:r>
    </w:p>
    <w:p>
      <w:pPr>
        <w:pStyle w:val="Heading5"/>
        <w:spacing w:before="146"/>
      </w:pPr>
      <w:r>
        <w:rPr>
          <w:color w:val="0092C7"/>
        </w:rPr>
        <w:t>Symbols and conventions</w:t>
      </w:r>
    </w:p>
    <w:p>
      <w:pPr>
        <w:spacing w:before="81"/>
        <w:ind w:left="569" w:right="0" w:firstLine="0"/>
        <w:jc w:val="left"/>
        <w:rPr>
          <w:sz w:val="19"/>
        </w:rPr>
      </w:pPr>
      <w:r>
        <w:rPr>
          <w:sz w:val="19"/>
        </w:rPr>
        <w:t>Except where otherwise stated, the source of the data used in charts and tables is the Office for National Statistics (ONS).</w:t>
      </w:r>
    </w:p>
    <w:p>
      <w:pPr>
        <w:spacing w:before="11"/>
        <w:ind w:left="569" w:right="0" w:firstLine="0"/>
        <w:jc w:val="left"/>
        <w:rPr>
          <w:sz w:val="19"/>
        </w:rPr>
      </w:pPr>
      <w:r>
        <w:rPr>
          <w:sz w:val="19"/>
        </w:rPr>
        <w:t>n.a. = not available.</w:t>
      </w:r>
    </w:p>
    <w:p>
      <w:pPr>
        <w:spacing w:before="12"/>
        <w:ind w:left="569" w:right="0" w:firstLine="0"/>
        <w:jc w:val="left"/>
        <w:rPr>
          <w:sz w:val="19"/>
        </w:rPr>
      </w:pPr>
      <w:r>
        <w:rPr>
          <w:sz w:val="19"/>
        </w:rPr>
        <w:t>Because of rounding, the sum of the separate items may sometimes differ from the total shown.</w:t>
      </w:r>
    </w:p>
    <w:p>
      <w:pPr>
        <w:spacing w:line="252" w:lineRule="auto" w:before="11"/>
        <w:ind w:left="569" w:right="2458" w:firstLine="0"/>
        <w:jc w:val="left"/>
        <w:rPr>
          <w:sz w:val="19"/>
        </w:rPr>
      </w:pPr>
      <w:r>
        <w:rPr>
          <w:sz w:val="19"/>
        </w:rPr>
        <w:t>On the horizontal axes of graphs, larger ticks denote the first observation within the relevant period, eg data for the first quarter of the year.</w:t>
      </w:r>
    </w:p>
    <w:sectPr>
      <w:headerReference w:type="default" r:id="rId206"/>
      <w:footerReference w:type="default" r:id="rId207"/>
      <w:pgSz w:w="11900" w:h="16840"/>
      <w:pgMar w:header="0" w:footer="0" w:top="800" w:bottom="280" w:left="6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45.330017pt;margin-top:801.141113pt;width:12.7pt;height:10.9pt;mso-position-horizontal-relative:page;mso-position-vertical-relative:page;z-index:-22882816"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6.280029pt;margin-top:800.141174pt;width:10pt;height:10.9pt;mso-position-horizontal-relative:page;mso-position-vertical-relative:page;z-index:-2287564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7</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0pt;height:10.9pt;mso-position-horizontal-relative:page;mso-position-vertical-relative:page;z-index:-2287513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8</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6.280029pt;margin-top:800.141174pt;width:10pt;height:10.9pt;mso-position-horizontal-relative:page;mso-position-vertical-relative:page;z-index:-2287001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9</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549999pt;margin-top:801.141113pt;width:14pt;height:10.9pt;mso-position-horizontal-relative:page;mso-position-vertical-relative:page;z-index:-2286950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pt;margin-top:800.141174pt;width:14pt;height:10.9pt;mso-position-horizontal-relative:page;mso-position-vertical-relative:page;z-index:-2286745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11</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4pt;height:10.9pt;mso-position-horizontal-relative:page;mso-position-vertical-relative:page;z-index:-2286694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12</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66432" from="279pt,755.5pt" to="557pt,755.5pt" stroked="true" strokeweight=".125pt" strokecolor="#000000">
          <v:stroke dashstyle="solid"/>
          <w10:wrap type="none"/>
        </v:line>
      </w:pict>
    </w:r>
    <w:r>
      <w:rPr/>
      <w:pict>
        <v:shape style="position:absolute;margin-left:40pt;margin-top:801.141113pt;width:10pt;height:10.9pt;mso-position-horizontal-relative:page;mso-position-vertical-relative:page;z-index:-22865920" type="#_x0000_t202" filled="false" stroked="false">
          <v:textbox inset="0,0,0,0">
            <w:txbxContent>
              <w:p>
                <w:pPr>
                  <w:spacing w:before="13"/>
                  <w:ind w:left="20" w:right="0" w:firstLine="0"/>
                  <w:jc w:val="left"/>
                  <w:rPr>
                    <w:sz w:val="16"/>
                  </w:rPr>
                </w:pPr>
                <w:r>
                  <w:rPr>
                    <w:sz w:val="16"/>
                  </w:rPr>
                  <w:t>14</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65408" type="#_x0000_t202" filled="false" stroked="false">
          <v:textbox inset="0,0,0,0">
            <w:txbxContent>
              <w:p>
                <w:pPr>
                  <w:spacing w:before="13"/>
                  <w:ind w:left="60" w:right="0" w:firstLine="0"/>
                  <w:jc w:val="left"/>
                  <w:rPr>
                    <w:sz w:val="16"/>
                  </w:rPr>
                </w:pPr>
                <w:r>
                  <w:rPr>
                    <w:sz w:val="16"/>
                  </w:rPr>
                  <w:t>15</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6284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16</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6233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2.25pt;height:10.9pt;mso-position-horizontal-relative:page;mso-position-vertical-relative:page;z-index:-22882304"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5772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19</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5721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20</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5516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21</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5465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22</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5158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23</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5107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24</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pt;margin-top:800.141174pt;width:14pt;height:10.9pt;mso-position-horizontal-relative:page;mso-position-vertical-relative:page;z-index:-2285056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25</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5004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26</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4800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27</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4748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28</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2.25pt;height:10.9pt;mso-position-horizontal-relative:page;mso-position-vertical-relative:page;z-index:-22880768"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4441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29</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4390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30</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4185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31</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4134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32</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pt;margin-top:800.141174pt;width:14pt;height:10.9pt;mso-position-horizontal-relative:page;mso-position-vertical-relative:page;z-index:-2284083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33</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4032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34</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3776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35</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3724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36</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3520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37</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3468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38</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13pt;width:14pt;height:10.9pt;mso-position-horizontal-relative:page;mso-position-vertical-relative:page;z-index:-2283315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39</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3264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40</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pt;margin-top:800.141174pt;width:14pt;height:10.9pt;mso-position-horizontal-relative:page;mso-position-vertical-relative:page;z-index:-2283212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43</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3161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44</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2956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45</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2905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46</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2854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50</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2803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51</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4pt;height:10.9pt;mso-position-horizontal-relative:page;mso-position-vertical-relative:page;z-index:-2282598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52</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280029pt;margin-top:800.141174pt;width:14pt;height:10.9pt;mso-position-horizontal-relative:page;mso-position-vertical-relative:page;z-index:-2282547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53</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pt;margin-top:801.141113pt;width:14pt;height:10.9pt;mso-position-horizontal-relative:page;mso-position-vertical-relative:page;z-index:-2282496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67</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4pt;height:10.9pt;mso-position-horizontal-relative:page;mso-position-vertical-relative:page;z-index:-2282444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68</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4pt;height:10.9pt;mso-position-horizontal-relative:page;mso-position-vertical-relative:page;z-index:-2282291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70</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pt;margin-top:801.141113pt;width:14pt;height:10.9pt;mso-position-horizontal-relative:page;mso-position-vertical-relative:page;z-index:-2282240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71</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280029pt;margin-top:801.141113pt;width:14.75pt;height:10.9pt;mso-position-horizontal-relative:page;mso-position-vertical-relative:page;z-index:-22820352" type="#_x0000_t202" filled="false" stroked="false">
          <v:textbox inset="0,0,0,0">
            <w:txbxContent>
              <w:p>
                <w:pPr>
                  <w:spacing w:before="13"/>
                  <w:ind w:left="74" w:right="0" w:firstLine="0"/>
                  <w:jc w:val="left"/>
                  <w:rPr>
                    <w:sz w:val="16"/>
                  </w:rPr>
                </w:pPr>
                <w:r>
                  <w:rPr/>
                  <w:fldChar w:fldCharType="begin"/>
                </w:r>
                <w:r>
                  <w:rPr>
                    <w:sz w:val="16"/>
                  </w:rPr>
                  <w:instrText> PAGE </w:instrText>
                </w:r>
                <w:r>
                  <w:rPr/>
                  <w:fldChar w:fldCharType="separate"/>
                </w:r>
                <w:r>
                  <w:rPr/>
                  <w:t>73</w:t>
                </w:r>
                <w:r>
                  <w:rPr/>
                  <w:fldChar w:fldCharType="end"/>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4.75pt;height:10.9pt;mso-position-horizontal-relative:page;mso-position-vertical-relative:page;z-index:-2281984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74</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7pt;margin-top:800.141174pt;width:10pt;height:10.9pt;mso-position-horizontal-relative:page;mso-position-vertical-relative:page;z-index:-2288025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79999pt;margin-top:801.141113pt;width:10.75pt;height:10.9pt;mso-position-horizontal-relative:page;mso-position-vertical-relative:page;z-index:-2287974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6.549622pt;margin-top:800.141113pt;width:10pt;height:10.9pt;mso-position-horizontal-relative:page;mso-position-vertical-relative:page;z-index:-2287820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5</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41113pt;width:10pt;height:10.9pt;mso-position-horizontal-relative:page;mso-position-vertical-relative:page;z-index:-2287769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8.461094pt;width:519pt;height:10.9pt;mso-position-horizontal-relative:page;mso-position-vertical-relative:page;z-index:-22881792"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w:t>
                </w:r>
                <w:r>
                  <w:rPr>
                    <w:spacing w:val="-22"/>
                    <w:sz w:val="16"/>
                    <w:u w:val="single"/>
                  </w:rPr>
                  <w:t> </w:t>
                </w:r>
                <w:r>
                  <w:rPr>
                    <w:sz w:val="16"/>
                    <w:u w:val="single"/>
                  </w:rPr>
                  <w:t>2000</w:t>
                  <w:tab/>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76160"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w:t>
                </w:r>
                <w:r>
                  <w:rPr>
                    <w:spacing w:val="-22"/>
                    <w:sz w:val="16"/>
                    <w:u w:val="single"/>
                  </w:rPr>
                  <w:t> </w:t>
                </w:r>
                <w:r>
                  <w:rPr>
                    <w:sz w:val="16"/>
                    <w:u w:val="single"/>
                  </w:rPr>
                  <w:t>2000</w:t>
                  <w:tab/>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74624" from="38.25pt,39pt" to="555.25pt,39pt" stroked="true" strokeweight=".125pt" strokecolor="#000000">
          <v:stroke dashstyle="solid"/>
          <w10:wrap type="none"/>
        </v:line>
      </w:pict>
    </w:r>
    <w:r>
      <w:rPr/>
      <w:pict>
        <v:line style="position:absolute;mso-position-horizontal-relative:page;mso-position-vertical-relative:page;z-index:-22874112" from="41.849998pt,114.198997pt" to="46.182998pt,114.198997pt" stroked="true" strokeweight=".5pt" strokecolor="#000000">
          <v:stroke dashstyle="solid"/>
          <w10:wrap type="none"/>
        </v:line>
      </w:pict>
    </w:r>
    <w:r>
      <w:rPr/>
      <w:pict>
        <v:line style="position:absolute;mso-position-horizontal-relative:page;mso-position-vertical-relative:page;z-index:-22873600" from="202.516998pt,114.198997pt" to="206.849998pt,114.198997pt" stroked="true" strokeweight=".5pt" strokecolor="#000000">
          <v:stroke dashstyle="solid"/>
          <w10:wrap type="none"/>
        </v:line>
      </w:pict>
    </w:r>
    <w:r>
      <w:rPr/>
      <w:pict>
        <v:line style="position:absolute;mso-position-horizontal-relative:page;mso-position-vertical-relative:page;z-index:-22873088" from="118.224998pt,116.57pt" to="119.974998pt,115.82pt" stroked="true" strokeweight="1pt" strokecolor="#006caa">
          <v:stroke dashstyle="solid"/>
          <w10:wrap type="none"/>
        </v:line>
      </w:pict>
    </w:r>
    <w:r>
      <w:rPr/>
      <w:pict>
        <v:line style="position:absolute;mso-position-horizontal-relative:page;mso-position-vertical-relative:page;z-index:-22872576" from="128.100006pt,115.82pt" to="129.850006pt,116.57pt" stroked="true" strokeweight="1pt" strokecolor="#006caa">
          <v:stroke dashstyle="solid"/>
          <w10:wrap type="none"/>
        </v:line>
      </w:pict>
    </w:r>
    <w:r>
      <w:rPr/>
      <w:pict>
        <v:line style="position:absolute;mso-position-horizontal-relative:page;mso-position-vertical-relative:page;z-index:-22872064" from="114.099998pt,117.32pt" to="115.849998pt,116.57pt" stroked="true" strokeweight="1pt" strokecolor="#006caa">
          <v:stroke dashstyle="solid"/>
          <w10:wrap type="none"/>
        </v:line>
      </w:pict>
    </w:r>
    <w:r>
      <w:rPr/>
      <w:pict>
        <v:line style="position:absolute;mso-position-horizontal-relative:page;mso-position-vertical-relative:page;z-index:-22871552" from="133.975006pt,116.57pt" to="136.225006pt,117.32pt" stroked="true" strokeweight="1pt" strokecolor="#006caa">
          <v:stroke dashstyle="solid"/>
          <w10:wrap type="none"/>
        </v:line>
      </w:pict>
    </w:r>
    <w:r>
      <w:rPr/>
      <w:pict>
        <v:shape style="position:absolute;margin-left:459.75pt;margin-top:29.461094pt;width:95.55pt;height:10.9pt;mso-position-horizontal-relative:page;mso-position-vertical-relative:page;z-index:-22871040"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549999pt;margin-top:29.461094pt;width:92.2pt;height:10.9pt;mso-position-horizontal-relative:page;mso-position-vertical-relative:page;z-index:-22870528" type="#_x0000_t202" filled="false" stroked="false">
          <v:textbox inset="0,0,0,0">
            <w:txbxContent>
              <w:p>
                <w:pPr>
                  <w:spacing w:before="13"/>
                  <w:ind w:left="20" w:right="0" w:firstLine="0"/>
                  <w:jc w:val="left"/>
                  <w:rPr>
                    <w:sz w:val="16"/>
                  </w:rPr>
                </w:pPr>
                <w:r>
                  <w:rPr>
                    <w:sz w:val="16"/>
                  </w:rPr>
                  <w:t>Inflation Report: May 2000</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68992" from="39pt,39pt" to="556pt,39pt" stroked="true" strokeweight=".125pt" strokecolor="#000000">
          <v:stroke dashstyle="solid"/>
          <w10:wrap type="none"/>
        </v:line>
      </w:pict>
    </w:r>
    <w:r>
      <w:rPr/>
      <w:pict>
        <v:shape style="position:absolute;margin-left:460.470001pt;margin-top:29.461094pt;width:95.55pt;height:10.9pt;mso-position-horizontal-relative:page;mso-position-vertical-relative:page;z-index:-22868480"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9.461094pt;width:519pt;height:10.9pt;mso-position-horizontal-relative:page;mso-position-vertical-relative:page;z-index:-22867968"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w:t>
                </w:r>
                <w:r>
                  <w:rPr>
                    <w:spacing w:val="-22"/>
                    <w:sz w:val="16"/>
                    <w:u w:val="single"/>
                  </w:rPr>
                  <w:t> </w:t>
                </w:r>
                <w:r>
                  <w:rPr>
                    <w:sz w:val="16"/>
                    <w:u w:val="single"/>
                  </w:rPr>
                  <w:t>2000</w:t>
                  <w:tab/>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64896" from="38.25pt,39pt" to="555.25pt,39pt" stroked="true" strokeweight=".125pt" strokecolor="#000000">
          <v:stroke dashstyle="solid"/>
          <w10:wrap type="none"/>
        </v:line>
      </w:pict>
    </w:r>
    <w:r>
      <w:rPr/>
      <w:pict>
        <v:line style="position:absolute;mso-position-horizontal-relative:page;mso-position-vertical-relative:page;z-index:-22864384" from="202.530006pt,125.197998pt" to="198.197006pt,125.197998pt" stroked="true" strokeweight=".5pt" strokecolor="#000000">
          <v:stroke dashstyle="solid"/>
          <w10:wrap type="none"/>
        </v:line>
      </w:pict>
    </w:r>
    <w:r>
      <w:rPr/>
      <w:pict>
        <v:shape style="position:absolute;margin-left:489.730011pt;margin-top:29.461094pt;width:65.6pt;height:10.9pt;mso-position-horizontal-relative:page;mso-position-vertical-relative:page;z-index:-22863872"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63360"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 2000</w:t>
                  <w:tab/>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61824" from="38.25pt,39pt" to="555.25pt,39pt" stroked="true" strokeweight=".125pt" strokecolor="#000000">
          <v:stroke dashstyle="solid"/>
          <w10:wrap type="none"/>
        </v:line>
      </w:pict>
    </w:r>
    <w:r>
      <w:rPr/>
      <w:pict>
        <v:shape style="position:absolute;margin-left:489.730011pt;margin-top:29.461094pt;width:65.6pt;height:10.9pt;mso-position-horizontal-relative:page;mso-position-vertical-relative:page;z-index:-22861312"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60800"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 2000</w:t>
                  <w:tab/>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60288" from="38.25pt,39pt" to="555.25pt,39pt" stroked="true" strokeweight=".125pt" strokecolor="#000000">
          <v:stroke dashstyle="solid"/>
          <w10:wrap type="none"/>
        </v:line>
      </w:pict>
    </w:r>
    <w:r>
      <w:rPr/>
      <w:pict>
        <v:line style="position:absolute;mso-position-horizontal-relative:page;mso-position-vertical-relative:page;z-index:-22859776" from="43.853001pt,156.550995pt" to="48.186001pt,156.550995pt" stroked="true" strokeweight=".5pt" strokecolor="#000000">
          <v:stroke dashstyle="solid"/>
          <w10:wrap type="none"/>
        </v:line>
      </w:pict>
    </w:r>
    <w:r>
      <w:rPr/>
      <w:pict>
        <v:line style="position:absolute;mso-position-horizontal-relative:page;mso-position-vertical-relative:page;z-index:-22859264" from="202.988007pt,156.550995pt" to="207.322007pt,156.550995pt" stroked="true" strokeweight=".5pt" strokecolor="#000000">
          <v:stroke dashstyle="solid"/>
          <w10:wrap type="none"/>
        </v:line>
      </w:pict>
    </w:r>
    <w:r>
      <w:rPr/>
      <w:pict>
        <v:shape style="position:absolute;margin-left:489.730011pt;margin-top:29.461094pt;width:65.6pt;height:10.9pt;mso-position-horizontal-relative:page;mso-position-vertical-relative:page;z-index:-22858752"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58240"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 2000</w:t>
                  <w:tab/>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56704" from="38.25pt,39pt" to="555.25pt,39pt" stroked="true" strokeweight=".125pt" strokecolor="#000000">
          <v:stroke dashstyle="solid"/>
          <w10:wrap type="none"/>
        </v:line>
      </w:pict>
    </w:r>
    <w:r>
      <w:rPr/>
      <w:pict>
        <v:shape style="position:absolute;margin-left:489.730011pt;margin-top:29.461094pt;width:65.6pt;height:10.9pt;mso-position-horizontal-relative:page;mso-position-vertical-relative:page;z-index:-22856192"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55680"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 2000</w:t>
                  <w:tab/>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54144" from="38.25pt,39pt" to="555.25pt,39pt" stroked="true" strokeweight=".125pt" strokecolor="#000000">
          <v:stroke dashstyle="solid"/>
          <w10:wrap type="none"/>
        </v:line>
      </w:pict>
    </w:r>
    <w:r>
      <w:rPr/>
      <w:pict>
        <v:line style="position:absolute;mso-position-horizontal-relative:page;mso-position-vertical-relative:page;z-index:-22853632" from="46.654999pt,113.853996pt" to="42.321999pt,113.853996pt" stroked="true" strokeweight=".5pt" strokecolor="#000000">
          <v:stroke dashstyle="solid"/>
          <w10:wrap type="none"/>
        </v:line>
      </w:pict>
    </w:r>
    <w:r>
      <w:rPr/>
      <w:pict>
        <v:line style="position:absolute;mso-position-horizontal-relative:page;mso-position-vertical-relative:page;z-index:-22853120" from="201.655006pt,113.853996pt" to="197.322006pt,113.853996pt" stroked="true" strokeweight=".5pt" strokecolor="#000000">
          <v:stroke dashstyle="solid"/>
          <w10:wrap type="none"/>
        </v:line>
      </w:pict>
    </w:r>
    <w:r>
      <w:rPr/>
      <w:pict>
        <v:shape style="position:absolute;margin-left:489.730011pt;margin-top:29.461094pt;width:65.6pt;height:10.9pt;mso-position-horizontal-relative:page;mso-position-vertical-relative:page;z-index:-22852608"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52096"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 2000</w:t>
                  <w:tab/>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49536"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w:t>
                </w:r>
                <w:r>
                  <w:rPr>
                    <w:spacing w:val="-22"/>
                    <w:sz w:val="16"/>
                    <w:u w:val="single"/>
                  </w:rPr>
                  <w:t> </w:t>
                </w:r>
                <w:r>
                  <w:rPr>
                    <w:sz w:val="16"/>
                    <w:u w:val="single"/>
                  </w:rPr>
                  <w:t>2000</w:t>
                  <w:tab/>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49024" from="38.25pt,39pt" to="555.25pt,39pt" stroked="true" strokeweight=".125pt" strokecolor="#000000">
          <v:stroke dashstyle="solid"/>
          <w10:wrap type="none"/>
        </v:line>
      </w:pict>
    </w:r>
    <w:r>
      <w:rPr/>
      <w:pict>
        <v:shape style="position:absolute;margin-left:493.730011pt;margin-top:29.461094pt;width:61.55pt;height:10.9pt;mso-position-horizontal-relative:page;mso-position-vertical-relative:page;z-index:-22848512" type="#_x0000_t202" filled="false" stroked="false">
          <v:textbox inset="0,0,0,0">
            <w:txbxContent>
              <w:p>
                <w:pPr>
                  <w:spacing w:before="13"/>
                  <w:ind w:left="20" w:right="0" w:firstLine="0"/>
                  <w:jc w:val="left"/>
                  <w:rPr>
                    <w:i/>
                    <w:sz w:val="16"/>
                  </w:rPr>
                </w:pPr>
                <w:r>
                  <w:rPr>
                    <w:i/>
                    <w:sz w:val="16"/>
                  </w:rPr>
                  <w:t>The labour market</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46976" from="38.25pt,39pt" to="555.25pt,39pt" stroked="true" strokeweight=".125pt" strokecolor="#000000">
          <v:stroke dashstyle="solid"/>
          <w10:wrap type="none"/>
        </v:line>
      </w:pict>
    </w:r>
    <w:r>
      <w:rPr/>
      <w:pict>
        <v:line style="position:absolute;mso-position-horizontal-relative:page;mso-position-vertical-relative:page;z-index:-22846464" from="41.375pt,98.333pt" to="45.708pt,98.333pt" stroked="true" strokeweight=".5pt" strokecolor="#000000">
          <v:stroke dashstyle="solid"/>
          <w10:wrap type="none"/>
        </v:line>
      </w:pict>
    </w:r>
    <w:r>
      <w:rPr/>
      <w:pict>
        <v:line style="position:absolute;mso-position-horizontal-relative:page;mso-position-vertical-relative:page;z-index:-22845952" from="198.332993pt,98.396004pt" to="202.666993pt,98.396004pt" stroked="true" strokeweight=".5pt" strokecolor="#000000">
          <v:stroke dashstyle="solid"/>
          <w10:wrap type="none"/>
        </v:line>
      </w:pict>
    </w:r>
    <w:r>
      <w:rPr/>
      <w:pict>
        <v:shape style="position:absolute;margin-left:493.730011pt;margin-top:29.461094pt;width:61.55pt;height:10.9pt;mso-position-horizontal-relative:page;mso-position-vertical-relative:page;z-index:-22845440" type="#_x0000_t202" filled="false" stroked="false">
          <v:textbox inset="0,0,0,0">
            <w:txbxContent>
              <w:p>
                <w:pPr>
                  <w:spacing w:before="13"/>
                  <w:ind w:left="20" w:right="0" w:firstLine="0"/>
                  <w:jc w:val="left"/>
                  <w:rPr>
                    <w:i/>
                    <w:sz w:val="16"/>
                  </w:rPr>
                </w:pPr>
                <w:r>
                  <w:rPr>
                    <w:i/>
                    <w:sz w:val="16"/>
                  </w:rPr>
                  <w:t>The labour market</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8.461094pt;width:519pt;height:10.9pt;mso-position-horizontal-relative:page;mso-position-vertical-relative:page;z-index:-22881280"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w:t>
                </w:r>
                <w:r>
                  <w:rPr>
                    <w:spacing w:val="-22"/>
                    <w:sz w:val="16"/>
                    <w:u w:val="single"/>
                  </w:rPr>
                  <w:t> </w:t>
                </w:r>
                <w:r>
                  <w:rPr>
                    <w:sz w:val="16"/>
                    <w:u w:val="single"/>
                  </w:rPr>
                  <w:t>2000</w:t>
                  <w:tab/>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44928"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w:t>
                </w:r>
                <w:r>
                  <w:rPr>
                    <w:spacing w:val="-22"/>
                    <w:sz w:val="16"/>
                    <w:u w:val="single"/>
                  </w:rPr>
                  <w:t> </w:t>
                </w:r>
                <w:r>
                  <w:rPr>
                    <w:sz w:val="16"/>
                    <w:u w:val="single"/>
                  </w:rPr>
                  <w:t>2000</w:t>
                  <w:tab/>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43392" from="38.25pt,39pt" to="555.25pt,39pt" stroked="true" strokeweight=".125pt" strokecolor="#000000">
          <v:stroke dashstyle="solid"/>
          <w10:wrap type="none"/>
        </v:line>
      </w:pict>
    </w:r>
    <w:r>
      <w:rPr/>
      <w:pict>
        <v:shape style="position:absolute;margin-left:493.730011pt;margin-top:29.461094pt;width:61.55pt;height:10.9pt;mso-position-horizontal-relative:page;mso-position-vertical-relative:page;z-index:-22842880" type="#_x0000_t202" filled="false" stroked="false">
          <v:textbox inset="0,0,0,0">
            <w:txbxContent>
              <w:p>
                <w:pPr>
                  <w:spacing w:before="13"/>
                  <w:ind w:left="20" w:right="0" w:firstLine="0"/>
                  <w:jc w:val="left"/>
                  <w:rPr>
                    <w:i/>
                    <w:sz w:val="16"/>
                  </w:rPr>
                </w:pPr>
                <w:r>
                  <w:rPr>
                    <w:i/>
                    <w:sz w:val="16"/>
                  </w:rPr>
                  <w:t>The labour market</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42368"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w:t>
                </w:r>
                <w:r>
                  <w:rPr>
                    <w:spacing w:val="-22"/>
                    <w:sz w:val="16"/>
                    <w:u w:val="single"/>
                  </w:rPr>
                  <w:t> </w:t>
                </w:r>
                <w:r>
                  <w:rPr>
                    <w:sz w:val="16"/>
                    <w:u w:val="single"/>
                  </w:rPr>
                  <w:t>2000</w:t>
                  <w:tab/>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39808"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 2000</w:t>
                  <w:tab/>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39296" from="38.25pt,39pt" to="555.25pt,39pt" stroked="true" strokeweight=".125pt" strokecolor="#000000">
          <v:stroke dashstyle="solid"/>
          <w10:wrap type="none"/>
        </v:line>
      </w:pict>
    </w:r>
    <w:r>
      <w:rPr/>
      <w:pict>
        <v:line style="position:absolute;mso-position-horizontal-relative:page;mso-position-vertical-relative:page;z-index:-22838784" from="39.958pt,133.985992pt" to="44.292pt,133.985992pt" stroked="true" strokeweight=".5pt" strokecolor="#000000">
          <v:stroke dashstyle="solid"/>
          <w10:wrap type="none"/>
        </v:line>
      </w:pict>
    </w:r>
    <w:r>
      <w:rPr/>
      <w:pict>
        <v:shape style="position:absolute;margin-left:499.950012pt;margin-top:29.461094pt;width:55.35pt;height:10.9pt;mso-position-horizontal-relative:page;mso-position-vertical-relative:page;z-index:-22838272" type="#_x0000_t202" filled="false" stroked="false">
          <v:textbox inset="0,0,0,0">
            <w:txbxContent>
              <w:p>
                <w:pPr>
                  <w:spacing w:before="13"/>
                  <w:ind w:left="20" w:right="0" w:firstLine="0"/>
                  <w:jc w:val="left"/>
                  <w:rPr>
                    <w:i/>
                    <w:sz w:val="16"/>
                  </w:rPr>
                </w:pPr>
                <w:r>
                  <w:rPr>
                    <w:i/>
                    <w:sz w:val="16"/>
                  </w:rPr>
                  <w:t>Costs and prices</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36736" from="38.25pt,39pt" to="555.25pt,39pt" stroked="true" strokeweight=".125pt" strokecolor="#000000">
          <v:stroke dashstyle="solid"/>
          <w10:wrap type="none"/>
        </v:line>
      </w:pict>
    </w:r>
    <w:r>
      <w:rPr/>
      <w:pict>
        <v:shape style="position:absolute;margin-left:499.950012pt;margin-top:29.461094pt;width:55.35pt;height:10.9pt;mso-position-horizontal-relative:page;mso-position-vertical-relative:page;z-index:-22836224" type="#_x0000_t202" filled="false" stroked="false">
          <v:textbox inset="0,0,0,0">
            <w:txbxContent>
              <w:p>
                <w:pPr>
                  <w:spacing w:before="13"/>
                  <w:ind w:left="20" w:right="0" w:firstLine="0"/>
                  <w:jc w:val="left"/>
                  <w:rPr>
                    <w:i/>
                    <w:sz w:val="16"/>
                  </w:rPr>
                </w:pPr>
                <w:r>
                  <w:rPr>
                    <w:i/>
                    <w:sz w:val="16"/>
                  </w:rPr>
                  <w:t>Costs and prices</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pt;margin-top:29.461094pt;width:92.25pt;height:10.9pt;mso-position-horizontal-relative:page;mso-position-vertical-relative:page;z-index:-22835712" type="#_x0000_t202" filled="false" stroked="false">
          <v:textbox inset="0,0,0,0">
            <w:txbxContent>
              <w:p>
                <w:pPr>
                  <w:spacing w:before="13"/>
                  <w:ind w:left="20" w:right="0" w:firstLine="0"/>
                  <w:jc w:val="left"/>
                  <w:rPr>
                    <w:sz w:val="16"/>
                  </w:rPr>
                </w:pPr>
                <w:r>
                  <w:rPr>
                    <w:sz w:val="16"/>
                  </w:rPr>
                  <w:t>Inflation Report: May 2000</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9.950012pt;margin-top:29.461094pt;width:55.35pt;height:10.9pt;mso-position-horizontal-relative:page;mso-position-vertical-relative:page;z-index:-22834176" type="#_x0000_t202" filled="false" stroked="false">
          <v:textbox inset="0,0,0,0">
            <w:txbxContent>
              <w:p>
                <w:pPr>
                  <w:spacing w:before="13"/>
                  <w:ind w:left="20" w:right="0" w:firstLine="0"/>
                  <w:jc w:val="left"/>
                  <w:rPr>
                    <w:i/>
                    <w:sz w:val="16"/>
                  </w:rPr>
                </w:pPr>
                <w:r>
                  <w:rPr>
                    <w:i/>
                    <w:sz w:val="16"/>
                  </w:rPr>
                  <w:t>Costs and prices</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33664"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 2000</w:t>
                  <w:tab/>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31104"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 2000</w:t>
                  <w:tab/>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30592" from="38.25pt,39pt" to="555.25pt,39pt" stroked="true" strokeweight=".125pt" strokecolor="#000000">
          <v:stroke dashstyle="solid"/>
          <w10:wrap type="none"/>
        </v:line>
      </w:pict>
    </w:r>
    <w:r>
      <w:rPr/>
      <w:pict>
        <v:shape style="position:absolute;margin-left:414.440002pt;margin-top:29.461094pt;width:140.85pt;height:10.9pt;mso-position-horizontal-relative:page;mso-position-vertical-relative:page;z-index:-22830080" type="#_x0000_t202" filled="false" stroked="false">
          <v:textbox inset="0,0,0,0">
            <w:txbxContent>
              <w:p>
                <w:pPr>
                  <w:spacing w:before="13"/>
                  <w:ind w:left="20" w:right="0" w:firstLine="0"/>
                  <w:jc w:val="left"/>
                  <w:rPr>
                    <w:sz w:val="16"/>
                  </w:rPr>
                </w:pPr>
                <w:r>
                  <w:rPr>
                    <w:i/>
                    <w:sz w:val="16"/>
                  </w:rPr>
                  <w:t>Monetary policy since the February </w:t>
                </w:r>
                <w:r>
                  <w:rPr>
                    <w:sz w:val="16"/>
                  </w:rPr>
                  <w:t>Report</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27520" from="38.25pt,39pt" to="555.25pt,39pt" stroked="true" strokeweight=".125pt" strokecolor="#000000">
          <v:stroke dashstyle="solid"/>
          <w10:wrap type="none"/>
        </v:line>
      </w:pict>
    </w:r>
    <w:r>
      <w:rPr/>
      <w:pict>
        <v:shape style="position:absolute;margin-left:481.279999pt;margin-top:29.461094pt;width:74pt;height:10.9pt;mso-position-horizontal-relative:page;mso-position-vertical-relative:page;z-index:-22827008" type="#_x0000_t202" filled="false" stroked="false">
          <v:textbox inset="0,0,0,0">
            <w:txbxContent>
              <w:p>
                <w:pPr>
                  <w:spacing w:before="13"/>
                  <w:ind w:left="20" w:right="0" w:firstLine="0"/>
                  <w:jc w:val="left"/>
                  <w:rPr>
                    <w:i/>
                    <w:sz w:val="16"/>
                  </w:rPr>
                </w:pPr>
                <w:r>
                  <w:rPr>
                    <w:i/>
                    <w:sz w:val="16"/>
                  </w:rPr>
                  <w:t>Prospects for inflation</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1094pt;width:519pt;height:10.9pt;mso-position-horizontal-relative:page;mso-position-vertical-relative:page;z-index:-22826496"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 2000</w:t>
                  <w:tab/>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8.461094pt;width:519pt;height:10.9pt;mso-position-horizontal-relative:page;mso-position-vertical-relative:page;z-index:-22823936"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w:t>
                </w:r>
                <w:r>
                  <w:rPr>
                    <w:spacing w:val="-22"/>
                    <w:sz w:val="16"/>
                    <w:u w:val="single"/>
                  </w:rPr>
                  <w:t> </w:t>
                </w:r>
                <w:r>
                  <w:rPr>
                    <w:sz w:val="16"/>
                    <w:u w:val="single"/>
                  </w:rPr>
                  <w:t>2000</w:t>
                  <w:tab/>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8.461094pt;width:519pt;height:10.9pt;mso-position-horizontal-relative:page;mso-position-vertical-relative:page;z-index:-22823424"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w:t>
                </w:r>
                <w:r>
                  <w:rPr>
                    <w:spacing w:val="-22"/>
                    <w:sz w:val="16"/>
                    <w:u w:val="single"/>
                  </w:rPr>
                  <w:t> </w:t>
                </w:r>
                <w:r>
                  <w:rPr>
                    <w:sz w:val="16"/>
                    <w:u w:val="single"/>
                  </w:rPr>
                  <w:t>2000</w:t>
                  <w:tab/>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21888" from="39pt,38pt" to="556pt,38pt" stroked="true" strokeweight=".125pt" strokecolor="#000000">
          <v:stroke dashstyle="solid"/>
          <w10:wrap type="none"/>
        </v:line>
      </w:pict>
    </w:r>
    <w:r>
      <w:rPr/>
      <w:pict>
        <v:shape style="position:absolute;margin-left:463.809998pt;margin-top:28.461094pt;width:92.2pt;height:10.9pt;mso-position-horizontal-relative:page;mso-position-vertical-relative:page;z-index:-22821376" type="#_x0000_t202" filled="false" stroked="false">
          <v:textbox inset="0,0,0,0">
            <w:txbxContent>
              <w:p>
                <w:pPr>
                  <w:spacing w:before="13"/>
                  <w:ind w:left="20" w:right="0" w:firstLine="0"/>
                  <w:jc w:val="left"/>
                  <w:rPr>
                    <w:i/>
                    <w:sz w:val="16"/>
                  </w:rPr>
                </w:pPr>
                <w:r>
                  <w:rPr>
                    <w:i/>
                    <w:sz w:val="16"/>
                  </w:rPr>
                  <w:t>Monetary Policy Committee</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8.461094pt;width:519pt;height:10.9pt;mso-position-horizontal-relative:page;mso-position-vertical-relative:page;z-index:-22820864"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w:t>
                </w:r>
                <w:r>
                  <w:rPr>
                    <w:spacing w:val="-22"/>
                    <w:sz w:val="16"/>
                    <w:u w:val="single"/>
                  </w:rPr>
                  <w:t> </w:t>
                </w:r>
                <w:r>
                  <w:rPr>
                    <w:sz w:val="16"/>
                    <w:u w:val="single"/>
                  </w:rPr>
                  <w:t>2000</w:t>
                  <w:tab/>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25pt;margin-top:29.461094pt;width:519pt;height:10.9pt;mso-position-horizontal-relative:page;mso-position-vertical-relative:page;z-index:-22879232"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May</w:t>
                </w:r>
                <w:r>
                  <w:rPr>
                    <w:spacing w:val="-22"/>
                    <w:sz w:val="16"/>
                    <w:u w:val="single"/>
                  </w:rPr>
                  <w:t> </w:t>
                </w:r>
                <w:r>
                  <w:rPr>
                    <w:sz w:val="16"/>
                    <w:u w:val="single"/>
                  </w:rPr>
                  <w:t>2000</w:t>
                  <w:tab/>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0.019989pt;margin-top:29.461094pt;width:95.55pt;height:10.9pt;mso-position-horizontal-relative:page;mso-position-vertical-relative:page;z-index:-22878720"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77184" from="38.25pt,39pt" to="555.25pt,39pt" stroked="true" strokeweight=".125pt" strokecolor="#000000">
          <v:stroke dashstyle="solid"/>
          <w10:wrap type="none"/>
        </v:line>
      </w:pict>
    </w:r>
    <w:r>
      <w:rPr/>
      <w:pict>
        <v:shape style="position:absolute;margin-left:459.75pt;margin-top:29.461094pt;width:95.55pt;height:10.9pt;mso-position-horizontal-relative:page;mso-position-vertical-relative:page;z-index:-22876672"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1"/>
      <w:numFmt w:val="lowerLetter"/>
      <w:lvlText w:val="(%1)"/>
      <w:lvlJc w:val="left"/>
      <w:pPr>
        <w:ind w:left="661" w:hanging="240"/>
        <w:jc w:val="left"/>
      </w:pPr>
      <w:rPr>
        <w:rFonts w:hint="default" w:ascii="Times New Roman" w:hAnsi="Times New Roman" w:eastAsia="Times New Roman" w:cs="Times New Roman"/>
        <w:w w:val="100"/>
        <w:sz w:val="12"/>
        <w:szCs w:val="12"/>
        <w:lang w:val="en-US" w:eastAsia="en-US" w:bidi="ar-SA"/>
      </w:rPr>
    </w:lvl>
    <w:lvl w:ilvl="1">
      <w:start w:val="0"/>
      <w:numFmt w:val="bullet"/>
      <w:lvlText w:val="•"/>
      <w:lvlJc w:val="left"/>
      <w:pPr>
        <w:ind w:left="1143" w:hanging="240"/>
      </w:pPr>
      <w:rPr>
        <w:rFonts w:hint="default"/>
        <w:lang w:val="en-US" w:eastAsia="en-US" w:bidi="ar-SA"/>
      </w:rPr>
    </w:lvl>
    <w:lvl w:ilvl="2">
      <w:start w:val="0"/>
      <w:numFmt w:val="bullet"/>
      <w:lvlText w:val="•"/>
      <w:lvlJc w:val="left"/>
      <w:pPr>
        <w:ind w:left="1627" w:hanging="240"/>
      </w:pPr>
      <w:rPr>
        <w:rFonts w:hint="default"/>
        <w:lang w:val="en-US" w:eastAsia="en-US" w:bidi="ar-SA"/>
      </w:rPr>
    </w:lvl>
    <w:lvl w:ilvl="3">
      <w:start w:val="0"/>
      <w:numFmt w:val="bullet"/>
      <w:lvlText w:val="•"/>
      <w:lvlJc w:val="left"/>
      <w:pPr>
        <w:ind w:left="2111" w:hanging="240"/>
      </w:pPr>
      <w:rPr>
        <w:rFonts w:hint="default"/>
        <w:lang w:val="en-US" w:eastAsia="en-US" w:bidi="ar-SA"/>
      </w:rPr>
    </w:lvl>
    <w:lvl w:ilvl="4">
      <w:start w:val="0"/>
      <w:numFmt w:val="bullet"/>
      <w:lvlText w:val="•"/>
      <w:lvlJc w:val="left"/>
      <w:pPr>
        <w:ind w:left="2595" w:hanging="240"/>
      </w:pPr>
      <w:rPr>
        <w:rFonts w:hint="default"/>
        <w:lang w:val="en-US" w:eastAsia="en-US" w:bidi="ar-SA"/>
      </w:rPr>
    </w:lvl>
    <w:lvl w:ilvl="5">
      <w:start w:val="0"/>
      <w:numFmt w:val="bullet"/>
      <w:lvlText w:val="•"/>
      <w:lvlJc w:val="left"/>
      <w:pPr>
        <w:ind w:left="3079" w:hanging="240"/>
      </w:pPr>
      <w:rPr>
        <w:rFonts w:hint="default"/>
        <w:lang w:val="en-US" w:eastAsia="en-US" w:bidi="ar-SA"/>
      </w:rPr>
    </w:lvl>
    <w:lvl w:ilvl="6">
      <w:start w:val="0"/>
      <w:numFmt w:val="bullet"/>
      <w:lvlText w:val="•"/>
      <w:lvlJc w:val="left"/>
      <w:pPr>
        <w:ind w:left="3562" w:hanging="240"/>
      </w:pPr>
      <w:rPr>
        <w:rFonts w:hint="default"/>
        <w:lang w:val="en-US" w:eastAsia="en-US" w:bidi="ar-SA"/>
      </w:rPr>
    </w:lvl>
    <w:lvl w:ilvl="7">
      <w:start w:val="0"/>
      <w:numFmt w:val="bullet"/>
      <w:lvlText w:val="•"/>
      <w:lvlJc w:val="left"/>
      <w:pPr>
        <w:ind w:left="4046" w:hanging="240"/>
      </w:pPr>
      <w:rPr>
        <w:rFonts w:hint="default"/>
        <w:lang w:val="en-US" w:eastAsia="en-US" w:bidi="ar-SA"/>
      </w:rPr>
    </w:lvl>
    <w:lvl w:ilvl="8">
      <w:start w:val="0"/>
      <w:numFmt w:val="bullet"/>
      <w:lvlText w:val="•"/>
      <w:lvlJc w:val="left"/>
      <w:pPr>
        <w:ind w:left="4530" w:hanging="240"/>
      </w:pPr>
      <w:rPr>
        <w:rFonts w:hint="default"/>
        <w:lang w:val="en-US" w:eastAsia="en-US" w:bidi="ar-SA"/>
      </w:rPr>
    </w:lvl>
  </w:abstractNum>
  <w:abstractNum w:abstractNumId="54">
    <w:multiLevelType w:val="hybridMultilevel"/>
    <w:lvl w:ilvl="0">
      <w:start w:val="51"/>
      <w:numFmt w:val="decimal"/>
      <w:lvlText w:val="%1"/>
      <w:lvlJc w:val="left"/>
      <w:pPr>
        <w:ind w:left="16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69" w:hanging="480"/>
      </w:pPr>
      <w:rPr>
        <w:rFonts w:hint="default"/>
        <w:lang w:val="en-US" w:eastAsia="en-US" w:bidi="ar-SA"/>
      </w:rPr>
    </w:lvl>
    <w:lvl w:ilvl="2">
      <w:start w:val="0"/>
      <w:numFmt w:val="bullet"/>
      <w:lvlText w:val="•"/>
      <w:lvlJc w:val="left"/>
      <w:pPr>
        <w:ind w:left="1178" w:hanging="480"/>
      </w:pPr>
      <w:rPr>
        <w:rFonts w:hint="default"/>
        <w:lang w:val="en-US" w:eastAsia="en-US" w:bidi="ar-SA"/>
      </w:rPr>
    </w:lvl>
    <w:lvl w:ilvl="3">
      <w:start w:val="0"/>
      <w:numFmt w:val="bullet"/>
      <w:lvlText w:val="•"/>
      <w:lvlJc w:val="left"/>
      <w:pPr>
        <w:ind w:left="1687" w:hanging="480"/>
      </w:pPr>
      <w:rPr>
        <w:rFonts w:hint="default"/>
        <w:lang w:val="en-US" w:eastAsia="en-US" w:bidi="ar-SA"/>
      </w:rPr>
    </w:lvl>
    <w:lvl w:ilvl="4">
      <w:start w:val="0"/>
      <w:numFmt w:val="bullet"/>
      <w:lvlText w:val="•"/>
      <w:lvlJc w:val="left"/>
      <w:pPr>
        <w:ind w:left="2196" w:hanging="480"/>
      </w:pPr>
      <w:rPr>
        <w:rFonts w:hint="default"/>
        <w:lang w:val="en-US" w:eastAsia="en-US" w:bidi="ar-SA"/>
      </w:rPr>
    </w:lvl>
    <w:lvl w:ilvl="5">
      <w:start w:val="0"/>
      <w:numFmt w:val="bullet"/>
      <w:lvlText w:val="•"/>
      <w:lvlJc w:val="left"/>
      <w:pPr>
        <w:ind w:left="2705" w:hanging="480"/>
      </w:pPr>
      <w:rPr>
        <w:rFonts w:hint="default"/>
        <w:lang w:val="en-US" w:eastAsia="en-US" w:bidi="ar-SA"/>
      </w:rPr>
    </w:lvl>
    <w:lvl w:ilvl="6">
      <w:start w:val="0"/>
      <w:numFmt w:val="bullet"/>
      <w:lvlText w:val="•"/>
      <w:lvlJc w:val="left"/>
      <w:pPr>
        <w:ind w:left="3214" w:hanging="480"/>
      </w:pPr>
      <w:rPr>
        <w:rFonts w:hint="default"/>
        <w:lang w:val="en-US" w:eastAsia="en-US" w:bidi="ar-SA"/>
      </w:rPr>
    </w:lvl>
    <w:lvl w:ilvl="7">
      <w:start w:val="0"/>
      <w:numFmt w:val="bullet"/>
      <w:lvlText w:val="•"/>
      <w:lvlJc w:val="left"/>
      <w:pPr>
        <w:ind w:left="3723" w:hanging="480"/>
      </w:pPr>
      <w:rPr>
        <w:rFonts w:hint="default"/>
        <w:lang w:val="en-US" w:eastAsia="en-US" w:bidi="ar-SA"/>
      </w:rPr>
    </w:lvl>
    <w:lvl w:ilvl="8">
      <w:start w:val="0"/>
      <w:numFmt w:val="bullet"/>
      <w:lvlText w:val="•"/>
      <w:lvlJc w:val="left"/>
      <w:pPr>
        <w:ind w:left="4232" w:hanging="480"/>
      </w:pPr>
      <w:rPr>
        <w:rFonts w:hint="default"/>
        <w:lang w:val="en-US" w:eastAsia="en-US" w:bidi="ar-SA"/>
      </w:rPr>
    </w:lvl>
  </w:abstractNum>
  <w:abstractNum w:abstractNumId="53">
    <w:multiLevelType w:val="hybridMultilevel"/>
    <w:lvl w:ilvl="0">
      <w:start w:val="0"/>
      <w:numFmt w:val="decimal"/>
      <w:lvlText w:val="%1"/>
      <w:lvlJc w:val="left"/>
      <w:pPr>
        <w:ind w:left="420" w:hanging="270"/>
        <w:jc w:val="left"/>
      </w:pPr>
      <w:rPr>
        <w:rFonts w:hint="default"/>
        <w:lang w:val="en-US" w:eastAsia="en-US" w:bidi="ar-SA"/>
      </w:rPr>
    </w:lvl>
    <w:lvl w:ilvl="1">
      <w:start w:val="4"/>
      <w:numFmt w:val="decimal"/>
      <w:lvlText w:val="%1.%2"/>
      <w:lvlJc w:val="left"/>
      <w:pPr>
        <w:ind w:left="420" w:hanging="270"/>
        <w:jc w:val="left"/>
      </w:pPr>
      <w:rPr>
        <w:rFonts w:hint="default" w:ascii="Times New Roman" w:hAnsi="Times New Roman" w:eastAsia="Times New Roman" w:cs="Times New Roman"/>
        <w:w w:val="100"/>
        <w:sz w:val="18"/>
        <w:szCs w:val="18"/>
        <w:lang w:val="en-US" w:eastAsia="en-US" w:bidi="ar-SA"/>
      </w:rPr>
    </w:lvl>
    <w:lvl w:ilvl="2">
      <w:start w:val="0"/>
      <w:numFmt w:val="bullet"/>
      <w:lvlText w:val="•"/>
      <w:lvlJc w:val="left"/>
      <w:pPr>
        <w:ind w:left="1385" w:hanging="270"/>
      </w:pPr>
      <w:rPr>
        <w:rFonts w:hint="default"/>
        <w:lang w:val="en-US" w:eastAsia="en-US" w:bidi="ar-SA"/>
      </w:rPr>
    </w:lvl>
    <w:lvl w:ilvl="3">
      <w:start w:val="0"/>
      <w:numFmt w:val="bullet"/>
      <w:lvlText w:val="•"/>
      <w:lvlJc w:val="left"/>
      <w:pPr>
        <w:ind w:left="1867" w:hanging="270"/>
      </w:pPr>
      <w:rPr>
        <w:rFonts w:hint="default"/>
        <w:lang w:val="en-US" w:eastAsia="en-US" w:bidi="ar-SA"/>
      </w:rPr>
    </w:lvl>
    <w:lvl w:ilvl="4">
      <w:start w:val="0"/>
      <w:numFmt w:val="bullet"/>
      <w:lvlText w:val="•"/>
      <w:lvlJc w:val="left"/>
      <w:pPr>
        <w:ind w:left="2350" w:hanging="270"/>
      </w:pPr>
      <w:rPr>
        <w:rFonts w:hint="default"/>
        <w:lang w:val="en-US" w:eastAsia="en-US" w:bidi="ar-SA"/>
      </w:rPr>
    </w:lvl>
    <w:lvl w:ilvl="5">
      <w:start w:val="0"/>
      <w:numFmt w:val="bullet"/>
      <w:lvlText w:val="•"/>
      <w:lvlJc w:val="left"/>
      <w:pPr>
        <w:ind w:left="2832" w:hanging="270"/>
      </w:pPr>
      <w:rPr>
        <w:rFonts w:hint="default"/>
        <w:lang w:val="en-US" w:eastAsia="en-US" w:bidi="ar-SA"/>
      </w:rPr>
    </w:lvl>
    <w:lvl w:ilvl="6">
      <w:start w:val="0"/>
      <w:numFmt w:val="bullet"/>
      <w:lvlText w:val="•"/>
      <w:lvlJc w:val="left"/>
      <w:pPr>
        <w:ind w:left="3315" w:hanging="270"/>
      </w:pPr>
      <w:rPr>
        <w:rFonts w:hint="default"/>
        <w:lang w:val="en-US" w:eastAsia="en-US" w:bidi="ar-SA"/>
      </w:rPr>
    </w:lvl>
    <w:lvl w:ilvl="7">
      <w:start w:val="0"/>
      <w:numFmt w:val="bullet"/>
      <w:lvlText w:val="•"/>
      <w:lvlJc w:val="left"/>
      <w:pPr>
        <w:ind w:left="3797" w:hanging="270"/>
      </w:pPr>
      <w:rPr>
        <w:rFonts w:hint="default"/>
        <w:lang w:val="en-US" w:eastAsia="en-US" w:bidi="ar-SA"/>
      </w:rPr>
    </w:lvl>
    <w:lvl w:ilvl="8">
      <w:start w:val="0"/>
      <w:numFmt w:val="bullet"/>
      <w:lvlText w:val="•"/>
      <w:lvlJc w:val="left"/>
      <w:pPr>
        <w:ind w:left="4280" w:hanging="270"/>
      </w:pPr>
      <w:rPr>
        <w:rFonts w:hint="default"/>
        <w:lang w:val="en-US" w:eastAsia="en-US" w:bidi="ar-SA"/>
      </w:rPr>
    </w:lvl>
  </w:abstractNum>
  <w:abstractNum w:abstractNumId="52">
    <w:multiLevelType w:val="hybridMultilevel"/>
    <w:lvl w:ilvl="0">
      <w:start w:val="22"/>
      <w:numFmt w:val="decimal"/>
      <w:lvlText w:val="%1"/>
      <w:lvlJc w:val="left"/>
      <w:pPr>
        <w:ind w:left="16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69" w:hanging="480"/>
      </w:pPr>
      <w:rPr>
        <w:rFonts w:hint="default"/>
        <w:lang w:val="en-US" w:eastAsia="en-US" w:bidi="ar-SA"/>
      </w:rPr>
    </w:lvl>
    <w:lvl w:ilvl="2">
      <w:start w:val="0"/>
      <w:numFmt w:val="bullet"/>
      <w:lvlText w:val="•"/>
      <w:lvlJc w:val="left"/>
      <w:pPr>
        <w:ind w:left="1178" w:hanging="480"/>
      </w:pPr>
      <w:rPr>
        <w:rFonts w:hint="default"/>
        <w:lang w:val="en-US" w:eastAsia="en-US" w:bidi="ar-SA"/>
      </w:rPr>
    </w:lvl>
    <w:lvl w:ilvl="3">
      <w:start w:val="0"/>
      <w:numFmt w:val="bullet"/>
      <w:lvlText w:val="•"/>
      <w:lvlJc w:val="left"/>
      <w:pPr>
        <w:ind w:left="1687" w:hanging="480"/>
      </w:pPr>
      <w:rPr>
        <w:rFonts w:hint="default"/>
        <w:lang w:val="en-US" w:eastAsia="en-US" w:bidi="ar-SA"/>
      </w:rPr>
    </w:lvl>
    <w:lvl w:ilvl="4">
      <w:start w:val="0"/>
      <w:numFmt w:val="bullet"/>
      <w:lvlText w:val="•"/>
      <w:lvlJc w:val="left"/>
      <w:pPr>
        <w:ind w:left="2196" w:hanging="480"/>
      </w:pPr>
      <w:rPr>
        <w:rFonts w:hint="default"/>
        <w:lang w:val="en-US" w:eastAsia="en-US" w:bidi="ar-SA"/>
      </w:rPr>
    </w:lvl>
    <w:lvl w:ilvl="5">
      <w:start w:val="0"/>
      <w:numFmt w:val="bullet"/>
      <w:lvlText w:val="•"/>
      <w:lvlJc w:val="left"/>
      <w:pPr>
        <w:ind w:left="2705" w:hanging="480"/>
      </w:pPr>
      <w:rPr>
        <w:rFonts w:hint="default"/>
        <w:lang w:val="en-US" w:eastAsia="en-US" w:bidi="ar-SA"/>
      </w:rPr>
    </w:lvl>
    <w:lvl w:ilvl="6">
      <w:start w:val="0"/>
      <w:numFmt w:val="bullet"/>
      <w:lvlText w:val="•"/>
      <w:lvlJc w:val="left"/>
      <w:pPr>
        <w:ind w:left="3214" w:hanging="480"/>
      </w:pPr>
      <w:rPr>
        <w:rFonts w:hint="default"/>
        <w:lang w:val="en-US" w:eastAsia="en-US" w:bidi="ar-SA"/>
      </w:rPr>
    </w:lvl>
    <w:lvl w:ilvl="7">
      <w:start w:val="0"/>
      <w:numFmt w:val="bullet"/>
      <w:lvlText w:val="•"/>
      <w:lvlJc w:val="left"/>
      <w:pPr>
        <w:ind w:left="3723" w:hanging="480"/>
      </w:pPr>
      <w:rPr>
        <w:rFonts w:hint="default"/>
        <w:lang w:val="en-US" w:eastAsia="en-US" w:bidi="ar-SA"/>
      </w:rPr>
    </w:lvl>
    <w:lvl w:ilvl="8">
      <w:start w:val="0"/>
      <w:numFmt w:val="bullet"/>
      <w:lvlText w:val="•"/>
      <w:lvlJc w:val="left"/>
      <w:pPr>
        <w:ind w:left="4232" w:hanging="480"/>
      </w:pPr>
      <w:rPr>
        <w:rFonts w:hint="default"/>
        <w:lang w:val="en-US" w:eastAsia="en-US" w:bidi="ar-SA"/>
      </w:rPr>
    </w:lvl>
  </w:abstractNum>
  <w:abstractNum w:abstractNumId="51">
    <w:multiLevelType w:val="hybridMultilevel"/>
    <w:lvl w:ilvl="0">
      <w:start w:val="1"/>
      <w:numFmt w:val="upperRoman"/>
      <w:lvlText w:val="%1"/>
      <w:lvlJc w:val="left"/>
      <w:pPr>
        <w:ind w:left="650"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1">
      <w:start w:val="0"/>
      <w:numFmt w:val="bullet"/>
      <w:lvlText w:val="•"/>
      <w:lvlJc w:val="left"/>
      <w:pPr>
        <w:ind w:left="1103" w:hanging="481"/>
      </w:pPr>
      <w:rPr>
        <w:rFonts w:hint="default"/>
        <w:lang w:val="en-US" w:eastAsia="en-US" w:bidi="ar-SA"/>
      </w:rPr>
    </w:lvl>
    <w:lvl w:ilvl="2">
      <w:start w:val="0"/>
      <w:numFmt w:val="bullet"/>
      <w:lvlText w:val="•"/>
      <w:lvlJc w:val="left"/>
      <w:pPr>
        <w:ind w:left="1546" w:hanging="481"/>
      </w:pPr>
      <w:rPr>
        <w:rFonts w:hint="default"/>
        <w:lang w:val="en-US" w:eastAsia="en-US" w:bidi="ar-SA"/>
      </w:rPr>
    </w:lvl>
    <w:lvl w:ilvl="3">
      <w:start w:val="0"/>
      <w:numFmt w:val="bullet"/>
      <w:lvlText w:val="•"/>
      <w:lvlJc w:val="left"/>
      <w:pPr>
        <w:ind w:left="1989" w:hanging="481"/>
      </w:pPr>
      <w:rPr>
        <w:rFonts w:hint="default"/>
        <w:lang w:val="en-US" w:eastAsia="en-US" w:bidi="ar-SA"/>
      </w:rPr>
    </w:lvl>
    <w:lvl w:ilvl="4">
      <w:start w:val="0"/>
      <w:numFmt w:val="bullet"/>
      <w:lvlText w:val="•"/>
      <w:lvlJc w:val="left"/>
      <w:pPr>
        <w:ind w:left="2433" w:hanging="481"/>
      </w:pPr>
      <w:rPr>
        <w:rFonts w:hint="default"/>
        <w:lang w:val="en-US" w:eastAsia="en-US" w:bidi="ar-SA"/>
      </w:rPr>
    </w:lvl>
    <w:lvl w:ilvl="5">
      <w:start w:val="0"/>
      <w:numFmt w:val="bullet"/>
      <w:lvlText w:val="•"/>
      <w:lvlJc w:val="left"/>
      <w:pPr>
        <w:ind w:left="2876" w:hanging="481"/>
      </w:pPr>
      <w:rPr>
        <w:rFonts w:hint="default"/>
        <w:lang w:val="en-US" w:eastAsia="en-US" w:bidi="ar-SA"/>
      </w:rPr>
    </w:lvl>
    <w:lvl w:ilvl="6">
      <w:start w:val="0"/>
      <w:numFmt w:val="bullet"/>
      <w:lvlText w:val="•"/>
      <w:lvlJc w:val="left"/>
      <w:pPr>
        <w:ind w:left="3319" w:hanging="481"/>
      </w:pPr>
      <w:rPr>
        <w:rFonts w:hint="default"/>
        <w:lang w:val="en-US" w:eastAsia="en-US" w:bidi="ar-SA"/>
      </w:rPr>
    </w:lvl>
    <w:lvl w:ilvl="7">
      <w:start w:val="0"/>
      <w:numFmt w:val="bullet"/>
      <w:lvlText w:val="•"/>
      <w:lvlJc w:val="left"/>
      <w:pPr>
        <w:ind w:left="3762" w:hanging="481"/>
      </w:pPr>
      <w:rPr>
        <w:rFonts w:hint="default"/>
        <w:lang w:val="en-US" w:eastAsia="en-US" w:bidi="ar-SA"/>
      </w:rPr>
    </w:lvl>
    <w:lvl w:ilvl="8">
      <w:start w:val="0"/>
      <w:numFmt w:val="bullet"/>
      <w:lvlText w:val="•"/>
      <w:lvlJc w:val="left"/>
      <w:pPr>
        <w:ind w:left="4206" w:hanging="481"/>
      </w:pPr>
      <w:rPr>
        <w:rFonts w:hint="default"/>
        <w:lang w:val="en-US" w:eastAsia="en-US" w:bidi="ar-SA"/>
      </w:rPr>
    </w:lvl>
  </w:abstractNum>
  <w:abstractNum w:abstractNumId="50">
    <w:multiLevelType w:val="hybridMultilevel"/>
    <w:lvl w:ilvl="0">
      <w:start w:val="1"/>
      <w:numFmt w:val="decimal"/>
      <w:lvlText w:val="%1"/>
      <w:lvlJc w:val="left"/>
      <w:pPr>
        <w:ind w:left="17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71" w:hanging="480"/>
      </w:pPr>
      <w:rPr>
        <w:rFonts w:hint="default"/>
        <w:lang w:val="en-US" w:eastAsia="en-US" w:bidi="ar-SA"/>
      </w:rPr>
    </w:lvl>
    <w:lvl w:ilvl="2">
      <w:start w:val="0"/>
      <w:numFmt w:val="bullet"/>
      <w:lvlText w:val="•"/>
      <w:lvlJc w:val="left"/>
      <w:pPr>
        <w:ind w:left="1162" w:hanging="480"/>
      </w:pPr>
      <w:rPr>
        <w:rFonts w:hint="default"/>
        <w:lang w:val="en-US" w:eastAsia="en-US" w:bidi="ar-SA"/>
      </w:rPr>
    </w:lvl>
    <w:lvl w:ilvl="3">
      <w:start w:val="0"/>
      <w:numFmt w:val="bullet"/>
      <w:lvlText w:val="•"/>
      <w:lvlJc w:val="left"/>
      <w:pPr>
        <w:ind w:left="1653" w:hanging="480"/>
      </w:pPr>
      <w:rPr>
        <w:rFonts w:hint="default"/>
        <w:lang w:val="en-US" w:eastAsia="en-US" w:bidi="ar-SA"/>
      </w:rPr>
    </w:lvl>
    <w:lvl w:ilvl="4">
      <w:start w:val="0"/>
      <w:numFmt w:val="bullet"/>
      <w:lvlText w:val="•"/>
      <w:lvlJc w:val="left"/>
      <w:pPr>
        <w:ind w:left="2145" w:hanging="480"/>
      </w:pPr>
      <w:rPr>
        <w:rFonts w:hint="default"/>
        <w:lang w:val="en-US" w:eastAsia="en-US" w:bidi="ar-SA"/>
      </w:rPr>
    </w:lvl>
    <w:lvl w:ilvl="5">
      <w:start w:val="0"/>
      <w:numFmt w:val="bullet"/>
      <w:lvlText w:val="•"/>
      <w:lvlJc w:val="left"/>
      <w:pPr>
        <w:ind w:left="2636" w:hanging="480"/>
      </w:pPr>
      <w:rPr>
        <w:rFonts w:hint="default"/>
        <w:lang w:val="en-US" w:eastAsia="en-US" w:bidi="ar-SA"/>
      </w:rPr>
    </w:lvl>
    <w:lvl w:ilvl="6">
      <w:start w:val="0"/>
      <w:numFmt w:val="bullet"/>
      <w:lvlText w:val="•"/>
      <w:lvlJc w:val="left"/>
      <w:pPr>
        <w:ind w:left="3127" w:hanging="480"/>
      </w:pPr>
      <w:rPr>
        <w:rFonts w:hint="default"/>
        <w:lang w:val="en-US" w:eastAsia="en-US" w:bidi="ar-SA"/>
      </w:rPr>
    </w:lvl>
    <w:lvl w:ilvl="7">
      <w:start w:val="0"/>
      <w:numFmt w:val="bullet"/>
      <w:lvlText w:val="•"/>
      <w:lvlJc w:val="left"/>
      <w:pPr>
        <w:ind w:left="3618" w:hanging="480"/>
      </w:pPr>
      <w:rPr>
        <w:rFonts w:hint="default"/>
        <w:lang w:val="en-US" w:eastAsia="en-US" w:bidi="ar-SA"/>
      </w:rPr>
    </w:lvl>
    <w:lvl w:ilvl="8">
      <w:start w:val="0"/>
      <w:numFmt w:val="bullet"/>
      <w:lvlText w:val="•"/>
      <w:lvlJc w:val="left"/>
      <w:pPr>
        <w:ind w:left="4110" w:hanging="480"/>
      </w:pPr>
      <w:rPr>
        <w:rFonts w:hint="default"/>
        <w:lang w:val="en-US" w:eastAsia="en-US" w:bidi="ar-SA"/>
      </w:rPr>
    </w:lvl>
  </w:abstractNum>
  <w:abstractNum w:abstractNumId="49">
    <w:multiLevelType w:val="hybridMultilevel"/>
    <w:lvl w:ilvl="0">
      <w:start w:val="1"/>
      <w:numFmt w:val="decimal"/>
      <w:lvlText w:val="%1"/>
      <w:lvlJc w:val="left"/>
      <w:pPr>
        <w:ind w:left="16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54" w:hanging="480"/>
      </w:pPr>
      <w:rPr>
        <w:rFonts w:hint="default"/>
        <w:lang w:val="en-US" w:eastAsia="en-US" w:bidi="ar-SA"/>
      </w:rPr>
    </w:lvl>
    <w:lvl w:ilvl="2">
      <w:start w:val="0"/>
      <w:numFmt w:val="bullet"/>
      <w:lvlText w:val="•"/>
      <w:lvlJc w:val="left"/>
      <w:pPr>
        <w:ind w:left="1148" w:hanging="480"/>
      </w:pPr>
      <w:rPr>
        <w:rFonts w:hint="default"/>
        <w:lang w:val="en-US" w:eastAsia="en-US" w:bidi="ar-SA"/>
      </w:rPr>
    </w:lvl>
    <w:lvl w:ilvl="3">
      <w:start w:val="0"/>
      <w:numFmt w:val="bullet"/>
      <w:lvlText w:val="•"/>
      <w:lvlJc w:val="left"/>
      <w:pPr>
        <w:ind w:left="1642" w:hanging="480"/>
      </w:pPr>
      <w:rPr>
        <w:rFonts w:hint="default"/>
        <w:lang w:val="en-US" w:eastAsia="en-US" w:bidi="ar-SA"/>
      </w:rPr>
    </w:lvl>
    <w:lvl w:ilvl="4">
      <w:start w:val="0"/>
      <w:numFmt w:val="bullet"/>
      <w:lvlText w:val="•"/>
      <w:lvlJc w:val="left"/>
      <w:pPr>
        <w:ind w:left="2137" w:hanging="480"/>
      </w:pPr>
      <w:rPr>
        <w:rFonts w:hint="default"/>
        <w:lang w:val="en-US" w:eastAsia="en-US" w:bidi="ar-SA"/>
      </w:rPr>
    </w:lvl>
    <w:lvl w:ilvl="5">
      <w:start w:val="0"/>
      <w:numFmt w:val="bullet"/>
      <w:lvlText w:val="•"/>
      <w:lvlJc w:val="left"/>
      <w:pPr>
        <w:ind w:left="2631" w:hanging="480"/>
      </w:pPr>
      <w:rPr>
        <w:rFonts w:hint="default"/>
        <w:lang w:val="en-US" w:eastAsia="en-US" w:bidi="ar-SA"/>
      </w:rPr>
    </w:lvl>
    <w:lvl w:ilvl="6">
      <w:start w:val="0"/>
      <w:numFmt w:val="bullet"/>
      <w:lvlText w:val="•"/>
      <w:lvlJc w:val="left"/>
      <w:pPr>
        <w:ind w:left="3125" w:hanging="480"/>
      </w:pPr>
      <w:rPr>
        <w:rFonts w:hint="default"/>
        <w:lang w:val="en-US" w:eastAsia="en-US" w:bidi="ar-SA"/>
      </w:rPr>
    </w:lvl>
    <w:lvl w:ilvl="7">
      <w:start w:val="0"/>
      <w:numFmt w:val="bullet"/>
      <w:lvlText w:val="•"/>
      <w:lvlJc w:val="left"/>
      <w:pPr>
        <w:ind w:left="3620" w:hanging="480"/>
      </w:pPr>
      <w:rPr>
        <w:rFonts w:hint="default"/>
        <w:lang w:val="en-US" w:eastAsia="en-US" w:bidi="ar-SA"/>
      </w:rPr>
    </w:lvl>
    <w:lvl w:ilvl="8">
      <w:start w:val="0"/>
      <w:numFmt w:val="bullet"/>
      <w:lvlText w:val="•"/>
      <w:lvlJc w:val="left"/>
      <w:pPr>
        <w:ind w:left="4114" w:hanging="480"/>
      </w:pPr>
      <w:rPr>
        <w:rFonts w:hint="default"/>
        <w:lang w:val="en-US" w:eastAsia="en-US" w:bidi="ar-SA"/>
      </w:rPr>
    </w:lvl>
  </w:abstractNum>
  <w:abstractNum w:abstractNumId="48">
    <w:multiLevelType w:val="hybridMultilevel"/>
    <w:lvl w:ilvl="0">
      <w:start w:val="1"/>
      <w:numFmt w:val="upperRoman"/>
      <w:lvlText w:val="%1"/>
      <w:lvlJc w:val="left"/>
      <w:pPr>
        <w:ind w:left="654"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1">
      <w:start w:val="0"/>
      <w:numFmt w:val="bullet"/>
      <w:lvlText w:val="•"/>
      <w:lvlJc w:val="left"/>
      <w:pPr>
        <w:ind w:left="1106" w:hanging="481"/>
      </w:pPr>
      <w:rPr>
        <w:rFonts w:hint="default"/>
        <w:lang w:val="en-US" w:eastAsia="en-US" w:bidi="ar-SA"/>
      </w:rPr>
    </w:lvl>
    <w:lvl w:ilvl="2">
      <w:start w:val="0"/>
      <w:numFmt w:val="bullet"/>
      <w:lvlText w:val="•"/>
      <w:lvlJc w:val="left"/>
      <w:pPr>
        <w:ind w:left="1552" w:hanging="481"/>
      </w:pPr>
      <w:rPr>
        <w:rFonts w:hint="default"/>
        <w:lang w:val="en-US" w:eastAsia="en-US" w:bidi="ar-SA"/>
      </w:rPr>
    </w:lvl>
    <w:lvl w:ilvl="3">
      <w:start w:val="0"/>
      <w:numFmt w:val="bullet"/>
      <w:lvlText w:val="•"/>
      <w:lvlJc w:val="left"/>
      <w:pPr>
        <w:ind w:left="1998" w:hanging="481"/>
      </w:pPr>
      <w:rPr>
        <w:rFonts w:hint="default"/>
        <w:lang w:val="en-US" w:eastAsia="en-US" w:bidi="ar-SA"/>
      </w:rPr>
    </w:lvl>
    <w:lvl w:ilvl="4">
      <w:start w:val="0"/>
      <w:numFmt w:val="bullet"/>
      <w:lvlText w:val="•"/>
      <w:lvlJc w:val="left"/>
      <w:pPr>
        <w:ind w:left="2445" w:hanging="481"/>
      </w:pPr>
      <w:rPr>
        <w:rFonts w:hint="default"/>
        <w:lang w:val="en-US" w:eastAsia="en-US" w:bidi="ar-SA"/>
      </w:rPr>
    </w:lvl>
    <w:lvl w:ilvl="5">
      <w:start w:val="0"/>
      <w:numFmt w:val="bullet"/>
      <w:lvlText w:val="•"/>
      <w:lvlJc w:val="left"/>
      <w:pPr>
        <w:ind w:left="2891" w:hanging="481"/>
      </w:pPr>
      <w:rPr>
        <w:rFonts w:hint="default"/>
        <w:lang w:val="en-US" w:eastAsia="en-US" w:bidi="ar-SA"/>
      </w:rPr>
    </w:lvl>
    <w:lvl w:ilvl="6">
      <w:start w:val="0"/>
      <w:numFmt w:val="bullet"/>
      <w:lvlText w:val="•"/>
      <w:lvlJc w:val="left"/>
      <w:pPr>
        <w:ind w:left="3337" w:hanging="481"/>
      </w:pPr>
      <w:rPr>
        <w:rFonts w:hint="default"/>
        <w:lang w:val="en-US" w:eastAsia="en-US" w:bidi="ar-SA"/>
      </w:rPr>
    </w:lvl>
    <w:lvl w:ilvl="7">
      <w:start w:val="0"/>
      <w:numFmt w:val="bullet"/>
      <w:lvlText w:val="•"/>
      <w:lvlJc w:val="left"/>
      <w:pPr>
        <w:ind w:left="3783" w:hanging="481"/>
      </w:pPr>
      <w:rPr>
        <w:rFonts w:hint="default"/>
        <w:lang w:val="en-US" w:eastAsia="en-US" w:bidi="ar-SA"/>
      </w:rPr>
    </w:lvl>
    <w:lvl w:ilvl="8">
      <w:start w:val="0"/>
      <w:numFmt w:val="bullet"/>
      <w:lvlText w:val="•"/>
      <w:lvlJc w:val="left"/>
      <w:pPr>
        <w:ind w:left="4229" w:hanging="481"/>
      </w:pPr>
      <w:rPr>
        <w:rFonts w:hint="default"/>
        <w:lang w:val="en-US" w:eastAsia="en-US" w:bidi="ar-SA"/>
      </w:rPr>
    </w:lvl>
  </w:abstractNum>
  <w:abstractNum w:abstractNumId="47">
    <w:multiLevelType w:val="hybridMultilevel"/>
    <w:lvl w:ilvl="0">
      <w:start w:val="1"/>
      <w:numFmt w:val="decimal"/>
      <w:lvlText w:val="%1"/>
      <w:lvlJc w:val="left"/>
      <w:pPr>
        <w:ind w:left="174"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74" w:hanging="480"/>
      </w:pPr>
      <w:rPr>
        <w:rFonts w:hint="default"/>
        <w:lang w:val="en-US" w:eastAsia="en-US" w:bidi="ar-SA"/>
      </w:rPr>
    </w:lvl>
    <w:lvl w:ilvl="2">
      <w:start w:val="0"/>
      <w:numFmt w:val="bullet"/>
      <w:lvlText w:val="•"/>
      <w:lvlJc w:val="left"/>
      <w:pPr>
        <w:ind w:left="1168" w:hanging="480"/>
      </w:pPr>
      <w:rPr>
        <w:rFonts w:hint="default"/>
        <w:lang w:val="en-US" w:eastAsia="en-US" w:bidi="ar-SA"/>
      </w:rPr>
    </w:lvl>
    <w:lvl w:ilvl="3">
      <w:start w:val="0"/>
      <w:numFmt w:val="bullet"/>
      <w:lvlText w:val="•"/>
      <w:lvlJc w:val="left"/>
      <w:pPr>
        <w:ind w:left="1662" w:hanging="480"/>
      </w:pPr>
      <w:rPr>
        <w:rFonts w:hint="default"/>
        <w:lang w:val="en-US" w:eastAsia="en-US" w:bidi="ar-SA"/>
      </w:rPr>
    </w:lvl>
    <w:lvl w:ilvl="4">
      <w:start w:val="0"/>
      <w:numFmt w:val="bullet"/>
      <w:lvlText w:val="•"/>
      <w:lvlJc w:val="left"/>
      <w:pPr>
        <w:ind w:left="2157" w:hanging="480"/>
      </w:pPr>
      <w:rPr>
        <w:rFonts w:hint="default"/>
        <w:lang w:val="en-US" w:eastAsia="en-US" w:bidi="ar-SA"/>
      </w:rPr>
    </w:lvl>
    <w:lvl w:ilvl="5">
      <w:start w:val="0"/>
      <w:numFmt w:val="bullet"/>
      <w:lvlText w:val="•"/>
      <w:lvlJc w:val="left"/>
      <w:pPr>
        <w:ind w:left="2651" w:hanging="480"/>
      </w:pPr>
      <w:rPr>
        <w:rFonts w:hint="default"/>
        <w:lang w:val="en-US" w:eastAsia="en-US" w:bidi="ar-SA"/>
      </w:rPr>
    </w:lvl>
    <w:lvl w:ilvl="6">
      <w:start w:val="0"/>
      <w:numFmt w:val="bullet"/>
      <w:lvlText w:val="•"/>
      <w:lvlJc w:val="left"/>
      <w:pPr>
        <w:ind w:left="3145" w:hanging="480"/>
      </w:pPr>
      <w:rPr>
        <w:rFonts w:hint="default"/>
        <w:lang w:val="en-US" w:eastAsia="en-US" w:bidi="ar-SA"/>
      </w:rPr>
    </w:lvl>
    <w:lvl w:ilvl="7">
      <w:start w:val="0"/>
      <w:numFmt w:val="bullet"/>
      <w:lvlText w:val="•"/>
      <w:lvlJc w:val="left"/>
      <w:pPr>
        <w:ind w:left="3639" w:hanging="480"/>
      </w:pPr>
      <w:rPr>
        <w:rFonts w:hint="default"/>
        <w:lang w:val="en-US" w:eastAsia="en-US" w:bidi="ar-SA"/>
      </w:rPr>
    </w:lvl>
    <w:lvl w:ilvl="8">
      <w:start w:val="0"/>
      <w:numFmt w:val="bullet"/>
      <w:lvlText w:val="•"/>
      <w:lvlJc w:val="left"/>
      <w:pPr>
        <w:ind w:left="4133" w:hanging="480"/>
      </w:pPr>
      <w:rPr>
        <w:rFonts w:hint="default"/>
        <w:lang w:val="en-US" w:eastAsia="en-US" w:bidi="ar-SA"/>
      </w:rPr>
    </w:lvl>
  </w:abstractNum>
  <w:abstractNum w:abstractNumId="46">
    <w:multiLevelType w:val="hybridMultilevel"/>
    <w:lvl w:ilvl="0">
      <w:start w:val="1"/>
      <w:numFmt w:val="decimal"/>
      <w:lvlText w:val="%1"/>
      <w:lvlJc w:val="left"/>
      <w:pPr>
        <w:ind w:left="174"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72" w:hanging="480"/>
      </w:pPr>
      <w:rPr>
        <w:rFonts w:hint="default"/>
        <w:lang w:val="en-US" w:eastAsia="en-US" w:bidi="ar-SA"/>
      </w:rPr>
    </w:lvl>
    <w:lvl w:ilvl="2">
      <w:start w:val="0"/>
      <w:numFmt w:val="bullet"/>
      <w:lvlText w:val="•"/>
      <w:lvlJc w:val="left"/>
      <w:pPr>
        <w:ind w:left="1164" w:hanging="480"/>
      </w:pPr>
      <w:rPr>
        <w:rFonts w:hint="default"/>
        <w:lang w:val="en-US" w:eastAsia="en-US" w:bidi="ar-SA"/>
      </w:rPr>
    </w:lvl>
    <w:lvl w:ilvl="3">
      <w:start w:val="0"/>
      <w:numFmt w:val="bullet"/>
      <w:lvlText w:val="•"/>
      <w:lvlJc w:val="left"/>
      <w:pPr>
        <w:ind w:left="1656" w:hanging="480"/>
      </w:pPr>
      <w:rPr>
        <w:rFonts w:hint="default"/>
        <w:lang w:val="en-US" w:eastAsia="en-US" w:bidi="ar-SA"/>
      </w:rPr>
    </w:lvl>
    <w:lvl w:ilvl="4">
      <w:start w:val="0"/>
      <w:numFmt w:val="bullet"/>
      <w:lvlText w:val="•"/>
      <w:lvlJc w:val="left"/>
      <w:pPr>
        <w:ind w:left="2148" w:hanging="480"/>
      </w:pPr>
      <w:rPr>
        <w:rFonts w:hint="default"/>
        <w:lang w:val="en-US" w:eastAsia="en-US" w:bidi="ar-SA"/>
      </w:rPr>
    </w:lvl>
    <w:lvl w:ilvl="5">
      <w:start w:val="0"/>
      <w:numFmt w:val="bullet"/>
      <w:lvlText w:val="•"/>
      <w:lvlJc w:val="left"/>
      <w:pPr>
        <w:ind w:left="2640" w:hanging="480"/>
      </w:pPr>
      <w:rPr>
        <w:rFonts w:hint="default"/>
        <w:lang w:val="en-US" w:eastAsia="en-US" w:bidi="ar-SA"/>
      </w:rPr>
    </w:lvl>
    <w:lvl w:ilvl="6">
      <w:start w:val="0"/>
      <w:numFmt w:val="bullet"/>
      <w:lvlText w:val="•"/>
      <w:lvlJc w:val="left"/>
      <w:pPr>
        <w:ind w:left="3133" w:hanging="480"/>
      </w:pPr>
      <w:rPr>
        <w:rFonts w:hint="default"/>
        <w:lang w:val="en-US" w:eastAsia="en-US" w:bidi="ar-SA"/>
      </w:rPr>
    </w:lvl>
    <w:lvl w:ilvl="7">
      <w:start w:val="0"/>
      <w:numFmt w:val="bullet"/>
      <w:lvlText w:val="•"/>
      <w:lvlJc w:val="left"/>
      <w:pPr>
        <w:ind w:left="3625" w:hanging="480"/>
      </w:pPr>
      <w:rPr>
        <w:rFonts w:hint="default"/>
        <w:lang w:val="en-US" w:eastAsia="en-US" w:bidi="ar-SA"/>
      </w:rPr>
    </w:lvl>
    <w:lvl w:ilvl="8">
      <w:start w:val="0"/>
      <w:numFmt w:val="bullet"/>
      <w:lvlText w:val="•"/>
      <w:lvlJc w:val="left"/>
      <w:pPr>
        <w:ind w:left="4117" w:hanging="480"/>
      </w:pPr>
      <w:rPr>
        <w:rFonts w:hint="default"/>
        <w:lang w:val="en-US" w:eastAsia="en-US" w:bidi="ar-SA"/>
      </w:rPr>
    </w:lvl>
  </w:abstractNum>
  <w:abstractNum w:abstractNumId="45">
    <w:multiLevelType w:val="hybridMultilevel"/>
    <w:lvl w:ilvl="0">
      <w:start w:val="7"/>
      <w:numFmt w:val="decimal"/>
      <w:lvlText w:val="%1"/>
      <w:lvlJc w:val="left"/>
      <w:pPr>
        <w:ind w:left="17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86" w:hanging="480"/>
      </w:pPr>
      <w:rPr>
        <w:rFonts w:hint="default"/>
        <w:lang w:val="en-US" w:eastAsia="en-US" w:bidi="ar-SA"/>
      </w:rPr>
    </w:lvl>
    <w:lvl w:ilvl="2">
      <w:start w:val="0"/>
      <w:numFmt w:val="bullet"/>
      <w:lvlText w:val="•"/>
      <w:lvlJc w:val="left"/>
      <w:pPr>
        <w:ind w:left="1193" w:hanging="480"/>
      </w:pPr>
      <w:rPr>
        <w:rFonts w:hint="default"/>
        <w:lang w:val="en-US" w:eastAsia="en-US" w:bidi="ar-SA"/>
      </w:rPr>
    </w:lvl>
    <w:lvl w:ilvl="3">
      <w:start w:val="0"/>
      <w:numFmt w:val="bullet"/>
      <w:lvlText w:val="•"/>
      <w:lvlJc w:val="left"/>
      <w:pPr>
        <w:ind w:left="1700" w:hanging="480"/>
      </w:pPr>
      <w:rPr>
        <w:rFonts w:hint="default"/>
        <w:lang w:val="en-US" w:eastAsia="en-US" w:bidi="ar-SA"/>
      </w:rPr>
    </w:lvl>
    <w:lvl w:ilvl="4">
      <w:start w:val="0"/>
      <w:numFmt w:val="bullet"/>
      <w:lvlText w:val="•"/>
      <w:lvlJc w:val="left"/>
      <w:pPr>
        <w:ind w:left="2207" w:hanging="480"/>
      </w:pPr>
      <w:rPr>
        <w:rFonts w:hint="default"/>
        <w:lang w:val="en-US" w:eastAsia="en-US" w:bidi="ar-SA"/>
      </w:rPr>
    </w:lvl>
    <w:lvl w:ilvl="5">
      <w:start w:val="0"/>
      <w:numFmt w:val="bullet"/>
      <w:lvlText w:val="•"/>
      <w:lvlJc w:val="left"/>
      <w:pPr>
        <w:ind w:left="2713" w:hanging="480"/>
      </w:pPr>
      <w:rPr>
        <w:rFonts w:hint="default"/>
        <w:lang w:val="en-US" w:eastAsia="en-US" w:bidi="ar-SA"/>
      </w:rPr>
    </w:lvl>
    <w:lvl w:ilvl="6">
      <w:start w:val="0"/>
      <w:numFmt w:val="bullet"/>
      <w:lvlText w:val="•"/>
      <w:lvlJc w:val="left"/>
      <w:pPr>
        <w:ind w:left="3220" w:hanging="480"/>
      </w:pPr>
      <w:rPr>
        <w:rFonts w:hint="default"/>
        <w:lang w:val="en-US" w:eastAsia="en-US" w:bidi="ar-SA"/>
      </w:rPr>
    </w:lvl>
    <w:lvl w:ilvl="7">
      <w:start w:val="0"/>
      <w:numFmt w:val="bullet"/>
      <w:lvlText w:val="•"/>
      <w:lvlJc w:val="left"/>
      <w:pPr>
        <w:ind w:left="3727" w:hanging="480"/>
      </w:pPr>
      <w:rPr>
        <w:rFonts w:hint="default"/>
        <w:lang w:val="en-US" w:eastAsia="en-US" w:bidi="ar-SA"/>
      </w:rPr>
    </w:lvl>
    <w:lvl w:ilvl="8">
      <w:start w:val="0"/>
      <w:numFmt w:val="bullet"/>
      <w:lvlText w:val="•"/>
      <w:lvlJc w:val="left"/>
      <w:pPr>
        <w:ind w:left="4234" w:hanging="480"/>
      </w:pPr>
      <w:rPr>
        <w:rFonts w:hint="default"/>
        <w:lang w:val="en-US" w:eastAsia="en-US" w:bidi="ar-SA"/>
      </w:rPr>
    </w:lvl>
  </w:abstractNum>
  <w:abstractNum w:abstractNumId="44">
    <w:multiLevelType w:val="hybridMultilevel"/>
    <w:lvl w:ilvl="0">
      <w:start w:val="1"/>
      <w:numFmt w:val="upperRoman"/>
      <w:lvlText w:val="%1"/>
      <w:lvlJc w:val="left"/>
      <w:pPr>
        <w:ind w:left="650"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1">
      <w:start w:val="0"/>
      <w:numFmt w:val="bullet"/>
      <w:lvlText w:val="•"/>
      <w:lvlJc w:val="left"/>
      <w:pPr>
        <w:ind w:left="1105" w:hanging="481"/>
      </w:pPr>
      <w:rPr>
        <w:rFonts w:hint="default"/>
        <w:lang w:val="en-US" w:eastAsia="en-US" w:bidi="ar-SA"/>
      </w:rPr>
    </w:lvl>
    <w:lvl w:ilvl="2">
      <w:start w:val="0"/>
      <w:numFmt w:val="bullet"/>
      <w:lvlText w:val="•"/>
      <w:lvlJc w:val="left"/>
      <w:pPr>
        <w:ind w:left="1550" w:hanging="481"/>
      </w:pPr>
      <w:rPr>
        <w:rFonts w:hint="default"/>
        <w:lang w:val="en-US" w:eastAsia="en-US" w:bidi="ar-SA"/>
      </w:rPr>
    </w:lvl>
    <w:lvl w:ilvl="3">
      <w:start w:val="0"/>
      <w:numFmt w:val="bullet"/>
      <w:lvlText w:val="•"/>
      <w:lvlJc w:val="left"/>
      <w:pPr>
        <w:ind w:left="1995" w:hanging="481"/>
      </w:pPr>
      <w:rPr>
        <w:rFonts w:hint="default"/>
        <w:lang w:val="en-US" w:eastAsia="en-US" w:bidi="ar-SA"/>
      </w:rPr>
    </w:lvl>
    <w:lvl w:ilvl="4">
      <w:start w:val="0"/>
      <w:numFmt w:val="bullet"/>
      <w:lvlText w:val="•"/>
      <w:lvlJc w:val="left"/>
      <w:pPr>
        <w:ind w:left="2440" w:hanging="481"/>
      </w:pPr>
      <w:rPr>
        <w:rFonts w:hint="default"/>
        <w:lang w:val="en-US" w:eastAsia="en-US" w:bidi="ar-SA"/>
      </w:rPr>
    </w:lvl>
    <w:lvl w:ilvl="5">
      <w:start w:val="0"/>
      <w:numFmt w:val="bullet"/>
      <w:lvlText w:val="•"/>
      <w:lvlJc w:val="left"/>
      <w:pPr>
        <w:ind w:left="2885" w:hanging="481"/>
      </w:pPr>
      <w:rPr>
        <w:rFonts w:hint="default"/>
        <w:lang w:val="en-US" w:eastAsia="en-US" w:bidi="ar-SA"/>
      </w:rPr>
    </w:lvl>
    <w:lvl w:ilvl="6">
      <w:start w:val="0"/>
      <w:numFmt w:val="bullet"/>
      <w:lvlText w:val="•"/>
      <w:lvlJc w:val="left"/>
      <w:pPr>
        <w:ind w:left="3331" w:hanging="481"/>
      </w:pPr>
      <w:rPr>
        <w:rFonts w:hint="default"/>
        <w:lang w:val="en-US" w:eastAsia="en-US" w:bidi="ar-SA"/>
      </w:rPr>
    </w:lvl>
    <w:lvl w:ilvl="7">
      <w:start w:val="0"/>
      <w:numFmt w:val="bullet"/>
      <w:lvlText w:val="•"/>
      <w:lvlJc w:val="left"/>
      <w:pPr>
        <w:ind w:left="3776" w:hanging="481"/>
      </w:pPr>
      <w:rPr>
        <w:rFonts w:hint="default"/>
        <w:lang w:val="en-US" w:eastAsia="en-US" w:bidi="ar-SA"/>
      </w:rPr>
    </w:lvl>
    <w:lvl w:ilvl="8">
      <w:start w:val="0"/>
      <w:numFmt w:val="bullet"/>
      <w:lvlText w:val="•"/>
      <w:lvlJc w:val="left"/>
      <w:pPr>
        <w:ind w:left="4221" w:hanging="481"/>
      </w:pPr>
      <w:rPr>
        <w:rFonts w:hint="default"/>
        <w:lang w:val="en-US" w:eastAsia="en-US" w:bidi="ar-SA"/>
      </w:rPr>
    </w:lvl>
  </w:abstractNum>
  <w:abstractNum w:abstractNumId="43">
    <w:multiLevelType w:val="hybridMultilevel"/>
    <w:lvl w:ilvl="0">
      <w:start w:val="1"/>
      <w:numFmt w:val="decimal"/>
      <w:lvlText w:val="%1"/>
      <w:lvlJc w:val="left"/>
      <w:pPr>
        <w:ind w:left="17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73" w:hanging="480"/>
      </w:pPr>
      <w:rPr>
        <w:rFonts w:hint="default"/>
        <w:lang w:val="en-US" w:eastAsia="en-US" w:bidi="ar-SA"/>
      </w:rPr>
    </w:lvl>
    <w:lvl w:ilvl="2">
      <w:start w:val="0"/>
      <w:numFmt w:val="bullet"/>
      <w:lvlText w:val="•"/>
      <w:lvlJc w:val="left"/>
      <w:pPr>
        <w:ind w:left="1166" w:hanging="480"/>
      </w:pPr>
      <w:rPr>
        <w:rFonts w:hint="default"/>
        <w:lang w:val="en-US" w:eastAsia="en-US" w:bidi="ar-SA"/>
      </w:rPr>
    </w:lvl>
    <w:lvl w:ilvl="3">
      <w:start w:val="0"/>
      <w:numFmt w:val="bullet"/>
      <w:lvlText w:val="•"/>
      <w:lvlJc w:val="left"/>
      <w:pPr>
        <w:ind w:left="1659" w:hanging="480"/>
      </w:pPr>
      <w:rPr>
        <w:rFonts w:hint="default"/>
        <w:lang w:val="en-US" w:eastAsia="en-US" w:bidi="ar-SA"/>
      </w:rPr>
    </w:lvl>
    <w:lvl w:ilvl="4">
      <w:start w:val="0"/>
      <w:numFmt w:val="bullet"/>
      <w:lvlText w:val="•"/>
      <w:lvlJc w:val="left"/>
      <w:pPr>
        <w:ind w:left="2152" w:hanging="480"/>
      </w:pPr>
      <w:rPr>
        <w:rFonts w:hint="default"/>
        <w:lang w:val="en-US" w:eastAsia="en-US" w:bidi="ar-SA"/>
      </w:rPr>
    </w:lvl>
    <w:lvl w:ilvl="5">
      <w:start w:val="0"/>
      <w:numFmt w:val="bullet"/>
      <w:lvlText w:val="•"/>
      <w:lvlJc w:val="left"/>
      <w:pPr>
        <w:ind w:left="2645" w:hanging="480"/>
      </w:pPr>
      <w:rPr>
        <w:rFonts w:hint="default"/>
        <w:lang w:val="en-US" w:eastAsia="en-US" w:bidi="ar-SA"/>
      </w:rPr>
    </w:lvl>
    <w:lvl w:ilvl="6">
      <w:start w:val="0"/>
      <w:numFmt w:val="bullet"/>
      <w:lvlText w:val="•"/>
      <w:lvlJc w:val="left"/>
      <w:pPr>
        <w:ind w:left="3139" w:hanging="480"/>
      </w:pPr>
      <w:rPr>
        <w:rFonts w:hint="default"/>
        <w:lang w:val="en-US" w:eastAsia="en-US" w:bidi="ar-SA"/>
      </w:rPr>
    </w:lvl>
    <w:lvl w:ilvl="7">
      <w:start w:val="0"/>
      <w:numFmt w:val="bullet"/>
      <w:lvlText w:val="•"/>
      <w:lvlJc w:val="left"/>
      <w:pPr>
        <w:ind w:left="3632" w:hanging="480"/>
      </w:pPr>
      <w:rPr>
        <w:rFonts w:hint="default"/>
        <w:lang w:val="en-US" w:eastAsia="en-US" w:bidi="ar-SA"/>
      </w:rPr>
    </w:lvl>
    <w:lvl w:ilvl="8">
      <w:start w:val="0"/>
      <w:numFmt w:val="bullet"/>
      <w:lvlText w:val="•"/>
      <w:lvlJc w:val="left"/>
      <w:pPr>
        <w:ind w:left="4125" w:hanging="480"/>
      </w:pPr>
      <w:rPr>
        <w:rFonts w:hint="default"/>
        <w:lang w:val="en-US" w:eastAsia="en-US" w:bidi="ar-SA"/>
      </w:rPr>
    </w:lvl>
  </w:abstractNum>
  <w:abstractNum w:abstractNumId="42">
    <w:multiLevelType w:val="hybridMultilevel"/>
    <w:lvl w:ilvl="0">
      <w:start w:val="43"/>
      <w:numFmt w:val="decimal"/>
      <w:lvlText w:val="%1"/>
      <w:lvlJc w:val="left"/>
      <w:pPr>
        <w:ind w:left="16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1208" w:hanging="480"/>
      </w:pPr>
      <w:rPr>
        <w:rFonts w:hint="default"/>
        <w:lang w:val="en-US" w:eastAsia="en-US" w:bidi="ar-SA"/>
      </w:rPr>
    </w:lvl>
    <w:lvl w:ilvl="2">
      <w:start w:val="0"/>
      <w:numFmt w:val="bullet"/>
      <w:lvlText w:val="•"/>
      <w:lvlJc w:val="left"/>
      <w:pPr>
        <w:ind w:left="2256" w:hanging="480"/>
      </w:pPr>
      <w:rPr>
        <w:rFonts w:hint="default"/>
        <w:lang w:val="en-US" w:eastAsia="en-US" w:bidi="ar-SA"/>
      </w:rPr>
    </w:lvl>
    <w:lvl w:ilvl="3">
      <w:start w:val="0"/>
      <w:numFmt w:val="bullet"/>
      <w:lvlText w:val="•"/>
      <w:lvlJc w:val="left"/>
      <w:pPr>
        <w:ind w:left="3304" w:hanging="480"/>
      </w:pPr>
      <w:rPr>
        <w:rFonts w:hint="default"/>
        <w:lang w:val="en-US" w:eastAsia="en-US" w:bidi="ar-SA"/>
      </w:rPr>
    </w:lvl>
    <w:lvl w:ilvl="4">
      <w:start w:val="0"/>
      <w:numFmt w:val="bullet"/>
      <w:lvlText w:val="•"/>
      <w:lvlJc w:val="left"/>
      <w:pPr>
        <w:ind w:left="4352" w:hanging="480"/>
      </w:pPr>
      <w:rPr>
        <w:rFonts w:hint="default"/>
        <w:lang w:val="en-US" w:eastAsia="en-US" w:bidi="ar-SA"/>
      </w:rPr>
    </w:lvl>
    <w:lvl w:ilvl="5">
      <w:start w:val="0"/>
      <w:numFmt w:val="bullet"/>
      <w:lvlText w:val="•"/>
      <w:lvlJc w:val="left"/>
      <w:pPr>
        <w:ind w:left="5400" w:hanging="480"/>
      </w:pPr>
      <w:rPr>
        <w:rFonts w:hint="default"/>
        <w:lang w:val="en-US" w:eastAsia="en-US" w:bidi="ar-SA"/>
      </w:rPr>
    </w:lvl>
    <w:lvl w:ilvl="6">
      <w:start w:val="0"/>
      <w:numFmt w:val="bullet"/>
      <w:lvlText w:val="•"/>
      <w:lvlJc w:val="left"/>
      <w:pPr>
        <w:ind w:left="6448" w:hanging="480"/>
      </w:pPr>
      <w:rPr>
        <w:rFonts w:hint="default"/>
        <w:lang w:val="en-US" w:eastAsia="en-US" w:bidi="ar-SA"/>
      </w:rPr>
    </w:lvl>
    <w:lvl w:ilvl="7">
      <w:start w:val="0"/>
      <w:numFmt w:val="bullet"/>
      <w:lvlText w:val="•"/>
      <w:lvlJc w:val="left"/>
      <w:pPr>
        <w:ind w:left="7496" w:hanging="480"/>
      </w:pPr>
      <w:rPr>
        <w:rFonts w:hint="default"/>
        <w:lang w:val="en-US" w:eastAsia="en-US" w:bidi="ar-SA"/>
      </w:rPr>
    </w:lvl>
    <w:lvl w:ilvl="8">
      <w:start w:val="0"/>
      <w:numFmt w:val="bullet"/>
      <w:lvlText w:val="•"/>
      <w:lvlJc w:val="left"/>
      <w:pPr>
        <w:ind w:left="8544" w:hanging="480"/>
      </w:pPr>
      <w:rPr>
        <w:rFonts w:hint="default"/>
        <w:lang w:val="en-US" w:eastAsia="en-US" w:bidi="ar-SA"/>
      </w:rPr>
    </w:lvl>
  </w:abstractNum>
  <w:abstractNum w:abstractNumId="41">
    <w:multiLevelType w:val="hybridMultilevel"/>
    <w:lvl w:ilvl="0">
      <w:start w:val="1"/>
      <w:numFmt w:val="decimal"/>
      <w:lvlText w:val="%1"/>
      <w:lvlJc w:val="left"/>
      <w:pPr>
        <w:ind w:left="16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51" w:hanging="480"/>
      </w:pPr>
      <w:rPr>
        <w:rFonts w:hint="default"/>
        <w:lang w:val="en-US" w:eastAsia="en-US" w:bidi="ar-SA"/>
      </w:rPr>
    </w:lvl>
    <w:lvl w:ilvl="2">
      <w:start w:val="0"/>
      <w:numFmt w:val="bullet"/>
      <w:lvlText w:val="•"/>
      <w:lvlJc w:val="left"/>
      <w:pPr>
        <w:ind w:left="1143" w:hanging="480"/>
      </w:pPr>
      <w:rPr>
        <w:rFonts w:hint="default"/>
        <w:lang w:val="en-US" w:eastAsia="en-US" w:bidi="ar-SA"/>
      </w:rPr>
    </w:lvl>
    <w:lvl w:ilvl="3">
      <w:start w:val="0"/>
      <w:numFmt w:val="bullet"/>
      <w:lvlText w:val="•"/>
      <w:lvlJc w:val="left"/>
      <w:pPr>
        <w:ind w:left="1635" w:hanging="480"/>
      </w:pPr>
      <w:rPr>
        <w:rFonts w:hint="default"/>
        <w:lang w:val="en-US" w:eastAsia="en-US" w:bidi="ar-SA"/>
      </w:rPr>
    </w:lvl>
    <w:lvl w:ilvl="4">
      <w:start w:val="0"/>
      <w:numFmt w:val="bullet"/>
      <w:lvlText w:val="•"/>
      <w:lvlJc w:val="left"/>
      <w:pPr>
        <w:ind w:left="2126" w:hanging="480"/>
      </w:pPr>
      <w:rPr>
        <w:rFonts w:hint="default"/>
        <w:lang w:val="en-US" w:eastAsia="en-US" w:bidi="ar-SA"/>
      </w:rPr>
    </w:lvl>
    <w:lvl w:ilvl="5">
      <w:start w:val="0"/>
      <w:numFmt w:val="bullet"/>
      <w:lvlText w:val="•"/>
      <w:lvlJc w:val="left"/>
      <w:pPr>
        <w:ind w:left="2618" w:hanging="480"/>
      </w:pPr>
      <w:rPr>
        <w:rFonts w:hint="default"/>
        <w:lang w:val="en-US" w:eastAsia="en-US" w:bidi="ar-SA"/>
      </w:rPr>
    </w:lvl>
    <w:lvl w:ilvl="6">
      <w:start w:val="0"/>
      <w:numFmt w:val="bullet"/>
      <w:lvlText w:val="•"/>
      <w:lvlJc w:val="left"/>
      <w:pPr>
        <w:ind w:left="3110" w:hanging="480"/>
      </w:pPr>
      <w:rPr>
        <w:rFonts w:hint="default"/>
        <w:lang w:val="en-US" w:eastAsia="en-US" w:bidi="ar-SA"/>
      </w:rPr>
    </w:lvl>
    <w:lvl w:ilvl="7">
      <w:start w:val="0"/>
      <w:numFmt w:val="bullet"/>
      <w:lvlText w:val="•"/>
      <w:lvlJc w:val="left"/>
      <w:pPr>
        <w:ind w:left="3602" w:hanging="480"/>
      </w:pPr>
      <w:rPr>
        <w:rFonts w:hint="default"/>
        <w:lang w:val="en-US" w:eastAsia="en-US" w:bidi="ar-SA"/>
      </w:rPr>
    </w:lvl>
    <w:lvl w:ilvl="8">
      <w:start w:val="0"/>
      <w:numFmt w:val="bullet"/>
      <w:lvlText w:val="•"/>
      <w:lvlJc w:val="left"/>
      <w:pPr>
        <w:ind w:left="4093" w:hanging="480"/>
      </w:pPr>
      <w:rPr>
        <w:rFonts w:hint="default"/>
        <w:lang w:val="en-US" w:eastAsia="en-US" w:bidi="ar-SA"/>
      </w:rPr>
    </w:lvl>
  </w:abstractNum>
  <w:abstractNum w:abstractNumId="40">
    <w:multiLevelType w:val="hybridMultilevel"/>
    <w:lvl w:ilvl="0">
      <w:start w:val="1"/>
      <w:numFmt w:val="lowerLetter"/>
      <w:lvlText w:val="(%1)"/>
      <w:lvlJc w:val="left"/>
      <w:pPr>
        <w:ind w:left="380" w:hanging="240"/>
        <w:jc w:val="left"/>
      </w:pPr>
      <w:rPr>
        <w:rFonts w:hint="default" w:ascii="Times New Roman" w:hAnsi="Times New Roman" w:eastAsia="Times New Roman" w:cs="Times New Roman"/>
        <w:w w:val="100"/>
        <w:sz w:val="12"/>
        <w:szCs w:val="12"/>
        <w:lang w:val="en-US" w:eastAsia="en-US" w:bidi="ar-SA"/>
      </w:rPr>
    </w:lvl>
    <w:lvl w:ilvl="1">
      <w:start w:val="0"/>
      <w:numFmt w:val="bullet"/>
      <w:lvlText w:val="•"/>
      <w:lvlJc w:val="left"/>
      <w:pPr>
        <w:ind w:left="764" w:hanging="240"/>
      </w:pPr>
      <w:rPr>
        <w:rFonts w:hint="default"/>
        <w:lang w:val="en-US" w:eastAsia="en-US" w:bidi="ar-SA"/>
      </w:rPr>
    </w:lvl>
    <w:lvl w:ilvl="2">
      <w:start w:val="0"/>
      <w:numFmt w:val="bullet"/>
      <w:lvlText w:val="•"/>
      <w:lvlJc w:val="left"/>
      <w:pPr>
        <w:ind w:left="1148" w:hanging="240"/>
      </w:pPr>
      <w:rPr>
        <w:rFonts w:hint="default"/>
        <w:lang w:val="en-US" w:eastAsia="en-US" w:bidi="ar-SA"/>
      </w:rPr>
    </w:lvl>
    <w:lvl w:ilvl="3">
      <w:start w:val="0"/>
      <w:numFmt w:val="bullet"/>
      <w:lvlText w:val="•"/>
      <w:lvlJc w:val="left"/>
      <w:pPr>
        <w:ind w:left="1532" w:hanging="240"/>
      </w:pPr>
      <w:rPr>
        <w:rFonts w:hint="default"/>
        <w:lang w:val="en-US" w:eastAsia="en-US" w:bidi="ar-SA"/>
      </w:rPr>
    </w:lvl>
    <w:lvl w:ilvl="4">
      <w:start w:val="0"/>
      <w:numFmt w:val="bullet"/>
      <w:lvlText w:val="•"/>
      <w:lvlJc w:val="left"/>
      <w:pPr>
        <w:ind w:left="1916" w:hanging="240"/>
      </w:pPr>
      <w:rPr>
        <w:rFonts w:hint="default"/>
        <w:lang w:val="en-US" w:eastAsia="en-US" w:bidi="ar-SA"/>
      </w:rPr>
    </w:lvl>
    <w:lvl w:ilvl="5">
      <w:start w:val="0"/>
      <w:numFmt w:val="bullet"/>
      <w:lvlText w:val="•"/>
      <w:lvlJc w:val="left"/>
      <w:pPr>
        <w:ind w:left="2301" w:hanging="240"/>
      </w:pPr>
      <w:rPr>
        <w:rFonts w:hint="default"/>
        <w:lang w:val="en-US" w:eastAsia="en-US" w:bidi="ar-SA"/>
      </w:rPr>
    </w:lvl>
    <w:lvl w:ilvl="6">
      <w:start w:val="0"/>
      <w:numFmt w:val="bullet"/>
      <w:lvlText w:val="•"/>
      <w:lvlJc w:val="left"/>
      <w:pPr>
        <w:ind w:left="2685" w:hanging="240"/>
      </w:pPr>
      <w:rPr>
        <w:rFonts w:hint="default"/>
        <w:lang w:val="en-US" w:eastAsia="en-US" w:bidi="ar-SA"/>
      </w:rPr>
    </w:lvl>
    <w:lvl w:ilvl="7">
      <w:start w:val="0"/>
      <w:numFmt w:val="bullet"/>
      <w:lvlText w:val="•"/>
      <w:lvlJc w:val="left"/>
      <w:pPr>
        <w:ind w:left="3069" w:hanging="240"/>
      </w:pPr>
      <w:rPr>
        <w:rFonts w:hint="default"/>
        <w:lang w:val="en-US" w:eastAsia="en-US" w:bidi="ar-SA"/>
      </w:rPr>
    </w:lvl>
    <w:lvl w:ilvl="8">
      <w:start w:val="0"/>
      <w:numFmt w:val="bullet"/>
      <w:lvlText w:val="•"/>
      <w:lvlJc w:val="left"/>
      <w:pPr>
        <w:ind w:left="3453" w:hanging="240"/>
      </w:pPr>
      <w:rPr>
        <w:rFonts w:hint="default"/>
        <w:lang w:val="en-US" w:eastAsia="en-US" w:bidi="ar-SA"/>
      </w:rPr>
    </w:lvl>
  </w:abstractNum>
  <w:abstractNum w:abstractNumId="39">
    <w:multiLevelType w:val="hybridMultilevel"/>
    <w:lvl w:ilvl="0">
      <w:start w:val="1"/>
      <w:numFmt w:val="lowerLetter"/>
      <w:lvlText w:val="(%1)"/>
      <w:lvlJc w:val="left"/>
      <w:pPr>
        <w:ind w:left="445" w:hanging="241"/>
        <w:jc w:val="left"/>
      </w:pPr>
      <w:rPr>
        <w:rFonts w:hint="default" w:ascii="Times New Roman" w:hAnsi="Times New Roman" w:eastAsia="Times New Roman" w:cs="Times New Roman"/>
        <w:w w:val="100"/>
        <w:sz w:val="16"/>
        <w:szCs w:val="16"/>
        <w:lang w:val="en-US" w:eastAsia="en-US" w:bidi="ar-SA"/>
      </w:rPr>
    </w:lvl>
    <w:lvl w:ilvl="1">
      <w:start w:val="0"/>
      <w:numFmt w:val="bullet"/>
      <w:lvlText w:val="•"/>
      <w:lvlJc w:val="left"/>
      <w:pPr>
        <w:ind w:left="1460" w:hanging="241"/>
      </w:pPr>
      <w:rPr>
        <w:rFonts w:hint="default"/>
        <w:lang w:val="en-US" w:eastAsia="en-US" w:bidi="ar-SA"/>
      </w:rPr>
    </w:lvl>
    <w:lvl w:ilvl="2">
      <w:start w:val="0"/>
      <w:numFmt w:val="bullet"/>
      <w:lvlText w:val="•"/>
      <w:lvlJc w:val="left"/>
      <w:pPr>
        <w:ind w:left="2480" w:hanging="241"/>
      </w:pPr>
      <w:rPr>
        <w:rFonts w:hint="default"/>
        <w:lang w:val="en-US" w:eastAsia="en-US" w:bidi="ar-SA"/>
      </w:rPr>
    </w:lvl>
    <w:lvl w:ilvl="3">
      <w:start w:val="0"/>
      <w:numFmt w:val="bullet"/>
      <w:lvlText w:val="•"/>
      <w:lvlJc w:val="left"/>
      <w:pPr>
        <w:ind w:left="3500" w:hanging="241"/>
      </w:pPr>
      <w:rPr>
        <w:rFonts w:hint="default"/>
        <w:lang w:val="en-US" w:eastAsia="en-US" w:bidi="ar-SA"/>
      </w:rPr>
    </w:lvl>
    <w:lvl w:ilvl="4">
      <w:start w:val="0"/>
      <w:numFmt w:val="bullet"/>
      <w:lvlText w:val="•"/>
      <w:lvlJc w:val="left"/>
      <w:pPr>
        <w:ind w:left="4520" w:hanging="241"/>
      </w:pPr>
      <w:rPr>
        <w:rFonts w:hint="default"/>
        <w:lang w:val="en-US" w:eastAsia="en-US" w:bidi="ar-SA"/>
      </w:rPr>
    </w:lvl>
    <w:lvl w:ilvl="5">
      <w:start w:val="0"/>
      <w:numFmt w:val="bullet"/>
      <w:lvlText w:val="•"/>
      <w:lvlJc w:val="left"/>
      <w:pPr>
        <w:ind w:left="5540" w:hanging="241"/>
      </w:pPr>
      <w:rPr>
        <w:rFonts w:hint="default"/>
        <w:lang w:val="en-US" w:eastAsia="en-US" w:bidi="ar-SA"/>
      </w:rPr>
    </w:lvl>
    <w:lvl w:ilvl="6">
      <w:start w:val="0"/>
      <w:numFmt w:val="bullet"/>
      <w:lvlText w:val="•"/>
      <w:lvlJc w:val="left"/>
      <w:pPr>
        <w:ind w:left="6560" w:hanging="241"/>
      </w:pPr>
      <w:rPr>
        <w:rFonts w:hint="default"/>
        <w:lang w:val="en-US" w:eastAsia="en-US" w:bidi="ar-SA"/>
      </w:rPr>
    </w:lvl>
    <w:lvl w:ilvl="7">
      <w:start w:val="0"/>
      <w:numFmt w:val="bullet"/>
      <w:lvlText w:val="•"/>
      <w:lvlJc w:val="left"/>
      <w:pPr>
        <w:ind w:left="7580" w:hanging="241"/>
      </w:pPr>
      <w:rPr>
        <w:rFonts w:hint="default"/>
        <w:lang w:val="en-US" w:eastAsia="en-US" w:bidi="ar-SA"/>
      </w:rPr>
    </w:lvl>
    <w:lvl w:ilvl="8">
      <w:start w:val="0"/>
      <w:numFmt w:val="bullet"/>
      <w:lvlText w:val="•"/>
      <w:lvlJc w:val="left"/>
      <w:pPr>
        <w:ind w:left="8600" w:hanging="241"/>
      </w:pPr>
      <w:rPr>
        <w:rFonts w:hint="default"/>
        <w:lang w:val="en-US" w:eastAsia="en-US" w:bidi="ar-SA"/>
      </w:rPr>
    </w:lvl>
  </w:abstractNum>
  <w:abstractNum w:abstractNumId="38">
    <w:multiLevelType w:val="hybridMultilevel"/>
    <w:lvl w:ilvl="0">
      <w:start w:val="6"/>
      <w:numFmt w:val="decimal"/>
      <w:lvlText w:val="%1"/>
      <w:lvlJc w:val="left"/>
      <w:pPr>
        <w:ind w:left="5910" w:hanging="946"/>
        <w:jc w:val="left"/>
      </w:pPr>
      <w:rPr>
        <w:rFonts w:hint="default"/>
        <w:lang w:val="en-US" w:eastAsia="en-US" w:bidi="ar-SA"/>
      </w:rPr>
    </w:lvl>
    <w:lvl w:ilvl="1">
      <w:start w:val="2"/>
      <w:numFmt w:val="decimal"/>
      <w:lvlText w:val="%1.%2"/>
      <w:lvlJc w:val="left"/>
      <w:pPr>
        <w:ind w:left="5910" w:hanging="946"/>
        <w:jc w:val="right"/>
      </w:pPr>
      <w:rPr>
        <w:rFonts w:hint="default"/>
        <w:b/>
        <w:bCs/>
        <w:spacing w:val="-11"/>
        <w:w w:val="99"/>
        <w:u w:val="thick" w:color="0092C7"/>
        <w:lang w:val="en-US" w:eastAsia="en-US" w:bidi="ar-SA"/>
      </w:rPr>
    </w:lvl>
    <w:lvl w:ilvl="2">
      <w:start w:val="0"/>
      <w:numFmt w:val="bullet"/>
      <w:lvlText w:val=""/>
      <w:lvlJc w:val="left"/>
      <w:pPr>
        <w:ind w:left="662" w:hanging="480"/>
      </w:pPr>
      <w:rPr>
        <w:rFonts w:hint="default"/>
        <w:lang w:val="en-US" w:eastAsia="en-US" w:bidi="ar-SA"/>
      </w:rPr>
    </w:lvl>
    <w:lvl w:ilvl="3">
      <w:start w:val="0"/>
      <w:numFmt w:val="bullet"/>
      <w:lvlText w:val="•"/>
      <w:lvlJc w:val="left"/>
      <w:pPr>
        <w:ind w:left="6968" w:hanging="480"/>
      </w:pPr>
      <w:rPr>
        <w:rFonts w:hint="default"/>
        <w:lang w:val="en-US" w:eastAsia="en-US" w:bidi="ar-SA"/>
      </w:rPr>
    </w:lvl>
    <w:lvl w:ilvl="4">
      <w:start w:val="0"/>
      <w:numFmt w:val="bullet"/>
      <w:lvlText w:val="•"/>
      <w:lvlJc w:val="left"/>
      <w:pPr>
        <w:ind w:left="7493" w:hanging="480"/>
      </w:pPr>
      <w:rPr>
        <w:rFonts w:hint="default"/>
        <w:lang w:val="en-US" w:eastAsia="en-US" w:bidi="ar-SA"/>
      </w:rPr>
    </w:lvl>
    <w:lvl w:ilvl="5">
      <w:start w:val="0"/>
      <w:numFmt w:val="bullet"/>
      <w:lvlText w:val="•"/>
      <w:lvlJc w:val="left"/>
      <w:pPr>
        <w:ind w:left="8017" w:hanging="480"/>
      </w:pPr>
      <w:rPr>
        <w:rFonts w:hint="default"/>
        <w:lang w:val="en-US" w:eastAsia="en-US" w:bidi="ar-SA"/>
      </w:rPr>
    </w:lvl>
    <w:lvl w:ilvl="6">
      <w:start w:val="0"/>
      <w:numFmt w:val="bullet"/>
      <w:lvlText w:val="•"/>
      <w:lvlJc w:val="left"/>
      <w:pPr>
        <w:ind w:left="8542" w:hanging="480"/>
      </w:pPr>
      <w:rPr>
        <w:rFonts w:hint="default"/>
        <w:lang w:val="en-US" w:eastAsia="en-US" w:bidi="ar-SA"/>
      </w:rPr>
    </w:lvl>
    <w:lvl w:ilvl="7">
      <w:start w:val="0"/>
      <w:numFmt w:val="bullet"/>
      <w:lvlText w:val="•"/>
      <w:lvlJc w:val="left"/>
      <w:pPr>
        <w:ind w:left="9066" w:hanging="480"/>
      </w:pPr>
      <w:rPr>
        <w:rFonts w:hint="default"/>
        <w:lang w:val="en-US" w:eastAsia="en-US" w:bidi="ar-SA"/>
      </w:rPr>
    </w:lvl>
    <w:lvl w:ilvl="8">
      <w:start w:val="0"/>
      <w:numFmt w:val="bullet"/>
      <w:lvlText w:val="•"/>
      <w:lvlJc w:val="left"/>
      <w:pPr>
        <w:ind w:left="9591" w:hanging="480"/>
      </w:pPr>
      <w:rPr>
        <w:rFonts w:hint="default"/>
        <w:lang w:val="en-US" w:eastAsia="en-US" w:bidi="ar-SA"/>
      </w:rPr>
    </w:lvl>
  </w:abstractNum>
  <w:abstractNum w:abstractNumId="37">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spacing w:val="-1"/>
        <w:w w:val="100"/>
        <w:sz w:val="12"/>
        <w:szCs w:val="12"/>
        <w:lang w:val="en-US" w:eastAsia="en-US" w:bidi="ar-SA"/>
      </w:rPr>
    </w:lvl>
    <w:lvl w:ilvl="1">
      <w:start w:val="0"/>
      <w:numFmt w:val="bullet"/>
      <w:lvlText w:val="•"/>
      <w:lvlJc w:val="left"/>
      <w:pPr>
        <w:ind w:left="721" w:hanging="240"/>
      </w:pPr>
      <w:rPr>
        <w:rFonts w:hint="default"/>
        <w:lang w:val="en-US" w:eastAsia="en-US" w:bidi="ar-SA"/>
      </w:rPr>
    </w:lvl>
    <w:lvl w:ilvl="2">
      <w:start w:val="0"/>
      <w:numFmt w:val="bullet"/>
      <w:lvlText w:val="•"/>
      <w:lvlJc w:val="left"/>
      <w:pPr>
        <w:ind w:left="1023" w:hanging="240"/>
      </w:pPr>
      <w:rPr>
        <w:rFonts w:hint="default"/>
        <w:lang w:val="en-US" w:eastAsia="en-US" w:bidi="ar-SA"/>
      </w:rPr>
    </w:lvl>
    <w:lvl w:ilvl="3">
      <w:start w:val="0"/>
      <w:numFmt w:val="bullet"/>
      <w:lvlText w:val="•"/>
      <w:lvlJc w:val="left"/>
      <w:pPr>
        <w:ind w:left="1325" w:hanging="240"/>
      </w:pPr>
      <w:rPr>
        <w:rFonts w:hint="default"/>
        <w:lang w:val="en-US" w:eastAsia="en-US" w:bidi="ar-SA"/>
      </w:rPr>
    </w:lvl>
    <w:lvl w:ilvl="4">
      <w:start w:val="0"/>
      <w:numFmt w:val="bullet"/>
      <w:lvlText w:val="•"/>
      <w:lvlJc w:val="left"/>
      <w:pPr>
        <w:ind w:left="1627" w:hanging="240"/>
      </w:pPr>
      <w:rPr>
        <w:rFonts w:hint="default"/>
        <w:lang w:val="en-US" w:eastAsia="en-US" w:bidi="ar-SA"/>
      </w:rPr>
    </w:lvl>
    <w:lvl w:ilvl="5">
      <w:start w:val="0"/>
      <w:numFmt w:val="bullet"/>
      <w:lvlText w:val="•"/>
      <w:lvlJc w:val="left"/>
      <w:pPr>
        <w:ind w:left="1928" w:hanging="240"/>
      </w:pPr>
      <w:rPr>
        <w:rFonts w:hint="default"/>
        <w:lang w:val="en-US" w:eastAsia="en-US" w:bidi="ar-SA"/>
      </w:rPr>
    </w:lvl>
    <w:lvl w:ilvl="6">
      <w:start w:val="0"/>
      <w:numFmt w:val="bullet"/>
      <w:lvlText w:val="•"/>
      <w:lvlJc w:val="left"/>
      <w:pPr>
        <w:ind w:left="2230" w:hanging="240"/>
      </w:pPr>
      <w:rPr>
        <w:rFonts w:hint="default"/>
        <w:lang w:val="en-US" w:eastAsia="en-US" w:bidi="ar-SA"/>
      </w:rPr>
    </w:lvl>
    <w:lvl w:ilvl="7">
      <w:start w:val="0"/>
      <w:numFmt w:val="bullet"/>
      <w:lvlText w:val="•"/>
      <w:lvlJc w:val="left"/>
      <w:pPr>
        <w:ind w:left="2532" w:hanging="240"/>
      </w:pPr>
      <w:rPr>
        <w:rFonts w:hint="default"/>
        <w:lang w:val="en-US" w:eastAsia="en-US" w:bidi="ar-SA"/>
      </w:rPr>
    </w:lvl>
    <w:lvl w:ilvl="8">
      <w:start w:val="0"/>
      <w:numFmt w:val="bullet"/>
      <w:lvlText w:val="•"/>
      <w:lvlJc w:val="left"/>
      <w:pPr>
        <w:ind w:left="2834" w:hanging="240"/>
      </w:pPr>
      <w:rPr>
        <w:rFonts w:hint="default"/>
        <w:lang w:val="en-US" w:eastAsia="en-US" w:bidi="ar-SA"/>
      </w:rPr>
    </w:lvl>
  </w:abstractNum>
  <w:abstractNum w:abstractNumId="36">
    <w:multiLevelType w:val="hybridMultilevel"/>
    <w:lvl w:ilvl="0">
      <w:start w:val="1"/>
      <w:numFmt w:val="lowerLetter"/>
      <w:lvlText w:val="(%1)"/>
      <w:lvlJc w:val="left"/>
      <w:pPr>
        <w:ind w:left="440" w:hanging="240"/>
        <w:jc w:val="left"/>
      </w:pPr>
      <w:rPr>
        <w:rFonts w:hint="default" w:ascii="Times New Roman" w:hAnsi="Times New Roman" w:eastAsia="Times New Roman" w:cs="Times New Roman"/>
        <w:spacing w:val="-1"/>
        <w:w w:val="100"/>
        <w:sz w:val="12"/>
        <w:szCs w:val="12"/>
        <w:lang w:val="en-US" w:eastAsia="en-US" w:bidi="ar-SA"/>
      </w:rPr>
    </w:lvl>
    <w:lvl w:ilvl="1">
      <w:start w:val="0"/>
      <w:numFmt w:val="bullet"/>
      <w:lvlText w:val="•"/>
      <w:lvlJc w:val="left"/>
      <w:pPr>
        <w:ind w:left="769" w:hanging="240"/>
      </w:pPr>
      <w:rPr>
        <w:rFonts w:hint="default"/>
        <w:lang w:val="en-US" w:eastAsia="en-US" w:bidi="ar-SA"/>
      </w:rPr>
    </w:lvl>
    <w:lvl w:ilvl="2">
      <w:start w:val="0"/>
      <w:numFmt w:val="bullet"/>
      <w:lvlText w:val="•"/>
      <w:lvlJc w:val="left"/>
      <w:pPr>
        <w:ind w:left="1099" w:hanging="240"/>
      </w:pPr>
      <w:rPr>
        <w:rFonts w:hint="default"/>
        <w:lang w:val="en-US" w:eastAsia="en-US" w:bidi="ar-SA"/>
      </w:rPr>
    </w:lvl>
    <w:lvl w:ilvl="3">
      <w:start w:val="0"/>
      <w:numFmt w:val="bullet"/>
      <w:lvlText w:val="•"/>
      <w:lvlJc w:val="left"/>
      <w:pPr>
        <w:ind w:left="1429" w:hanging="240"/>
      </w:pPr>
      <w:rPr>
        <w:rFonts w:hint="default"/>
        <w:lang w:val="en-US" w:eastAsia="en-US" w:bidi="ar-SA"/>
      </w:rPr>
    </w:lvl>
    <w:lvl w:ilvl="4">
      <w:start w:val="0"/>
      <w:numFmt w:val="bullet"/>
      <w:lvlText w:val="•"/>
      <w:lvlJc w:val="left"/>
      <w:pPr>
        <w:ind w:left="1759" w:hanging="240"/>
      </w:pPr>
      <w:rPr>
        <w:rFonts w:hint="default"/>
        <w:lang w:val="en-US" w:eastAsia="en-US" w:bidi="ar-SA"/>
      </w:rPr>
    </w:lvl>
    <w:lvl w:ilvl="5">
      <w:start w:val="0"/>
      <w:numFmt w:val="bullet"/>
      <w:lvlText w:val="•"/>
      <w:lvlJc w:val="left"/>
      <w:pPr>
        <w:ind w:left="2089" w:hanging="240"/>
      </w:pPr>
      <w:rPr>
        <w:rFonts w:hint="default"/>
        <w:lang w:val="en-US" w:eastAsia="en-US" w:bidi="ar-SA"/>
      </w:rPr>
    </w:lvl>
    <w:lvl w:ilvl="6">
      <w:start w:val="0"/>
      <w:numFmt w:val="bullet"/>
      <w:lvlText w:val="•"/>
      <w:lvlJc w:val="left"/>
      <w:pPr>
        <w:ind w:left="2419" w:hanging="240"/>
      </w:pPr>
      <w:rPr>
        <w:rFonts w:hint="default"/>
        <w:lang w:val="en-US" w:eastAsia="en-US" w:bidi="ar-SA"/>
      </w:rPr>
    </w:lvl>
    <w:lvl w:ilvl="7">
      <w:start w:val="0"/>
      <w:numFmt w:val="bullet"/>
      <w:lvlText w:val="•"/>
      <w:lvlJc w:val="left"/>
      <w:pPr>
        <w:ind w:left="2749" w:hanging="240"/>
      </w:pPr>
      <w:rPr>
        <w:rFonts w:hint="default"/>
        <w:lang w:val="en-US" w:eastAsia="en-US" w:bidi="ar-SA"/>
      </w:rPr>
    </w:lvl>
    <w:lvl w:ilvl="8">
      <w:start w:val="0"/>
      <w:numFmt w:val="bullet"/>
      <w:lvlText w:val="•"/>
      <w:lvlJc w:val="left"/>
      <w:pPr>
        <w:ind w:left="3079" w:hanging="240"/>
      </w:pPr>
      <w:rPr>
        <w:rFonts w:hint="default"/>
        <w:lang w:val="en-US" w:eastAsia="en-US" w:bidi="ar-SA"/>
      </w:rPr>
    </w:lvl>
  </w:abstractNum>
  <w:abstractNum w:abstractNumId="35">
    <w:multiLevelType w:val="hybridMultilevel"/>
    <w:lvl w:ilvl="0">
      <w:start w:val="1"/>
      <w:numFmt w:val="lowerLetter"/>
      <w:lvlText w:val="(%1)"/>
      <w:lvlJc w:val="left"/>
      <w:pPr>
        <w:ind w:left="445" w:hanging="240"/>
        <w:jc w:val="left"/>
      </w:pPr>
      <w:rPr>
        <w:rFonts w:hint="default" w:ascii="Times New Roman" w:hAnsi="Times New Roman" w:eastAsia="Times New Roman" w:cs="Times New Roman"/>
        <w:spacing w:val="-1"/>
        <w:w w:val="100"/>
        <w:sz w:val="12"/>
        <w:szCs w:val="12"/>
        <w:lang w:val="en-US" w:eastAsia="en-US" w:bidi="ar-SA"/>
      </w:rPr>
    </w:lvl>
    <w:lvl w:ilvl="1">
      <w:start w:val="0"/>
      <w:numFmt w:val="bullet"/>
      <w:lvlText w:val="•"/>
      <w:lvlJc w:val="left"/>
      <w:pPr>
        <w:ind w:left="769" w:hanging="240"/>
      </w:pPr>
      <w:rPr>
        <w:rFonts w:hint="default"/>
        <w:lang w:val="en-US" w:eastAsia="en-US" w:bidi="ar-SA"/>
      </w:rPr>
    </w:lvl>
    <w:lvl w:ilvl="2">
      <w:start w:val="0"/>
      <w:numFmt w:val="bullet"/>
      <w:lvlText w:val="•"/>
      <w:lvlJc w:val="left"/>
      <w:pPr>
        <w:ind w:left="1099" w:hanging="240"/>
      </w:pPr>
      <w:rPr>
        <w:rFonts w:hint="default"/>
        <w:lang w:val="en-US" w:eastAsia="en-US" w:bidi="ar-SA"/>
      </w:rPr>
    </w:lvl>
    <w:lvl w:ilvl="3">
      <w:start w:val="0"/>
      <w:numFmt w:val="bullet"/>
      <w:lvlText w:val="•"/>
      <w:lvlJc w:val="left"/>
      <w:pPr>
        <w:ind w:left="1429" w:hanging="240"/>
      </w:pPr>
      <w:rPr>
        <w:rFonts w:hint="default"/>
        <w:lang w:val="en-US" w:eastAsia="en-US" w:bidi="ar-SA"/>
      </w:rPr>
    </w:lvl>
    <w:lvl w:ilvl="4">
      <w:start w:val="0"/>
      <w:numFmt w:val="bullet"/>
      <w:lvlText w:val="•"/>
      <w:lvlJc w:val="left"/>
      <w:pPr>
        <w:ind w:left="1759" w:hanging="240"/>
      </w:pPr>
      <w:rPr>
        <w:rFonts w:hint="default"/>
        <w:lang w:val="en-US" w:eastAsia="en-US" w:bidi="ar-SA"/>
      </w:rPr>
    </w:lvl>
    <w:lvl w:ilvl="5">
      <w:start w:val="0"/>
      <w:numFmt w:val="bullet"/>
      <w:lvlText w:val="•"/>
      <w:lvlJc w:val="left"/>
      <w:pPr>
        <w:ind w:left="2089" w:hanging="240"/>
      </w:pPr>
      <w:rPr>
        <w:rFonts w:hint="default"/>
        <w:lang w:val="en-US" w:eastAsia="en-US" w:bidi="ar-SA"/>
      </w:rPr>
    </w:lvl>
    <w:lvl w:ilvl="6">
      <w:start w:val="0"/>
      <w:numFmt w:val="bullet"/>
      <w:lvlText w:val="•"/>
      <w:lvlJc w:val="left"/>
      <w:pPr>
        <w:ind w:left="2419" w:hanging="240"/>
      </w:pPr>
      <w:rPr>
        <w:rFonts w:hint="default"/>
        <w:lang w:val="en-US" w:eastAsia="en-US" w:bidi="ar-SA"/>
      </w:rPr>
    </w:lvl>
    <w:lvl w:ilvl="7">
      <w:start w:val="0"/>
      <w:numFmt w:val="bullet"/>
      <w:lvlText w:val="•"/>
      <w:lvlJc w:val="left"/>
      <w:pPr>
        <w:ind w:left="2749" w:hanging="240"/>
      </w:pPr>
      <w:rPr>
        <w:rFonts w:hint="default"/>
        <w:lang w:val="en-US" w:eastAsia="en-US" w:bidi="ar-SA"/>
      </w:rPr>
    </w:lvl>
    <w:lvl w:ilvl="8">
      <w:start w:val="0"/>
      <w:numFmt w:val="bullet"/>
      <w:lvlText w:val="•"/>
      <w:lvlJc w:val="left"/>
      <w:pPr>
        <w:ind w:left="3079" w:hanging="240"/>
      </w:pPr>
      <w:rPr>
        <w:rFonts w:hint="default"/>
        <w:lang w:val="en-US" w:eastAsia="en-US" w:bidi="ar-SA"/>
      </w:rPr>
    </w:lvl>
  </w:abstractNum>
  <w:abstractNum w:abstractNumId="33">
    <w:multiLevelType w:val="hybridMultilevel"/>
    <w:lvl w:ilvl="0">
      <w:start w:val="4"/>
      <w:numFmt w:val="decimal"/>
      <w:lvlText w:val="%1"/>
      <w:lvlJc w:val="left"/>
      <w:pPr>
        <w:ind w:left="124" w:hanging="360"/>
        <w:jc w:val="left"/>
      </w:pPr>
      <w:rPr>
        <w:rFonts w:hint="default"/>
        <w:lang w:val="en-US" w:eastAsia="en-US" w:bidi="ar-SA"/>
      </w:rPr>
    </w:lvl>
    <w:lvl w:ilvl="1">
      <w:start w:val="3"/>
      <w:numFmt w:val="decimal"/>
      <w:lvlText w:val="%1.%2"/>
      <w:lvlJc w:val="left"/>
      <w:pPr>
        <w:ind w:left="124" w:hanging="360"/>
        <w:jc w:val="left"/>
      </w:pPr>
      <w:rPr>
        <w:rFonts w:hint="default" w:ascii="Times New Roman" w:hAnsi="Times New Roman" w:eastAsia="Times New Roman" w:cs="Times New Roman"/>
        <w:spacing w:val="-14"/>
        <w:w w:val="99"/>
        <w:sz w:val="24"/>
        <w:szCs w:val="24"/>
        <w:lang w:val="en-US" w:eastAsia="en-US" w:bidi="ar-SA"/>
      </w:rPr>
    </w:lvl>
    <w:lvl w:ilvl="2">
      <w:start w:val="1"/>
      <w:numFmt w:val="lowerLetter"/>
      <w:lvlText w:val="(%3)"/>
      <w:lvlJc w:val="left"/>
      <w:pPr>
        <w:ind w:left="663" w:hanging="270"/>
        <w:jc w:val="left"/>
      </w:pPr>
      <w:rPr>
        <w:rFonts w:hint="default" w:ascii="Times New Roman" w:hAnsi="Times New Roman" w:eastAsia="Times New Roman" w:cs="Times New Roman"/>
        <w:w w:val="100"/>
        <w:sz w:val="12"/>
        <w:szCs w:val="12"/>
        <w:lang w:val="en-US" w:eastAsia="en-US" w:bidi="ar-SA"/>
      </w:rPr>
    </w:lvl>
    <w:lvl w:ilvl="3">
      <w:start w:val="0"/>
      <w:numFmt w:val="bullet"/>
      <w:lvlText w:val="•"/>
      <w:lvlJc w:val="left"/>
      <w:pPr>
        <w:ind w:left="1398" w:hanging="270"/>
      </w:pPr>
      <w:rPr>
        <w:rFonts w:hint="default"/>
        <w:lang w:val="en-US" w:eastAsia="en-US" w:bidi="ar-SA"/>
      </w:rPr>
    </w:lvl>
    <w:lvl w:ilvl="4">
      <w:start w:val="0"/>
      <w:numFmt w:val="bullet"/>
      <w:lvlText w:val="•"/>
      <w:lvlJc w:val="left"/>
      <w:pPr>
        <w:ind w:left="1767" w:hanging="270"/>
      </w:pPr>
      <w:rPr>
        <w:rFonts w:hint="default"/>
        <w:lang w:val="en-US" w:eastAsia="en-US" w:bidi="ar-SA"/>
      </w:rPr>
    </w:lvl>
    <w:lvl w:ilvl="5">
      <w:start w:val="0"/>
      <w:numFmt w:val="bullet"/>
      <w:lvlText w:val="•"/>
      <w:lvlJc w:val="left"/>
      <w:pPr>
        <w:ind w:left="2136" w:hanging="270"/>
      </w:pPr>
      <w:rPr>
        <w:rFonts w:hint="default"/>
        <w:lang w:val="en-US" w:eastAsia="en-US" w:bidi="ar-SA"/>
      </w:rPr>
    </w:lvl>
    <w:lvl w:ilvl="6">
      <w:start w:val="0"/>
      <w:numFmt w:val="bullet"/>
      <w:lvlText w:val="•"/>
      <w:lvlJc w:val="left"/>
      <w:pPr>
        <w:ind w:left="2505" w:hanging="270"/>
      </w:pPr>
      <w:rPr>
        <w:rFonts w:hint="default"/>
        <w:lang w:val="en-US" w:eastAsia="en-US" w:bidi="ar-SA"/>
      </w:rPr>
    </w:lvl>
    <w:lvl w:ilvl="7">
      <w:start w:val="0"/>
      <w:numFmt w:val="bullet"/>
      <w:lvlText w:val="•"/>
      <w:lvlJc w:val="left"/>
      <w:pPr>
        <w:ind w:left="2874" w:hanging="270"/>
      </w:pPr>
      <w:rPr>
        <w:rFonts w:hint="default"/>
        <w:lang w:val="en-US" w:eastAsia="en-US" w:bidi="ar-SA"/>
      </w:rPr>
    </w:lvl>
    <w:lvl w:ilvl="8">
      <w:start w:val="0"/>
      <w:numFmt w:val="bullet"/>
      <w:lvlText w:val="•"/>
      <w:lvlJc w:val="left"/>
      <w:pPr>
        <w:ind w:left="3243" w:hanging="270"/>
      </w:pPr>
      <w:rPr>
        <w:rFonts w:hint="default"/>
        <w:lang w:val="en-US" w:eastAsia="en-US" w:bidi="ar-SA"/>
      </w:rPr>
    </w:lvl>
  </w:abstractNum>
  <w:abstractNum w:abstractNumId="32">
    <w:multiLevelType w:val="hybridMultilevel"/>
    <w:lvl w:ilvl="0">
      <w:start w:val="1"/>
      <w:numFmt w:val="lowerLetter"/>
      <w:lvlText w:val="(%1)"/>
      <w:lvlJc w:val="left"/>
      <w:pPr>
        <w:ind w:left="432" w:hanging="240"/>
        <w:jc w:val="left"/>
      </w:pPr>
      <w:rPr>
        <w:rFonts w:hint="default" w:ascii="Times New Roman" w:hAnsi="Times New Roman" w:eastAsia="Times New Roman" w:cs="Times New Roman"/>
        <w:w w:val="100"/>
        <w:sz w:val="12"/>
        <w:szCs w:val="12"/>
        <w:lang w:val="en-US" w:eastAsia="en-US" w:bidi="ar-SA"/>
      </w:rPr>
    </w:lvl>
    <w:lvl w:ilvl="1">
      <w:start w:val="0"/>
      <w:numFmt w:val="bullet"/>
      <w:lvlText w:val="•"/>
      <w:lvlJc w:val="left"/>
      <w:pPr>
        <w:ind w:left="823" w:hanging="240"/>
      </w:pPr>
      <w:rPr>
        <w:rFonts w:hint="default"/>
        <w:lang w:val="en-US" w:eastAsia="en-US" w:bidi="ar-SA"/>
      </w:rPr>
    </w:lvl>
    <w:lvl w:ilvl="2">
      <w:start w:val="0"/>
      <w:numFmt w:val="bullet"/>
      <w:lvlText w:val="•"/>
      <w:lvlJc w:val="left"/>
      <w:pPr>
        <w:ind w:left="1206" w:hanging="240"/>
      </w:pPr>
      <w:rPr>
        <w:rFonts w:hint="default"/>
        <w:lang w:val="en-US" w:eastAsia="en-US" w:bidi="ar-SA"/>
      </w:rPr>
    </w:lvl>
    <w:lvl w:ilvl="3">
      <w:start w:val="0"/>
      <w:numFmt w:val="bullet"/>
      <w:lvlText w:val="•"/>
      <w:lvlJc w:val="left"/>
      <w:pPr>
        <w:ind w:left="1589" w:hanging="240"/>
      </w:pPr>
      <w:rPr>
        <w:rFonts w:hint="default"/>
        <w:lang w:val="en-US" w:eastAsia="en-US" w:bidi="ar-SA"/>
      </w:rPr>
    </w:lvl>
    <w:lvl w:ilvl="4">
      <w:start w:val="0"/>
      <w:numFmt w:val="bullet"/>
      <w:lvlText w:val="•"/>
      <w:lvlJc w:val="left"/>
      <w:pPr>
        <w:ind w:left="1972" w:hanging="240"/>
      </w:pPr>
      <w:rPr>
        <w:rFonts w:hint="default"/>
        <w:lang w:val="en-US" w:eastAsia="en-US" w:bidi="ar-SA"/>
      </w:rPr>
    </w:lvl>
    <w:lvl w:ilvl="5">
      <w:start w:val="0"/>
      <w:numFmt w:val="bullet"/>
      <w:lvlText w:val="•"/>
      <w:lvlJc w:val="left"/>
      <w:pPr>
        <w:ind w:left="2355" w:hanging="240"/>
      </w:pPr>
      <w:rPr>
        <w:rFonts w:hint="default"/>
        <w:lang w:val="en-US" w:eastAsia="en-US" w:bidi="ar-SA"/>
      </w:rPr>
    </w:lvl>
    <w:lvl w:ilvl="6">
      <w:start w:val="0"/>
      <w:numFmt w:val="bullet"/>
      <w:lvlText w:val="•"/>
      <w:lvlJc w:val="left"/>
      <w:pPr>
        <w:ind w:left="2738" w:hanging="240"/>
      </w:pPr>
      <w:rPr>
        <w:rFonts w:hint="default"/>
        <w:lang w:val="en-US" w:eastAsia="en-US" w:bidi="ar-SA"/>
      </w:rPr>
    </w:lvl>
    <w:lvl w:ilvl="7">
      <w:start w:val="0"/>
      <w:numFmt w:val="bullet"/>
      <w:lvlText w:val="•"/>
      <w:lvlJc w:val="left"/>
      <w:pPr>
        <w:ind w:left="3121" w:hanging="240"/>
      </w:pPr>
      <w:rPr>
        <w:rFonts w:hint="default"/>
        <w:lang w:val="en-US" w:eastAsia="en-US" w:bidi="ar-SA"/>
      </w:rPr>
    </w:lvl>
    <w:lvl w:ilvl="8">
      <w:start w:val="0"/>
      <w:numFmt w:val="bullet"/>
      <w:lvlText w:val="•"/>
      <w:lvlJc w:val="left"/>
      <w:pPr>
        <w:ind w:left="3504" w:hanging="240"/>
      </w:pPr>
      <w:rPr>
        <w:rFonts w:hint="default"/>
        <w:lang w:val="en-US" w:eastAsia="en-US" w:bidi="ar-SA"/>
      </w:rPr>
    </w:lvl>
  </w:abstractNum>
  <w:abstractNum w:abstractNumId="31">
    <w:multiLevelType w:val="hybridMultilevel"/>
    <w:lvl w:ilvl="0">
      <w:start w:val="1"/>
      <w:numFmt w:val="lowerLetter"/>
      <w:lvlText w:val="(%1)"/>
      <w:lvlJc w:val="left"/>
      <w:pPr>
        <w:ind w:left="412" w:hanging="240"/>
        <w:jc w:val="left"/>
      </w:pPr>
      <w:rPr>
        <w:rFonts w:hint="default" w:ascii="Times New Roman" w:hAnsi="Times New Roman" w:eastAsia="Times New Roman" w:cs="Times New Roman"/>
        <w:w w:val="100"/>
        <w:sz w:val="12"/>
        <w:szCs w:val="12"/>
        <w:lang w:val="en-US" w:eastAsia="en-US" w:bidi="ar-SA"/>
      </w:rPr>
    </w:lvl>
    <w:lvl w:ilvl="1">
      <w:start w:val="0"/>
      <w:numFmt w:val="bullet"/>
      <w:lvlText w:val="•"/>
      <w:lvlJc w:val="left"/>
      <w:pPr>
        <w:ind w:left="816" w:hanging="240"/>
      </w:pPr>
      <w:rPr>
        <w:rFonts w:hint="default"/>
        <w:lang w:val="en-US" w:eastAsia="en-US" w:bidi="ar-SA"/>
      </w:rPr>
    </w:lvl>
    <w:lvl w:ilvl="2">
      <w:start w:val="0"/>
      <w:numFmt w:val="bullet"/>
      <w:lvlText w:val="•"/>
      <w:lvlJc w:val="left"/>
      <w:pPr>
        <w:ind w:left="1213" w:hanging="240"/>
      </w:pPr>
      <w:rPr>
        <w:rFonts w:hint="default"/>
        <w:lang w:val="en-US" w:eastAsia="en-US" w:bidi="ar-SA"/>
      </w:rPr>
    </w:lvl>
    <w:lvl w:ilvl="3">
      <w:start w:val="0"/>
      <w:numFmt w:val="bullet"/>
      <w:lvlText w:val="•"/>
      <w:lvlJc w:val="left"/>
      <w:pPr>
        <w:ind w:left="1610" w:hanging="240"/>
      </w:pPr>
      <w:rPr>
        <w:rFonts w:hint="default"/>
        <w:lang w:val="en-US" w:eastAsia="en-US" w:bidi="ar-SA"/>
      </w:rPr>
    </w:lvl>
    <w:lvl w:ilvl="4">
      <w:start w:val="0"/>
      <w:numFmt w:val="bullet"/>
      <w:lvlText w:val="•"/>
      <w:lvlJc w:val="left"/>
      <w:pPr>
        <w:ind w:left="2007" w:hanging="240"/>
      </w:pPr>
      <w:rPr>
        <w:rFonts w:hint="default"/>
        <w:lang w:val="en-US" w:eastAsia="en-US" w:bidi="ar-SA"/>
      </w:rPr>
    </w:lvl>
    <w:lvl w:ilvl="5">
      <w:start w:val="0"/>
      <w:numFmt w:val="bullet"/>
      <w:lvlText w:val="•"/>
      <w:lvlJc w:val="left"/>
      <w:pPr>
        <w:ind w:left="2404" w:hanging="240"/>
      </w:pPr>
      <w:rPr>
        <w:rFonts w:hint="default"/>
        <w:lang w:val="en-US" w:eastAsia="en-US" w:bidi="ar-SA"/>
      </w:rPr>
    </w:lvl>
    <w:lvl w:ilvl="6">
      <w:start w:val="0"/>
      <w:numFmt w:val="bullet"/>
      <w:lvlText w:val="•"/>
      <w:lvlJc w:val="left"/>
      <w:pPr>
        <w:ind w:left="2801" w:hanging="240"/>
      </w:pPr>
      <w:rPr>
        <w:rFonts w:hint="default"/>
        <w:lang w:val="en-US" w:eastAsia="en-US" w:bidi="ar-SA"/>
      </w:rPr>
    </w:lvl>
    <w:lvl w:ilvl="7">
      <w:start w:val="0"/>
      <w:numFmt w:val="bullet"/>
      <w:lvlText w:val="•"/>
      <w:lvlJc w:val="left"/>
      <w:pPr>
        <w:ind w:left="3198" w:hanging="240"/>
      </w:pPr>
      <w:rPr>
        <w:rFonts w:hint="default"/>
        <w:lang w:val="en-US" w:eastAsia="en-US" w:bidi="ar-SA"/>
      </w:rPr>
    </w:lvl>
    <w:lvl w:ilvl="8">
      <w:start w:val="0"/>
      <w:numFmt w:val="bullet"/>
      <w:lvlText w:val="•"/>
      <w:lvlJc w:val="left"/>
      <w:pPr>
        <w:ind w:left="3595" w:hanging="240"/>
      </w:pPr>
      <w:rPr>
        <w:rFonts w:hint="default"/>
        <w:lang w:val="en-US" w:eastAsia="en-US" w:bidi="ar-SA"/>
      </w:rPr>
    </w:lvl>
  </w:abstractNum>
  <w:abstractNum w:abstractNumId="30">
    <w:multiLevelType w:val="hybridMultilevel"/>
    <w:lvl w:ilvl="0">
      <w:start w:val="1"/>
      <w:numFmt w:val="lowerLetter"/>
      <w:lvlText w:val="(%1)"/>
      <w:lvlJc w:val="left"/>
      <w:pPr>
        <w:ind w:left="411" w:hanging="240"/>
        <w:jc w:val="left"/>
      </w:pPr>
      <w:rPr>
        <w:rFonts w:hint="default" w:ascii="Times New Roman" w:hAnsi="Times New Roman" w:eastAsia="Times New Roman" w:cs="Times New Roman"/>
        <w:spacing w:val="-1"/>
        <w:w w:val="100"/>
        <w:sz w:val="12"/>
        <w:szCs w:val="12"/>
        <w:lang w:val="en-US" w:eastAsia="en-US" w:bidi="ar-SA"/>
      </w:rPr>
    </w:lvl>
    <w:lvl w:ilvl="1">
      <w:start w:val="0"/>
      <w:numFmt w:val="bullet"/>
      <w:lvlText w:val="•"/>
      <w:lvlJc w:val="left"/>
      <w:pPr>
        <w:ind w:left="792" w:hanging="240"/>
      </w:pPr>
      <w:rPr>
        <w:rFonts w:hint="default"/>
        <w:lang w:val="en-US" w:eastAsia="en-US" w:bidi="ar-SA"/>
      </w:rPr>
    </w:lvl>
    <w:lvl w:ilvl="2">
      <w:start w:val="0"/>
      <w:numFmt w:val="bullet"/>
      <w:lvlText w:val="•"/>
      <w:lvlJc w:val="left"/>
      <w:pPr>
        <w:ind w:left="1165" w:hanging="240"/>
      </w:pPr>
      <w:rPr>
        <w:rFonts w:hint="default"/>
        <w:lang w:val="en-US" w:eastAsia="en-US" w:bidi="ar-SA"/>
      </w:rPr>
    </w:lvl>
    <w:lvl w:ilvl="3">
      <w:start w:val="0"/>
      <w:numFmt w:val="bullet"/>
      <w:lvlText w:val="•"/>
      <w:lvlJc w:val="left"/>
      <w:pPr>
        <w:ind w:left="1537" w:hanging="240"/>
      </w:pPr>
      <w:rPr>
        <w:rFonts w:hint="default"/>
        <w:lang w:val="en-US" w:eastAsia="en-US" w:bidi="ar-SA"/>
      </w:rPr>
    </w:lvl>
    <w:lvl w:ilvl="4">
      <w:start w:val="0"/>
      <w:numFmt w:val="bullet"/>
      <w:lvlText w:val="•"/>
      <w:lvlJc w:val="left"/>
      <w:pPr>
        <w:ind w:left="1910" w:hanging="240"/>
      </w:pPr>
      <w:rPr>
        <w:rFonts w:hint="default"/>
        <w:lang w:val="en-US" w:eastAsia="en-US" w:bidi="ar-SA"/>
      </w:rPr>
    </w:lvl>
    <w:lvl w:ilvl="5">
      <w:start w:val="0"/>
      <w:numFmt w:val="bullet"/>
      <w:lvlText w:val="•"/>
      <w:lvlJc w:val="left"/>
      <w:pPr>
        <w:ind w:left="2282" w:hanging="240"/>
      </w:pPr>
      <w:rPr>
        <w:rFonts w:hint="default"/>
        <w:lang w:val="en-US" w:eastAsia="en-US" w:bidi="ar-SA"/>
      </w:rPr>
    </w:lvl>
    <w:lvl w:ilvl="6">
      <w:start w:val="0"/>
      <w:numFmt w:val="bullet"/>
      <w:lvlText w:val="•"/>
      <w:lvlJc w:val="left"/>
      <w:pPr>
        <w:ind w:left="2655" w:hanging="240"/>
      </w:pPr>
      <w:rPr>
        <w:rFonts w:hint="default"/>
        <w:lang w:val="en-US" w:eastAsia="en-US" w:bidi="ar-SA"/>
      </w:rPr>
    </w:lvl>
    <w:lvl w:ilvl="7">
      <w:start w:val="0"/>
      <w:numFmt w:val="bullet"/>
      <w:lvlText w:val="•"/>
      <w:lvlJc w:val="left"/>
      <w:pPr>
        <w:ind w:left="3027" w:hanging="240"/>
      </w:pPr>
      <w:rPr>
        <w:rFonts w:hint="default"/>
        <w:lang w:val="en-US" w:eastAsia="en-US" w:bidi="ar-SA"/>
      </w:rPr>
    </w:lvl>
    <w:lvl w:ilvl="8">
      <w:start w:val="0"/>
      <w:numFmt w:val="bullet"/>
      <w:lvlText w:val="•"/>
      <w:lvlJc w:val="left"/>
      <w:pPr>
        <w:ind w:left="3400" w:hanging="240"/>
      </w:pPr>
      <w:rPr>
        <w:rFonts w:hint="default"/>
        <w:lang w:val="en-US" w:eastAsia="en-US" w:bidi="ar-SA"/>
      </w:rPr>
    </w:lvl>
  </w:abstractNum>
  <w:abstractNum w:abstractNumId="29">
    <w:multiLevelType w:val="hybridMultilevel"/>
    <w:lvl w:ilvl="0">
      <w:start w:val="4"/>
      <w:numFmt w:val="decimal"/>
      <w:lvlText w:val="%1"/>
      <w:lvlJc w:val="left"/>
      <w:pPr>
        <w:ind w:left="1308" w:hanging="1159"/>
        <w:jc w:val="left"/>
      </w:pPr>
      <w:rPr>
        <w:rFonts w:hint="default"/>
        <w:lang w:val="en-US" w:eastAsia="en-US" w:bidi="ar-SA"/>
      </w:rPr>
    </w:lvl>
    <w:lvl w:ilvl="1">
      <w:start w:val="3"/>
      <w:numFmt w:val="decimal"/>
      <w:lvlText w:val="%1.%2"/>
      <w:lvlJc w:val="left"/>
      <w:pPr>
        <w:ind w:left="1308" w:hanging="1159"/>
        <w:jc w:val="left"/>
      </w:pPr>
      <w:rPr>
        <w:rFonts w:hint="default"/>
        <w:b/>
        <w:bCs/>
        <w:spacing w:val="-1"/>
        <w:w w:val="99"/>
        <w:lang w:val="en-US" w:eastAsia="en-US" w:bidi="ar-SA"/>
      </w:rPr>
    </w:lvl>
    <w:lvl w:ilvl="2">
      <w:start w:val="0"/>
      <w:numFmt w:val="bullet"/>
      <w:lvlText w:val="•"/>
      <w:lvlJc w:val="left"/>
      <w:pPr>
        <w:ind w:left="2206" w:hanging="1159"/>
      </w:pPr>
      <w:rPr>
        <w:rFonts w:hint="default"/>
        <w:lang w:val="en-US" w:eastAsia="en-US" w:bidi="ar-SA"/>
      </w:rPr>
    </w:lvl>
    <w:lvl w:ilvl="3">
      <w:start w:val="0"/>
      <w:numFmt w:val="bullet"/>
      <w:lvlText w:val="•"/>
      <w:lvlJc w:val="left"/>
      <w:pPr>
        <w:ind w:left="2659" w:hanging="1159"/>
      </w:pPr>
      <w:rPr>
        <w:rFonts w:hint="default"/>
        <w:lang w:val="en-US" w:eastAsia="en-US" w:bidi="ar-SA"/>
      </w:rPr>
    </w:lvl>
    <w:lvl w:ilvl="4">
      <w:start w:val="0"/>
      <w:numFmt w:val="bullet"/>
      <w:lvlText w:val="•"/>
      <w:lvlJc w:val="left"/>
      <w:pPr>
        <w:ind w:left="3112" w:hanging="1159"/>
      </w:pPr>
      <w:rPr>
        <w:rFonts w:hint="default"/>
        <w:lang w:val="en-US" w:eastAsia="en-US" w:bidi="ar-SA"/>
      </w:rPr>
    </w:lvl>
    <w:lvl w:ilvl="5">
      <w:start w:val="0"/>
      <w:numFmt w:val="bullet"/>
      <w:lvlText w:val="•"/>
      <w:lvlJc w:val="left"/>
      <w:pPr>
        <w:ind w:left="3565" w:hanging="1159"/>
      </w:pPr>
      <w:rPr>
        <w:rFonts w:hint="default"/>
        <w:lang w:val="en-US" w:eastAsia="en-US" w:bidi="ar-SA"/>
      </w:rPr>
    </w:lvl>
    <w:lvl w:ilvl="6">
      <w:start w:val="0"/>
      <w:numFmt w:val="bullet"/>
      <w:lvlText w:val="•"/>
      <w:lvlJc w:val="left"/>
      <w:pPr>
        <w:ind w:left="4018" w:hanging="1159"/>
      </w:pPr>
      <w:rPr>
        <w:rFonts w:hint="default"/>
        <w:lang w:val="en-US" w:eastAsia="en-US" w:bidi="ar-SA"/>
      </w:rPr>
    </w:lvl>
    <w:lvl w:ilvl="7">
      <w:start w:val="0"/>
      <w:numFmt w:val="bullet"/>
      <w:lvlText w:val="•"/>
      <w:lvlJc w:val="left"/>
      <w:pPr>
        <w:ind w:left="4471" w:hanging="1159"/>
      </w:pPr>
      <w:rPr>
        <w:rFonts w:hint="default"/>
        <w:lang w:val="en-US" w:eastAsia="en-US" w:bidi="ar-SA"/>
      </w:rPr>
    </w:lvl>
    <w:lvl w:ilvl="8">
      <w:start w:val="0"/>
      <w:numFmt w:val="bullet"/>
      <w:lvlText w:val="•"/>
      <w:lvlJc w:val="left"/>
      <w:pPr>
        <w:ind w:left="4924" w:hanging="1159"/>
      </w:pPr>
      <w:rPr>
        <w:rFonts w:hint="default"/>
        <w:lang w:val="en-US" w:eastAsia="en-US" w:bidi="ar-SA"/>
      </w:rPr>
    </w:lvl>
  </w:abstractNum>
  <w:abstractNum w:abstractNumId="28">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w w:val="100"/>
        <w:sz w:val="12"/>
        <w:szCs w:val="12"/>
        <w:lang w:val="en-US" w:eastAsia="en-US" w:bidi="ar-SA"/>
      </w:rPr>
    </w:lvl>
    <w:lvl w:ilvl="1">
      <w:start w:val="0"/>
      <w:numFmt w:val="bullet"/>
      <w:lvlText w:val="•"/>
      <w:lvlJc w:val="left"/>
      <w:pPr>
        <w:ind w:left="743" w:hanging="240"/>
      </w:pPr>
      <w:rPr>
        <w:rFonts w:hint="default"/>
        <w:lang w:val="en-US" w:eastAsia="en-US" w:bidi="ar-SA"/>
      </w:rPr>
    </w:lvl>
    <w:lvl w:ilvl="2">
      <w:start w:val="0"/>
      <w:numFmt w:val="bullet"/>
      <w:lvlText w:val="•"/>
      <w:lvlJc w:val="left"/>
      <w:pPr>
        <w:ind w:left="1066" w:hanging="240"/>
      </w:pPr>
      <w:rPr>
        <w:rFonts w:hint="default"/>
        <w:lang w:val="en-US" w:eastAsia="en-US" w:bidi="ar-SA"/>
      </w:rPr>
    </w:lvl>
    <w:lvl w:ilvl="3">
      <w:start w:val="0"/>
      <w:numFmt w:val="bullet"/>
      <w:lvlText w:val="•"/>
      <w:lvlJc w:val="left"/>
      <w:pPr>
        <w:ind w:left="1390" w:hanging="240"/>
      </w:pPr>
      <w:rPr>
        <w:rFonts w:hint="default"/>
        <w:lang w:val="en-US" w:eastAsia="en-US" w:bidi="ar-SA"/>
      </w:rPr>
    </w:lvl>
    <w:lvl w:ilvl="4">
      <w:start w:val="0"/>
      <w:numFmt w:val="bullet"/>
      <w:lvlText w:val="•"/>
      <w:lvlJc w:val="left"/>
      <w:pPr>
        <w:ind w:left="1713" w:hanging="240"/>
      </w:pPr>
      <w:rPr>
        <w:rFonts w:hint="default"/>
        <w:lang w:val="en-US" w:eastAsia="en-US" w:bidi="ar-SA"/>
      </w:rPr>
    </w:lvl>
    <w:lvl w:ilvl="5">
      <w:start w:val="0"/>
      <w:numFmt w:val="bullet"/>
      <w:lvlText w:val="•"/>
      <w:lvlJc w:val="left"/>
      <w:pPr>
        <w:ind w:left="2037" w:hanging="240"/>
      </w:pPr>
      <w:rPr>
        <w:rFonts w:hint="default"/>
        <w:lang w:val="en-US" w:eastAsia="en-US" w:bidi="ar-SA"/>
      </w:rPr>
    </w:lvl>
    <w:lvl w:ilvl="6">
      <w:start w:val="0"/>
      <w:numFmt w:val="bullet"/>
      <w:lvlText w:val="•"/>
      <w:lvlJc w:val="left"/>
      <w:pPr>
        <w:ind w:left="2360" w:hanging="240"/>
      </w:pPr>
      <w:rPr>
        <w:rFonts w:hint="default"/>
        <w:lang w:val="en-US" w:eastAsia="en-US" w:bidi="ar-SA"/>
      </w:rPr>
    </w:lvl>
    <w:lvl w:ilvl="7">
      <w:start w:val="0"/>
      <w:numFmt w:val="bullet"/>
      <w:lvlText w:val="•"/>
      <w:lvlJc w:val="left"/>
      <w:pPr>
        <w:ind w:left="2684" w:hanging="240"/>
      </w:pPr>
      <w:rPr>
        <w:rFonts w:hint="default"/>
        <w:lang w:val="en-US" w:eastAsia="en-US" w:bidi="ar-SA"/>
      </w:rPr>
    </w:lvl>
    <w:lvl w:ilvl="8">
      <w:start w:val="0"/>
      <w:numFmt w:val="bullet"/>
      <w:lvlText w:val="•"/>
      <w:lvlJc w:val="left"/>
      <w:pPr>
        <w:ind w:left="3007" w:hanging="240"/>
      </w:pPr>
      <w:rPr>
        <w:rFonts w:hint="default"/>
        <w:lang w:val="en-US" w:eastAsia="en-US" w:bidi="ar-SA"/>
      </w:rPr>
    </w:lvl>
  </w:abstractNum>
  <w:abstractNum w:abstractNumId="27">
    <w:multiLevelType w:val="hybridMultilevel"/>
    <w:lvl w:ilvl="0">
      <w:start w:val="2"/>
      <w:numFmt w:val="lowerLetter"/>
      <w:lvlText w:val="(%1)"/>
      <w:lvlJc w:val="left"/>
      <w:pPr>
        <w:ind w:left="410" w:hanging="241"/>
        <w:jc w:val="left"/>
      </w:pPr>
      <w:rPr>
        <w:rFonts w:hint="default" w:ascii="Times New Roman" w:hAnsi="Times New Roman" w:eastAsia="Times New Roman" w:cs="Times New Roman"/>
        <w:w w:val="99"/>
        <w:sz w:val="12"/>
        <w:szCs w:val="12"/>
        <w:lang w:val="en-US" w:eastAsia="en-US" w:bidi="ar-SA"/>
      </w:rPr>
    </w:lvl>
    <w:lvl w:ilvl="1">
      <w:start w:val="0"/>
      <w:numFmt w:val="bullet"/>
      <w:lvlText w:val="•"/>
      <w:lvlJc w:val="left"/>
      <w:pPr>
        <w:ind w:left="743" w:hanging="241"/>
      </w:pPr>
      <w:rPr>
        <w:rFonts w:hint="default"/>
        <w:lang w:val="en-US" w:eastAsia="en-US" w:bidi="ar-SA"/>
      </w:rPr>
    </w:lvl>
    <w:lvl w:ilvl="2">
      <w:start w:val="0"/>
      <w:numFmt w:val="bullet"/>
      <w:lvlText w:val="•"/>
      <w:lvlJc w:val="left"/>
      <w:pPr>
        <w:ind w:left="1066" w:hanging="241"/>
      </w:pPr>
      <w:rPr>
        <w:rFonts w:hint="default"/>
        <w:lang w:val="en-US" w:eastAsia="en-US" w:bidi="ar-SA"/>
      </w:rPr>
    </w:lvl>
    <w:lvl w:ilvl="3">
      <w:start w:val="0"/>
      <w:numFmt w:val="bullet"/>
      <w:lvlText w:val="•"/>
      <w:lvlJc w:val="left"/>
      <w:pPr>
        <w:ind w:left="1390" w:hanging="241"/>
      </w:pPr>
      <w:rPr>
        <w:rFonts w:hint="default"/>
        <w:lang w:val="en-US" w:eastAsia="en-US" w:bidi="ar-SA"/>
      </w:rPr>
    </w:lvl>
    <w:lvl w:ilvl="4">
      <w:start w:val="0"/>
      <w:numFmt w:val="bullet"/>
      <w:lvlText w:val="•"/>
      <w:lvlJc w:val="left"/>
      <w:pPr>
        <w:ind w:left="1713" w:hanging="241"/>
      </w:pPr>
      <w:rPr>
        <w:rFonts w:hint="default"/>
        <w:lang w:val="en-US" w:eastAsia="en-US" w:bidi="ar-SA"/>
      </w:rPr>
    </w:lvl>
    <w:lvl w:ilvl="5">
      <w:start w:val="0"/>
      <w:numFmt w:val="bullet"/>
      <w:lvlText w:val="•"/>
      <w:lvlJc w:val="left"/>
      <w:pPr>
        <w:ind w:left="2037" w:hanging="241"/>
      </w:pPr>
      <w:rPr>
        <w:rFonts w:hint="default"/>
        <w:lang w:val="en-US" w:eastAsia="en-US" w:bidi="ar-SA"/>
      </w:rPr>
    </w:lvl>
    <w:lvl w:ilvl="6">
      <w:start w:val="0"/>
      <w:numFmt w:val="bullet"/>
      <w:lvlText w:val="•"/>
      <w:lvlJc w:val="left"/>
      <w:pPr>
        <w:ind w:left="2360" w:hanging="241"/>
      </w:pPr>
      <w:rPr>
        <w:rFonts w:hint="default"/>
        <w:lang w:val="en-US" w:eastAsia="en-US" w:bidi="ar-SA"/>
      </w:rPr>
    </w:lvl>
    <w:lvl w:ilvl="7">
      <w:start w:val="0"/>
      <w:numFmt w:val="bullet"/>
      <w:lvlText w:val="•"/>
      <w:lvlJc w:val="left"/>
      <w:pPr>
        <w:ind w:left="2684" w:hanging="241"/>
      </w:pPr>
      <w:rPr>
        <w:rFonts w:hint="default"/>
        <w:lang w:val="en-US" w:eastAsia="en-US" w:bidi="ar-SA"/>
      </w:rPr>
    </w:lvl>
    <w:lvl w:ilvl="8">
      <w:start w:val="0"/>
      <w:numFmt w:val="bullet"/>
      <w:lvlText w:val="•"/>
      <w:lvlJc w:val="left"/>
      <w:pPr>
        <w:ind w:left="3007" w:hanging="241"/>
      </w:pPr>
      <w:rPr>
        <w:rFonts w:hint="default"/>
        <w:lang w:val="en-US" w:eastAsia="en-US" w:bidi="ar-SA"/>
      </w:rPr>
    </w:lvl>
  </w:abstractNum>
  <w:abstractNum w:abstractNumId="26">
    <w:multiLevelType w:val="hybridMultilevel"/>
    <w:lvl w:ilvl="0">
      <w:start w:val="4"/>
      <w:numFmt w:val="decimal"/>
      <w:lvlText w:val="%1"/>
      <w:lvlJc w:val="left"/>
      <w:pPr>
        <w:ind w:left="987" w:hanging="833"/>
        <w:jc w:val="left"/>
      </w:pPr>
      <w:rPr>
        <w:rFonts w:hint="default"/>
        <w:lang w:val="en-US" w:eastAsia="en-US" w:bidi="ar-SA"/>
      </w:rPr>
    </w:lvl>
    <w:lvl w:ilvl="1">
      <w:start w:val="1"/>
      <w:numFmt w:val="decimal"/>
      <w:lvlText w:val="%1.%2"/>
      <w:lvlJc w:val="left"/>
      <w:pPr>
        <w:ind w:left="987" w:hanging="833"/>
        <w:jc w:val="left"/>
      </w:pPr>
      <w:rPr>
        <w:rFonts w:hint="default" w:ascii="Times New Roman" w:hAnsi="Times New Roman" w:eastAsia="Times New Roman" w:cs="Times New Roman"/>
        <w:b/>
        <w:bCs/>
        <w:color w:val="009391"/>
        <w:spacing w:val="-1"/>
        <w:w w:val="99"/>
        <w:sz w:val="28"/>
        <w:szCs w:val="28"/>
        <w:u w:val="thick" w:color="0092C7"/>
        <w:lang w:val="en-US" w:eastAsia="en-US" w:bidi="ar-SA"/>
      </w:rPr>
    </w:lvl>
    <w:lvl w:ilvl="2">
      <w:start w:val="0"/>
      <w:numFmt w:val="bullet"/>
      <w:lvlText w:val="•"/>
      <w:lvlJc w:val="left"/>
      <w:pPr>
        <w:ind w:left="1951" w:hanging="833"/>
      </w:pPr>
      <w:rPr>
        <w:rFonts w:hint="default"/>
        <w:lang w:val="en-US" w:eastAsia="en-US" w:bidi="ar-SA"/>
      </w:rPr>
    </w:lvl>
    <w:lvl w:ilvl="3">
      <w:start w:val="0"/>
      <w:numFmt w:val="bullet"/>
      <w:lvlText w:val="•"/>
      <w:lvlJc w:val="left"/>
      <w:pPr>
        <w:ind w:left="2436" w:hanging="833"/>
      </w:pPr>
      <w:rPr>
        <w:rFonts w:hint="default"/>
        <w:lang w:val="en-US" w:eastAsia="en-US" w:bidi="ar-SA"/>
      </w:rPr>
    </w:lvl>
    <w:lvl w:ilvl="4">
      <w:start w:val="0"/>
      <w:numFmt w:val="bullet"/>
      <w:lvlText w:val="•"/>
      <w:lvlJc w:val="left"/>
      <w:pPr>
        <w:ind w:left="2922" w:hanging="833"/>
      </w:pPr>
      <w:rPr>
        <w:rFonts w:hint="default"/>
        <w:lang w:val="en-US" w:eastAsia="en-US" w:bidi="ar-SA"/>
      </w:rPr>
    </w:lvl>
    <w:lvl w:ilvl="5">
      <w:start w:val="0"/>
      <w:numFmt w:val="bullet"/>
      <w:lvlText w:val="•"/>
      <w:lvlJc w:val="left"/>
      <w:pPr>
        <w:ind w:left="3407" w:hanging="833"/>
      </w:pPr>
      <w:rPr>
        <w:rFonts w:hint="default"/>
        <w:lang w:val="en-US" w:eastAsia="en-US" w:bidi="ar-SA"/>
      </w:rPr>
    </w:lvl>
    <w:lvl w:ilvl="6">
      <w:start w:val="0"/>
      <w:numFmt w:val="bullet"/>
      <w:lvlText w:val="•"/>
      <w:lvlJc w:val="left"/>
      <w:pPr>
        <w:ind w:left="3893" w:hanging="833"/>
      </w:pPr>
      <w:rPr>
        <w:rFonts w:hint="default"/>
        <w:lang w:val="en-US" w:eastAsia="en-US" w:bidi="ar-SA"/>
      </w:rPr>
    </w:lvl>
    <w:lvl w:ilvl="7">
      <w:start w:val="0"/>
      <w:numFmt w:val="bullet"/>
      <w:lvlText w:val="•"/>
      <w:lvlJc w:val="left"/>
      <w:pPr>
        <w:ind w:left="4378" w:hanging="833"/>
      </w:pPr>
      <w:rPr>
        <w:rFonts w:hint="default"/>
        <w:lang w:val="en-US" w:eastAsia="en-US" w:bidi="ar-SA"/>
      </w:rPr>
    </w:lvl>
    <w:lvl w:ilvl="8">
      <w:start w:val="0"/>
      <w:numFmt w:val="bullet"/>
      <w:lvlText w:val="•"/>
      <w:lvlJc w:val="left"/>
      <w:pPr>
        <w:ind w:left="4864" w:hanging="833"/>
      </w:pPr>
      <w:rPr>
        <w:rFonts w:hint="default"/>
        <w:lang w:val="en-US" w:eastAsia="en-US" w:bidi="ar-SA"/>
      </w:rPr>
    </w:lvl>
  </w:abstractNum>
  <w:abstractNum w:abstractNumId="25">
    <w:multiLevelType w:val="hybridMultilevel"/>
    <w:lvl w:ilvl="0">
      <w:start w:val="1"/>
      <w:numFmt w:val="lowerLetter"/>
      <w:lvlText w:val="(%1)"/>
      <w:lvlJc w:val="left"/>
      <w:pPr>
        <w:ind w:left="395" w:hanging="240"/>
        <w:jc w:val="left"/>
      </w:pPr>
      <w:rPr>
        <w:rFonts w:hint="default" w:ascii="Times New Roman" w:hAnsi="Times New Roman" w:eastAsia="Times New Roman" w:cs="Times New Roman"/>
        <w:spacing w:val="-1"/>
        <w:w w:val="100"/>
        <w:sz w:val="12"/>
        <w:szCs w:val="12"/>
        <w:lang w:val="en-US" w:eastAsia="en-US" w:bidi="ar-SA"/>
      </w:rPr>
    </w:lvl>
    <w:lvl w:ilvl="1">
      <w:start w:val="0"/>
      <w:numFmt w:val="bullet"/>
      <w:lvlText w:val="•"/>
      <w:lvlJc w:val="left"/>
      <w:pPr>
        <w:ind w:left="717" w:hanging="240"/>
      </w:pPr>
      <w:rPr>
        <w:rFonts w:hint="default"/>
        <w:lang w:val="en-US" w:eastAsia="en-US" w:bidi="ar-SA"/>
      </w:rPr>
    </w:lvl>
    <w:lvl w:ilvl="2">
      <w:start w:val="0"/>
      <w:numFmt w:val="bullet"/>
      <w:lvlText w:val="•"/>
      <w:lvlJc w:val="left"/>
      <w:pPr>
        <w:ind w:left="1035" w:hanging="240"/>
      </w:pPr>
      <w:rPr>
        <w:rFonts w:hint="default"/>
        <w:lang w:val="en-US" w:eastAsia="en-US" w:bidi="ar-SA"/>
      </w:rPr>
    </w:lvl>
    <w:lvl w:ilvl="3">
      <w:start w:val="0"/>
      <w:numFmt w:val="bullet"/>
      <w:lvlText w:val="•"/>
      <w:lvlJc w:val="left"/>
      <w:pPr>
        <w:ind w:left="1353" w:hanging="240"/>
      </w:pPr>
      <w:rPr>
        <w:rFonts w:hint="default"/>
        <w:lang w:val="en-US" w:eastAsia="en-US" w:bidi="ar-SA"/>
      </w:rPr>
    </w:lvl>
    <w:lvl w:ilvl="4">
      <w:start w:val="0"/>
      <w:numFmt w:val="bullet"/>
      <w:lvlText w:val="•"/>
      <w:lvlJc w:val="left"/>
      <w:pPr>
        <w:ind w:left="1671" w:hanging="240"/>
      </w:pPr>
      <w:rPr>
        <w:rFonts w:hint="default"/>
        <w:lang w:val="en-US" w:eastAsia="en-US" w:bidi="ar-SA"/>
      </w:rPr>
    </w:lvl>
    <w:lvl w:ilvl="5">
      <w:start w:val="0"/>
      <w:numFmt w:val="bullet"/>
      <w:lvlText w:val="•"/>
      <w:lvlJc w:val="left"/>
      <w:pPr>
        <w:ind w:left="1989" w:hanging="240"/>
      </w:pPr>
      <w:rPr>
        <w:rFonts w:hint="default"/>
        <w:lang w:val="en-US" w:eastAsia="en-US" w:bidi="ar-SA"/>
      </w:rPr>
    </w:lvl>
    <w:lvl w:ilvl="6">
      <w:start w:val="0"/>
      <w:numFmt w:val="bullet"/>
      <w:lvlText w:val="•"/>
      <w:lvlJc w:val="left"/>
      <w:pPr>
        <w:ind w:left="2306" w:hanging="240"/>
      </w:pPr>
      <w:rPr>
        <w:rFonts w:hint="default"/>
        <w:lang w:val="en-US" w:eastAsia="en-US" w:bidi="ar-SA"/>
      </w:rPr>
    </w:lvl>
    <w:lvl w:ilvl="7">
      <w:start w:val="0"/>
      <w:numFmt w:val="bullet"/>
      <w:lvlText w:val="•"/>
      <w:lvlJc w:val="left"/>
      <w:pPr>
        <w:ind w:left="2624" w:hanging="240"/>
      </w:pPr>
      <w:rPr>
        <w:rFonts w:hint="default"/>
        <w:lang w:val="en-US" w:eastAsia="en-US" w:bidi="ar-SA"/>
      </w:rPr>
    </w:lvl>
    <w:lvl w:ilvl="8">
      <w:start w:val="0"/>
      <w:numFmt w:val="bullet"/>
      <w:lvlText w:val="•"/>
      <w:lvlJc w:val="left"/>
      <w:pPr>
        <w:ind w:left="2942" w:hanging="240"/>
      </w:pPr>
      <w:rPr>
        <w:rFonts w:hint="default"/>
        <w:lang w:val="en-US" w:eastAsia="en-US" w:bidi="ar-SA"/>
      </w:rPr>
    </w:lvl>
  </w:abstractNum>
  <w:abstractNum w:abstractNumId="24">
    <w:multiLevelType w:val="hybridMultilevel"/>
    <w:lvl w:ilvl="0">
      <w:start w:val="1"/>
      <w:numFmt w:val="lowerLetter"/>
      <w:lvlText w:val="(%1)"/>
      <w:lvlJc w:val="left"/>
      <w:pPr>
        <w:ind w:left="400"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08" w:hanging="240"/>
      </w:pPr>
      <w:rPr>
        <w:rFonts w:hint="default"/>
        <w:lang w:val="en-US" w:eastAsia="en-US" w:bidi="ar-SA"/>
      </w:rPr>
    </w:lvl>
    <w:lvl w:ilvl="2">
      <w:start w:val="0"/>
      <w:numFmt w:val="bullet"/>
      <w:lvlText w:val="•"/>
      <w:lvlJc w:val="left"/>
      <w:pPr>
        <w:ind w:left="1217" w:hanging="240"/>
      </w:pPr>
      <w:rPr>
        <w:rFonts w:hint="default"/>
        <w:lang w:val="en-US" w:eastAsia="en-US" w:bidi="ar-SA"/>
      </w:rPr>
    </w:lvl>
    <w:lvl w:ilvl="3">
      <w:start w:val="0"/>
      <w:numFmt w:val="bullet"/>
      <w:lvlText w:val="•"/>
      <w:lvlJc w:val="left"/>
      <w:pPr>
        <w:ind w:left="1625" w:hanging="240"/>
      </w:pPr>
      <w:rPr>
        <w:rFonts w:hint="default"/>
        <w:lang w:val="en-US" w:eastAsia="en-US" w:bidi="ar-SA"/>
      </w:rPr>
    </w:lvl>
    <w:lvl w:ilvl="4">
      <w:start w:val="0"/>
      <w:numFmt w:val="bullet"/>
      <w:lvlText w:val="•"/>
      <w:lvlJc w:val="left"/>
      <w:pPr>
        <w:ind w:left="2034" w:hanging="240"/>
      </w:pPr>
      <w:rPr>
        <w:rFonts w:hint="default"/>
        <w:lang w:val="en-US" w:eastAsia="en-US" w:bidi="ar-SA"/>
      </w:rPr>
    </w:lvl>
    <w:lvl w:ilvl="5">
      <w:start w:val="0"/>
      <w:numFmt w:val="bullet"/>
      <w:lvlText w:val="•"/>
      <w:lvlJc w:val="left"/>
      <w:pPr>
        <w:ind w:left="2442" w:hanging="240"/>
      </w:pPr>
      <w:rPr>
        <w:rFonts w:hint="default"/>
        <w:lang w:val="en-US" w:eastAsia="en-US" w:bidi="ar-SA"/>
      </w:rPr>
    </w:lvl>
    <w:lvl w:ilvl="6">
      <w:start w:val="0"/>
      <w:numFmt w:val="bullet"/>
      <w:lvlText w:val="•"/>
      <w:lvlJc w:val="left"/>
      <w:pPr>
        <w:ind w:left="2851" w:hanging="240"/>
      </w:pPr>
      <w:rPr>
        <w:rFonts w:hint="default"/>
        <w:lang w:val="en-US" w:eastAsia="en-US" w:bidi="ar-SA"/>
      </w:rPr>
    </w:lvl>
    <w:lvl w:ilvl="7">
      <w:start w:val="0"/>
      <w:numFmt w:val="bullet"/>
      <w:lvlText w:val="•"/>
      <w:lvlJc w:val="left"/>
      <w:pPr>
        <w:ind w:left="3259" w:hanging="240"/>
      </w:pPr>
      <w:rPr>
        <w:rFonts w:hint="default"/>
        <w:lang w:val="en-US" w:eastAsia="en-US" w:bidi="ar-SA"/>
      </w:rPr>
    </w:lvl>
    <w:lvl w:ilvl="8">
      <w:start w:val="0"/>
      <w:numFmt w:val="bullet"/>
      <w:lvlText w:val="•"/>
      <w:lvlJc w:val="left"/>
      <w:pPr>
        <w:ind w:left="3668" w:hanging="240"/>
      </w:pPr>
      <w:rPr>
        <w:rFonts w:hint="default"/>
        <w:lang w:val="en-US" w:eastAsia="en-US" w:bidi="ar-SA"/>
      </w:rPr>
    </w:lvl>
  </w:abstractNum>
  <w:abstractNum w:abstractNumId="23">
    <w:multiLevelType w:val="hybridMultilevel"/>
    <w:lvl w:ilvl="0">
      <w:start w:val="1"/>
      <w:numFmt w:val="lowerLetter"/>
      <w:lvlText w:val="(%1)"/>
      <w:lvlJc w:val="left"/>
      <w:pPr>
        <w:ind w:left="400"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49" w:hanging="240"/>
      </w:pPr>
      <w:rPr>
        <w:rFonts w:hint="default"/>
        <w:lang w:val="en-US" w:eastAsia="en-US" w:bidi="ar-SA"/>
      </w:rPr>
    </w:lvl>
    <w:lvl w:ilvl="2">
      <w:start w:val="0"/>
      <w:numFmt w:val="bullet"/>
      <w:lvlText w:val="•"/>
      <w:lvlJc w:val="left"/>
      <w:pPr>
        <w:ind w:left="1098" w:hanging="240"/>
      </w:pPr>
      <w:rPr>
        <w:rFonts w:hint="default"/>
        <w:lang w:val="en-US" w:eastAsia="en-US" w:bidi="ar-SA"/>
      </w:rPr>
    </w:lvl>
    <w:lvl w:ilvl="3">
      <w:start w:val="0"/>
      <w:numFmt w:val="bullet"/>
      <w:lvlText w:val="•"/>
      <w:lvlJc w:val="left"/>
      <w:pPr>
        <w:ind w:left="1447" w:hanging="240"/>
      </w:pPr>
      <w:rPr>
        <w:rFonts w:hint="default"/>
        <w:lang w:val="en-US" w:eastAsia="en-US" w:bidi="ar-SA"/>
      </w:rPr>
    </w:lvl>
    <w:lvl w:ilvl="4">
      <w:start w:val="0"/>
      <w:numFmt w:val="bullet"/>
      <w:lvlText w:val="•"/>
      <w:lvlJc w:val="left"/>
      <w:pPr>
        <w:ind w:left="1796" w:hanging="240"/>
      </w:pPr>
      <w:rPr>
        <w:rFonts w:hint="default"/>
        <w:lang w:val="en-US" w:eastAsia="en-US" w:bidi="ar-SA"/>
      </w:rPr>
    </w:lvl>
    <w:lvl w:ilvl="5">
      <w:start w:val="0"/>
      <w:numFmt w:val="bullet"/>
      <w:lvlText w:val="•"/>
      <w:lvlJc w:val="left"/>
      <w:pPr>
        <w:ind w:left="2145" w:hanging="240"/>
      </w:pPr>
      <w:rPr>
        <w:rFonts w:hint="default"/>
        <w:lang w:val="en-US" w:eastAsia="en-US" w:bidi="ar-SA"/>
      </w:rPr>
    </w:lvl>
    <w:lvl w:ilvl="6">
      <w:start w:val="0"/>
      <w:numFmt w:val="bullet"/>
      <w:lvlText w:val="•"/>
      <w:lvlJc w:val="left"/>
      <w:pPr>
        <w:ind w:left="2495" w:hanging="240"/>
      </w:pPr>
      <w:rPr>
        <w:rFonts w:hint="default"/>
        <w:lang w:val="en-US" w:eastAsia="en-US" w:bidi="ar-SA"/>
      </w:rPr>
    </w:lvl>
    <w:lvl w:ilvl="7">
      <w:start w:val="0"/>
      <w:numFmt w:val="bullet"/>
      <w:lvlText w:val="•"/>
      <w:lvlJc w:val="left"/>
      <w:pPr>
        <w:ind w:left="2844" w:hanging="240"/>
      </w:pPr>
      <w:rPr>
        <w:rFonts w:hint="default"/>
        <w:lang w:val="en-US" w:eastAsia="en-US" w:bidi="ar-SA"/>
      </w:rPr>
    </w:lvl>
    <w:lvl w:ilvl="8">
      <w:start w:val="0"/>
      <w:numFmt w:val="bullet"/>
      <w:lvlText w:val="•"/>
      <w:lvlJc w:val="left"/>
      <w:pPr>
        <w:ind w:left="3193" w:hanging="240"/>
      </w:pPr>
      <w:rPr>
        <w:rFonts w:hint="default"/>
        <w:lang w:val="en-US" w:eastAsia="en-US" w:bidi="ar-SA"/>
      </w:rPr>
    </w:lvl>
  </w:abstractNum>
  <w:abstractNum w:abstractNumId="22">
    <w:multiLevelType w:val="hybridMultilevel"/>
    <w:lvl w:ilvl="0">
      <w:start w:val="1"/>
      <w:numFmt w:val="lowerLetter"/>
      <w:lvlText w:val="(%1)"/>
      <w:lvlJc w:val="left"/>
      <w:pPr>
        <w:ind w:left="399"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34" w:hanging="240"/>
      </w:pPr>
      <w:rPr>
        <w:rFonts w:hint="default"/>
        <w:lang w:val="en-US" w:eastAsia="en-US" w:bidi="ar-SA"/>
      </w:rPr>
    </w:lvl>
    <w:lvl w:ilvl="2">
      <w:start w:val="0"/>
      <w:numFmt w:val="bullet"/>
      <w:lvlText w:val="•"/>
      <w:lvlJc w:val="left"/>
      <w:pPr>
        <w:ind w:left="1069" w:hanging="240"/>
      </w:pPr>
      <w:rPr>
        <w:rFonts w:hint="default"/>
        <w:lang w:val="en-US" w:eastAsia="en-US" w:bidi="ar-SA"/>
      </w:rPr>
    </w:lvl>
    <w:lvl w:ilvl="3">
      <w:start w:val="0"/>
      <w:numFmt w:val="bullet"/>
      <w:lvlText w:val="•"/>
      <w:lvlJc w:val="left"/>
      <w:pPr>
        <w:ind w:left="1404" w:hanging="240"/>
      </w:pPr>
      <w:rPr>
        <w:rFonts w:hint="default"/>
        <w:lang w:val="en-US" w:eastAsia="en-US" w:bidi="ar-SA"/>
      </w:rPr>
    </w:lvl>
    <w:lvl w:ilvl="4">
      <w:start w:val="0"/>
      <w:numFmt w:val="bullet"/>
      <w:lvlText w:val="•"/>
      <w:lvlJc w:val="left"/>
      <w:pPr>
        <w:ind w:left="1739" w:hanging="240"/>
      </w:pPr>
      <w:rPr>
        <w:rFonts w:hint="default"/>
        <w:lang w:val="en-US" w:eastAsia="en-US" w:bidi="ar-SA"/>
      </w:rPr>
    </w:lvl>
    <w:lvl w:ilvl="5">
      <w:start w:val="0"/>
      <w:numFmt w:val="bullet"/>
      <w:lvlText w:val="•"/>
      <w:lvlJc w:val="left"/>
      <w:pPr>
        <w:ind w:left="2073" w:hanging="240"/>
      </w:pPr>
      <w:rPr>
        <w:rFonts w:hint="default"/>
        <w:lang w:val="en-US" w:eastAsia="en-US" w:bidi="ar-SA"/>
      </w:rPr>
    </w:lvl>
    <w:lvl w:ilvl="6">
      <w:start w:val="0"/>
      <w:numFmt w:val="bullet"/>
      <w:lvlText w:val="•"/>
      <w:lvlJc w:val="left"/>
      <w:pPr>
        <w:ind w:left="2408" w:hanging="240"/>
      </w:pPr>
      <w:rPr>
        <w:rFonts w:hint="default"/>
        <w:lang w:val="en-US" w:eastAsia="en-US" w:bidi="ar-SA"/>
      </w:rPr>
    </w:lvl>
    <w:lvl w:ilvl="7">
      <w:start w:val="0"/>
      <w:numFmt w:val="bullet"/>
      <w:lvlText w:val="•"/>
      <w:lvlJc w:val="left"/>
      <w:pPr>
        <w:ind w:left="2743" w:hanging="240"/>
      </w:pPr>
      <w:rPr>
        <w:rFonts w:hint="default"/>
        <w:lang w:val="en-US" w:eastAsia="en-US" w:bidi="ar-SA"/>
      </w:rPr>
    </w:lvl>
    <w:lvl w:ilvl="8">
      <w:start w:val="0"/>
      <w:numFmt w:val="bullet"/>
      <w:lvlText w:val="•"/>
      <w:lvlJc w:val="left"/>
      <w:pPr>
        <w:ind w:left="3078" w:hanging="240"/>
      </w:pPr>
      <w:rPr>
        <w:rFonts w:hint="default"/>
        <w:lang w:val="en-US" w:eastAsia="en-US" w:bidi="ar-SA"/>
      </w:rPr>
    </w:lvl>
  </w:abstractNum>
  <w:abstractNum w:abstractNumId="21">
    <w:multiLevelType w:val="hybridMultilevel"/>
    <w:lvl w:ilvl="0">
      <w:start w:val="1"/>
      <w:numFmt w:val="lowerLetter"/>
      <w:lvlText w:val="(%1)"/>
      <w:lvlJc w:val="left"/>
      <w:pPr>
        <w:ind w:left="395"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41" w:hanging="240"/>
      </w:pPr>
      <w:rPr>
        <w:rFonts w:hint="default"/>
        <w:lang w:val="en-US" w:eastAsia="en-US" w:bidi="ar-SA"/>
      </w:rPr>
    </w:lvl>
    <w:lvl w:ilvl="2">
      <w:start w:val="0"/>
      <w:numFmt w:val="bullet"/>
      <w:lvlText w:val="•"/>
      <w:lvlJc w:val="left"/>
      <w:pPr>
        <w:ind w:left="1083" w:hanging="240"/>
      </w:pPr>
      <w:rPr>
        <w:rFonts w:hint="default"/>
        <w:lang w:val="en-US" w:eastAsia="en-US" w:bidi="ar-SA"/>
      </w:rPr>
    </w:lvl>
    <w:lvl w:ilvl="3">
      <w:start w:val="0"/>
      <w:numFmt w:val="bullet"/>
      <w:lvlText w:val="•"/>
      <w:lvlJc w:val="left"/>
      <w:pPr>
        <w:ind w:left="1425" w:hanging="240"/>
      </w:pPr>
      <w:rPr>
        <w:rFonts w:hint="default"/>
        <w:lang w:val="en-US" w:eastAsia="en-US" w:bidi="ar-SA"/>
      </w:rPr>
    </w:lvl>
    <w:lvl w:ilvl="4">
      <w:start w:val="0"/>
      <w:numFmt w:val="bullet"/>
      <w:lvlText w:val="•"/>
      <w:lvlJc w:val="left"/>
      <w:pPr>
        <w:ind w:left="1767" w:hanging="240"/>
      </w:pPr>
      <w:rPr>
        <w:rFonts w:hint="default"/>
        <w:lang w:val="en-US" w:eastAsia="en-US" w:bidi="ar-SA"/>
      </w:rPr>
    </w:lvl>
    <w:lvl w:ilvl="5">
      <w:start w:val="0"/>
      <w:numFmt w:val="bullet"/>
      <w:lvlText w:val="•"/>
      <w:lvlJc w:val="left"/>
      <w:pPr>
        <w:ind w:left="2109" w:hanging="240"/>
      </w:pPr>
      <w:rPr>
        <w:rFonts w:hint="default"/>
        <w:lang w:val="en-US" w:eastAsia="en-US" w:bidi="ar-SA"/>
      </w:rPr>
    </w:lvl>
    <w:lvl w:ilvl="6">
      <w:start w:val="0"/>
      <w:numFmt w:val="bullet"/>
      <w:lvlText w:val="•"/>
      <w:lvlJc w:val="left"/>
      <w:pPr>
        <w:ind w:left="2451" w:hanging="240"/>
      </w:pPr>
      <w:rPr>
        <w:rFonts w:hint="default"/>
        <w:lang w:val="en-US" w:eastAsia="en-US" w:bidi="ar-SA"/>
      </w:rPr>
    </w:lvl>
    <w:lvl w:ilvl="7">
      <w:start w:val="0"/>
      <w:numFmt w:val="bullet"/>
      <w:lvlText w:val="•"/>
      <w:lvlJc w:val="left"/>
      <w:pPr>
        <w:ind w:left="2793" w:hanging="240"/>
      </w:pPr>
      <w:rPr>
        <w:rFonts w:hint="default"/>
        <w:lang w:val="en-US" w:eastAsia="en-US" w:bidi="ar-SA"/>
      </w:rPr>
    </w:lvl>
    <w:lvl w:ilvl="8">
      <w:start w:val="0"/>
      <w:numFmt w:val="bullet"/>
      <w:lvlText w:val="•"/>
      <w:lvlJc w:val="left"/>
      <w:pPr>
        <w:ind w:left="3135" w:hanging="240"/>
      </w:pPr>
      <w:rPr>
        <w:rFonts w:hint="default"/>
        <w:lang w:val="en-US" w:eastAsia="en-US" w:bidi="ar-SA"/>
      </w:rPr>
    </w:lvl>
  </w:abstractNum>
  <w:abstractNum w:abstractNumId="20">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680" w:hanging="240"/>
      </w:pPr>
      <w:rPr>
        <w:rFonts w:hint="default"/>
        <w:lang w:val="en-US" w:eastAsia="en-US" w:bidi="ar-SA"/>
      </w:rPr>
    </w:lvl>
    <w:lvl w:ilvl="2">
      <w:start w:val="0"/>
      <w:numFmt w:val="bullet"/>
      <w:lvlText w:val="•"/>
      <w:lvlJc w:val="left"/>
      <w:pPr>
        <w:ind w:left="940" w:hanging="240"/>
      </w:pPr>
      <w:rPr>
        <w:rFonts w:hint="default"/>
        <w:lang w:val="en-US" w:eastAsia="en-US" w:bidi="ar-SA"/>
      </w:rPr>
    </w:lvl>
    <w:lvl w:ilvl="3">
      <w:start w:val="0"/>
      <w:numFmt w:val="bullet"/>
      <w:lvlText w:val="•"/>
      <w:lvlJc w:val="left"/>
      <w:pPr>
        <w:ind w:left="1201" w:hanging="240"/>
      </w:pPr>
      <w:rPr>
        <w:rFonts w:hint="default"/>
        <w:lang w:val="en-US" w:eastAsia="en-US" w:bidi="ar-SA"/>
      </w:rPr>
    </w:lvl>
    <w:lvl w:ilvl="4">
      <w:start w:val="0"/>
      <w:numFmt w:val="bullet"/>
      <w:lvlText w:val="•"/>
      <w:lvlJc w:val="left"/>
      <w:pPr>
        <w:ind w:left="1461" w:hanging="240"/>
      </w:pPr>
      <w:rPr>
        <w:rFonts w:hint="default"/>
        <w:lang w:val="en-US" w:eastAsia="en-US" w:bidi="ar-SA"/>
      </w:rPr>
    </w:lvl>
    <w:lvl w:ilvl="5">
      <w:start w:val="0"/>
      <w:numFmt w:val="bullet"/>
      <w:lvlText w:val="•"/>
      <w:lvlJc w:val="left"/>
      <w:pPr>
        <w:ind w:left="1721" w:hanging="240"/>
      </w:pPr>
      <w:rPr>
        <w:rFonts w:hint="default"/>
        <w:lang w:val="en-US" w:eastAsia="en-US" w:bidi="ar-SA"/>
      </w:rPr>
    </w:lvl>
    <w:lvl w:ilvl="6">
      <w:start w:val="0"/>
      <w:numFmt w:val="bullet"/>
      <w:lvlText w:val="•"/>
      <w:lvlJc w:val="left"/>
      <w:pPr>
        <w:ind w:left="1982" w:hanging="240"/>
      </w:pPr>
      <w:rPr>
        <w:rFonts w:hint="default"/>
        <w:lang w:val="en-US" w:eastAsia="en-US" w:bidi="ar-SA"/>
      </w:rPr>
    </w:lvl>
    <w:lvl w:ilvl="7">
      <w:start w:val="0"/>
      <w:numFmt w:val="bullet"/>
      <w:lvlText w:val="•"/>
      <w:lvlJc w:val="left"/>
      <w:pPr>
        <w:ind w:left="2242" w:hanging="240"/>
      </w:pPr>
      <w:rPr>
        <w:rFonts w:hint="default"/>
        <w:lang w:val="en-US" w:eastAsia="en-US" w:bidi="ar-SA"/>
      </w:rPr>
    </w:lvl>
    <w:lvl w:ilvl="8">
      <w:start w:val="0"/>
      <w:numFmt w:val="bullet"/>
      <w:lvlText w:val="•"/>
      <w:lvlJc w:val="left"/>
      <w:pPr>
        <w:ind w:left="2503" w:hanging="240"/>
      </w:pPr>
      <w:rPr>
        <w:rFonts w:hint="default"/>
        <w:lang w:val="en-US" w:eastAsia="en-US" w:bidi="ar-SA"/>
      </w:rPr>
    </w:lvl>
  </w:abstractNum>
  <w:abstractNum w:abstractNumId="19">
    <w:multiLevelType w:val="hybridMultilevel"/>
    <w:lvl w:ilvl="0">
      <w:start w:val="1"/>
      <w:numFmt w:val="lowerLetter"/>
      <w:lvlText w:val="(%1)"/>
      <w:lvlJc w:val="left"/>
      <w:pPr>
        <w:ind w:left="373" w:hanging="194"/>
        <w:jc w:val="left"/>
      </w:pPr>
      <w:rPr>
        <w:rFonts w:hint="default" w:ascii="Times New Roman" w:hAnsi="Times New Roman" w:eastAsia="Times New Roman" w:cs="Times New Roman"/>
        <w:spacing w:val="-1"/>
        <w:w w:val="100"/>
        <w:sz w:val="12"/>
        <w:szCs w:val="12"/>
        <w:lang w:val="en-US" w:eastAsia="en-US" w:bidi="ar-SA"/>
      </w:rPr>
    </w:lvl>
    <w:lvl w:ilvl="1">
      <w:start w:val="0"/>
      <w:numFmt w:val="bullet"/>
      <w:lvlText w:val="•"/>
      <w:lvlJc w:val="left"/>
      <w:pPr>
        <w:ind w:left="757" w:hanging="194"/>
      </w:pPr>
      <w:rPr>
        <w:rFonts w:hint="default"/>
        <w:lang w:val="en-US" w:eastAsia="en-US" w:bidi="ar-SA"/>
      </w:rPr>
    </w:lvl>
    <w:lvl w:ilvl="2">
      <w:start w:val="0"/>
      <w:numFmt w:val="bullet"/>
      <w:lvlText w:val="•"/>
      <w:lvlJc w:val="left"/>
      <w:pPr>
        <w:ind w:left="1134" w:hanging="194"/>
      </w:pPr>
      <w:rPr>
        <w:rFonts w:hint="default"/>
        <w:lang w:val="en-US" w:eastAsia="en-US" w:bidi="ar-SA"/>
      </w:rPr>
    </w:lvl>
    <w:lvl w:ilvl="3">
      <w:start w:val="0"/>
      <w:numFmt w:val="bullet"/>
      <w:lvlText w:val="•"/>
      <w:lvlJc w:val="left"/>
      <w:pPr>
        <w:ind w:left="1511" w:hanging="194"/>
      </w:pPr>
      <w:rPr>
        <w:rFonts w:hint="default"/>
        <w:lang w:val="en-US" w:eastAsia="en-US" w:bidi="ar-SA"/>
      </w:rPr>
    </w:lvl>
    <w:lvl w:ilvl="4">
      <w:start w:val="0"/>
      <w:numFmt w:val="bullet"/>
      <w:lvlText w:val="•"/>
      <w:lvlJc w:val="left"/>
      <w:pPr>
        <w:ind w:left="1888" w:hanging="194"/>
      </w:pPr>
      <w:rPr>
        <w:rFonts w:hint="default"/>
        <w:lang w:val="en-US" w:eastAsia="en-US" w:bidi="ar-SA"/>
      </w:rPr>
    </w:lvl>
    <w:lvl w:ilvl="5">
      <w:start w:val="0"/>
      <w:numFmt w:val="bullet"/>
      <w:lvlText w:val="•"/>
      <w:lvlJc w:val="left"/>
      <w:pPr>
        <w:ind w:left="2265" w:hanging="194"/>
      </w:pPr>
      <w:rPr>
        <w:rFonts w:hint="default"/>
        <w:lang w:val="en-US" w:eastAsia="en-US" w:bidi="ar-SA"/>
      </w:rPr>
    </w:lvl>
    <w:lvl w:ilvl="6">
      <w:start w:val="0"/>
      <w:numFmt w:val="bullet"/>
      <w:lvlText w:val="•"/>
      <w:lvlJc w:val="left"/>
      <w:pPr>
        <w:ind w:left="2642" w:hanging="194"/>
      </w:pPr>
      <w:rPr>
        <w:rFonts w:hint="default"/>
        <w:lang w:val="en-US" w:eastAsia="en-US" w:bidi="ar-SA"/>
      </w:rPr>
    </w:lvl>
    <w:lvl w:ilvl="7">
      <w:start w:val="0"/>
      <w:numFmt w:val="bullet"/>
      <w:lvlText w:val="•"/>
      <w:lvlJc w:val="left"/>
      <w:pPr>
        <w:ind w:left="3019" w:hanging="194"/>
      </w:pPr>
      <w:rPr>
        <w:rFonts w:hint="default"/>
        <w:lang w:val="en-US" w:eastAsia="en-US" w:bidi="ar-SA"/>
      </w:rPr>
    </w:lvl>
    <w:lvl w:ilvl="8">
      <w:start w:val="0"/>
      <w:numFmt w:val="bullet"/>
      <w:lvlText w:val="•"/>
      <w:lvlJc w:val="left"/>
      <w:pPr>
        <w:ind w:left="3396" w:hanging="194"/>
      </w:pPr>
      <w:rPr>
        <w:rFonts w:hint="default"/>
        <w:lang w:val="en-US" w:eastAsia="en-US" w:bidi="ar-SA"/>
      </w:rPr>
    </w:lvl>
  </w:abstractNum>
  <w:abstractNum w:abstractNumId="18">
    <w:multiLevelType w:val="hybridMultilevel"/>
    <w:lvl w:ilvl="0">
      <w:start w:val="3"/>
      <w:numFmt w:val="decimal"/>
      <w:lvlText w:val="%1"/>
      <w:lvlJc w:val="left"/>
      <w:pPr>
        <w:ind w:left="911" w:hanging="742"/>
        <w:jc w:val="left"/>
      </w:pPr>
      <w:rPr>
        <w:rFonts w:hint="default"/>
        <w:lang w:val="en-US" w:eastAsia="en-US" w:bidi="ar-SA"/>
      </w:rPr>
    </w:lvl>
    <w:lvl w:ilvl="1">
      <w:start w:val="1"/>
      <w:numFmt w:val="decimal"/>
      <w:lvlText w:val="%1.%2"/>
      <w:lvlJc w:val="left"/>
      <w:pPr>
        <w:ind w:left="911" w:hanging="742"/>
        <w:jc w:val="right"/>
      </w:pPr>
      <w:rPr>
        <w:rFonts w:hint="default"/>
        <w:b/>
        <w:bCs/>
        <w:spacing w:val="-3"/>
        <w:w w:val="100"/>
        <w:lang w:val="en-US" w:eastAsia="en-US" w:bidi="ar-SA"/>
      </w:rPr>
    </w:lvl>
    <w:lvl w:ilvl="2">
      <w:start w:val="0"/>
      <w:numFmt w:val="bullet"/>
      <w:lvlText w:val="•"/>
      <w:lvlJc w:val="left"/>
      <w:pPr>
        <w:ind w:left="1904" w:hanging="742"/>
      </w:pPr>
      <w:rPr>
        <w:rFonts w:hint="default"/>
        <w:lang w:val="en-US" w:eastAsia="en-US" w:bidi="ar-SA"/>
      </w:rPr>
    </w:lvl>
    <w:lvl w:ilvl="3">
      <w:start w:val="0"/>
      <w:numFmt w:val="bullet"/>
      <w:lvlText w:val="•"/>
      <w:lvlJc w:val="left"/>
      <w:pPr>
        <w:ind w:left="2396" w:hanging="742"/>
      </w:pPr>
      <w:rPr>
        <w:rFonts w:hint="default"/>
        <w:lang w:val="en-US" w:eastAsia="en-US" w:bidi="ar-SA"/>
      </w:rPr>
    </w:lvl>
    <w:lvl w:ilvl="4">
      <w:start w:val="0"/>
      <w:numFmt w:val="bullet"/>
      <w:lvlText w:val="•"/>
      <w:lvlJc w:val="left"/>
      <w:pPr>
        <w:ind w:left="2888" w:hanging="742"/>
      </w:pPr>
      <w:rPr>
        <w:rFonts w:hint="default"/>
        <w:lang w:val="en-US" w:eastAsia="en-US" w:bidi="ar-SA"/>
      </w:rPr>
    </w:lvl>
    <w:lvl w:ilvl="5">
      <w:start w:val="0"/>
      <w:numFmt w:val="bullet"/>
      <w:lvlText w:val="•"/>
      <w:lvlJc w:val="left"/>
      <w:pPr>
        <w:ind w:left="3380" w:hanging="742"/>
      </w:pPr>
      <w:rPr>
        <w:rFonts w:hint="default"/>
        <w:lang w:val="en-US" w:eastAsia="en-US" w:bidi="ar-SA"/>
      </w:rPr>
    </w:lvl>
    <w:lvl w:ilvl="6">
      <w:start w:val="0"/>
      <w:numFmt w:val="bullet"/>
      <w:lvlText w:val="•"/>
      <w:lvlJc w:val="left"/>
      <w:pPr>
        <w:ind w:left="3872" w:hanging="742"/>
      </w:pPr>
      <w:rPr>
        <w:rFonts w:hint="default"/>
        <w:lang w:val="en-US" w:eastAsia="en-US" w:bidi="ar-SA"/>
      </w:rPr>
    </w:lvl>
    <w:lvl w:ilvl="7">
      <w:start w:val="0"/>
      <w:numFmt w:val="bullet"/>
      <w:lvlText w:val="•"/>
      <w:lvlJc w:val="left"/>
      <w:pPr>
        <w:ind w:left="4364" w:hanging="742"/>
      </w:pPr>
      <w:rPr>
        <w:rFonts w:hint="default"/>
        <w:lang w:val="en-US" w:eastAsia="en-US" w:bidi="ar-SA"/>
      </w:rPr>
    </w:lvl>
    <w:lvl w:ilvl="8">
      <w:start w:val="0"/>
      <w:numFmt w:val="bullet"/>
      <w:lvlText w:val="•"/>
      <w:lvlJc w:val="left"/>
      <w:pPr>
        <w:ind w:left="4856" w:hanging="742"/>
      </w:pPr>
      <w:rPr>
        <w:rFonts w:hint="default"/>
        <w:lang w:val="en-US" w:eastAsia="en-US" w:bidi="ar-SA"/>
      </w:rPr>
    </w:lvl>
  </w:abstractNum>
  <w:abstractNum w:abstractNumId="17">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w w:val="100"/>
        <w:sz w:val="12"/>
        <w:szCs w:val="12"/>
        <w:lang w:val="en-US" w:eastAsia="en-US" w:bidi="ar-SA"/>
      </w:rPr>
    </w:lvl>
    <w:lvl w:ilvl="1">
      <w:start w:val="0"/>
      <w:numFmt w:val="bullet"/>
      <w:lvlText w:val="•"/>
      <w:lvlJc w:val="left"/>
      <w:pPr>
        <w:ind w:left="1442" w:hanging="240"/>
      </w:pPr>
      <w:rPr>
        <w:rFonts w:hint="default"/>
        <w:lang w:val="en-US" w:eastAsia="en-US" w:bidi="ar-SA"/>
      </w:rPr>
    </w:lvl>
    <w:lvl w:ilvl="2">
      <w:start w:val="0"/>
      <w:numFmt w:val="bullet"/>
      <w:lvlText w:val="•"/>
      <w:lvlJc w:val="left"/>
      <w:pPr>
        <w:ind w:left="2464" w:hanging="240"/>
      </w:pPr>
      <w:rPr>
        <w:rFonts w:hint="default"/>
        <w:lang w:val="en-US" w:eastAsia="en-US" w:bidi="ar-SA"/>
      </w:rPr>
    </w:lvl>
    <w:lvl w:ilvl="3">
      <w:start w:val="0"/>
      <w:numFmt w:val="bullet"/>
      <w:lvlText w:val="•"/>
      <w:lvlJc w:val="left"/>
      <w:pPr>
        <w:ind w:left="3486" w:hanging="240"/>
      </w:pPr>
      <w:rPr>
        <w:rFonts w:hint="default"/>
        <w:lang w:val="en-US" w:eastAsia="en-US" w:bidi="ar-SA"/>
      </w:rPr>
    </w:lvl>
    <w:lvl w:ilvl="4">
      <w:start w:val="0"/>
      <w:numFmt w:val="bullet"/>
      <w:lvlText w:val="•"/>
      <w:lvlJc w:val="left"/>
      <w:pPr>
        <w:ind w:left="4508" w:hanging="240"/>
      </w:pPr>
      <w:rPr>
        <w:rFonts w:hint="default"/>
        <w:lang w:val="en-US" w:eastAsia="en-US" w:bidi="ar-SA"/>
      </w:rPr>
    </w:lvl>
    <w:lvl w:ilvl="5">
      <w:start w:val="0"/>
      <w:numFmt w:val="bullet"/>
      <w:lvlText w:val="•"/>
      <w:lvlJc w:val="left"/>
      <w:pPr>
        <w:ind w:left="5530" w:hanging="240"/>
      </w:pPr>
      <w:rPr>
        <w:rFonts w:hint="default"/>
        <w:lang w:val="en-US" w:eastAsia="en-US" w:bidi="ar-SA"/>
      </w:rPr>
    </w:lvl>
    <w:lvl w:ilvl="6">
      <w:start w:val="0"/>
      <w:numFmt w:val="bullet"/>
      <w:lvlText w:val="•"/>
      <w:lvlJc w:val="left"/>
      <w:pPr>
        <w:ind w:left="6552" w:hanging="240"/>
      </w:pPr>
      <w:rPr>
        <w:rFonts w:hint="default"/>
        <w:lang w:val="en-US" w:eastAsia="en-US" w:bidi="ar-SA"/>
      </w:rPr>
    </w:lvl>
    <w:lvl w:ilvl="7">
      <w:start w:val="0"/>
      <w:numFmt w:val="bullet"/>
      <w:lvlText w:val="•"/>
      <w:lvlJc w:val="left"/>
      <w:pPr>
        <w:ind w:left="7574" w:hanging="240"/>
      </w:pPr>
      <w:rPr>
        <w:rFonts w:hint="default"/>
        <w:lang w:val="en-US" w:eastAsia="en-US" w:bidi="ar-SA"/>
      </w:rPr>
    </w:lvl>
    <w:lvl w:ilvl="8">
      <w:start w:val="0"/>
      <w:numFmt w:val="bullet"/>
      <w:lvlText w:val="•"/>
      <w:lvlJc w:val="left"/>
      <w:pPr>
        <w:ind w:left="8596" w:hanging="240"/>
      </w:pPr>
      <w:rPr>
        <w:rFonts w:hint="default"/>
        <w:lang w:val="en-US" w:eastAsia="en-US" w:bidi="ar-SA"/>
      </w:rPr>
    </w:lvl>
  </w:abstractNum>
  <w:abstractNum w:abstractNumId="16">
    <w:multiLevelType w:val="hybridMultilevel"/>
    <w:lvl w:ilvl="0">
      <w:start w:val="1"/>
      <w:numFmt w:val="lowerLetter"/>
      <w:lvlText w:val="(%1)"/>
      <w:lvlJc w:val="left"/>
      <w:pPr>
        <w:ind w:left="395" w:hanging="240"/>
        <w:jc w:val="left"/>
      </w:pPr>
      <w:rPr>
        <w:rFonts w:hint="default" w:ascii="Times New Roman" w:hAnsi="Times New Roman" w:eastAsia="Times New Roman" w:cs="Times New Roman"/>
        <w:w w:val="100"/>
        <w:sz w:val="12"/>
        <w:szCs w:val="12"/>
        <w:lang w:val="en-US" w:eastAsia="en-US" w:bidi="ar-SA"/>
      </w:rPr>
    </w:lvl>
    <w:lvl w:ilvl="1">
      <w:start w:val="0"/>
      <w:numFmt w:val="bullet"/>
      <w:lvlText w:val="•"/>
      <w:lvlJc w:val="left"/>
      <w:pPr>
        <w:ind w:left="759" w:hanging="240"/>
      </w:pPr>
      <w:rPr>
        <w:rFonts w:hint="default"/>
        <w:lang w:val="en-US" w:eastAsia="en-US" w:bidi="ar-SA"/>
      </w:rPr>
    </w:lvl>
    <w:lvl w:ilvl="2">
      <w:start w:val="0"/>
      <w:numFmt w:val="bullet"/>
      <w:lvlText w:val="•"/>
      <w:lvlJc w:val="left"/>
      <w:pPr>
        <w:ind w:left="1118" w:hanging="240"/>
      </w:pPr>
      <w:rPr>
        <w:rFonts w:hint="default"/>
        <w:lang w:val="en-US" w:eastAsia="en-US" w:bidi="ar-SA"/>
      </w:rPr>
    </w:lvl>
    <w:lvl w:ilvl="3">
      <w:start w:val="0"/>
      <w:numFmt w:val="bullet"/>
      <w:lvlText w:val="•"/>
      <w:lvlJc w:val="left"/>
      <w:pPr>
        <w:ind w:left="1478" w:hanging="240"/>
      </w:pPr>
      <w:rPr>
        <w:rFonts w:hint="default"/>
        <w:lang w:val="en-US" w:eastAsia="en-US" w:bidi="ar-SA"/>
      </w:rPr>
    </w:lvl>
    <w:lvl w:ilvl="4">
      <w:start w:val="0"/>
      <w:numFmt w:val="bullet"/>
      <w:lvlText w:val="•"/>
      <w:lvlJc w:val="left"/>
      <w:pPr>
        <w:ind w:left="1837" w:hanging="240"/>
      </w:pPr>
      <w:rPr>
        <w:rFonts w:hint="default"/>
        <w:lang w:val="en-US" w:eastAsia="en-US" w:bidi="ar-SA"/>
      </w:rPr>
    </w:lvl>
    <w:lvl w:ilvl="5">
      <w:start w:val="0"/>
      <w:numFmt w:val="bullet"/>
      <w:lvlText w:val="•"/>
      <w:lvlJc w:val="left"/>
      <w:pPr>
        <w:ind w:left="2197" w:hanging="240"/>
      </w:pPr>
      <w:rPr>
        <w:rFonts w:hint="default"/>
        <w:lang w:val="en-US" w:eastAsia="en-US" w:bidi="ar-SA"/>
      </w:rPr>
    </w:lvl>
    <w:lvl w:ilvl="6">
      <w:start w:val="0"/>
      <w:numFmt w:val="bullet"/>
      <w:lvlText w:val="•"/>
      <w:lvlJc w:val="left"/>
      <w:pPr>
        <w:ind w:left="2556" w:hanging="240"/>
      </w:pPr>
      <w:rPr>
        <w:rFonts w:hint="default"/>
        <w:lang w:val="en-US" w:eastAsia="en-US" w:bidi="ar-SA"/>
      </w:rPr>
    </w:lvl>
    <w:lvl w:ilvl="7">
      <w:start w:val="0"/>
      <w:numFmt w:val="bullet"/>
      <w:lvlText w:val="•"/>
      <w:lvlJc w:val="left"/>
      <w:pPr>
        <w:ind w:left="2916" w:hanging="240"/>
      </w:pPr>
      <w:rPr>
        <w:rFonts w:hint="default"/>
        <w:lang w:val="en-US" w:eastAsia="en-US" w:bidi="ar-SA"/>
      </w:rPr>
    </w:lvl>
    <w:lvl w:ilvl="8">
      <w:start w:val="0"/>
      <w:numFmt w:val="bullet"/>
      <w:lvlText w:val="•"/>
      <w:lvlJc w:val="left"/>
      <w:pPr>
        <w:ind w:left="3275" w:hanging="240"/>
      </w:pPr>
      <w:rPr>
        <w:rFonts w:hint="default"/>
        <w:lang w:val="en-US" w:eastAsia="en-US" w:bidi="ar-SA"/>
      </w:rPr>
    </w:lvl>
  </w:abstractNum>
  <w:abstractNum w:abstractNumId="15">
    <w:multiLevelType w:val="hybridMultilevel"/>
    <w:lvl w:ilvl="0">
      <w:start w:val="2"/>
      <w:numFmt w:val="decimal"/>
      <w:lvlText w:val="%1"/>
      <w:lvlJc w:val="left"/>
      <w:pPr>
        <w:ind w:left="4648" w:hanging="4409"/>
        <w:jc w:val="left"/>
      </w:pPr>
      <w:rPr>
        <w:rFonts w:hint="default"/>
        <w:lang w:val="en-US" w:eastAsia="en-US" w:bidi="ar-SA"/>
      </w:rPr>
    </w:lvl>
    <w:lvl w:ilvl="1">
      <w:start w:val="3"/>
      <w:numFmt w:val="decimal"/>
      <w:lvlText w:val="%1.%2"/>
      <w:lvlJc w:val="left"/>
      <w:pPr>
        <w:ind w:left="4648" w:hanging="4409"/>
        <w:jc w:val="right"/>
      </w:pPr>
      <w:rPr>
        <w:rFonts w:hint="default" w:ascii="Times New Roman" w:hAnsi="Times New Roman" w:eastAsia="Times New Roman" w:cs="Times New Roman"/>
        <w:b/>
        <w:bCs/>
        <w:color w:val="009391"/>
        <w:spacing w:val="-1"/>
        <w:w w:val="99"/>
        <w:sz w:val="28"/>
        <w:szCs w:val="28"/>
        <w:u w:val="thick" w:color="0092C7"/>
        <w:lang w:val="en-US" w:eastAsia="en-US" w:bidi="ar-SA"/>
      </w:rPr>
    </w:lvl>
    <w:lvl w:ilvl="2">
      <w:start w:val="0"/>
      <w:numFmt w:val="bullet"/>
      <w:lvlText w:val="•"/>
      <w:lvlJc w:val="left"/>
      <w:pPr>
        <w:ind w:left="4893" w:hanging="4409"/>
      </w:pPr>
      <w:rPr>
        <w:rFonts w:hint="default"/>
        <w:lang w:val="en-US" w:eastAsia="en-US" w:bidi="ar-SA"/>
      </w:rPr>
    </w:lvl>
    <w:lvl w:ilvl="3">
      <w:start w:val="0"/>
      <w:numFmt w:val="bullet"/>
      <w:lvlText w:val="•"/>
      <w:lvlJc w:val="left"/>
      <w:pPr>
        <w:ind w:left="5019" w:hanging="4409"/>
      </w:pPr>
      <w:rPr>
        <w:rFonts w:hint="default"/>
        <w:lang w:val="en-US" w:eastAsia="en-US" w:bidi="ar-SA"/>
      </w:rPr>
    </w:lvl>
    <w:lvl w:ilvl="4">
      <w:start w:val="0"/>
      <w:numFmt w:val="bullet"/>
      <w:lvlText w:val="•"/>
      <w:lvlJc w:val="left"/>
      <w:pPr>
        <w:ind w:left="5146" w:hanging="4409"/>
      </w:pPr>
      <w:rPr>
        <w:rFonts w:hint="default"/>
        <w:lang w:val="en-US" w:eastAsia="en-US" w:bidi="ar-SA"/>
      </w:rPr>
    </w:lvl>
    <w:lvl w:ilvl="5">
      <w:start w:val="0"/>
      <w:numFmt w:val="bullet"/>
      <w:lvlText w:val="•"/>
      <w:lvlJc w:val="left"/>
      <w:pPr>
        <w:ind w:left="5272" w:hanging="4409"/>
      </w:pPr>
      <w:rPr>
        <w:rFonts w:hint="default"/>
        <w:lang w:val="en-US" w:eastAsia="en-US" w:bidi="ar-SA"/>
      </w:rPr>
    </w:lvl>
    <w:lvl w:ilvl="6">
      <w:start w:val="0"/>
      <w:numFmt w:val="bullet"/>
      <w:lvlText w:val="•"/>
      <w:lvlJc w:val="left"/>
      <w:pPr>
        <w:ind w:left="5399" w:hanging="4409"/>
      </w:pPr>
      <w:rPr>
        <w:rFonts w:hint="default"/>
        <w:lang w:val="en-US" w:eastAsia="en-US" w:bidi="ar-SA"/>
      </w:rPr>
    </w:lvl>
    <w:lvl w:ilvl="7">
      <w:start w:val="0"/>
      <w:numFmt w:val="bullet"/>
      <w:lvlText w:val="•"/>
      <w:lvlJc w:val="left"/>
      <w:pPr>
        <w:ind w:left="5525" w:hanging="4409"/>
      </w:pPr>
      <w:rPr>
        <w:rFonts w:hint="default"/>
        <w:lang w:val="en-US" w:eastAsia="en-US" w:bidi="ar-SA"/>
      </w:rPr>
    </w:lvl>
    <w:lvl w:ilvl="8">
      <w:start w:val="0"/>
      <w:numFmt w:val="bullet"/>
      <w:lvlText w:val="•"/>
      <w:lvlJc w:val="left"/>
      <w:pPr>
        <w:ind w:left="5652" w:hanging="4409"/>
      </w:pPr>
      <w:rPr>
        <w:rFonts w:hint="default"/>
        <w:lang w:val="en-US" w:eastAsia="en-US" w:bidi="ar-SA"/>
      </w:rPr>
    </w:lvl>
  </w:abstractNum>
  <w:abstractNum w:abstractNumId="14">
    <w:multiLevelType w:val="hybridMultilevel"/>
    <w:lvl w:ilvl="0">
      <w:start w:val="1"/>
      <w:numFmt w:val="lowerLetter"/>
      <w:lvlText w:val="(%1)"/>
      <w:lvlJc w:val="left"/>
      <w:pPr>
        <w:ind w:left="403" w:hanging="240"/>
        <w:jc w:val="left"/>
      </w:pPr>
      <w:rPr>
        <w:rFonts w:hint="default" w:ascii="Times New Roman" w:hAnsi="Times New Roman" w:eastAsia="Times New Roman" w:cs="Times New Roman"/>
        <w:w w:val="100"/>
        <w:sz w:val="12"/>
        <w:szCs w:val="12"/>
        <w:lang w:val="en-US" w:eastAsia="en-US" w:bidi="ar-SA"/>
      </w:rPr>
    </w:lvl>
    <w:lvl w:ilvl="1">
      <w:start w:val="1"/>
      <w:numFmt w:val="decimal"/>
      <w:lvlText w:val="(%2)"/>
      <w:lvlJc w:val="left"/>
      <w:pPr>
        <w:ind w:left="403" w:hanging="241"/>
        <w:jc w:val="left"/>
      </w:pPr>
      <w:rPr>
        <w:rFonts w:hint="default" w:ascii="Times New Roman" w:hAnsi="Times New Roman" w:eastAsia="Times New Roman" w:cs="Times New Roman"/>
        <w:spacing w:val="-1"/>
        <w:w w:val="99"/>
        <w:sz w:val="16"/>
        <w:szCs w:val="16"/>
        <w:lang w:val="en-US" w:eastAsia="en-US" w:bidi="ar-SA"/>
      </w:rPr>
    </w:lvl>
    <w:lvl w:ilvl="2">
      <w:start w:val="0"/>
      <w:numFmt w:val="bullet"/>
      <w:lvlText w:val="•"/>
      <w:lvlJc w:val="left"/>
      <w:pPr>
        <w:ind w:left="105" w:hanging="241"/>
      </w:pPr>
      <w:rPr>
        <w:rFonts w:hint="default"/>
        <w:lang w:val="en-US" w:eastAsia="en-US" w:bidi="ar-SA"/>
      </w:rPr>
    </w:lvl>
    <w:lvl w:ilvl="3">
      <w:start w:val="0"/>
      <w:numFmt w:val="bullet"/>
      <w:lvlText w:val="•"/>
      <w:lvlJc w:val="left"/>
      <w:pPr>
        <w:ind w:left="-42" w:hanging="241"/>
      </w:pPr>
      <w:rPr>
        <w:rFonts w:hint="default"/>
        <w:lang w:val="en-US" w:eastAsia="en-US" w:bidi="ar-SA"/>
      </w:rPr>
    </w:lvl>
    <w:lvl w:ilvl="4">
      <w:start w:val="0"/>
      <w:numFmt w:val="bullet"/>
      <w:lvlText w:val="•"/>
      <w:lvlJc w:val="left"/>
      <w:pPr>
        <w:ind w:left="-189" w:hanging="241"/>
      </w:pPr>
      <w:rPr>
        <w:rFonts w:hint="default"/>
        <w:lang w:val="en-US" w:eastAsia="en-US" w:bidi="ar-SA"/>
      </w:rPr>
    </w:lvl>
    <w:lvl w:ilvl="5">
      <w:start w:val="0"/>
      <w:numFmt w:val="bullet"/>
      <w:lvlText w:val="•"/>
      <w:lvlJc w:val="left"/>
      <w:pPr>
        <w:ind w:left="-336" w:hanging="241"/>
      </w:pPr>
      <w:rPr>
        <w:rFonts w:hint="default"/>
        <w:lang w:val="en-US" w:eastAsia="en-US" w:bidi="ar-SA"/>
      </w:rPr>
    </w:lvl>
    <w:lvl w:ilvl="6">
      <w:start w:val="0"/>
      <w:numFmt w:val="bullet"/>
      <w:lvlText w:val="•"/>
      <w:lvlJc w:val="left"/>
      <w:pPr>
        <w:ind w:left="-483" w:hanging="241"/>
      </w:pPr>
      <w:rPr>
        <w:rFonts w:hint="default"/>
        <w:lang w:val="en-US" w:eastAsia="en-US" w:bidi="ar-SA"/>
      </w:rPr>
    </w:lvl>
    <w:lvl w:ilvl="7">
      <w:start w:val="0"/>
      <w:numFmt w:val="bullet"/>
      <w:lvlText w:val="•"/>
      <w:lvlJc w:val="left"/>
      <w:pPr>
        <w:ind w:left="-630" w:hanging="241"/>
      </w:pPr>
      <w:rPr>
        <w:rFonts w:hint="default"/>
        <w:lang w:val="en-US" w:eastAsia="en-US" w:bidi="ar-SA"/>
      </w:rPr>
    </w:lvl>
    <w:lvl w:ilvl="8">
      <w:start w:val="0"/>
      <w:numFmt w:val="bullet"/>
      <w:lvlText w:val="•"/>
      <w:lvlJc w:val="left"/>
      <w:pPr>
        <w:ind w:left="-777" w:hanging="241"/>
      </w:pPr>
      <w:rPr>
        <w:rFonts w:hint="default"/>
        <w:lang w:val="en-US" w:eastAsia="en-US" w:bidi="ar-SA"/>
      </w:rPr>
    </w:lvl>
  </w:abstractNum>
  <w:abstractNum w:abstractNumId="13">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spacing w:val="-1"/>
        <w:w w:val="100"/>
        <w:sz w:val="12"/>
        <w:szCs w:val="12"/>
        <w:lang w:val="en-US" w:eastAsia="en-US" w:bidi="ar-SA"/>
      </w:rPr>
    </w:lvl>
    <w:lvl w:ilvl="1">
      <w:start w:val="1"/>
      <w:numFmt w:val="decimal"/>
      <w:lvlText w:val="(%2)"/>
      <w:lvlJc w:val="left"/>
      <w:pPr>
        <w:ind w:left="444" w:hanging="241"/>
        <w:jc w:val="left"/>
      </w:pPr>
      <w:rPr>
        <w:rFonts w:hint="default" w:ascii="Times New Roman" w:hAnsi="Times New Roman" w:eastAsia="Times New Roman" w:cs="Times New Roman"/>
        <w:w w:val="99"/>
        <w:sz w:val="16"/>
        <w:szCs w:val="16"/>
        <w:lang w:val="en-US" w:eastAsia="en-US" w:bidi="ar-SA"/>
      </w:rPr>
    </w:lvl>
    <w:lvl w:ilvl="2">
      <w:start w:val="0"/>
      <w:numFmt w:val="bullet"/>
      <w:lvlText w:val="•"/>
      <w:lvlJc w:val="left"/>
      <w:pPr>
        <w:ind w:left="269" w:hanging="241"/>
      </w:pPr>
      <w:rPr>
        <w:rFonts w:hint="default"/>
        <w:lang w:val="en-US" w:eastAsia="en-US" w:bidi="ar-SA"/>
      </w:rPr>
    </w:lvl>
    <w:lvl w:ilvl="3">
      <w:start w:val="0"/>
      <w:numFmt w:val="bullet"/>
      <w:lvlText w:val="•"/>
      <w:lvlJc w:val="left"/>
      <w:pPr>
        <w:ind w:left="99" w:hanging="241"/>
      </w:pPr>
      <w:rPr>
        <w:rFonts w:hint="default"/>
        <w:lang w:val="en-US" w:eastAsia="en-US" w:bidi="ar-SA"/>
      </w:rPr>
    </w:lvl>
    <w:lvl w:ilvl="4">
      <w:start w:val="0"/>
      <w:numFmt w:val="bullet"/>
      <w:lvlText w:val="•"/>
      <w:lvlJc w:val="left"/>
      <w:pPr>
        <w:ind w:left="-71" w:hanging="241"/>
      </w:pPr>
      <w:rPr>
        <w:rFonts w:hint="default"/>
        <w:lang w:val="en-US" w:eastAsia="en-US" w:bidi="ar-SA"/>
      </w:rPr>
    </w:lvl>
    <w:lvl w:ilvl="5">
      <w:start w:val="0"/>
      <w:numFmt w:val="bullet"/>
      <w:lvlText w:val="•"/>
      <w:lvlJc w:val="left"/>
      <w:pPr>
        <w:ind w:left="-241" w:hanging="241"/>
      </w:pPr>
      <w:rPr>
        <w:rFonts w:hint="default"/>
        <w:lang w:val="en-US" w:eastAsia="en-US" w:bidi="ar-SA"/>
      </w:rPr>
    </w:lvl>
    <w:lvl w:ilvl="6">
      <w:start w:val="0"/>
      <w:numFmt w:val="bullet"/>
      <w:lvlText w:val="•"/>
      <w:lvlJc w:val="left"/>
      <w:pPr>
        <w:ind w:left="-411" w:hanging="241"/>
      </w:pPr>
      <w:rPr>
        <w:rFonts w:hint="default"/>
        <w:lang w:val="en-US" w:eastAsia="en-US" w:bidi="ar-SA"/>
      </w:rPr>
    </w:lvl>
    <w:lvl w:ilvl="7">
      <w:start w:val="0"/>
      <w:numFmt w:val="bullet"/>
      <w:lvlText w:val="•"/>
      <w:lvlJc w:val="left"/>
      <w:pPr>
        <w:ind w:left="-581" w:hanging="241"/>
      </w:pPr>
      <w:rPr>
        <w:rFonts w:hint="default"/>
        <w:lang w:val="en-US" w:eastAsia="en-US" w:bidi="ar-SA"/>
      </w:rPr>
    </w:lvl>
    <w:lvl w:ilvl="8">
      <w:start w:val="0"/>
      <w:numFmt w:val="bullet"/>
      <w:lvlText w:val="•"/>
      <w:lvlJc w:val="left"/>
      <w:pPr>
        <w:ind w:left="-751" w:hanging="241"/>
      </w:pPr>
      <w:rPr>
        <w:rFonts w:hint="default"/>
        <w:lang w:val="en-US" w:eastAsia="en-US" w:bidi="ar-SA"/>
      </w:rPr>
    </w:lvl>
  </w:abstractNum>
  <w:abstractNum w:abstractNumId="12">
    <w:multiLevelType w:val="hybridMultilevel"/>
    <w:lvl w:ilvl="0">
      <w:start w:val="1"/>
      <w:numFmt w:val="lowerLetter"/>
      <w:lvlText w:val="(%1)"/>
      <w:lvlJc w:val="left"/>
      <w:pPr>
        <w:ind w:left="405" w:hanging="240"/>
        <w:jc w:val="left"/>
      </w:pPr>
      <w:rPr>
        <w:rFonts w:hint="default" w:ascii="Times New Roman" w:hAnsi="Times New Roman" w:eastAsia="Times New Roman" w:cs="Times New Roman"/>
        <w:w w:val="100"/>
        <w:sz w:val="12"/>
        <w:szCs w:val="12"/>
        <w:lang w:val="en-US" w:eastAsia="en-US" w:bidi="ar-SA"/>
      </w:rPr>
    </w:lvl>
    <w:lvl w:ilvl="1">
      <w:start w:val="0"/>
      <w:numFmt w:val="bullet"/>
      <w:lvlText w:val="•"/>
      <w:lvlJc w:val="left"/>
      <w:pPr>
        <w:ind w:left="726" w:hanging="240"/>
      </w:pPr>
      <w:rPr>
        <w:rFonts w:hint="default"/>
        <w:lang w:val="en-US" w:eastAsia="en-US" w:bidi="ar-SA"/>
      </w:rPr>
    </w:lvl>
    <w:lvl w:ilvl="2">
      <w:start w:val="0"/>
      <w:numFmt w:val="bullet"/>
      <w:lvlText w:val="•"/>
      <w:lvlJc w:val="left"/>
      <w:pPr>
        <w:ind w:left="1052" w:hanging="240"/>
      </w:pPr>
      <w:rPr>
        <w:rFonts w:hint="default"/>
        <w:lang w:val="en-US" w:eastAsia="en-US" w:bidi="ar-SA"/>
      </w:rPr>
    </w:lvl>
    <w:lvl w:ilvl="3">
      <w:start w:val="0"/>
      <w:numFmt w:val="bullet"/>
      <w:lvlText w:val="•"/>
      <w:lvlJc w:val="left"/>
      <w:pPr>
        <w:ind w:left="1378" w:hanging="240"/>
      </w:pPr>
      <w:rPr>
        <w:rFonts w:hint="default"/>
        <w:lang w:val="en-US" w:eastAsia="en-US" w:bidi="ar-SA"/>
      </w:rPr>
    </w:lvl>
    <w:lvl w:ilvl="4">
      <w:start w:val="0"/>
      <w:numFmt w:val="bullet"/>
      <w:lvlText w:val="•"/>
      <w:lvlJc w:val="left"/>
      <w:pPr>
        <w:ind w:left="1704" w:hanging="240"/>
      </w:pPr>
      <w:rPr>
        <w:rFonts w:hint="default"/>
        <w:lang w:val="en-US" w:eastAsia="en-US" w:bidi="ar-SA"/>
      </w:rPr>
    </w:lvl>
    <w:lvl w:ilvl="5">
      <w:start w:val="0"/>
      <w:numFmt w:val="bullet"/>
      <w:lvlText w:val="•"/>
      <w:lvlJc w:val="left"/>
      <w:pPr>
        <w:ind w:left="2030" w:hanging="240"/>
      </w:pPr>
      <w:rPr>
        <w:rFonts w:hint="default"/>
        <w:lang w:val="en-US" w:eastAsia="en-US" w:bidi="ar-SA"/>
      </w:rPr>
    </w:lvl>
    <w:lvl w:ilvl="6">
      <w:start w:val="0"/>
      <w:numFmt w:val="bullet"/>
      <w:lvlText w:val="•"/>
      <w:lvlJc w:val="left"/>
      <w:pPr>
        <w:ind w:left="2356" w:hanging="240"/>
      </w:pPr>
      <w:rPr>
        <w:rFonts w:hint="default"/>
        <w:lang w:val="en-US" w:eastAsia="en-US" w:bidi="ar-SA"/>
      </w:rPr>
    </w:lvl>
    <w:lvl w:ilvl="7">
      <w:start w:val="0"/>
      <w:numFmt w:val="bullet"/>
      <w:lvlText w:val="•"/>
      <w:lvlJc w:val="left"/>
      <w:pPr>
        <w:ind w:left="2682" w:hanging="240"/>
      </w:pPr>
      <w:rPr>
        <w:rFonts w:hint="default"/>
        <w:lang w:val="en-US" w:eastAsia="en-US" w:bidi="ar-SA"/>
      </w:rPr>
    </w:lvl>
    <w:lvl w:ilvl="8">
      <w:start w:val="0"/>
      <w:numFmt w:val="bullet"/>
      <w:lvlText w:val="•"/>
      <w:lvlJc w:val="left"/>
      <w:pPr>
        <w:ind w:left="3008" w:hanging="240"/>
      </w:pPr>
      <w:rPr>
        <w:rFonts w:hint="default"/>
        <w:lang w:val="en-US" w:eastAsia="en-US" w:bidi="ar-SA"/>
      </w:rPr>
    </w:lvl>
  </w:abstractNum>
  <w:abstractNum w:abstractNumId="11">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spacing w:val="-1"/>
        <w:w w:val="100"/>
        <w:sz w:val="12"/>
        <w:szCs w:val="12"/>
        <w:lang w:val="en-US" w:eastAsia="en-US" w:bidi="ar-SA"/>
      </w:rPr>
    </w:lvl>
    <w:lvl w:ilvl="1">
      <w:start w:val="0"/>
      <w:numFmt w:val="bullet"/>
      <w:lvlText w:val="•"/>
      <w:lvlJc w:val="left"/>
      <w:pPr>
        <w:ind w:left="792" w:hanging="240"/>
      </w:pPr>
      <w:rPr>
        <w:rFonts w:hint="default"/>
        <w:lang w:val="en-US" w:eastAsia="en-US" w:bidi="ar-SA"/>
      </w:rPr>
    </w:lvl>
    <w:lvl w:ilvl="2">
      <w:start w:val="0"/>
      <w:numFmt w:val="bullet"/>
      <w:lvlText w:val="•"/>
      <w:lvlJc w:val="left"/>
      <w:pPr>
        <w:ind w:left="1184" w:hanging="240"/>
      </w:pPr>
      <w:rPr>
        <w:rFonts w:hint="default"/>
        <w:lang w:val="en-US" w:eastAsia="en-US" w:bidi="ar-SA"/>
      </w:rPr>
    </w:lvl>
    <w:lvl w:ilvl="3">
      <w:start w:val="0"/>
      <w:numFmt w:val="bullet"/>
      <w:lvlText w:val="•"/>
      <w:lvlJc w:val="left"/>
      <w:pPr>
        <w:ind w:left="1576" w:hanging="240"/>
      </w:pPr>
      <w:rPr>
        <w:rFonts w:hint="default"/>
        <w:lang w:val="en-US" w:eastAsia="en-US" w:bidi="ar-SA"/>
      </w:rPr>
    </w:lvl>
    <w:lvl w:ilvl="4">
      <w:start w:val="0"/>
      <w:numFmt w:val="bullet"/>
      <w:lvlText w:val="•"/>
      <w:lvlJc w:val="left"/>
      <w:pPr>
        <w:ind w:left="1968" w:hanging="240"/>
      </w:pPr>
      <w:rPr>
        <w:rFonts w:hint="default"/>
        <w:lang w:val="en-US" w:eastAsia="en-US" w:bidi="ar-SA"/>
      </w:rPr>
    </w:lvl>
    <w:lvl w:ilvl="5">
      <w:start w:val="0"/>
      <w:numFmt w:val="bullet"/>
      <w:lvlText w:val="•"/>
      <w:lvlJc w:val="left"/>
      <w:pPr>
        <w:ind w:left="2360" w:hanging="240"/>
      </w:pPr>
      <w:rPr>
        <w:rFonts w:hint="default"/>
        <w:lang w:val="en-US" w:eastAsia="en-US" w:bidi="ar-SA"/>
      </w:rPr>
    </w:lvl>
    <w:lvl w:ilvl="6">
      <w:start w:val="0"/>
      <w:numFmt w:val="bullet"/>
      <w:lvlText w:val="•"/>
      <w:lvlJc w:val="left"/>
      <w:pPr>
        <w:ind w:left="2752" w:hanging="240"/>
      </w:pPr>
      <w:rPr>
        <w:rFonts w:hint="default"/>
        <w:lang w:val="en-US" w:eastAsia="en-US" w:bidi="ar-SA"/>
      </w:rPr>
    </w:lvl>
    <w:lvl w:ilvl="7">
      <w:start w:val="0"/>
      <w:numFmt w:val="bullet"/>
      <w:lvlText w:val="•"/>
      <w:lvlJc w:val="left"/>
      <w:pPr>
        <w:ind w:left="3144" w:hanging="240"/>
      </w:pPr>
      <w:rPr>
        <w:rFonts w:hint="default"/>
        <w:lang w:val="en-US" w:eastAsia="en-US" w:bidi="ar-SA"/>
      </w:rPr>
    </w:lvl>
    <w:lvl w:ilvl="8">
      <w:start w:val="0"/>
      <w:numFmt w:val="bullet"/>
      <w:lvlText w:val="•"/>
      <w:lvlJc w:val="left"/>
      <w:pPr>
        <w:ind w:left="3536" w:hanging="240"/>
      </w:pPr>
      <w:rPr>
        <w:rFonts w:hint="default"/>
        <w:lang w:val="en-US" w:eastAsia="en-US" w:bidi="ar-SA"/>
      </w:rPr>
    </w:lvl>
  </w:abstractNum>
  <w:abstractNum w:abstractNumId="10">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spacing w:val="-1"/>
        <w:w w:val="100"/>
        <w:sz w:val="14"/>
        <w:szCs w:val="14"/>
        <w:lang w:val="en-US" w:eastAsia="en-US" w:bidi="ar-SA"/>
      </w:rPr>
    </w:lvl>
    <w:lvl w:ilvl="1">
      <w:start w:val="0"/>
      <w:numFmt w:val="bullet"/>
      <w:lvlText w:val="•"/>
      <w:lvlJc w:val="left"/>
      <w:pPr>
        <w:ind w:left="810" w:hanging="240"/>
      </w:pPr>
      <w:rPr>
        <w:rFonts w:hint="default"/>
        <w:lang w:val="en-US" w:eastAsia="en-US" w:bidi="ar-SA"/>
      </w:rPr>
    </w:lvl>
    <w:lvl w:ilvl="2">
      <w:start w:val="0"/>
      <w:numFmt w:val="bullet"/>
      <w:lvlText w:val="•"/>
      <w:lvlJc w:val="left"/>
      <w:pPr>
        <w:ind w:left="1200" w:hanging="240"/>
      </w:pPr>
      <w:rPr>
        <w:rFonts w:hint="default"/>
        <w:lang w:val="en-US" w:eastAsia="en-US" w:bidi="ar-SA"/>
      </w:rPr>
    </w:lvl>
    <w:lvl w:ilvl="3">
      <w:start w:val="0"/>
      <w:numFmt w:val="bullet"/>
      <w:lvlText w:val="•"/>
      <w:lvlJc w:val="left"/>
      <w:pPr>
        <w:ind w:left="1590" w:hanging="240"/>
      </w:pPr>
      <w:rPr>
        <w:rFonts w:hint="default"/>
        <w:lang w:val="en-US" w:eastAsia="en-US" w:bidi="ar-SA"/>
      </w:rPr>
    </w:lvl>
    <w:lvl w:ilvl="4">
      <w:start w:val="0"/>
      <w:numFmt w:val="bullet"/>
      <w:lvlText w:val="•"/>
      <w:lvlJc w:val="left"/>
      <w:pPr>
        <w:ind w:left="1980" w:hanging="240"/>
      </w:pPr>
      <w:rPr>
        <w:rFonts w:hint="default"/>
        <w:lang w:val="en-US" w:eastAsia="en-US" w:bidi="ar-SA"/>
      </w:rPr>
    </w:lvl>
    <w:lvl w:ilvl="5">
      <w:start w:val="0"/>
      <w:numFmt w:val="bullet"/>
      <w:lvlText w:val="•"/>
      <w:lvlJc w:val="left"/>
      <w:pPr>
        <w:ind w:left="2370" w:hanging="240"/>
      </w:pPr>
      <w:rPr>
        <w:rFonts w:hint="default"/>
        <w:lang w:val="en-US" w:eastAsia="en-US" w:bidi="ar-SA"/>
      </w:rPr>
    </w:lvl>
    <w:lvl w:ilvl="6">
      <w:start w:val="0"/>
      <w:numFmt w:val="bullet"/>
      <w:lvlText w:val="•"/>
      <w:lvlJc w:val="left"/>
      <w:pPr>
        <w:ind w:left="2760" w:hanging="240"/>
      </w:pPr>
      <w:rPr>
        <w:rFonts w:hint="default"/>
        <w:lang w:val="en-US" w:eastAsia="en-US" w:bidi="ar-SA"/>
      </w:rPr>
    </w:lvl>
    <w:lvl w:ilvl="7">
      <w:start w:val="0"/>
      <w:numFmt w:val="bullet"/>
      <w:lvlText w:val="•"/>
      <w:lvlJc w:val="left"/>
      <w:pPr>
        <w:ind w:left="3150" w:hanging="240"/>
      </w:pPr>
      <w:rPr>
        <w:rFonts w:hint="default"/>
        <w:lang w:val="en-US" w:eastAsia="en-US" w:bidi="ar-SA"/>
      </w:rPr>
    </w:lvl>
    <w:lvl w:ilvl="8">
      <w:start w:val="0"/>
      <w:numFmt w:val="bullet"/>
      <w:lvlText w:val="•"/>
      <w:lvlJc w:val="left"/>
      <w:pPr>
        <w:ind w:left="3540" w:hanging="240"/>
      </w:pPr>
      <w:rPr>
        <w:rFonts w:hint="default"/>
        <w:lang w:val="en-US" w:eastAsia="en-US" w:bidi="ar-SA"/>
      </w:rPr>
    </w:lvl>
  </w:abstractNum>
  <w:abstractNum w:abstractNumId="9">
    <w:multiLevelType w:val="hybridMultilevel"/>
    <w:lvl w:ilvl="0">
      <w:start w:val="2"/>
      <w:numFmt w:val="decimal"/>
      <w:lvlText w:val="%1"/>
      <w:lvlJc w:val="left"/>
      <w:pPr>
        <w:ind w:left="8167" w:hanging="3208"/>
        <w:jc w:val="left"/>
      </w:pPr>
      <w:rPr>
        <w:rFonts w:hint="default"/>
        <w:lang w:val="en-US" w:eastAsia="en-US" w:bidi="ar-SA"/>
      </w:rPr>
    </w:lvl>
    <w:lvl w:ilvl="1">
      <w:start w:val="1"/>
      <w:numFmt w:val="decimal"/>
      <w:lvlText w:val="%1.%2"/>
      <w:lvlJc w:val="left"/>
      <w:pPr>
        <w:ind w:left="8167" w:hanging="3208"/>
        <w:jc w:val="right"/>
      </w:pPr>
      <w:rPr>
        <w:rFonts w:hint="default" w:ascii="Times New Roman" w:hAnsi="Times New Roman" w:eastAsia="Times New Roman" w:cs="Times New Roman"/>
        <w:b/>
        <w:bCs/>
        <w:color w:val="009391"/>
        <w:spacing w:val="-11"/>
        <w:w w:val="99"/>
        <w:sz w:val="28"/>
        <w:szCs w:val="28"/>
        <w:u w:val="thick" w:color="0092C7"/>
        <w:lang w:val="en-US" w:eastAsia="en-US" w:bidi="ar-SA"/>
      </w:rPr>
    </w:lvl>
    <w:lvl w:ilvl="2">
      <w:start w:val="0"/>
      <w:numFmt w:val="bullet"/>
      <w:lvlText w:val="•"/>
      <w:lvlJc w:val="left"/>
      <w:pPr>
        <w:ind w:left="8656" w:hanging="3208"/>
      </w:pPr>
      <w:rPr>
        <w:rFonts w:hint="default"/>
        <w:lang w:val="en-US" w:eastAsia="en-US" w:bidi="ar-SA"/>
      </w:rPr>
    </w:lvl>
    <w:lvl w:ilvl="3">
      <w:start w:val="0"/>
      <w:numFmt w:val="bullet"/>
      <w:lvlText w:val="•"/>
      <w:lvlJc w:val="left"/>
      <w:pPr>
        <w:ind w:left="8904" w:hanging="3208"/>
      </w:pPr>
      <w:rPr>
        <w:rFonts w:hint="default"/>
        <w:lang w:val="en-US" w:eastAsia="en-US" w:bidi="ar-SA"/>
      </w:rPr>
    </w:lvl>
    <w:lvl w:ilvl="4">
      <w:start w:val="0"/>
      <w:numFmt w:val="bullet"/>
      <w:lvlText w:val="•"/>
      <w:lvlJc w:val="left"/>
      <w:pPr>
        <w:ind w:left="9152" w:hanging="3208"/>
      </w:pPr>
      <w:rPr>
        <w:rFonts w:hint="default"/>
        <w:lang w:val="en-US" w:eastAsia="en-US" w:bidi="ar-SA"/>
      </w:rPr>
    </w:lvl>
    <w:lvl w:ilvl="5">
      <w:start w:val="0"/>
      <w:numFmt w:val="bullet"/>
      <w:lvlText w:val="•"/>
      <w:lvlJc w:val="left"/>
      <w:pPr>
        <w:ind w:left="9400" w:hanging="3208"/>
      </w:pPr>
      <w:rPr>
        <w:rFonts w:hint="default"/>
        <w:lang w:val="en-US" w:eastAsia="en-US" w:bidi="ar-SA"/>
      </w:rPr>
    </w:lvl>
    <w:lvl w:ilvl="6">
      <w:start w:val="0"/>
      <w:numFmt w:val="bullet"/>
      <w:lvlText w:val="•"/>
      <w:lvlJc w:val="left"/>
      <w:pPr>
        <w:ind w:left="9648" w:hanging="3208"/>
      </w:pPr>
      <w:rPr>
        <w:rFonts w:hint="default"/>
        <w:lang w:val="en-US" w:eastAsia="en-US" w:bidi="ar-SA"/>
      </w:rPr>
    </w:lvl>
    <w:lvl w:ilvl="7">
      <w:start w:val="0"/>
      <w:numFmt w:val="bullet"/>
      <w:lvlText w:val="•"/>
      <w:lvlJc w:val="left"/>
      <w:pPr>
        <w:ind w:left="9896" w:hanging="3208"/>
      </w:pPr>
      <w:rPr>
        <w:rFonts w:hint="default"/>
        <w:lang w:val="en-US" w:eastAsia="en-US" w:bidi="ar-SA"/>
      </w:rPr>
    </w:lvl>
    <w:lvl w:ilvl="8">
      <w:start w:val="0"/>
      <w:numFmt w:val="bullet"/>
      <w:lvlText w:val="•"/>
      <w:lvlJc w:val="left"/>
      <w:pPr>
        <w:ind w:left="10144" w:hanging="3208"/>
      </w:pPr>
      <w:rPr>
        <w:rFonts w:hint="default"/>
        <w:lang w:val="en-US" w:eastAsia="en-US" w:bidi="ar-SA"/>
      </w:rPr>
    </w:lvl>
  </w:abstractNum>
  <w:abstractNum w:abstractNumId="8">
    <w:multiLevelType w:val="hybridMultilevel"/>
    <w:lvl w:ilvl="0">
      <w:start w:val="1"/>
      <w:numFmt w:val="lowerLetter"/>
      <w:lvlText w:val="(%1)"/>
      <w:lvlJc w:val="left"/>
      <w:pPr>
        <w:ind w:left="408"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37" w:hanging="240"/>
      </w:pPr>
      <w:rPr>
        <w:rFonts w:hint="default"/>
        <w:lang w:val="en-US" w:eastAsia="en-US" w:bidi="ar-SA"/>
      </w:rPr>
    </w:lvl>
    <w:lvl w:ilvl="2">
      <w:start w:val="0"/>
      <w:numFmt w:val="bullet"/>
      <w:lvlText w:val="•"/>
      <w:lvlJc w:val="left"/>
      <w:pPr>
        <w:ind w:left="1074" w:hanging="240"/>
      </w:pPr>
      <w:rPr>
        <w:rFonts w:hint="default"/>
        <w:lang w:val="en-US" w:eastAsia="en-US" w:bidi="ar-SA"/>
      </w:rPr>
    </w:lvl>
    <w:lvl w:ilvl="3">
      <w:start w:val="0"/>
      <w:numFmt w:val="bullet"/>
      <w:lvlText w:val="•"/>
      <w:lvlJc w:val="left"/>
      <w:pPr>
        <w:ind w:left="1412" w:hanging="240"/>
      </w:pPr>
      <w:rPr>
        <w:rFonts w:hint="default"/>
        <w:lang w:val="en-US" w:eastAsia="en-US" w:bidi="ar-SA"/>
      </w:rPr>
    </w:lvl>
    <w:lvl w:ilvl="4">
      <w:start w:val="0"/>
      <w:numFmt w:val="bullet"/>
      <w:lvlText w:val="•"/>
      <w:lvlJc w:val="left"/>
      <w:pPr>
        <w:ind w:left="1749" w:hanging="240"/>
      </w:pPr>
      <w:rPr>
        <w:rFonts w:hint="default"/>
        <w:lang w:val="en-US" w:eastAsia="en-US" w:bidi="ar-SA"/>
      </w:rPr>
    </w:lvl>
    <w:lvl w:ilvl="5">
      <w:start w:val="0"/>
      <w:numFmt w:val="bullet"/>
      <w:lvlText w:val="•"/>
      <w:lvlJc w:val="left"/>
      <w:pPr>
        <w:ind w:left="2086" w:hanging="240"/>
      </w:pPr>
      <w:rPr>
        <w:rFonts w:hint="default"/>
        <w:lang w:val="en-US" w:eastAsia="en-US" w:bidi="ar-SA"/>
      </w:rPr>
    </w:lvl>
    <w:lvl w:ilvl="6">
      <w:start w:val="0"/>
      <w:numFmt w:val="bullet"/>
      <w:lvlText w:val="•"/>
      <w:lvlJc w:val="left"/>
      <w:pPr>
        <w:ind w:left="2424" w:hanging="240"/>
      </w:pPr>
      <w:rPr>
        <w:rFonts w:hint="default"/>
        <w:lang w:val="en-US" w:eastAsia="en-US" w:bidi="ar-SA"/>
      </w:rPr>
    </w:lvl>
    <w:lvl w:ilvl="7">
      <w:start w:val="0"/>
      <w:numFmt w:val="bullet"/>
      <w:lvlText w:val="•"/>
      <w:lvlJc w:val="left"/>
      <w:pPr>
        <w:ind w:left="2761" w:hanging="240"/>
      </w:pPr>
      <w:rPr>
        <w:rFonts w:hint="default"/>
        <w:lang w:val="en-US" w:eastAsia="en-US" w:bidi="ar-SA"/>
      </w:rPr>
    </w:lvl>
    <w:lvl w:ilvl="8">
      <w:start w:val="0"/>
      <w:numFmt w:val="bullet"/>
      <w:lvlText w:val="•"/>
      <w:lvlJc w:val="left"/>
      <w:pPr>
        <w:ind w:left="3098" w:hanging="240"/>
      </w:pPr>
      <w:rPr>
        <w:rFonts w:hint="default"/>
        <w:lang w:val="en-US" w:eastAsia="en-US" w:bidi="ar-SA"/>
      </w:rPr>
    </w:lvl>
  </w:abstractNum>
  <w:abstractNum w:abstractNumId="7">
    <w:multiLevelType w:val="hybridMultilevel"/>
    <w:lvl w:ilvl="0">
      <w:start w:val="1"/>
      <w:numFmt w:val="lowerLetter"/>
      <w:lvlText w:val="(%1)"/>
      <w:lvlJc w:val="left"/>
      <w:pPr>
        <w:ind w:left="405" w:hanging="240"/>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404" w:hanging="241"/>
        <w:jc w:val="left"/>
      </w:pPr>
      <w:rPr>
        <w:rFonts w:hint="default" w:ascii="Times New Roman" w:hAnsi="Times New Roman" w:eastAsia="Times New Roman" w:cs="Times New Roman"/>
        <w:spacing w:val="-1"/>
        <w:w w:val="100"/>
        <w:sz w:val="16"/>
        <w:szCs w:val="16"/>
        <w:lang w:val="en-US" w:eastAsia="en-US" w:bidi="ar-SA"/>
      </w:rPr>
    </w:lvl>
    <w:lvl w:ilvl="2">
      <w:start w:val="0"/>
      <w:numFmt w:val="bullet"/>
      <w:lvlText w:val="•"/>
      <w:lvlJc w:val="left"/>
      <w:pPr>
        <w:ind w:left="184" w:hanging="241"/>
      </w:pPr>
      <w:rPr>
        <w:rFonts w:hint="default"/>
        <w:lang w:val="en-US" w:eastAsia="en-US" w:bidi="ar-SA"/>
      </w:rPr>
    </w:lvl>
    <w:lvl w:ilvl="3">
      <w:start w:val="0"/>
      <w:numFmt w:val="bullet"/>
      <w:lvlText w:val="•"/>
      <w:lvlJc w:val="left"/>
      <w:pPr>
        <w:ind w:left="76" w:hanging="241"/>
      </w:pPr>
      <w:rPr>
        <w:rFonts w:hint="default"/>
        <w:lang w:val="en-US" w:eastAsia="en-US" w:bidi="ar-SA"/>
      </w:rPr>
    </w:lvl>
    <w:lvl w:ilvl="4">
      <w:start w:val="0"/>
      <w:numFmt w:val="bullet"/>
      <w:lvlText w:val="•"/>
      <w:lvlJc w:val="left"/>
      <w:pPr>
        <w:ind w:left="-32" w:hanging="241"/>
      </w:pPr>
      <w:rPr>
        <w:rFonts w:hint="default"/>
        <w:lang w:val="en-US" w:eastAsia="en-US" w:bidi="ar-SA"/>
      </w:rPr>
    </w:lvl>
    <w:lvl w:ilvl="5">
      <w:start w:val="0"/>
      <w:numFmt w:val="bullet"/>
      <w:lvlText w:val="•"/>
      <w:lvlJc w:val="left"/>
      <w:pPr>
        <w:ind w:left="-140" w:hanging="241"/>
      </w:pPr>
      <w:rPr>
        <w:rFonts w:hint="default"/>
        <w:lang w:val="en-US" w:eastAsia="en-US" w:bidi="ar-SA"/>
      </w:rPr>
    </w:lvl>
    <w:lvl w:ilvl="6">
      <w:start w:val="0"/>
      <w:numFmt w:val="bullet"/>
      <w:lvlText w:val="•"/>
      <w:lvlJc w:val="left"/>
      <w:pPr>
        <w:ind w:left="-248" w:hanging="241"/>
      </w:pPr>
      <w:rPr>
        <w:rFonts w:hint="default"/>
        <w:lang w:val="en-US" w:eastAsia="en-US" w:bidi="ar-SA"/>
      </w:rPr>
    </w:lvl>
    <w:lvl w:ilvl="7">
      <w:start w:val="0"/>
      <w:numFmt w:val="bullet"/>
      <w:lvlText w:val="•"/>
      <w:lvlJc w:val="left"/>
      <w:pPr>
        <w:ind w:left="-356" w:hanging="241"/>
      </w:pPr>
      <w:rPr>
        <w:rFonts w:hint="default"/>
        <w:lang w:val="en-US" w:eastAsia="en-US" w:bidi="ar-SA"/>
      </w:rPr>
    </w:lvl>
    <w:lvl w:ilvl="8">
      <w:start w:val="0"/>
      <w:numFmt w:val="bullet"/>
      <w:lvlText w:val="•"/>
      <w:lvlJc w:val="left"/>
      <w:pPr>
        <w:ind w:left="-464" w:hanging="241"/>
      </w:pPr>
      <w:rPr>
        <w:rFonts w:hint="default"/>
        <w:lang w:val="en-US" w:eastAsia="en-US" w:bidi="ar-SA"/>
      </w:rPr>
    </w:lvl>
  </w:abstractNum>
  <w:abstractNum w:abstractNumId="6">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53" w:hanging="240"/>
      </w:pPr>
      <w:rPr>
        <w:rFonts w:hint="default"/>
        <w:lang w:val="en-US" w:eastAsia="en-US" w:bidi="ar-SA"/>
      </w:rPr>
    </w:lvl>
    <w:lvl w:ilvl="2">
      <w:start w:val="0"/>
      <w:numFmt w:val="bullet"/>
      <w:lvlText w:val="•"/>
      <w:lvlJc w:val="left"/>
      <w:pPr>
        <w:ind w:left="1086" w:hanging="240"/>
      </w:pPr>
      <w:rPr>
        <w:rFonts w:hint="default"/>
        <w:lang w:val="en-US" w:eastAsia="en-US" w:bidi="ar-SA"/>
      </w:rPr>
    </w:lvl>
    <w:lvl w:ilvl="3">
      <w:start w:val="0"/>
      <w:numFmt w:val="bullet"/>
      <w:lvlText w:val="•"/>
      <w:lvlJc w:val="left"/>
      <w:pPr>
        <w:ind w:left="1420" w:hanging="240"/>
      </w:pPr>
      <w:rPr>
        <w:rFonts w:hint="default"/>
        <w:lang w:val="en-US" w:eastAsia="en-US" w:bidi="ar-SA"/>
      </w:rPr>
    </w:lvl>
    <w:lvl w:ilvl="4">
      <w:start w:val="0"/>
      <w:numFmt w:val="bullet"/>
      <w:lvlText w:val="•"/>
      <w:lvlJc w:val="left"/>
      <w:pPr>
        <w:ind w:left="1753" w:hanging="240"/>
      </w:pPr>
      <w:rPr>
        <w:rFonts w:hint="default"/>
        <w:lang w:val="en-US" w:eastAsia="en-US" w:bidi="ar-SA"/>
      </w:rPr>
    </w:lvl>
    <w:lvl w:ilvl="5">
      <w:start w:val="0"/>
      <w:numFmt w:val="bullet"/>
      <w:lvlText w:val="•"/>
      <w:lvlJc w:val="left"/>
      <w:pPr>
        <w:ind w:left="2087" w:hanging="240"/>
      </w:pPr>
      <w:rPr>
        <w:rFonts w:hint="default"/>
        <w:lang w:val="en-US" w:eastAsia="en-US" w:bidi="ar-SA"/>
      </w:rPr>
    </w:lvl>
    <w:lvl w:ilvl="6">
      <w:start w:val="0"/>
      <w:numFmt w:val="bullet"/>
      <w:lvlText w:val="•"/>
      <w:lvlJc w:val="left"/>
      <w:pPr>
        <w:ind w:left="2420" w:hanging="240"/>
      </w:pPr>
      <w:rPr>
        <w:rFonts w:hint="default"/>
        <w:lang w:val="en-US" w:eastAsia="en-US" w:bidi="ar-SA"/>
      </w:rPr>
    </w:lvl>
    <w:lvl w:ilvl="7">
      <w:start w:val="0"/>
      <w:numFmt w:val="bullet"/>
      <w:lvlText w:val="•"/>
      <w:lvlJc w:val="left"/>
      <w:pPr>
        <w:ind w:left="2754" w:hanging="240"/>
      </w:pPr>
      <w:rPr>
        <w:rFonts w:hint="default"/>
        <w:lang w:val="en-US" w:eastAsia="en-US" w:bidi="ar-SA"/>
      </w:rPr>
    </w:lvl>
    <w:lvl w:ilvl="8">
      <w:start w:val="0"/>
      <w:numFmt w:val="bullet"/>
      <w:lvlText w:val="•"/>
      <w:lvlJc w:val="left"/>
      <w:pPr>
        <w:ind w:left="3087" w:hanging="240"/>
      </w:pPr>
      <w:rPr>
        <w:rFonts w:hint="default"/>
        <w:lang w:val="en-US" w:eastAsia="en-US" w:bidi="ar-SA"/>
      </w:rPr>
    </w:lvl>
  </w:abstractNum>
  <w:abstractNum w:abstractNumId="5">
    <w:multiLevelType w:val="hybridMultilevel"/>
    <w:lvl w:ilvl="0">
      <w:start w:val="1"/>
      <w:numFmt w:val="decimal"/>
      <w:lvlText w:val="(%1)"/>
      <w:lvlJc w:val="left"/>
      <w:pPr>
        <w:ind w:left="410" w:hanging="241"/>
        <w:jc w:val="left"/>
      </w:pPr>
      <w:rPr>
        <w:rFonts w:hint="default" w:ascii="Times New Roman" w:hAnsi="Times New Roman" w:eastAsia="Times New Roman" w:cs="Times New Roman"/>
        <w:spacing w:val="-1"/>
        <w:w w:val="100"/>
        <w:sz w:val="16"/>
        <w:szCs w:val="16"/>
        <w:lang w:val="en-US" w:eastAsia="en-US" w:bidi="ar-SA"/>
      </w:rPr>
    </w:lvl>
    <w:lvl w:ilvl="1">
      <w:start w:val="1"/>
      <w:numFmt w:val="decimal"/>
      <w:lvlText w:val="(%2)"/>
      <w:lvlJc w:val="left"/>
      <w:pPr>
        <w:ind w:left="651" w:hanging="241"/>
        <w:jc w:val="left"/>
      </w:pPr>
      <w:rPr>
        <w:rFonts w:hint="default" w:ascii="Times New Roman" w:hAnsi="Times New Roman" w:eastAsia="Times New Roman" w:cs="Times New Roman"/>
        <w:spacing w:val="-1"/>
        <w:w w:val="100"/>
        <w:sz w:val="16"/>
        <w:szCs w:val="16"/>
        <w:lang w:val="en-US" w:eastAsia="en-US" w:bidi="ar-SA"/>
      </w:rPr>
    </w:lvl>
    <w:lvl w:ilvl="2">
      <w:start w:val="0"/>
      <w:numFmt w:val="bullet"/>
      <w:lvlText w:val="•"/>
      <w:lvlJc w:val="left"/>
      <w:pPr>
        <w:ind w:left="1236" w:hanging="241"/>
      </w:pPr>
      <w:rPr>
        <w:rFonts w:hint="default"/>
        <w:lang w:val="en-US" w:eastAsia="en-US" w:bidi="ar-SA"/>
      </w:rPr>
    </w:lvl>
    <w:lvl w:ilvl="3">
      <w:start w:val="0"/>
      <w:numFmt w:val="bullet"/>
      <w:lvlText w:val="•"/>
      <w:lvlJc w:val="left"/>
      <w:pPr>
        <w:ind w:left="1813" w:hanging="241"/>
      </w:pPr>
      <w:rPr>
        <w:rFonts w:hint="default"/>
        <w:lang w:val="en-US" w:eastAsia="en-US" w:bidi="ar-SA"/>
      </w:rPr>
    </w:lvl>
    <w:lvl w:ilvl="4">
      <w:start w:val="0"/>
      <w:numFmt w:val="bullet"/>
      <w:lvlText w:val="•"/>
      <w:lvlJc w:val="left"/>
      <w:pPr>
        <w:ind w:left="2390" w:hanging="241"/>
      </w:pPr>
      <w:rPr>
        <w:rFonts w:hint="default"/>
        <w:lang w:val="en-US" w:eastAsia="en-US" w:bidi="ar-SA"/>
      </w:rPr>
    </w:lvl>
    <w:lvl w:ilvl="5">
      <w:start w:val="0"/>
      <w:numFmt w:val="bullet"/>
      <w:lvlText w:val="•"/>
      <w:lvlJc w:val="left"/>
      <w:pPr>
        <w:ind w:left="2966" w:hanging="241"/>
      </w:pPr>
      <w:rPr>
        <w:rFonts w:hint="default"/>
        <w:lang w:val="en-US" w:eastAsia="en-US" w:bidi="ar-SA"/>
      </w:rPr>
    </w:lvl>
    <w:lvl w:ilvl="6">
      <w:start w:val="0"/>
      <w:numFmt w:val="bullet"/>
      <w:lvlText w:val="•"/>
      <w:lvlJc w:val="left"/>
      <w:pPr>
        <w:ind w:left="3543" w:hanging="241"/>
      </w:pPr>
      <w:rPr>
        <w:rFonts w:hint="default"/>
        <w:lang w:val="en-US" w:eastAsia="en-US" w:bidi="ar-SA"/>
      </w:rPr>
    </w:lvl>
    <w:lvl w:ilvl="7">
      <w:start w:val="0"/>
      <w:numFmt w:val="bullet"/>
      <w:lvlText w:val="•"/>
      <w:lvlJc w:val="left"/>
      <w:pPr>
        <w:ind w:left="4120" w:hanging="241"/>
      </w:pPr>
      <w:rPr>
        <w:rFonts w:hint="default"/>
        <w:lang w:val="en-US" w:eastAsia="en-US" w:bidi="ar-SA"/>
      </w:rPr>
    </w:lvl>
    <w:lvl w:ilvl="8">
      <w:start w:val="0"/>
      <w:numFmt w:val="bullet"/>
      <w:lvlText w:val="•"/>
      <w:lvlJc w:val="left"/>
      <w:pPr>
        <w:ind w:left="4696" w:hanging="241"/>
      </w:pPr>
      <w:rPr>
        <w:rFonts w:hint="default"/>
        <w:lang w:val="en-US" w:eastAsia="en-US" w:bidi="ar-SA"/>
      </w:rPr>
    </w:lvl>
  </w:abstractNum>
  <w:abstractNum w:abstractNumId="4">
    <w:multiLevelType w:val="hybridMultilevel"/>
    <w:lvl w:ilvl="0">
      <w:start w:val="1"/>
      <w:numFmt w:val="lowerLetter"/>
      <w:lvlText w:val="(%1)"/>
      <w:lvlJc w:val="left"/>
      <w:pPr>
        <w:ind w:left="419"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13" w:hanging="240"/>
      </w:pPr>
      <w:rPr>
        <w:rFonts w:hint="default"/>
        <w:lang w:val="en-US" w:eastAsia="en-US" w:bidi="ar-SA"/>
      </w:rPr>
    </w:lvl>
    <w:lvl w:ilvl="2">
      <w:start w:val="0"/>
      <w:numFmt w:val="bullet"/>
      <w:lvlText w:val="•"/>
      <w:lvlJc w:val="left"/>
      <w:pPr>
        <w:ind w:left="1006" w:hanging="240"/>
      </w:pPr>
      <w:rPr>
        <w:rFonts w:hint="default"/>
        <w:lang w:val="en-US" w:eastAsia="en-US" w:bidi="ar-SA"/>
      </w:rPr>
    </w:lvl>
    <w:lvl w:ilvl="3">
      <w:start w:val="0"/>
      <w:numFmt w:val="bullet"/>
      <w:lvlText w:val="•"/>
      <w:lvlJc w:val="left"/>
      <w:pPr>
        <w:ind w:left="1299" w:hanging="240"/>
      </w:pPr>
      <w:rPr>
        <w:rFonts w:hint="default"/>
        <w:lang w:val="en-US" w:eastAsia="en-US" w:bidi="ar-SA"/>
      </w:rPr>
    </w:lvl>
    <w:lvl w:ilvl="4">
      <w:start w:val="0"/>
      <w:numFmt w:val="bullet"/>
      <w:lvlText w:val="•"/>
      <w:lvlJc w:val="left"/>
      <w:pPr>
        <w:ind w:left="1592" w:hanging="240"/>
      </w:pPr>
      <w:rPr>
        <w:rFonts w:hint="default"/>
        <w:lang w:val="en-US" w:eastAsia="en-US" w:bidi="ar-SA"/>
      </w:rPr>
    </w:lvl>
    <w:lvl w:ilvl="5">
      <w:start w:val="0"/>
      <w:numFmt w:val="bullet"/>
      <w:lvlText w:val="•"/>
      <w:lvlJc w:val="left"/>
      <w:pPr>
        <w:ind w:left="1885" w:hanging="240"/>
      </w:pPr>
      <w:rPr>
        <w:rFonts w:hint="default"/>
        <w:lang w:val="en-US" w:eastAsia="en-US" w:bidi="ar-SA"/>
      </w:rPr>
    </w:lvl>
    <w:lvl w:ilvl="6">
      <w:start w:val="0"/>
      <w:numFmt w:val="bullet"/>
      <w:lvlText w:val="•"/>
      <w:lvlJc w:val="left"/>
      <w:pPr>
        <w:ind w:left="2179" w:hanging="240"/>
      </w:pPr>
      <w:rPr>
        <w:rFonts w:hint="default"/>
        <w:lang w:val="en-US" w:eastAsia="en-US" w:bidi="ar-SA"/>
      </w:rPr>
    </w:lvl>
    <w:lvl w:ilvl="7">
      <w:start w:val="0"/>
      <w:numFmt w:val="bullet"/>
      <w:lvlText w:val="•"/>
      <w:lvlJc w:val="left"/>
      <w:pPr>
        <w:ind w:left="2472" w:hanging="240"/>
      </w:pPr>
      <w:rPr>
        <w:rFonts w:hint="default"/>
        <w:lang w:val="en-US" w:eastAsia="en-US" w:bidi="ar-SA"/>
      </w:rPr>
    </w:lvl>
    <w:lvl w:ilvl="8">
      <w:start w:val="0"/>
      <w:numFmt w:val="bullet"/>
      <w:lvlText w:val="•"/>
      <w:lvlJc w:val="left"/>
      <w:pPr>
        <w:ind w:left="2765" w:hanging="240"/>
      </w:pPr>
      <w:rPr>
        <w:rFonts w:hint="default"/>
        <w:lang w:val="en-US" w:eastAsia="en-US" w:bidi="ar-SA"/>
      </w:rPr>
    </w:lvl>
  </w:abstractNum>
  <w:abstractNum w:abstractNumId="3">
    <w:multiLevelType w:val="hybridMultilevel"/>
    <w:lvl w:ilvl="0">
      <w:start w:val="1"/>
      <w:numFmt w:val="lowerLetter"/>
      <w:lvlText w:val="(%1)"/>
      <w:lvlJc w:val="left"/>
      <w:pPr>
        <w:ind w:left="399" w:hanging="240"/>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645" w:hanging="241"/>
        <w:jc w:val="left"/>
      </w:pPr>
      <w:rPr>
        <w:rFonts w:hint="default" w:ascii="Times New Roman" w:hAnsi="Times New Roman" w:eastAsia="Times New Roman" w:cs="Times New Roman"/>
        <w:spacing w:val="-1"/>
        <w:w w:val="100"/>
        <w:sz w:val="16"/>
        <w:szCs w:val="16"/>
        <w:lang w:val="en-US" w:eastAsia="en-US" w:bidi="ar-SA"/>
      </w:rPr>
    </w:lvl>
    <w:lvl w:ilvl="2">
      <w:start w:val="0"/>
      <w:numFmt w:val="bullet"/>
      <w:lvlText w:val="•"/>
      <w:lvlJc w:val="left"/>
      <w:pPr>
        <w:ind w:left="999" w:hanging="241"/>
      </w:pPr>
      <w:rPr>
        <w:rFonts w:hint="default"/>
        <w:lang w:val="en-US" w:eastAsia="en-US" w:bidi="ar-SA"/>
      </w:rPr>
    </w:lvl>
    <w:lvl w:ilvl="3">
      <w:start w:val="0"/>
      <w:numFmt w:val="bullet"/>
      <w:lvlText w:val="•"/>
      <w:lvlJc w:val="left"/>
      <w:pPr>
        <w:ind w:left="1358" w:hanging="241"/>
      </w:pPr>
      <w:rPr>
        <w:rFonts w:hint="default"/>
        <w:lang w:val="en-US" w:eastAsia="en-US" w:bidi="ar-SA"/>
      </w:rPr>
    </w:lvl>
    <w:lvl w:ilvl="4">
      <w:start w:val="0"/>
      <w:numFmt w:val="bullet"/>
      <w:lvlText w:val="•"/>
      <w:lvlJc w:val="left"/>
      <w:pPr>
        <w:ind w:left="1717" w:hanging="241"/>
      </w:pPr>
      <w:rPr>
        <w:rFonts w:hint="default"/>
        <w:lang w:val="en-US" w:eastAsia="en-US" w:bidi="ar-SA"/>
      </w:rPr>
    </w:lvl>
    <w:lvl w:ilvl="5">
      <w:start w:val="0"/>
      <w:numFmt w:val="bullet"/>
      <w:lvlText w:val="•"/>
      <w:lvlJc w:val="left"/>
      <w:pPr>
        <w:ind w:left="2076" w:hanging="241"/>
      </w:pPr>
      <w:rPr>
        <w:rFonts w:hint="default"/>
        <w:lang w:val="en-US" w:eastAsia="en-US" w:bidi="ar-SA"/>
      </w:rPr>
    </w:lvl>
    <w:lvl w:ilvl="6">
      <w:start w:val="0"/>
      <w:numFmt w:val="bullet"/>
      <w:lvlText w:val="•"/>
      <w:lvlJc w:val="left"/>
      <w:pPr>
        <w:ind w:left="2435" w:hanging="241"/>
      </w:pPr>
      <w:rPr>
        <w:rFonts w:hint="default"/>
        <w:lang w:val="en-US" w:eastAsia="en-US" w:bidi="ar-SA"/>
      </w:rPr>
    </w:lvl>
    <w:lvl w:ilvl="7">
      <w:start w:val="0"/>
      <w:numFmt w:val="bullet"/>
      <w:lvlText w:val="•"/>
      <w:lvlJc w:val="left"/>
      <w:pPr>
        <w:ind w:left="2794" w:hanging="241"/>
      </w:pPr>
      <w:rPr>
        <w:rFonts w:hint="default"/>
        <w:lang w:val="en-US" w:eastAsia="en-US" w:bidi="ar-SA"/>
      </w:rPr>
    </w:lvl>
    <w:lvl w:ilvl="8">
      <w:start w:val="0"/>
      <w:numFmt w:val="bullet"/>
      <w:lvlText w:val="•"/>
      <w:lvlJc w:val="left"/>
      <w:pPr>
        <w:ind w:left="3153" w:hanging="241"/>
      </w:pPr>
      <w:rPr>
        <w:rFonts w:hint="default"/>
        <w:lang w:val="en-US" w:eastAsia="en-US" w:bidi="ar-SA"/>
      </w:rPr>
    </w:lvl>
  </w:abstractNum>
  <w:abstractNum w:abstractNumId="2">
    <w:multiLevelType w:val="hybridMultilevel"/>
    <w:lvl w:ilvl="0">
      <w:start w:val="1"/>
      <w:numFmt w:val="lowerLetter"/>
      <w:lvlText w:val="(%1)"/>
      <w:lvlJc w:val="left"/>
      <w:pPr>
        <w:ind w:left="399" w:hanging="240"/>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506" w:hanging="240"/>
      </w:pPr>
      <w:rPr>
        <w:rFonts w:hint="default"/>
        <w:lang w:val="en-US" w:eastAsia="en-US" w:bidi="ar-SA"/>
      </w:rPr>
    </w:lvl>
    <w:lvl w:ilvl="2">
      <w:start w:val="0"/>
      <w:numFmt w:val="bullet"/>
      <w:lvlText w:val="•"/>
      <w:lvlJc w:val="left"/>
      <w:pPr>
        <w:ind w:left="613" w:hanging="240"/>
      </w:pPr>
      <w:rPr>
        <w:rFonts w:hint="default"/>
        <w:lang w:val="en-US" w:eastAsia="en-US" w:bidi="ar-SA"/>
      </w:rPr>
    </w:lvl>
    <w:lvl w:ilvl="3">
      <w:start w:val="0"/>
      <w:numFmt w:val="bullet"/>
      <w:lvlText w:val="•"/>
      <w:lvlJc w:val="left"/>
      <w:pPr>
        <w:ind w:left="720" w:hanging="240"/>
      </w:pPr>
      <w:rPr>
        <w:rFonts w:hint="default"/>
        <w:lang w:val="en-US" w:eastAsia="en-US" w:bidi="ar-SA"/>
      </w:rPr>
    </w:lvl>
    <w:lvl w:ilvl="4">
      <w:start w:val="0"/>
      <w:numFmt w:val="bullet"/>
      <w:lvlText w:val="•"/>
      <w:lvlJc w:val="left"/>
      <w:pPr>
        <w:ind w:left="827" w:hanging="240"/>
      </w:pPr>
      <w:rPr>
        <w:rFonts w:hint="default"/>
        <w:lang w:val="en-US" w:eastAsia="en-US" w:bidi="ar-SA"/>
      </w:rPr>
    </w:lvl>
    <w:lvl w:ilvl="5">
      <w:start w:val="0"/>
      <w:numFmt w:val="bullet"/>
      <w:lvlText w:val="•"/>
      <w:lvlJc w:val="left"/>
      <w:pPr>
        <w:ind w:left="934" w:hanging="240"/>
      </w:pPr>
      <w:rPr>
        <w:rFonts w:hint="default"/>
        <w:lang w:val="en-US" w:eastAsia="en-US" w:bidi="ar-SA"/>
      </w:rPr>
    </w:lvl>
    <w:lvl w:ilvl="6">
      <w:start w:val="0"/>
      <w:numFmt w:val="bullet"/>
      <w:lvlText w:val="•"/>
      <w:lvlJc w:val="left"/>
      <w:pPr>
        <w:ind w:left="1041" w:hanging="240"/>
      </w:pPr>
      <w:rPr>
        <w:rFonts w:hint="default"/>
        <w:lang w:val="en-US" w:eastAsia="en-US" w:bidi="ar-SA"/>
      </w:rPr>
    </w:lvl>
    <w:lvl w:ilvl="7">
      <w:start w:val="0"/>
      <w:numFmt w:val="bullet"/>
      <w:lvlText w:val="•"/>
      <w:lvlJc w:val="left"/>
      <w:pPr>
        <w:ind w:left="1148" w:hanging="240"/>
      </w:pPr>
      <w:rPr>
        <w:rFonts w:hint="default"/>
        <w:lang w:val="en-US" w:eastAsia="en-US" w:bidi="ar-SA"/>
      </w:rPr>
    </w:lvl>
    <w:lvl w:ilvl="8">
      <w:start w:val="0"/>
      <w:numFmt w:val="bullet"/>
      <w:lvlText w:val="•"/>
      <w:lvlJc w:val="left"/>
      <w:pPr>
        <w:ind w:left="1255" w:hanging="240"/>
      </w:pPr>
      <w:rPr>
        <w:rFonts w:hint="default"/>
        <w:lang w:val="en-US" w:eastAsia="en-US" w:bidi="ar-SA"/>
      </w:rPr>
    </w:lvl>
  </w:abstractNum>
  <w:abstractNum w:abstractNumId="1">
    <w:multiLevelType w:val="hybridMultilevel"/>
    <w:lvl w:ilvl="0">
      <w:start w:val="1"/>
      <w:numFmt w:val="decimal"/>
      <w:lvlText w:val="%1"/>
      <w:lvlJc w:val="left"/>
      <w:pPr>
        <w:ind w:left="3324" w:hanging="3170"/>
        <w:jc w:val="left"/>
      </w:pPr>
      <w:rPr>
        <w:rFonts w:hint="default"/>
        <w:lang w:val="en-US" w:eastAsia="en-US" w:bidi="ar-SA"/>
      </w:rPr>
    </w:lvl>
    <w:lvl w:ilvl="1">
      <w:start w:val="1"/>
      <w:numFmt w:val="decimal"/>
      <w:lvlText w:val="%1.%2"/>
      <w:lvlJc w:val="left"/>
      <w:pPr>
        <w:ind w:left="3324" w:hanging="3170"/>
        <w:jc w:val="right"/>
      </w:pPr>
      <w:rPr>
        <w:rFonts w:hint="default"/>
        <w:b/>
        <w:bCs/>
        <w:spacing w:val="-5"/>
        <w:w w:val="100"/>
        <w:u w:val="thick" w:color="0092C7"/>
        <w:lang w:val="en-US" w:eastAsia="en-US" w:bidi="ar-SA"/>
      </w:rPr>
    </w:lvl>
    <w:lvl w:ilvl="2">
      <w:start w:val="0"/>
      <w:numFmt w:val="bullet"/>
      <w:lvlText w:val="•"/>
      <w:lvlJc w:val="left"/>
      <w:pPr>
        <w:ind w:left="3818" w:hanging="3170"/>
      </w:pPr>
      <w:rPr>
        <w:rFonts w:hint="default"/>
        <w:lang w:val="en-US" w:eastAsia="en-US" w:bidi="ar-SA"/>
      </w:rPr>
    </w:lvl>
    <w:lvl w:ilvl="3">
      <w:start w:val="0"/>
      <w:numFmt w:val="bullet"/>
      <w:lvlText w:val="•"/>
      <w:lvlJc w:val="left"/>
      <w:pPr>
        <w:ind w:left="4068" w:hanging="3170"/>
      </w:pPr>
      <w:rPr>
        <w:rFonts w:hint="default"/>
        <w:lang w:val="en-US" w:eastAsia="en-US" w:bidi="ar-SA"/>
      </w:rPr>
    </w:lvl>
    <w:lvl w:ilvl="4">
      <w:start w:val="0"/>
      <w:numFmt w:val="bullet"/>
      <w:lvlText w:val="•"/>
      <w:lvlJc w:val="left"/>
      <w:pPr>
        <w:ind w:left="4317" w:hanging="3170"/>
      </w:pPr>
      <w:rPr>
        <w:rFonts w:hint="default"/>
        <w:lang w:val="en-US" w:eastAsia="en-US" w:bidi="ar-SA"/>
      </w:rPr>
    </w:lvl>
    <w:lvl w:ilvl="5">
      <w:start w:val="0"/>
      <w:numFmt w:val="bullet"/>
      <w:lvlText w:val="•"/>
      <w:lvlJc w:val="left"/>
      <w:pPr>
        <w:ind w:left="4567" w:hanging="3170"/>
      </w:pPr>
      <w:rPr>
        <w:rFonts w:hint="default"/>
        <w:lang w:val="en-US" w:eastAsia="en-US" w:bidi="ar-SA"/>
      </w:rPr>
    </w:lvl>
    <w:lvl w:ilvl="6">
      <w:start w:val="0"/>
      <w:numFmt w:val="bullet"/>
      <w:lvlText w:val="•"/>
      <w:lvlJc w:val="left"/>
      <w:pPr>
        <w:ind w:left="4816" w:hanging="3170"/>
      </w:pPr>
      <w:rPr>
        <w:rFonts w:hint="default"/>
        <w:lang w:val="en-US" w:eastAsia="en-US" w:bidi="ar-SA"/>
      </w:rPr>
    </w:lvl>
    <w:lvl w:ilvl="7">
      <w:start w:val="0"/>
      <w:numFmt w:val="bullet"/>
      <w:lvlText w:val="•"/>
      <w:lvlJc w:val="left"/>
      <w:pPr>
        <w:ind w:left="5066" w:hanging="3170"/>
      </w:pPr>
      <w:rPr>
        <w:rFonts w:hint="default"/>
        <w:lang w:val="en-US" w:eastAsia="en-US" w:bidi="ar-SA"/>
      </w:rPr>
    </w:lvl>
    <w:lvl w:ilvl="8">
      <w:start w:val="0"/>
      <w:numFmt w:val="bullet"/>
      <w:lvlText w:val="•"/>
      <w:lvlJc w:val="left"/>
      <w:pPr>
        <w:ind w:left="5315" w:hanging="3170"/>
      </w:pPr>
      <w:rPr>
        <w:rFonts w:hint="default"/>
        <w:lang w:val="en-US" w:eastAsia="en-US" w:bidi="ar-SA"/>
      </w:rPr>
    </w:lvl>
  </w:abstractNum>
  <w:abstractNum w:abstractNumId="0">
    <w:multiLevelType w:val="hybridMultilevel"/>
    <w:lvl w:ilvl="0">
      <w:start w:val="1"/>
      <w:numFmt w:val="decimal"/>
      <w:lvlText w:val="%1"/>
      <w:lvlJc w:val="left"/>
      <w:pPr>
        <w:ind w:left="5369" w:hanging="380"/>
        <w:jc w:val="left"/>
      </w:pPr>
      <w:rPr>
        <w:rFonts w:hint="default" w:ascii="Times New Roman" w:hAnsi="Times New Roman" w:eastAsia="Times New Roman" w:cs="Times New Roman"/>
        <w:b/>
        <w:bCs/>
        <w:color w:val="0092C7"/>
        <w:spacing w:val="-6"/>
        <w:w w:val="99"/>
        <w:sz w:val="24"/>
        <w:szCs w:val="24"/>
        <w:lang w:val="en-US" w:eastAsia="en-US" w:bidi="ar-SA"/>
      </w:rPr>
    </w:lvl>
    <w:lvl w:ilvl="1">
      <w:start w:val="1"/>
      <w:numFmt w:val="decimal"/>
      <w:lvlText w:val="%1.%2"/>
      <w:lvlJc w:val="left"/>
      <w:pPr>
        <w:ind w:left="5929" w:hanging="560"/>
        <w:jc w:val="left"/>
      </w:pPr>
      <w:rPr>
        <w:rFonts w:hint="default" w:ascii="Times New Roman" w:hAnsi="Times New Roman" w:eastAsia="Times New Roman" w:cs="Times New Roman"/>
        <w:b/>
        <w:bCs/>
        <w:spacing w:val="-5"/>
        <w:w w:val="99"/>
        <w:sz w:val="24"/>
        <w:szCs w:val="24"/>
        <w:lang w:val="en-US" w:eastAsia="en-US" w:bidi="ar-SA"/>
      </w:rPr>
    </w:lvl>
    <w:lvl w:ilvl="2">
      <w:start w:val="0"/>
      <w:numFmt w:val="bullet"/>
      <w:lvlText w:val="•"/>
      <w:lvlJc w:val="left"/>
      <w:pPr>
        <w:ind w:left="6444" w:hanging="560"/>
      </w:pPr>
      <w:rPr>
        <w:rFonts w:hint="default"/>
        <w:lang w:val="en-US" w:eastAsia="en-US" w:bidi="ar-SA"/>
      </w:rPr>
    </w:lvl>
    <w:lvl w:ilvl="3">
      <w:start w:val="0"/>
      <w:numFmt w:val="bullet"/>
      <w:lvlText w:val="•"/>
      <w:lvlJc w:val="left"/>
      <w:pPr>
        <w:ind w:left="6968" w:hanging="560"/>
      </w:pPr>
      <w:rPr>
        <w:rFonts w:hint="default"/>
        <w:lang w:val="en-US" w:eastAsia="en-US" w:bidi="ar-SA"/>
      </w:rPr>
    </w:lvl>
    <w:lvl w:ilvl="4">
      <w:start w:val="0"/>
      <w:numFmt w:val="bullet"/>
      <w:lvlText w:val="•"/>
      <w:lvlJc w:val="left"/>
      <w:pPr>
        <w:ind w:left="7493" w:hanging="560"/>
      </w:pPr>
      <w:rPr>
        <w:rFonts w:hint="default"/>
        <w:lang w:val="en-US" w:eastAsia="en-US" w:bidi="ar-SA"/>
      </w:rPr>
    </w:lvl>
    <w:lvl w:ilvl="5">
      <w:start w:val="0"/>
      <w:numFmt w:val="bullet"/>
      <w:lvlText w:val="•"/>
      <w:lvlJc w:val="left"/>
      <w:pPr>
        <w:ind w:left="8017" w:hanging="560"/>
      </w:pPr>
      <w:rPr>
        <w:rFonts w:hint="default"/>
        <w:lang w:val="en-US" w:eastAsia="en-US" w:bidi="ar-SA"/>
      </w:rPr>
    </w:lvl>
    <w:lvl w:ilvl="6">
      <w:start w:val="0"/>
      <w:numFmt w:val="bullet"/>
      <w:lvlText w:val="•"/>
      <w:lvlJc w:val="left"/>
      <w:pPr>
        <w:ind w:left="8542" w:hanging="560"/>
      </w:pPr>
      <w:rPr>
        <w:rFonts w:hint="default"/>
        <w:lang w:val="en-US" w:eastAsia="en-US" w:bidi="ar-SA"/>
      </w:rPr>
    </w:lvl>
    <w:lvl w:ilvl="7">
      <w:start w:val="0"/>
      <w:numFmt w:val="bullet"/>
      <w:lvlText w:val="•"/>
      <w:lvlJc w:val="left"/>
      <w:pPr>
        <w:ind w:left="9066" w:hanging="560"/>
      </w:pPr>
      <w:rPr>
        <w:rFonts w:hint="default"/>
        <w:lang w:val="en-US" w:eastAsia="en-US" w:bidi="ar-SA"/>
      </w:rPr>
    </w:lvl>
    <w:lvl w:ilvl="8">
      <w:start w:val="0"/>
      <w:numFmt w:val="bullet"/>
      <w:lvlText w:val="•"/>
      <w:lvlJc w:val="left"/>
      <w:pPr>
        <w:ind w:left="9591" w:hanging="560"/>
      </w:pPr>
      <w:rPr>
        <w:rFonts w:hint="default"/>
        <w:lang w:val="en-US" w:eastAsia="en-US" w:bidi="ar-SA"/>
      </w:rPr>
    </w:lvl>
  </w:abstractNum>
  <w:num w:numId="35">
    <w:abstractNumId w:val="34"/>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4"/>
      <w:ind w:left="5369" w:hanging="381"/>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44"/>
      <w:ind w:left="5929" w:hanging="561"/>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24"/>
      <w:ind w:left="5369"/>
    </w:pPr>
    <w:rPr>
      <w:rFonts w:ascii="Times New Roman" w:hAnsi="Times New Roman" w:eastAsia="Times New Roman" w:cs="Times New Roman"/>
      <w:i/>
      <w:sz w:val="24"/>
      <w:szCs w:val="24"/>
      <w:lang w:val="en-US" w:eastAsia="en-US" w:bidi="ar-SA"/>
    </w:rPr>
  </w:style>
  <w:style w:styleId="TOC4" w:type="paragraph">
    <w:name w:val="TOC 4"/>
    <w:basedOn w:val="Normal"/>
    <w:uiPriority w:val="1"/>
    <w:qFormat/>
    <w:pPr>
      <w:spacing w:before="24"/>
      <w:ind w:left="5929" w:hanging="561"/>
    </w:pPr>
    <w:rPr>
      <w:rFonts w:ascii="Times New Roman" w:hAnsi="Times New Roman" w:eastAsia="Times New Roman" w:cs="Times New Roman"/>
      <w:b/>
      <w:bCs/>
      <w:i/>
      <w:lang w:val="en-US" w:eastAsia="en-US" w:bidi="ar-SA"/>
    </w:rPr>
  </w:style>
  <w:style w:styleId="TOC5" w:type="paragraph">
    <w:name w:val="TOC 5"/>
    <w:basedOn w:val="Normal"/>
    <w:uiPriority w:val="1"/>
    <w:qFormat/>
    <w:pPr>
      <w:spacing w:before="44"/>
      <w:ind w:left="5929"/>
    </w:pPr>
    <w:rPr>
      <w:rFonts w:ascii="Times New Roman" w:hAnsi="Times New Roman" w:eastAsia="Times New Roman" w:cs="Times New Roman"/>
      <w:b/>
      <w:bCs/>
      <w:sz w:val="24"/>
      <w:szCs w:val="24"/>
      <w:lang w:val="en-US" w:eastAsia="en-US" w:bidi="ar-SA"/>
    </w:rPr>
  </w:style>
  <w:style w:styleId="TOC6" w:type="paragraph">
    <w:name w:val="TOC 6"/>
    <w:basedOn w:val="Normal"/>
    <w:uiPriority w:val="1"/>
    <w:qFormat/>
    <w:pPr>
      <w:spacing w:before="44"/>
      <w:ind w:left="6229"/>
    </w:pPr>
    <w:rPr>
      <w:rFonts w:ascii="Times New Roman" w:hAnsi="Times New Roman" w:eastAsia="Times New Roman" w:cs="Times New Roman"/>
      <w:sz w:val="24"/>
      <w:szCs w:val="24"/>
      <w:lang w:val="en-US" w:eastAsia="en-US" w:bidi="ar-SA"/>
    </w:rPr>
  </w:style>
  <w:style w:styleId="TOC7" w:type="paragraph">
    <w:name w:val="TOC 7"/>
    <w:basedOn w:val="Normal"/>
    <w:uiPriority w:val="1"/>
    <w:qFormat/>
    <w:pPr>
      <w:spacing w:before="24"/>
      <w:ind w:left="6349" w:right="1238" w:hanging="120"/>
    </w:pPr>
    <w:rPr>
      <w:rFonts w:ascii="Times New Roman" w:hAnsi="Times New Roman" w:eastAsia="Times New Roman" w:cs="Times New Roman"/>
      <w:i/>
      <w:sz w:val="24"/>
      <w:szCs w:val="24"/>
      <w:lang w:val="en-US" w:eastAsia="en-US" w:bidi="ar-SA"/>
    </w:rPr>
  </w:style>
  <w:style w:styleId="TOC8" w:type="paragraph">
    <w:name w:val="TOC 8"/>
    <w:basedOn w:val="Normal"/>
    <w:uiPriority w:val="1"/>
    <w:qFormat/>
    <w:pPr>
      <w:ind w:left="6349"/>
    </w:pPr>
    <w:rPr>
      <w:rFonts w:ascii="Times New Roman" w:hAnsi="Times New Roman" w:eastAsia="Times New Roman" w:cs="Times New Roman"/>
      <w:i/>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spacing w:before="51"/>
      <w:ind w:left="260"/>
      <w:outlineLvl w:val="1"/>
    </w:pPr>
    <w:rPr>
      <w:rFonts w:ascii="Times New Roman" w:hAnsi="Times New Roman" w:eastAsia="Times New Roman" w:cs="Times New Roman"/>
      <w:b/>
      <w:bCs/>
      <w:sz w:val="48"/>
      <w:szCs w:val="48"/>
      <w:lang w:val="en-US" w:eastAsia="en-US" w:bidi="ar-SA"/>
    </w:rPr>
  </w:style>
  <w:style w:styleId="Heading2" w:type="paragraph">
    <w:name w:val="Heading 2"/>
    <w:basedOn w:val="Normal"/>
    <w:uiPriority w:val="1"/>
    <w:qFormat/>
    <w:pPr>
      <w:spacing w:before="86"/>
      <w:ind w:left="165"/>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1975"/>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200"/>
      <w:outlineLvl w:val="4"/>
    </w:pPr>
    <w:rPr>
      <w:rFonts w:ascii="Times New Roman" w:hAnsi="Times New Roman" w:eastAsia="Times New Roman" w:cs="Times New Roman"/>
      <w:i/>
      <w:sz w:val="28"/>
      <w:szCs w:val="28"/>
      <w:lang w:val="en-US" w:eastAsia="en-US" w:bidi="ar-SA"/>
    </w:rPr>
  </w:style>
  <w:style w:styleId="Heading5" w:type="paragraph">
    <w:name w:val="Heading 5"/>
    <w:basedOn w:val="Normal"/>
    <w:uiPriority w:val="1"/>
    <w:qFormat/>
    <w:pPr>
      <w:ind w:left="569"/>
      <w:outlineLvl w:val="5"/>
    </w:pPr>
    <w:rPr>
      <w:rFonts w:ascii="Times New Roman" w:hAnsi="Times New Roman" w:eastAsia="Times New Roman" w:cs="Times New Roman"/>
      <w:b/>
      <w:bCs/>
      <w:sz w:val="24"/>
      <w:szCs w:val="24"/>
      <w:lang w:val="en-US" w:eastAsia="en-US" w:bidi="ar-SA"/>
    </w:rPr>
  </w:style>
  <w:style w:styleId="Heading6" w:type="paragraph">
    <w:name w:val="Heading 6"/>
    <w:basedOn w:val="Normal"/>
    <w:uiPriority w:val="1"/>
    <w:qFormat/>
    <w:pPr>
      <w:ind w:left="170"/>
      <w:outlineLvl w:val="6"/>
    </w:pPr>
    <w:rPr>
      <w:rFonts w:ascii="Times New Roman" w:hAnsi="Times New Roman" w:eastAsia="Times New Roman" w:cs="Times New Roman"/>
      <w:sz w:val="24"/>
      <w:szCs w:val="24"/>
      <w:lang w:val="en-US" w:eastAsia="en-US" w:bidi="ar-SA"/>
    </w:rPr>
  </w:style>
  <w:style w:styleId="Heading7" w:type="paragraph">
    <w:name w:val="Heading 7"/>
    <w:basedOn w:val="Normal"/>
    <w:uiPriority w:val="1"/>
    <w:qFormat/>
    <w:pPr>
      <w:ind w:left="180"/>
      <w:outlineLvl w:val="7"/>
    </w:pPr>
    <w:rPr>
      <w:rFonts w:ascii="Times New Roman" w:hAnsi="Times New Roman" w:eastAsia="Times New Roman" w:cs="Times New Roman"/>
      <w:i/>
      <w:sz w:val="24"/>
      <w:szCs w:val="24"/>
      <w:lang w:val="en-US" w:eastAsia="en-US" w:bidi="ar-SA"/>
    </w:rPr>
  </w:style>
  <w:style w:styleId="Heading8" w:type="paragraph">
    <w:name w:val="Heading 8"/>
    <w:basedOn w:val="Normal"/>
    <w:uiPriority w:val="1"/>
    <w:qFormat/>
    <w:pPr>
      <w:ind w:left="174"/>
      <w:outlineLvl w:val="8"/>
    </w:pPr>
    <w:rPr>
      <w:rFonts w:ascii="Times New Roman" w:hAnsi="Times New Roman" w:eastAsia="Times New Roman" w:cs="Times New Roman"/>
      <w:b/>
      <w:bCs/>
      <w:sz w:val="22"/>
      <w:szCs w:val="22"/>
      <w:lang w:val="en-US" w:eastAsia="en-US" w:bidi="ar-SA"/>
    </w:rPr>
  </w:style>
  <w:style w:styleId="Heading9" w:type="paragraph">
    <w:name w:val="Heading 9"/>
    <w:basedOn w:val="Normal"/>
    <w:uiPriority w:val="1"/>
    <w:qFormat/>
    <w:pPr>
      <w:ind w:left="393"/>
      <w:outlineLvl w:val="9"/>
    </w:pPr>
    <w:rPr>
      <w:rFonts w:ascii="Times New Roman" w:hAnsi="Times New Roman" w:eastAsia="Times New Roman" w:cs="Times New Roman"/>
      <w:sz w:val="21"/>
      <w:szCs w:val="21"/>
      <w:lang w:val="en-US" w:eastAsia="en-US" w:bidi="ar-SA"/>
    </w:rPr>
  </w:style>
  <w:style w:styleId="Title" w:type="paragraph">
    <w:name w:val="Title"/>
    <w:basedOn w:val="Normal"/>
    <w:uiPriority w:val="1"/>
    <w:qFormat/>
    <w:pPr>
      <w:spacing w:before="59"/>
      <w:ind w:left="3780"/>
    </w:pPr>
    <w:rPr>
      <w:rFonts w:ascii="Times New Roman" w:hAnsi="Times New Roman" w:eastAsia="Times New Roman" w:cs="Times New Roman"/>
      <w:b/>
      <w:bCs/>
      <w:sz w:val="72"/>
      <w:szCs w:val="72"/>
      <w:lang w:val="en-US" w:eastAsia="en-US" w:bidi="ar-SA"/>
    </w:rPr>
  </w:style>
  <w:style w:styleId="ListParagraph" w:type="paragraph">
    <w:name w:val="List Paragraph"/>
    <w:basedOn w:val="Normal"/>
    <w:uiPriority w:val="1"/>
    <w:qFormat/>
    <w:pPr>
      <w:ind w:left="1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20"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lationreport/infrep.htm" TargetMode="External"/><Relationship Id="rId6" Type="http://schemas.openxmlformats.org/officeDocument/2006/relationships/hyperlink" Target="http://www.bankofengland.co.uk/inflationreport/index.htm"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header" Target="header6.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image" Target="media/image1.png"/><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header" Target="header9.xml"/><Relationship Id="rId31" Type="http://schemas.openxmlformats.org/officeDocument/2006/relationships/header" Target="header10.xml"/><Relationship Id="rId32" Type="http://schemas.openxmlformats.org/officeDocument/2006/relationships/footer" Target="footer10.xml"/><Relationship Id="rId33" Type="http://schemas.openxmlformats.org/officeDocument/2006/relationships/footer" Target="footer11.xml"/><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header" Target="header11.xml"/><Relationship Id="rId43" Type="http://schemas.openxmlformats.org/officeDocument/2006/relationships/header" Target="header12.xml"/><Relationship Id="rId44" Type="http://schemas.openxmlformats.org/officeDocument/2006/relationships/footer" Target="footer12.xml"/><Relationship Id="rId45" Type="http://schemas.openxmlformats.org/officeDocument/2006/relationships/footer" Target="footer13.xml"/><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png"/><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header" Target="header13.xml"/><Relationship Id="rId57" Type="http://schemas.openxmlformats.org/officeDocument/2006/relationships/header" Target="header14.xml"/><Relationship Id="rId58" Type="http://schemas.openxmlformats.org/officeDocument/2006/relationships/footer" Target="footer14.xml"/><Relationship Id="rId59" Type="http://schemas.openxmlformats.org/officeDocument/2006/relationships/footer" Target="footer15.xm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image" Target="media/image27.png"/><Relationship Id="rId63" Type="http://schemas.openxmlformats.org/officeDocument/2006/relationships/image" Target="media/image28.png"/><Relationship Id="rId64" Type="http://schemas.openxmlformats.org/officeDocument/2006/relationships/image" Target="media/image29.png"/><Relationship Id="rId65" Type="http://schemas.openxmlformats.org/officeDocument/2006/relationships/image" Target="media/image30.png"/><Relationship Id="rId66" Type="http://schemas.openxmlformats.org/officeDocument/2006/relationships/image" Target="media/image31.png"/><Relationship Id="rId67" Type="http://schemas.openxmlformats.org/officeDocument/2006/relationships/header" Target="header15.xml"/><Relationship Id="rId68" Type="http://schemas.openxmlformats.org/officeDocument/2006/relationships/footer" Target="footer16.xml"/><Relationship Id="rId69" Type="http://schemas.openxmlformats.org/officeDocument/2006/relationships/footer" Target="footer17.xml"/><Relationship Id="rId70" Type="http://schemas.openxmlformats.org/officeDocument/2006/relationships/header" Target="header16.xml"/><Relationship Id="rId71" Type="http://schemas.openxmlformats.org/officeDocument/2006/relationships/header" Target="header17.xml"/><Relationship Id="rId72" Type="http://schemas.openxmlformats.org/officeDocument/2006/relationships/image" Target="media/image32.png"/><Relationship Id="rId73" Type="http://schemas.openxmlformats.org/officeDocument/2006/relationships/image" Target="media/image33.png"/><Relationship Id="rId74" Type="http://schemas.openxmlformats.org/officeDocument/2006/relationships/image" Target="media/image34.png"/><Relationship Id="rId75" Type="http://schemas.openxmlformats.org/officeDocument/2006/relationships/image" Target="media/image35.png"/><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footer" Target="footer18.xml"/><Relationship Id="rId79" Type="http://schemas.openxmlformats.org/officeDocument/2006/relationships/footer" Target="footer19.xml"/><Relationship Id="rId80" Type="http://schemas.openxmlformats.org/officeDocument/2006/relationships/header" Target="header18.xml"/><Relationship Id="rId81" Type="http://schemas.openxmlformats.org/officeDocument/2006/relationships/header" Target="header19.xml"/><Relationship Id="rId82" Type="http://schemas.openxmlformats.org/officeDocument/2006/relationships/image" Target="media/image38.png"/><Relationship Id="rId83" Type="http://schemas.openxmlformats.org/officeDocument/2006/relationships/image" Target="media/image39.png"/><Relationship Id="rId84" Type="http://schemas.openxmlformats.org/officeDocument/2006/relationships/image" Target="media/image40.png"/><Relationship Id="rId85" Type="http://schemas.openxmlformats.org/officeDocument/2006/relationships/image" Target="media/image41.png"/><Relationship Id="rId86" Type="http://schemas.openxmlformats.org/officeDocument/2006/relationships/image" Target="media/image42.png"/><Relationship Id="rId87" Type="http://schemas.openxmlformats.org/officeDocument/2006/relationships/image" Target="media/image43.png"/><Relationship Id="rId88" Type="http://schemas.openxmlformats.org/officeDocument/2006/relationships/image" Target="media/image44.png"/><Relationship Id="rId89" Type="http://schemas.openxmlformats.org/officeDocument/2006/relationships/image" Target="media/image45.png"/><Relationship Id="rId90" Type="http://schemas.openxmlformats.org/officeDocument/2006/relationships/image" Target="media/image46.png"/><Relationship Id="rId91" Type="http://schemas.openxmlformats.org/officeDocument/2006/relationships/image" Target="media/image47.png"/><Relationship Id="rId92" Type="http://schemas.openxmlformats.org/officeDocument/2006/relationships/image" Target="media/image48.png"/><Relationship Id="rId93" Type="http://schemas.openxmlformats.org/officeDocument/2006/relationships/image" Target="media/image49.png"/><Relationship Id="rId94" Type="http://schemas.openxmlformats.org/officeDocument/2006/relationships/image" Target="media/image50.png"/><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header" Target="header20.xml"/><Relationship Id="rId98" Type="http://schemas.openxmlformats.org/officeDocument/2006/relationships/header" Target="header21.xml"/><Relationship Id="rId99" Type="http://schemas.openxmlformats.org/officeDocument/2006/relationships/footer" Target="footer20.xml"/><Relationship Id="rId100" Type="http://schemas.openxmlformats.org/officeDocument/2006/relationships/footer" Target="footer21.xml"/><Relationship Id="rId101" Type="http://schemas.openxmlformats.org/officeDocument/2006/relationships/image" Target="media/image53.png"/><Relationship Id="rId102" Type="http://schemas.openxmlformats.org/officeDocument/2006/relationships/image" Target="media/image54.png"/><Relationship Id="rId103" Type="http://schemas.openxmlformats.org/officeDocument/2006/relationships/image" Target="media/image55.png"/><Relationship Id="rId104" Type="http://schemas.openxmlformats.org/officeDocument/2006/relationships/header" Target="header22.xml"/><Relationship Id="rId105" Type="http://schemas.openxmlformats.org/officeDocument/2006/relationships/header" Target="header23.xml"/><Relationship Id="rId106" Type="http://schemas.openxmlformats.org/officeDocument/2006/relationships/footer" Target="footer22.xml"/><Relationship Id="rId107" Type="http://schemas.openxmlformats.org/officeDocument/2006/relationships/footer" Target="footer23.xml"/><Relationship Id="rId108" Type="http://schemas.openxmlformats.org/officeDocument/2006/relationships/image" Target="media/image56.png"/><Relationship Id="rId109" Type="http://schemas.openxmlformats.org/officeDocument/2006/relationships/header" Target="header24.xml"/><Relationship Id="rId110" Type="http://schemas.openxmlformats.org/officeDocument/2006/relationships/header" Target="header25.xml"/><Relationship Id="rId111" Type="http://schemas.openxmlformats.org/officeDocument/2006/relationships/footer" Target="footer24.xml"/><Relationship Id="rId112" Type="http://schemas.openxmlformats.org/officeDocument/2006/relationships/footer" Target="footer25.xml"/><Relationship Id="rId113" Type="http://schemas.openxmlformats.org/officeDocument/2006/relationships/image" Target="media/image57.png"/><Relationship Id="rId114" Type="http://schemas.openxmlformats.org/officeDocument/2006/relationships/image" Target="media/image58.png"/><Relationship Id="rId115" Type="http://schemas.openxmlformats.org/officeDocument/2006/relationships/image" Target="media/image59.png"/><Relationship Id="rId116" Type="http://schemas.openxmlformats.org/officeDocument/2006/relationships/image" Target="media/image60.png"/><Relationship Id="rId117" Type="http://schemas.openxmlformats.org/officeDocument/2006/relationships/image" Target="media/image61.png"/><Relationship Id="rId118" Type="http://schemas.openxmlformats.org/officeDocument/2006/relationships/image" Target="media/image62.png"/><Relationship Id="rId119" Type="http://schemas.openxmlformats.org/officeDocument/2006/relationships/image" Target="media/image63.png"/><Relationship Id="rId120" Type="http://schemas.openxmlformats.org/officeDocument/2006/relationships/image" Target="media/image64.png"/><Relationship Id="rId121" Type="http://schemas.openxmlformats.org/officeDocument/2006/relationships/header" Target="header26.xml"/><Relationship Id="rId122" Type="http://schemas.openxmlformats.org/officeDocument/2006/relationships/footer" Target="footer26.xml"/><Relationship Id="rId123" Type="http://schemas.openxmlformats.org/officeDocument/2006/relationships/footer" Target="footer27.xml"/><Relationship Id="rId124" Type="http://schemas.openxmlformats.org/officeDocument/2006/relationships/image" Target="media/image65.png"/><Relationship Id="rId125" Type="http://schemas.openxmlformats.org/officeDocument/2006/relationships/image" Target="media/image66.png"/><Relationship Id="rId126" Type="http://schemas.openxmlformats.org/officeDocument/2006/relationships/header" Target="header27.xml"/><Relationship Id="rId127" Type="http://schemas.openxmlformats.org/officeDocument/2006/relationships/header" Target="header28.xml"/><Relationship Id="rId128" Type="http://schemas.openxmlformats.org/officeDocument/2006/relationships/footer" Target="footer28.xml"/><Relationship Id="rId129" Type="http://schemas.openxmlformats.org/officeDocument/2006/relationships/footer" Target="footer29.xml"/><Relationship Id="rId130" Type="http://schemas.openxmlformats.org/officeDocument/2006/relationships/image" Target="media/image67.png"/><Relationship Id="rId131" Type="http://schemas.openxmlformats.org/officeDocument/2006/relationships/image" Target="media/image68.png"/><Relationship Id="rId132" Type="http://schemas.openxmlformats.org/officeDocument/2006/relationships/image" Target="media/image69.png"/><Relationship Id="rId133" Type="http://schemas.openxmlformats.org/officeDocument/2006/relationships/image" Target="media/image70.png"/><Relationship Id="rId134" Type="http://schemas.openxmlformats.org/officeDocument/2006/relationships/image" Target="media/image71.png"/><Relationship Id="rId135" Type="http://schemas.openxmlformats.org/officeDocument/2006/relationships/image" Target="media/image72.png"/><Relationship Id="rId136" Type="http://schemas.openxmlformats.org/officeDocument/2006/relationships/image" Target="media/image73.png"/><Relationship Id="rId137" Type="http://schemas.openxmlformats.org/officeDocument/2006/relationships/image" Target="media/image74.png"/><Relationship Id="rId138" Type="http://schemas.openxmlformats.org/officeDocument/2006/relationships/header" Target="header29.xml"/><Relationship Id="rId139" Type="http://schemas.openxmlformats.org/officeDocument/2006/relationships/header" Target="header30.xml"/><Relationship Id="rId140" Type="http://schemas.openxmlformats.org/officeDocument/2006/relationships/footer" Target="footer30.xml"/><Relationship Id="rId141" Type="http://schemas.openxmlformats.org/officeDocument/2006/relationships/footer" Target="footer31.xml"/><Relationship Id="rId142" Type="http://schemas.openxmlformats.org/officeDocument/2006/relationships/image" Target="media/image75.png"/><Relationship Id="rId143" Type="http://schemas.openxmlformats.org/officeDocument/2006/relationships/header" Target="header31.xml"/><Relationship Id="rId144" Type="http://schemas.openxmlformats.org/officeDocument/2006/relationships/header" Target="header32.xml"/><Relationship Id="rId145" Type="http://schemas.openxmlformats.org/officeDocument/2006/relationships/footer" Target="footer32.xml"/><Relationship Id="rId146" Type="http://schemas.openxmlformats.org/officeDocument/2006/relationships/footer" Target="footer33.xml"/><Relationship Id="rId147" Type="http://schemas.openxmlformats.org/officeDocument/2006/relationships/header" Target="header33.xml"/><Relationship Id="rId148" Type="http://schemas.openxmlformats.org/officeDocument/2006/relationships/footer" Target="footer34.xml"/><Relationship Id="rId149" Type="http://schemas.openxmlformats.org/officeDocument/2006/relationships/footer" Target="footer35.xml"/><Relationship Id="rId150" Type="http://schemas.openxmlformats.org/officeDocument/2006/relationships/header" Target="header34.xml"/><Relationship Id="rId151" Type="http://schemas.openxmlformats.org/officeDocument/2006/relationships/header" Target="header35.xml"/><Relationship Id="rId152" Type="http://schemas.openxmlformats.org/officeDocument/2006/relationships/image" Target="media/image76.png"/><Relationship Id="rId153" Type="http://schemas.openxmlformats.org/officeDocument/2006/relationships/image" Target="media/image77.png"/><Relationship Id="rId154" Type="http://schemas.openxmlformats.org/officeDocument/2006/relationships/image" Target="media/image78.png"/><Relationship Id="rId155" Type="http://schemas.openxmlformats.org/officeDocument/2006/relationships/image" Target="media/image79.png"/><Relationship Id="rId156" Type="http://schemas.openxmlformats.org/officeDocument/2006/relationships/image" Target="media/image80.png"/><Relationship Id="rId157" Type="http://schemas.openxmlformats.org/officeDocument/2006/relationships/footer" Target="footer36.xml"/><Relationship Id="rId158" Type="http://schemas.openxmlformats.org/officeDocument/2006/relationships/footer" Target="footer37.xml"/><Relationship Id="rId159" Type="http://schemas.openxmlformats.org/officeDocument/2006/relationships/image" Target="media/image81.png"/><Relationship Id="rId160" Type="http://schemas.openxmlformats.org/officeDocument/2006/relationships/header" Target="header36.xml"/><Relationship Id="rId161" Type="http://schemas.openxmlformats.org/officeDocument/2006/relationships/header" Target="header37.xml"/><Relationship Id="rId162" Type="http://schemas.openxmlformats.org/officeDocument/2006/relationships/footer" Target="footer38.xml"/><Relationship Id="rId163" Type="http://schemas.openxmlformats.org/officeDocument/2006/relationships/footer" Target="footer39.xml"/><Relationship Id="rId164" Type="http://schemas.openxmlformats.org/officeDocument/2006/relationships/image" Target="media/image82.png"/><Relationship Id="rId165" Type="http://schemas.openxmlformats.org/officeDocument/2006/relationships/image" Target="media/image83.png"/><Relationship Id="rId166" Type="http://schemas.openxmlformats.org/officeDocument/2006/relationships/image" Target="media/image84.png"/><Relationship Id="rId167" Type="http://schemas.openxmlformats.org/officeDocument/2006/relationships/image" Target="media/image85.png"/><Relationship Id="rId168" Type="http://schemas.openxmlformats.org/officeDocument/2006/relationships/image" Target="media/image86.png"/><Relationship Id="rId169" Type="http://schemas.openxmlformats.org/officeDocument/2006/relationships/image" Target="media/image87.png"/><Relationship Id="rId170" Type="http://schemas.openxmlformats.org/officeDocument/2006/relationships/image" Target="media/image88.png"/><Relationship Id="rId171" Type="http://schemas.openxmlformats.org/officeDocument/2006/relationships/header" Target="header38.xml"/><Relationship Id="rId172" Type="http://schemas.openxmlformats.org/officeDocument/2006/relationships/header" Target="header39.xml"/><Relationship Id="rId173" Type="http://schemas.openxmlformats.org/officeDocument/2006/relationships/footer" Target="footer40.xml"/><Relationship Id="rId174" Type="http://schemas.openxmlformats.org/officeDocument/2006/relationships/footer" Target="footer41.xml"/><Relationship Id="rId175" Type="http://schemas.openxmlformats.org/officeDocument/2006/relationships/image" Target="media/image89.png"/><Relationship Id="rId176" Type="http://schemas.openxmlformats.org/officeDocument/2006/relationships/image" Target="media/image90.png"/><Relationship Id="rId177" Type="http://schemas.openxmlformats.org/officeDocument/2006/relationships/image" Target="media/image91.png"/><Relationship Id="rId178" Type="http://schemas.openxmlformats.org/officeDocument/2006/relationships/header" Target="header40.xml"/><Relationship Id="rId179" Type="http://schemas.openxmlformats.org/officeDocument/2006/relationships/footer" Target="footer42.xml"/><Relationship Id="rId180" Type="http://schemas.openxmlformats.org/officeDocument/2006/relationships/footer" Target="footer43.xml"/><Relationship Id="rId181" Type="http://schemas.openxmlformats.org/officeDocument/2006/relationships/header" Target="header41.xml"/><Relationship Id="rId182" Type="http://schemas.openxmlformats.org/officeDocument/2006/relationships/header" Target="header42.xml"/><Relationship Id="rId183" Type="http://schemas.openxmlformats.org/officeDocument/2006/relationships/footer" Target="footer44.xml"/><Relationship Id="rId184" Type="http://schemas.openxmlformats.org/officeDocument/2006/relationships/footer" Target="footer45.xml"/><Relationship Id="rId185" Type="http://schemas.openxmlformats.org/officeDocument/2006/relationships/header" Target="header43.xml"/><Relationship Id="rId186" Type="http://schemas.openxmlformats.org/officeDocument/2006/relationships/footer" Target="footer46.xml"/><Relationship Id="rId187" Type="http://schemas.openxmlformats.org/officeDocument/2006/relationships/footer" Target="footer47.xml"/><Relationship Id="rId188" Type="http://schemas.openxmlformats.org/officeDocument/2006/relationships/header" Target="header44.xml"/><Relationship Id="rId189" Type="http://schemas.openxmlformats.org/officeDocument/2006/relationships/header" Target="header45.xml"/><Relationship Id="rId190" Type="http://schemas.openxmlformats.org/officeDocument/2006/relationships/footer" Target="footer48.xml"/><Relationship Id="rId191" Type="http://schemas.openxmlformats.org/officeDocument/2006/relationships/footer" Target="footer49.xml"/><Relationship Id="rId192" Type="http://schemas.openxmlformats.org/officeDocument/2006/relationships/header" Target="header46.xml"/><Relationship Id="rId193" Type="http://schemas.openxmlformats.org/officeDocument/2006/relationships/footer" Target="footer50.xml"/><Relationship Id="rId194" Type="http://schemas.openxmlformats.org/officeDocument/2006/relationships/footer" Target="footer51.xml"/><Relationship Id="rId195" Type="http://schemas.openxmlformats.org/officeDocument/2006/relationships/header" Target="header47.xml"/><Relationship Id="rId196" Type="http://schemas.openxmlformats.org/officeDocument/2006/relationships/header" Target="header48.xml"/><Relationship Id="rId197" Type="http://schemas.openxmlformats.org/officeDocument/2006/relationships/header" Target="header49.xml"/><Relationship Id="rId198" Type="http://schemas.openxmlformats.org/officeDocument/2006/relationships/footer" Target="footer52.xml"/><Relationship Id="rId199" Type="http://schemas.openxmlformats.org/officeDocument/2006/relationships/footer" Target="footer53.xml"/><Relationship Id="rId200" Type="http://schemas.openxmlformats.org/officeDocument/2006/relationships/header" Target="header50.xml"/><Relationship Id="rId201" Type="http://schemas.openxmlformats.org/officeDocument/2006/relationships/image" Target="media/image92.png"/><Relationship Id="rId202" Type="http://schemas.openxmlformats.org/officeDocument/2006/relationships/header" Target="header51.xml"/><Relationship Id="rId203" Type="http://schemas.openxmlformats.org/officeDocument/2006/relationships/header" Target="header52.xml"/><Relationship Id="rId204" Type="http://schemas.openxmlformats.org/officeDocument/2006/relationships/footer" Target="footer54.xml"/><Relationship Id="rId205" Type="http://schemas.openxmlformats.org/officeDocument/2006/relationships/footer" Target="footer55.xml"/><Relationship Id="rId206" Type="http://schemas.openxmlformats.org/officeDocument/2006/relationships/header" Target="header53.xml"/><Relationship Id="rId207" Type="http://schemas.openxmlformats.org/officeDocument/2006/relationships/footer" Target="footer56.xml"/><Relationship Id="rId20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MPC</dc:creator>
  <dc:subject>Inflation Report May 2000</dc:subject>
  <dc:title>Inflation Report</dc:title>
  <dcterms:created xsi:type="dcterms:W3CDTF">2020-06-02T23:17:32Z</dcterms:created>
  <dcterms:modified xsi:type="dcterms:W3CDTF">2020-06-02T23:17:32Z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2000-05-08T00:00:00Z</vt:filetime>
  </property>
  <property fmtid="{D5CDD505-2E9C-101B-9397-08002B2CF9AE}" pid="3" name="LastSaved">
    <vt:filetime>2020-06-02T00:00:00Z</vt:filetime>
  </property>
</Properties>
</file>